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DCEE5" w14:textId="41CE3C7D" w:rsidR="00354C87" w:rsidRPr="0093420D" w:rsidRDefault="007808B8" w:rsidP="00354C87">
      <w:pPr>
        <w:rPr>
          <w:color w:val="FF0000"/>
        </w:rPr>
      </w:pPr>
      <w:r>
        <w:rPr>
          <w:color w:val="FF0000"/>
        </w:rPr>
        <w:t xml:space="preserve"> </w:t>
      </w:r>
    </w:p>
    <w:p w14:paraId="5C970E24" w14:textId="77777777" w:rsidR="00354C87" w:rsidRPr="0093420D" w:rsidRDefault="00354C87" w:rsidP="00354C87">
      <w:pPr>
        <w:pStyle w:val="Normlnywebov"/>
        <w:jc w:val="center"/>
        <w:rPr>
          <w:color w:val="FF0000"/>
        </w:rPr>
      </w:pPr>
    </w:p>
    <w:p w14:paraId="2A066AF3" w14:textId="77777777" w:rsidR="00354C87" w:rsidRPr="0093420D" w:rsidRDefault="00354C87" w:rsidP="00354C87">
      <w:pPr>
        <w:pStyle w:val="Normlnywebov"/>
        <w:jc w:val="center"/>
        <w:rPr>
          <w:color w:val="FF0000"/>
        </w:rPr>
      </w:pPr>
    </w:p>
    <w:p w14:paraId="5341A705" w14:textId="77777777" w:rsidR="00354C87" w:rsidRPr="00EC6D34" w:rsidRDefault="00211C2A" w:rsidP="00354C87">
      <w:pPr>
        <w:pStyle w:val="Normlnywebov"/>
        <w:jc w:val="center"/>
        <w:rPr>
          <w:color w:val="FF0000"/>
        </w:rPr>
      </w:pPr>
      <w:r w:rsidRPr="00EC6D34">
        <w:rPr>
          <w:noProof/>
          <w:color w:val="FF0000"/>
        </w:rPr>
        <w:drawing>
          <wp:inline distT="0" distB="0" distL="0" distR="0" wp14:anchorId="6837B1F8" wp14:editId="3BB36384">
            <wp:extent cx="1419225" cy="1695450"/>
            <wp:effectExtent l="0" t="0" r="0" b="0"/>
            <wp:docPr id="1" name="Obrázok 56" descr="Popis: štátny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6" descr="Popis: štátny 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225" cy="1695450"/>
                    </a:xfrm>
                    <a:prstGeom prst="rect">
                      <a:avLst/>
                    </a:prstGeom>
                    <a:noFill/>
                    <a:ln>
                      <a:noFill/>
                    </a:ln>
                  </pic:spPr>
                </pic:pic>
              </a:graphicData>
            </a:graphic>
          </wp:inline>
        </w:drawing>
      </w:r>
    </w:p>
    <w:p w14:paraId="18B1543E" w14:textId="77777777" w:rsidR="00354C87" w:rsidRPr="00EC6D34" w:rsidRDefault="00354C87" w:rsidP="00354C87">
      <w:pPr>
        <w:rPr>
          <w:color w:val="FF0000"/>
        </w:rPr>
      </w:pPr>
    </w:p>
    <w:p w14:paraId="65F997CD" w14:textId="77777777" w:rsidR="00354C87" w:rsidRPr="00EE151F" w:rsidRDefault="00354C87" w:rsidP="00354C87">
      <w:pPr>
        <w:rPr>
          <w:color w:val="FF0000"/>
          <w:highlight w:val="yellow"/>
        </w:rPr>
      </w:pPr>
    </w:p>
    <w:p w14:paraId="3341860A" w14:textId="77777777" w:rsidR="00354C87" w:rsidRPr="00EE151F" w:rsidRDefault="00354C87" w:rsidP="00354C87">
      <w:pPr>
        <w:rPr>
          <w:color w:val="FF0000"/>
          <w:highlight w:val="yellow"/>
        </w:rPr>
      </w:pPr>
    </w:p>
    <w:p w14:paraId="73BFFD0E" w14:textId="77777777" w:rsidR="00354C87" w:rsidRPr="00EE151F" w:rsidRDefault="00354C87" w:rsidP="00354C87">
      <w:pPr>
        <w:rPr>
          <w:color w:val="FF0000"/>
          <w:highlight w:val="yellow"/>
        </w:rPr>
      </w:pPr>
    </w:p>
    <w:p w14:paraId="275BF09B" w14:textId="77777777" w:rsidR="00354C87" w:rsidRPr="000231EB" w:rsidRDefault="00354C87" w:rsidP="00354C87">
      <w:pPr>
        <w:jc w:val="center"/>
        <w:rPr>
          <w:b/>
          <w:sz w:val="40"/>
          <w:szCs w:val="40"/>
        </w:rPr>
      </w:pPr>
      <w:r w:rsidRPr="000231EB">
        <w:rPr>
          <w:b/>
          <w:sz w:val="40"/>
          <w:szCs w:val="40"/>
        </w:rPr>
        <w:t>Súhrnná výročná správa</w:t>
      </w:r>
    </w:p>
    <w:p w14:paraId="0D2A4127" w14:textId="77777777" w:rsidR="00354C87" w:rsidRPr="000231EB" w:rsidRDefault="00354C87" w:rsidP="00354C87">
      <w:pPr>
        <w:jc w:val="center"/>
        <w:rPr>
          <w:b/>
          <w:sz w:val="40"/>
          <w:szCs w:val="40"/>
        </w:rPr>
      </w:pPr>
      <w:r w:rsidRPr="000231EB">
        <w:rPr>
          <w:b/>
          <w:sz w:val="40"/>
          <w:szCs w:val="40"/>
        </w:rPr>
        <w:t>Slovenskej republiky</w:t>
      </w:r>
    </w:p>
    <w:p w14:paraId="29123CA7" w14:textId="04AC97D1" w:rsidR="00354C87" w:rsidRPr="000231EB" w:rsidRDefault="00354C87" w:rsidP="00354C87">
      <w:pPr>
        <w:jc w:val="center"/>
        <w:rPr>
          <w:b/>
          <w:sz w:val="40"/>
          <w:szCs w:val="40"/>
        </w:rPr>
      </w:pPr>
      <w:r w:rsidRPr="000231EB">
        <w:rPr>
          <w:b/>
          <w:sz w:val="40"/>
          <w:szCs w:val="40"/>
        </w:rPr>
        <w:t>za rok 20</w:t>
      </w:r>
      <w:r w:rsidR="001D77FC" w:rsidRPr="000231EB">
        <w:rPr>
          <w:b/>
          <w:sz w:val="40"/>
          <w:szCs w:val="40"/>
        </w:rPr>
        <w:t>2</w:t>
      </w:r>
      <w:r w:rsidR="00C840B2">
        <w:rPr>
          <w:b/>
          <w:sz w:val="40"/>
          <w:szCs w:val="40"/>
        </w:rPr>
        <w:t>3</w:t>
      </w:r>
    </w:p>
    <w:p w14:paraId="3BAD9115" w14:textId="77777777" w:rsidR="00354C87" w:rsidRPr="00EE151F" w:rsidRDefault="00354C87" w:rsidP="00354C87">
      <w:pPr>
        <w:rPr>
          <w:sz w:val="40"/>
          <w:szCs w:val="40"/>
          <w:highlight w:val="yellow"/>
        </w:rPr>
      </w:pPr>
    </w:p>
    <w:p w14:paraId="0CA3B83C" w14:textId="77777777" w:rsidR="00354C87" w:rsidRPr="00EE151F" w:rsidRDefault="00354C87" w:rsidP="00354C87">
      <w:pPr>
        <w:rPr>
          <w:highlight w:val="yellow"/>
        </w:rPr>
      </w:pPr>
    </w:p>
    <w:p w14:paraId="7FDF94F5" w14:textId="77777777" w:rsidR="00354C87" w:rsidRPr="00EE151F" w:rsidRDefault="00354C87" w:rsidP="00354C87">
      <w:pPr>
        <w:rPr>
          <w:highlight w:val="yellow"/>
        </w:rPr>
      </w:pPr>
    </w:p>
    <w:p w14:paraId="3F627FED" w14:textId="77777777" w:rsidR="00354C87" w:rsidRPr="00EE151F" w:rsidRDefault="00354C87" w:rsidP="00354C87">
      <w:pPr>
        <w:rPr>
          <w:highlight w:val="yellow"/>
        </w:rPr>
      </w:pPr>
    </w:p>
    <w:p w14:paraId="40D289EE" w14:textId="77777777" w:rsidR="00354C87" w:rsidRPr="00EE151F" w:rsidRDefault="00354C87" w:rsidP="00354C87">
      <w:pPr>
        <w:rPr>
          <w:highlight w:val="yellow"/>
        </w:rPr>
      </w:pPr>
    </w:p>
    <w:p w14:paraId="68023957" w14:textId="77777777" w:rsidR="00354C87" w:rsidRPr="00EE151F" w:rsidRDefault="00354C87" w:rsidP="00354C87">
      <w:pPr>
        <w:rPr>
          <w:highlight w:val="yellow"/>
        </w:rPr>
      </w:pPr>
    </w:p>
    <w:p w14:paraId="385E9C31" w14:textId="77777777" w:rsidR="00354C87" w:rsidRPr="00EE151F" w:rsidRDefault="00354C87" w:rsidP="00354C87">
      <w:pPr>
        <w:rPr>
          <w:highlight w:val="yellow"/>
        </w:rPr>
      </w:pPr>
    </w:p>
    <w:p w14:paraId="209AD89F" w14:textId="77777777" w:rsidR="00354C87" w:rsidRPr="00EE151F" w:rsidRDefault="00354C87" w:rsidP="00354C87">
      <w:pPr>
        <w:rPr>
          <w:highlight w:val="yellow"/>
        </w:rPr>
      </w:pPr>
    </w:p>
    <w:p w14:paraId="6F7516EA" w14:textId="4DB93866" w:rsidR="00651A0E" w:rsidRPr="000231EB" w:rsidRDefault="00C32B83" w:rsidP="00651A0E">
      <w:pPr>
        <w:tabs>
          <w:tab w:val="left" w:pos="0"/>
          <w:tab w:val="left" w:pos="284"/>
        </w:tabs>
        <w:spacing w:before="120" w:after="120" w:line="360" w:lineRule="auto"/>
        <w:jc w:val="center"/>
        <w:rPr>
          <w:b/>
          <w:sz w:val="32"/>
          <w:szCs w:val="32"/>
        </w:rPr>
        <w:sectPr w:rsidR="00651A0E" w:rsidRPr="000231EB" w:rsidSect="00234A6C">
          <w:footerReference w:type="default" r:id="rId9"/>
          <w:pgSz w:w="11906" w:h="16838" w:code="9"/>
          <w:pgMar w:top="1418" w:right="1134" w:bottom="1418" w:left="1134" w:header="709" w:footer="709" w:gutter="567"/>
          <w:cols w:space="708"/>
          <w:docGrid w:linePitch="360"/>
        </w:sectPr>
      </w:pPr>
      <w:r w:rsidRPr="000231EB">
        <w:rPr>
          <w:b/>
          <w:sz w:val="32"/>
          <w:szCs w:val="32"/>
        </w:rPr>
        <w:t>O</w:t>
      </w:r>
      <w:r w:rsidR="00354C87" w:rsidRPr="000231EB">
        <w:rPr>
          <w:b/>
          <w:sz w:val="32"/>
          <w:szCs w:val="32"/>
        </w:rPr>
        <w:t>któber 20</w:t>
      </w:r>
      <w:r w:rsidR="0033338B" w:rsidRPr="000231EB">
        <w:rPr>
          <w:b/>
          <w:sz w:val="32"/>
          <w:szCs w:val="32"/>
        </w:rPr>
        <w:t>2</w:t>
      </w:r>
      <w:r w:rsidR="00C840B2">
        <w:rPr>
          <w:b/>
          <w:sz w:val="32"/>
          <w:szCs w:val="32"/>
        </w:rPr>
        <w:t>4</w:t>
      </w:r>
    </w:p>
    <w:p w14:paraId="79FCEFF6" w14:textId="77777777" w:rsidR="00B34B9C" w:rsidRPr="00EB029C" w:rsidRDefault="00B34B9C" w:rsidP="00894E53">
      <w:pPr>
        <w:spacing w:after="0" w:line="336" w:lineRule="auto"/>
        <w:rPr>
          <w:b/>
          <w:sz w:val="26"/>
          <w:szCs w:val="26"/>
        </w:rPr>
      </w:pPr>
      <w:bookmarkStart w:id="0" w:name="_Toc401920003"/>
      <w:bookmarkStart w:id="1" w:name="_Toc399324354"/>
      <w:r w:rsidRPr="00EB029C">
        <w:rPr>
          <w:b/>
          <w:sz w:val="26"/>
          <w:szCs w:val="26"/>
        </w:rPr>
        <w:lastRenderedPageBreak/>
        <w:t>Obsah</w:t>
      </w:r>
    </w:p>
    <w:p w14:paraId="3D00B014" w14:textId="06617711" w:rsidR="00C1557D" w:rsidRDefault="00F74AB3">
      <w:pPr>
        <w:pStyle w:val="Obsah1"/>
        <w:rPr>
          <w:rFonts w:asciiTheme="minorHAnsi" w:eastAsiaTheme="minorEastAsia" w:hAnsiTheme="minorHAnsi" w:cstheme="minorBidi"/>
          <w:lang w:eastAsia="sk-SK"/>
        </w:rPr>
      </w:pPr>
      <w:r w:rsidRPr="00EE151F">
        <w:rPr>
          <w:rFonts w:cs="Times New Roman"/>
          <w:highlight w:val="yellow"/>
        </w:rPr>
        <w:fldChar w:fldCharType="begin"/>
      </w:r>
      <w:r w:rsidRPr="00EE151F">
        <w:rPr>
          <w:rFonts w:cs="Times New Roman"/>
          <w:highlight w:val="yellow"/>
        </w:rPr>
        <w:instrText xml:space="preserve"> TOC \o "1-3" \u </w:instrText>
      </w:r>
      <w:r w:rsidRPr="00EE151F">
        <w:rPr>
          <w:rFonts w:cs="Times New Roman"/>
          <w:highlight w:val="yellow"/>
        </w:rPr>
        <w:fldChar w:fldCharType="separate"/>
      </w:r>
      <w:r w:rsidR="00C1557D">
        <w:t>Úvod</w:t>
      </w:r>
      <w:r w:rsidR="00C1557D">
        <w:tab/>
      </w:r>
      <w:r w:rsidR="00C1557D">
        <w:fldChar w:fldCharType="begin"/>
      </w:r>
      <w:r w:rsidR="00C1557D">
        <w:instrText xml:space="preserve"> PAGEREF _Toc181095956 \h </w:instrText>
      </w:r>
      <w:r w:rsidR="00C1557D">
        <w:fldChar w:fldCharType="separate"/>
      </w:r>
      <w:r w:rsidR="001F05DE">
        <w:t>2</w:t>
      </w:r>
      <w:r w:rsidR="00C1557D">
        <w:fldChar w:fldCharType="end"/>
      </w:r>
    </w:p>
    <w:p w14:paraId="5E6FB6AC" w14:textId="71FB3AE4" w:rsidR="00C1557D" w:rsidRDefault="00C1557D">
      <w:pPr>
        <w:pStyle w:val="Obsah1"/>
        <w:rPr>
          <w:rFonts w:asciiTheme="minorHAnsi" w:eastAsiaTheme="minorEastAsia" w:hAnsiTheme="minorHAnsi" w:cstheme="minorBidi"/>
          <w:lang w:eastAsia="sk-SK"/>
        </w:rPr>
      </w:pPr>
      <w:r>
        <w:t>Zhrnutie</w:t>
      </w:r>
      <w:r>
        <w:tab/>
      </w:r>
      <w:r>
        <w:fldChar w:fldCharType="begin"/>
      </w:r>
      <w:r>
        <w:instrText xml:space="preserve"> PAGEREF _Toc181095957 \h </w:instrText>
      </w:r>
      <w:r>
        <w:fldChar w:fldCharType="separate"/>
      </w:r>
      <w:r w:rsidR="001F05DE">
        <w:t>4</w:t>
      </w:r>
      <w:r>
        <w:fldChar w:fldCharType="end"/>
      </w:r>
    </w:p>
    <w:p w14:paraId="7EBFC24B" w14:textId="3823FEFC" w:rsidR="00C1557D" w:rsidRDefault="00C1557D">
      <w:pPr>
        <w:pStyle w:val="Obsah1"/>
        <w:rPr>
          <w:rFonts w:asciiTheme="minorHAnsi" w:eastAsiaTheme="minorEastAsia" w:hAnsiTheme="minorHAnsi" w:cstheme="minorBidi"/>
          <w:lang w:eastAsia="sk-SK"/>
        </w:rPr>
      </w:pPr>
      <w:r w:rsidRPr="00EF0063">
        <w:t>1.</w:t>
      </w:r>
      <w:r>
        <w:rPr>
          <w:rFonts w:asciiTheme="minorHAnsi" w:eastAsiaTheme="minorEastAsia" w:hAnsiTheme="minorHAnsi" w:cstheme="minorBidi"/>
          <w:lang w:eastAsia="sk-SK"/>
        </w:rPr>
        <w:tab/>
      </w:r>
      <w:r w:rsidRPr="00EF0063">
        <w:t>Hospodárenie verejnej správy v metodike ESA 2010</w:t>
      </w:r>
      <w:r>
        <w:tab/>
      </w:r>
      <w:r>
        <w:fldChar w:fldCharType="begin"/>
      </w:r>
      <w:r>
        <w:instrText xml:space="preserve"> PAGEREF _Toc181095958 \h </w:instrText>
      </w:r>
      <w:r>
        <w:fldChar w:fldCharType="separate"/>
      </w:r>
      <w:r w:rsidR="001F05DE">
        <w:t>5</w:t>
      </w:r>
      <w:r>
        <w:fldChar w:fldCharType="end"/>
      </w:r>
    </w:p>
    <w:p w14:paraId="1D8DA0F9" w14:textId="26141B7A" w:rsidR="00C1557D" w:rsidRDefault="00C1557D">
      <w:pPr>
        <w:pStyle w:val="Obsah2"/>
        <w:rPr>
          <w:rFonts w:asciiTheme="minorHAnsi" w:eastAsiaTheme="minorEastAsia" w:hAnsiTheme="minorHAnsi" w:cstheme="minorBidi"/>
          <w:noProof/>
          <w:szCs w:val="22"/>
          <w:lang w:eastAsia="sk-SK"/>
        </w:rPr>
      </w:pPr>
      <w:r>
        <w:rPr>
          <w:noProof/>
        </w:rPr>
        <w:t>1.1.</w:t>
      </w:r>
      <w:r>
        <w:rPr>
          <w:rFonts w:asciiTheme="minorHAnsi" w:eastAsiaTheme="minorEastAsia" w:hAnsiTheme="minorHAnsi" w:cstheme="minorBidi"/>
          <w:noProof/>
          <w:szCs w:val="22"/>
          <w:lang w:eastAsia="sk-SK"/>
        </w:rPr>
        <w:tab/>
      </w:r>
      <w:r>
        <w:rPr>
          <w:noProof/>
        </w:rPr>
        <w:t>Rozdiely medzi októbrovou a aprílovou notifikáciou údajov</w:t>
      </w:r>
      <w:r>
        <w:rPr>
          <w:noProof/>
        </w:rPr>
        <w:tab/>
      </w:r>
      <w:r>
        <w:rPr>
          <w:noProof/>
        </w:rPr>
        <w:fldChar w:fldCharType="begin"/>
      </w:r>
      <w:r>
        <w:rPr>
          <w:noProof/>
        </w:rPr>
        <w:instrText xml:space="preserve"> PAGEREF _Toc181095959 \h </w:instrText>
      </w:r>
      <w:r>
        <w:rPr>
          <w:noProof/>
        </w:rPr>
      </w:r>
      <w:r>
        <w:rPr>
          <w:noProof/>
        </w:rPr>
        <w:fldChar w:fldCharType="separate"/>
      </w:r>
      <w:r w:rsidR="001F05DE">
        <w:rPr>
          <w:noProof/>
        </w:rPr>
        <w:t>5</w:t>
      </w:r>
      <w:r>
        <w:rPr>
          <w:noProof/>
        </w:rPr>
        <w:fldChar w:fldCharType="end"/>
      </w:r>
    </w:p>
    <w:p w14:paraId="5D652F52" w14:textId="76D32750" w:rsidR="00C1557D" w:rsidRDefault="00C1557D">
      <w:pPr>
        <w:pStyle w:val="Obsah2"/>
        <w:rPr>
          <w:rFonts w:asciiTheme="minorHAnsi" w:eastAsiaTheme="minorEastAsia" w:hAnsiTheme="minorHAnsi" w:cstheme="minorBidi"/>
          <w:noProof/>
          <w:szCs w:val="22"/>
          <w:lang w:eastAsia="sk-SK"/>
        </w:rPr>
      </w:pPr>
      <w:r>
        <w:rPr>
          <w:noProof/>
        </w:rPr>
        <w:t xml:space="preserve">1.2. </w:t>
      </w:r>
      <w:r>
        <w:rPr>
          <w:rFonts w:asciiTheme="minorHAnsi" w:eastAsiaTheme="minorEastAsia" w:hAnsiTheme="minorHAnsi" w:cstheme="minorBidi"/>
          <w:noProof/>
          <w:szCs w:val="22"/>
          <w:lang w:eastAsia="sk-SK"/>
        </w:rPr>
        <w:tab/>
      </w:r>
      <w:r>
        <w:rPr>
          <w:noProof/>
        </w:rPr>
        <w:t>Saldo verejnej správy</w:t>
      </w:r>
      <w:r>
        <w:rPr>
          <w:noProof/>
        </w:rPr>
        <w:tab/>
      </w:r>
      <w:r>
        <w:rPr>
          <w:noProof/>
        </w:rPr>
        <w:fldChar w:fldCharType="begin"/>
      </w:r>
      <w:r>
        <w:rPr>
          <w:noProof/>
        </w:rPr>
        <w:instrText xml:space="preserve"> PAGEREF _Toc181095960 \h </w:instrText>
      </w:r>
      <w:r>
        <w:rPr>
          <w:noProof/>
        </w:rPr>
      </w:r>
      <w:r>
        <w:rPr>
          <w:noProof/>
        </w:rPr>
        <w:fldChar w:fldCharType="separate"/>
      </w:r>
      <w:r w:rsidR="001F05DE">
        <w:rPr>
          <w:noProof/>
        </w:rPr>
        <w:t>8</w:t>
      </w:r>
      <w:r>
        <w:rPr>
          <w:noProof/>
        </w:rPr>
        <w:fldChar w:fldCharType="end"/>
      </w:r>
    </w:p>
    <w:p w14:paraId="0DD545D8" w14:textId="71E8C377" w:rsidR="00C1557D" w:rsidRDefault="00C1557D">
      <w:pPr>
        <w:pStyle w:val="Obsah2"/>
        <w:rPr>
          <w:rFonts w:asciiTheme="minorHAnsi" w:eastAsiaTheme="minorEastAsia" w:hAnsiTheme="minorHAnsi" w:cstheme="minorBidi"/>
          <w:noProof/>
          <w:szCs w:val="22"/>
          <w:lang w:eastAsia="sk-SK"/>
        </w:rPr>
      </w:pPr>
      <w:r>
        <w:rPr>
          <w:noProof/>
        </w:rPr>
        <w:t>1.3.</w:t>
      </w:r>
      <w:r>
        <w:rPr>
          <w:rFonts w:asciiTheme="minorHAnsi" w:eastAsiaTheme="minorEastAsia" w:hAnsiTheme="minorHAnsi" w:cstheme="minorBidi"/>
          <w:noProof/>
          <w:szCs w:val="22"/>
          <w:lang w:eastAsia="sk-SK"/>
        </w:rPr>
        <w:tab/>
      </w:r>
      <w:r>
        <w:rPr>
          <w:noProof/>
        </w:rPr>
        <w:t>Dlh verejnej správy</w:t>
      </w:r>
      <w:r>
        <w:rPr>
          <w:noProof/>
        </w:rPr>
        <w:tab/>
      </w:r>
      <w:r>
        <w:rPr>
          <w:noProof/>
        </w:rPr>
        <w:fldChar w:fldCharType="begin"/>
      </w:r>
      <w:r>
        <w:rPr>
          <w:noProof/>
        </w:rPr>
        <w:instrText xml:space="preserve"> PAGEREF _Toc181095961 \h </w:instrText>
      </w:r>
      <w:r>
        <w:rPr>
          <w:noProof/>
        </w:rPr>
      </w:r>
      <w:r>
        <w:rPr>
          <w:noProof/>
        </w:rPr>
        <w:fldChar w:fldCharType="separate"/>
      </w:r>
      <w:r w:rsidR="001F05DE">
        <w:rPr>
          <w:noProof/>
        </w:rPr>
        <w:t>10</w:t>
      </w:r>
      <w:r>
        <w:rPr>
          <w:noProof/>
        </w:rPr>
        <w:fldChar w:fldCharType="end"/>
      </w:r>
    </w:p>
    <w:p w14:paraId="49E515E8" w14:textId="4A0679C5" w:rsidR="00C1557D" w:rsidRDefault="00C1557D">
      <w:pPr>
        <w:pStyle w:val="Obsah2"/>
        <w:rPr>
          <w:rFonts w:asciiTheme="minorHAnsi" w:eastAsiaTheme="minorEastAsia" w:hAnsiTheme="minorHAnsi" w:cstheme="minorBidi"/>
          <w:noProof/>
          <w:szCs w:val="22"/>
          <w:lang w:eastAsia="sk-SK"/>
        </w:rPr>
      </w:pPr>
      <w:r>
        <w:rPr>
          <w:noProof/>
        </w:rPr>
        <w:t>1.4.</w:t>
      </w:r>
      <w:r>
        <w:rPr>
          <w:rFonts w:asciiTheme="minorHAnsi" w:eastAsiaTheme="minorEastAsia" w:hAnsiTheme="minorHAnsi" w:cstheme="minorBidi"/>
          <w:noProof/>
          <w:szCs w:val="22"/>
          <w:lang w:eastAsia="sk-SK"/>
        </w:rPr>
        <w:tab/>
      </w:r>
      <w:r>
        <w:rPr>
          <w:noProof/>
        </w:rPr>
        <w:t>Čistý dlh verejnej správy</w:t>
      </w:r>
      <w:r>
        <w:rPr>
          <w:noProof/>
        </w:rPr>
        <w:tab/>
      </w:r>
      <w:r>
        <w:rPr>
          <w:noProof/>
        </w:rPr>
        <w:fldChar w:fldCharType="begin"/>
      </w:r>
      <w:r>
        <w:rPr>
          <w:noProof/>
        </w:rPr>
        <w:instrText xml:space="preserve"> PAGEREF _Toc181095962 \h </w:instrText>
      </w:r>
      <w:r>
        <w:rPr>
          <w:noProof/>
        </w:rPr>
      </w:r>
      <w:r>
        <w:rPr>
          <w:noProof/>
        </w:rPr>
        <w:fldChar w:fldCharType="separate"/>
      </w:r>
      <w:r w:rsidR="001F05DE">
        <w:rPr>
          <w:noProof/>
        </w:rPr>
        <w:t>12</w:t>
      </w:r>
      <w:r>
        <w:rPr>
          <w:noProof/>
        </w:rPr>
        <w:fldChar w:fldCharType="end"/>
      </w:r>
    </w:p>
    <w:p w14:paraId="74864616" w14:textId="6F362046" w:rsidR="00C1557D" w:rsidRDefault="00C1557D">
      <w:pPr>
        <w:pStyle w:val="Obsah2"/>
        <w:rPr>
          <w:rFonts w:asciiTheme="minorHAnsi" w:eastAsiaTheme="minorEastAsia" w:hAnsiTheme="minorHAnsi" w:cstheme="minorBidi"/>
          <w:noProof/>
          <w:szCs w:val="22"/>
          <w:lang w:eastAsia="sk-SK"/>
        </w:rPr>
      </w:pPr>
      <w:r>
        <w:rPr>
          <w:noProof/>
        </w:rPr>
        <w:t>1.5.</w:t>
      </w:r>
      <w:r>
        <w:rPr>
          <w:rFonts w:asciiTheme="minorHAnsi" w:eastAsiaTheme="minorEastAsia" w:hAnsiTheme="minorHAnsi" w:cstheme="minorBidi"/>
          <w:noProof/>
          <w:szCs w:val="22"/>
          <w:lang w:eastAsia="sk-SK"/>
        </w:rPr>
        <w:tab/>
      </w:r>
      <w:r>
        <w:rPr>
          <w:noProof/>
        </w:rPr>
        <w:t>Porovnanie salda a dlhu verejnej správy v rámci Európskej únie</w:t>
      </w:r>
      <w:r>
        <w:rPr>
          <w:noProof/>
        </w:rPr>
        <w:tab/>
      </w:r>
      <w:r>
        <w:rPr>
          <w:noProof/>
        </w:rPr>
        <w:fldChar w:fldCharType="begin"/>
      </w:r>
      <w:r>
        <w:rPr>
          <w:noProof/>
        </w:rPr>
        <w:instrText xml:space="preserve"> PAGEREF _Toc181095963 \h </w:instrText>
      </w:r>
      <w:r>
        <w:rPr>
          <w:noProof/>
        </w:rPr>
      </w:r>
      <w:r>
        <w:rPr>
          <w:noProof/>
        </w:rPr>
        <w:fldChar w:fldCharType="separate"/>
      </w:r>
      <w:r w:rsidR="001F05DE">
        <w:rPr>
          <w:noProof/>
        </w:rPr>
        <w:t>13</w:t>
      </w:r>
      <w:r>
        <w:rPr>
          <w:noProof/>
        </w:rPr>
        <w:fldChar w:fldCharType="end"/>
      </w:r>
    </w:p>
    <w:p w14:paraId="5E3BADE8" w14:textId="123E90EF" w:rsidR="00C1557D" w:rsidRDefault="00C1557D">
      <w:pPr>
        <w:pStyle w:val="Obsah2"/>
        <w:rPr>
          <w:rFonts w:asciiTheme="minorHAnsi" w:eastAsiaTheme="minorEastAsia" w:hAnsiTheme="minorHAnsi" w:cstheme="minorBidi"/>
          <w:noProof/>
          <w:szCs w:val="22"/>
          <w:lang w:eastAsia="sk-SK"/>
        </w:rPr>
      </w:pPr>
      <w:r>
        <w:rPr>
          <w:noProof/>
        </w:rPr>
        <w:t>1.6.</w:t>
      </w:r>
      <w:r>
        <w:rPr>
          <w:rFonts w:asciiTheme="minorHAnsi" w:eastAsiaTheme="minorEastAsia" w:hAnsiTheme="minorHAnsi" w:cstheme="minorBidi"/>
          <w:noProof/>
          <w:szCs w:val="22"/>
          <w:lang w:eastAsia="sk-SK"/>
        </w:rPr>
        <w:tab/>
      </w:r>
      <w:r>
        <w:rPr>
          <w:noProof/>
        </w:rPr>
        <w:t>Benchmarková revízia národných účtov v roku 2024</w:t>
      </w:r>
      <w:r>
        <w:rPr>
          <w:noProof/>
        </w:rPr>
        <w:tab/>
      </w:r>
      <w:r>
        <w:rPr>
          <w:noProof/>
        </w:rPr>
        <w:fldChar w:fldCharType="begin"/>
      </w:r>
      <w:r>
        <w:rPr>
          <w:noProof/>
        </w:rPr>
        <w:instrText xml:space="preserve"> PAGEREF _Toc181095964 \h </w:instrText>
      </w:r>
      <w:r>
        <w:rPr>
          <w:noProof/>
        </w:rPr>
      </w:r>
      <w:r>
        <w:rPr>
          <w:noProof/>
        </w:rPr>
        <w:fldChar w:fldCharType="separate"/>
      </w:r>
      <w:r w:rsidR="001F05DE">
        <w:rPr>
          <w:noProof/>
        </w:rPr>
        <w:t>14</w:t>
      </w:r>
      <w:r>
        <w:rPr>
          <w:noProof/>
        </w:rPr>
        <w:fldChar w:fldCharType="end"/>
      </w:r>
    </w:p>
    <w:p w14:paraId="328B771F" w14:textId="258B1F72" w:rsidR="00C1557D" w:rsidRDefault="00C1557D">
      <w:pPr>
        <w:pStyle w:val="Obsah1"/>
        <w:rPr>
          <w:rFonts w:asciiTheme="minorHAnsi" w:eastAsiaTheme="minorEastAsia" w:hAnsiTheme="minorHAnsi" w:cstheme="minorBidi"/>
          <w:lang w:eastAsia="sk-SK"/>
        </w:rPr>
      </w:pPr>
      <w:r>
        <w:t>2.</w:t>
      </w:r>
      <w:r>
        <w:rPr>
          <w:rFonts w:asciiTheme="minorHAnsi" w:eastAsiaTheme="minorEastAsia" w:hAnsiTheme="minorHAnsi" w:cstheme="minorBidi"/>
          <w:lang w:eastAsia="sk-SK"/>
        </w:rPr>
        <w:tab/>
      </w:r>
      <w:r>
        <w:t>Hospodárenie verejnej správy – požiadavky ústavného zákona o rozpočtovej zodpovednosti</w:t>
      </w:r>
      <w:r>
        <w:tab/>
      </w:r>
      <w:r>
        <w:fldChar w:fldCharType="begin"/>
      </w:r>
      <w:r>
        <w:instrText xml:space="preserve"> PAGEREF _Toc181095965 \h </w:instrText>
      </w:r>
      <w:r>
        <w:fldChar w:fldCharType="separate"/>
      </w:r>
      <w:r w:rsidR="001F05DE">
        <w:t>16</w:t>
      </w:r>
      <w:r>
        <w:fldChar w:fldCharType="end"/>
      </w:r>
    </w:p>
    <w:p w14:paraId="2B65B1EF" w14:textId="33308B98" w:rsidR="00C1557D" w:rsidRDefault="00C1557D">
      <w:pPr>
        <w:pStyle w:val="Obsah2"/>
        <w:rPr>
          <w:rFonts w:asciiTheme="minorHAnsi" w:eastAsiaTheme="minorEastAsia" w:hAnsiTheme="minorHAnsi" w:cstheme="minorBidi"/>
          <w:noProof/>
          <w:szCs w:val="22"/>
          <w:lang w:eastAsia="sk-SK"/>
        </w:rPr>
      </w:pPr>
      <w:r>
        <w:rPr>
          <w:noProof/>
        </w:rPr>
        <w:t>2.1.</w:t>
      </w:r>
      <w:r>
        <w:rPr>
          <w:rFonts w:asciiTheme="minorHAnsi" w:eastAsiaTheme="minorEastAsia" w:hAnsiTheme="minorHAnsi" w:cstheme="minorBidi"/>
          <w:noProof/>
          <w:szCs w:val="22"/>
          <w:lang w:eastAsia="sk-SK"/>
        </w:rPr>
        <w:tab/>
      </w:r>
      <w:r>
        <w:rPr>
          <w:noProof/>
        </w:rPr>
        <w:t>Bilancia rozpočtu verejnej správy</w:t>
      </w:r>
      <w:r>
        <w:rPr>
          <w:noProof/>
        </w:rPr>
        <w:tab/>
      </w:r>
      <w:r>
        <w:rPr>
          <w:noProof/>
        </w:rPr>
        <w:fldChar w:fldCharType="begin"/>
      </w:r>
      <w:r>
        <w:rPr>
          <w:noProof/>
        </w:rPr>
        <w:instrText xml:space="preserve"> PAGEREF _Toc181095966 \h </w:instrText>
      </w:r>
      <w:r>
        <w:rPr>
          <w:noProof/>
        </w:rPr>
      </w:r>
      <w:r>
        <w:rPr>
          <w:noProof/>
        </w:rPr>
        <w:fldChar w:fldCharType="separate"/>
      </w:r>
      <w:r w:rsidR="001F05DE">
        <w:rPr>
          <w:noProof/>
        </w:rPr>
        <w:t>16</w:t>
      </w:r>
      <w:r>
        <w:rPr>
          <w:noProof/>
        </w:rPr>
        <w:fldChar w:fldCharType="end"/>
      </w:r>
    </w:p>
    <w:p w14:paraId="7767F736" w14:textId="7C581FFD" w:rsidR="00C1557D" w:rsidRDefault="00C1557D">
      <w:pPr>
        <w:pStyle w:val="Obsah3"/>
        <w:rPr>
          <w:rFonts w:asciiTheme="minorHAnsi" w:eastAsiaTheme="minorEastAsia" w:hAnsiTheme="minorHAnsi" w:cstheme="minorBidi"/>
          <w:noProof/>
          <w:szCs w:val="22"/>
          <w:lang w:eastAsia="sk-SK"/>
        </w:rPr>
      </w:pPr>
      <w:r>
        <w:rPr>
          <w:noProof/>
        </w:rPr>
        <w:t>2.1.1.</w:t>
      </w:r>
      <w:r>
        <w:rPr>
          <w:rFonts w:asciiTheme="minorHAnsi" w:eastAsiaTheme="minorEastAsia" w:hAnsiTheme="minorHAnsi" w:cstheme="minorBidi"/>
          <w:noProof/>
          <w:szCs w:val="22"/>
          <w:lang w:eastAsia="sk-SK"/>
        </w:rPr>
        <w:tab/>
      </w:r>
      <w:r>
        <w:rPr>
          <w:noProof/>
        </w:rPr>
        <w:t>Príjmy verejnej správy</w:t>
      </w:r>
      <w:r>
        <w:rPr>
          <w:noProof/>
        </w:rPr>
        <w:tab/>
      </w:r>
      <w:r>
        <w:rPr>
          <w:noProof/>
        </w:rPr>
        <w:fldChar w:fldCharType="begin"/>
      </w:r>
      <w:r>
        <w:rPr>
          <w:noProof/>
        </w:rPr>
        <w:instrText xml:space="preserve"> PAGEREF _Toc181095967 \h </w:instrText>
      </w:r>
      <w:r>
        <w:rPr>
          <w:noProof/>
        </w:rPr>
      </w:r>
      <w:r>
        <w:rPr>
          <w:noProof/>
        </w:rPr>
        <w:fldChar w:fldCharType="separate"/>
      </w:r>
      <w:r w:rsidR="001F05DE">
        <w:rPr>
          <w:noProof/>
        </w:rPr>
        <w:t>16</w:t>
      </w:r>
      <w:r>
        <w:rPr>
          <w:noProof/>
        </w:rPr>
        <w:fldChar w:fldCharType="end"/>
      </w:r>
    </w:p>
    <w:p w14:paraId="6A83C734" w14:textId="5E568CB9" w:rsidR="00C1557D" w:rsidRDefault="00C1557D">
      <w:pPr>
        <w:pStyle w:val="Obsah3"/>
        <w:rPr>
          <w:rFonts w:asciiTheme="minorHAnsi" w:eastAsiaTheme="minorEastAsia" w:hAnsiTheme="minorHAnsi" w:cstheme="minorBidi"/>
          <w:noProof/>
          <w:szCs w:val="22"/>
          <w:lang w:eastAsia="sk-SK"/>
        </w:rPr>
      </w:pPr>
      <w:r>
        <w:rPr>
          <w:noProof/>
        </w:rPr>
        <w:t xml:space="preserve">2.1.2. </w:t>
      </w:r>
      <w:r>
        <w:rPr>
          <w:rFonts w:asciiTheme="minorHAnsi" w:eastAsiaTheme="minorEastAsia" w:hAnsiTheme="minorHAnsi" w:cstheme="minorBidi"/>
          <w:noProof/>
          <w:szCs w:val="22"/>
          <w:lang w:eastAsia="sk-SK"/>
        </w:rPr>
        <w:tab/>
      </w:r>
      <w:r>
        <w:rPr>
          <w:noProof/>
        </w:rPr>
        <w:t>Výdavky verejnej správy</w:t>
      </w:r>
      <w:r>
        <w:rPr>
          <w:noProof/>
        </w:rPr>
        <w:tab/>
      </w:r>
      <w:r>
        <w:rPr>
          <w:noProof/>
        </w:rPr>
        <w:fldChar w:fldCharType="begin"/>
      </w:r>
      <w:r>
        <w:rPr>
          <w:noProof/>
        </w:rPr>
        <w:instrText xml:space="preserve"> PAGEREF _Toc181095968 \h </w:instrText>
      </w:r>
      <w:r>
        <w:rPr>
          <w:noProof/>
        </w:rPr>
      </w:r>
      <w:r>
        <w:rPr>
          <w:noProof/>
        </w:rPr>
        <w:fldChar w:fldCharType="separate"/>
      </w:r>
      <w:r w:rsidR="001F05DE">
        <w:rPr>
          <w:noProof/>
        </w:rPr>
        <w:t>25</w:t>
      </w:r>
      <w:r>
        <w:rPr>
          <w:noProof/>
        </w:rPr>
        <w:fldChar w:fldCharType="end"/>
      </w:r>
    </w:p>
    <w:p w14:paraId="5C7E0801" w14:textId="6D1B6C6E" w:rsidR="00C1557D" w:rsidRDefault="00C1557D">
      <w:pPr>
        <w:pStyle w:val="Obsah2"/>
        <w:rPr>
          <w:rFonts w:asciiTheme="minorHAnsi" w:eastAsiaTheme="minorEastAsia" w:hAnsiTheme="minorHAnsi" w:cstheme="minorBidi"/>
          <w:noProof/>
          <w:szCs w:val="22"/>
          <w:lang w:eastAsia="sk-SK"/>
        </w:rPr>
      </w:pPr>
      <w:r>
        <w:rPr>
          <w:noProof/>
        </w:rPr>
        <w:t>2.2.</w:t>
      </w:r>
      <w:r>
        <w:rPr>
          <w:rFonts w:asciiTheme="minorHAnsi" w:eastAsiaTheme="minorEastAsia" w:hAnsiTheme="minorHAnsi" w:cstheme="minorBidi"/>
          <w:noProof/>
          <w:szCs w:val="22"/>
          <w:lang w:eastAsia="sk-SK"/>
        </w:rPr>
        <w:tab/>
      </w:r>
      <w:r>
        <w:rPr>
          <w:noProof/>
        </w:rPr>
        <w:t>Štrukturálne saldo, cyklická zložka a jednorazové vplyvy</w:t>
      </w:r>
      <w:r>
        <w:rPr>
          <w:noProof/>
        </w:rPr>
        <w:tab/>
      </w:r>
      <w:r>
        <w:rPr>
          <w:noProof/>
        </w:rPr>
        <w:fldChar w:fldCharType="begin"/>
      </w:r>
      <w:r>
        <w:rPr>
          <w:noProof/>
        </w:rPr>
        <w:instrText xml:space="preserve"> PAGEREF _Toc181095969 \h </w:instrText>
      </w:r>
      <w:r>
        <w:rPr>
          <w:noProof/>
        </w:rPr>
      </w:r>
      <w:r>
        <w:rPr>
          <w:noProof/>
        </w:rPr>
        <w:fldChar w:fldCharType="separate"/>
      </w:r>
      <w:r w:rsidR="001F05DE">
        <w:rPr>
          <w:noProof/>
        </w:rPr>
        <w:t>33</w:t>
      </w:r>
      <w:r>
        <w:rPr>
          <w:noProof/>
        </w:rPr>
        <w:fldChar w:fldCharType="end"/>
      </w:r>
    </w:p>
    <w:p w14:paraId="6A0600B4" w14:textId="50167037" w:rsidR="00C1557D" w:rsidRDefault="00C1557D">
      <w:pPr>
        <w:pStyle w:val="Obsah2"/>
        <w:rPr>
          <w:rFonts w:asciiTheme="minorHAnsi" w:eastAsiaTheme="minorEastAsia" w:hAnsiTheme="minorHAnsi" w:cstheme="minorBidi"/>
          <w:noProof/>
          <w:szCs w:val="22"/>
          <w:lang w:eastAsia="sk-SK"/>
        </w:rPr>
      </w:pPr>
      <w:r>
        <w:rPr>
          <w:noProof/>
        </w:rPr>
        <w:t>2.3.</w:t>
      </w:r>
      <w:r>
        <w:rPr>
          <w:rFonts w:asciiTheme="minorHAnsi" w:eastAsiaTheme="minorEastAsia" w:hAnsiTheme="minorHAnsi" w:cstheme="minorBidi"/>
          <w:noProof/>
          <w:szCs w:val="22"/>
          <w:lang w:eastAsia="sk-SK"/>
        </w:rPr>
        <w:tab/>
      </w:r>
      <w:r>
        <w:rPr>
          <w:noProof/>
        </w:rPr>
        <w:t>Vyhodnotenie plnenia cieľov stratégie riadenia štátneho dlhu</w:t>
      </w:r>
      <w:r>
        <w:rPr>
          <w:noProof/>
        </w:rPr>
        <w:tab/>
      </w:r>
      <w:r>
        <w:rPr>
          <w:noProof/>
        </w:rPr>
        <w:fldChar w:fldCharType="begin"/>
      </w:r>
      <w:r>
        <w:rPr>
          <w:noProof/>
        </w:rPr>
        <w:instrText xml:space="preserve"> PAGEREF _Toc181095970 \h </w:instrText>
      </w:r>
      <w:r>
        <w:rPr>
          <w:noProof/>
        </w:rPr>
      </w:r>
      <w:r>
        <w:rPr>
          <w:noProof/>
        </w:rPr>
        <w:fldChar w:fldCharType="separate"/>
      </w:r>
      <w:r w:rsidR="001F05DE">
        <w:rPr>
          <w:noProof/>
        </w:rPr>
        <w:t>34</w:t>
      </w:r>
      <w:r>
        <w:rPr>
          <w:noProof/>
        </w:rPr>
        <w:fldChar w:fldCharType="end"/>
      </w:r>
    </w:p>
    <w:p w14:paraId="0355DA47" w14:textId="195089A4" w:rsidR="00C1557D" w:rsidRDefault="00C1557D">
      <w:pPr>
        <w:pStyle w:val="Obsah3"/>
        <w:rPr>
          <w:rFonts w:asciiTheme="minorHAnsi" w:eastAsiaTheme="minorEastAsia" w:hAnsiTheme="minorHAnsi" w:cstheme="minorBidi"/>
          <w:noProof/>
          <w:szCs w:val="22"/>
          <w:lang w:eastAsia="sk-SK"/>
        </w:rPr>
      </w:pPr>
      <w:r>
        <w:rPr>
          <w:noProof/>
        </w:rPr>
        <w:t>2.3.1.</w:t>
      </w:r>
      <w:r>
        <w:rPr>
          <w:rFonts w:asciiTheme="minorHAnsi" w:eastAsiaTheme="minorEastAsia" w:hAnsiTheme="minorHAnsi" w:cstheme="minorBidi"/>
          <w:noProof/>
          <w:szCs w:val="22"/>
          <w:lang w:eastAsia="sk-SK"/>
        </w:rPr>
        <w:tab/>
      </w:r>
      <w:r>
        <w:rPr>
          <w:noProof/>
        </w:rPr>
        <w:t>Vyhodnotenie plnenia cieľov stratégie riadenia štátneho dlhu</w:t>
      </w:r>
      <w:r>
        <w:rPr>
          <w:noProof/>
        </w:rPr>
        <w:tab/>
      </w:r>
      <w:r>
        <w:rPr>
          <w:noProof/>
        </w:rPr>
        <w:fldChar w:fldCharType="begin"/>
      </w:r>
      <w:r>
        <w:rPr>
          <w:noProof/>
        </w:rPr>
        <w:instrText xml:space="preserve"> PAGEREF _Toc181095971 \h </w:instrText>
      </w:r>
      <w:r>
        <w:rPr>
          <w:noProof/>
        </w:rPr>
      </w:r>
      <w:r>
        <w:rPr>
          <w:noProof/>
        </w:rPr>
        <w:fldChar w:fldCharType="separate"/>
      </w:r>
      <w:r w:rsidR="001F05DE">
        <w:rPr>
          <w:noProof/>
        </w:rPr>
        <w:t>35</w:t>
      </w:r>
      <w:r>
        <w:rPr>
          <w:noProof/>
        </w:rPr>
        <w:fldChar w:fldCharType="end"/>
      </w:r>
    </w:p>
    <w:p w14:paraId="0FA383F4" w14:textId="0C8726A2" w:rsidR="00C1557D" w:rsidRDefault="00C1557D">
      <w:pPr>
        <w:pStyle w:val="Obsah3"/>
        <w:rPr>
          <w:rFonts w:asciiTheme="minorHAnsi" w:eastAsiaTheme="minorEastAsia" w:hAnsiTheme="minorHAnsi" w:cstheme="minorBidi"/>
          <w:noProof/>
          <w:szCs w:val="22"/>
          <w:lang w:eastAsia="sk-SK"/>
        </w:rPr>
      </w:pPr>
      <w:r>
        <w:rPr>
          <w:noProof/>
        </w:rPr>
        <w:t>2.3.2.</w:t>
      </w:r>
      <w:r>
        <w:rPr>
          <w:rFonts w:asciiTheme="minorHAnsi" w:eastAsiaTheme="minorEastAsia" w:hAnsiTheme="minorHAnsi" w:cstheme="minorBidi"/>
          <w:noProof/>
          <w:szCs w:val="22"/>
          <w:lang w:eastAsia="sk-SK"/>
        </w:rPr>
        <w:tab/>
      </w:r>
      <w:r>
        <w:rPr>
          <w:noProof/>
        </w:rPr>
        <w:t>Riadenie štátneho dlhu v roku 2023</w:t>
      </w:r>
      <w:r>
        <w:rPr>
          <w:noProof/>
        </w:rPr>
        <w:tab/>
      </w:r>
      <w:r>
        <w:rPr>
          <w:noProof/>
        </w:rPr>
        <w:fldChar w:fldCharType="begin"/>
      </w:r>
      <w:r>
        <w:rPr>
          <w:noProof/>
        </w:rPr>
        <w:instrText xml:space="preserve"> PAGEREF _Toc181095972 \h </w:instrText>
      </w:r>
      <w:r>
        <w:rPr>
          <w:noProof/>
        </w:rPr>
      </w:r>
      <w:r>
        <w:rPr>
          <w:noProof/>
        </w:rPr>
        <w:fldChar w:fldCharType="separate"/>
      </w:r>
      <w:r w:rsidR="001F05DE">
        <w:rPr>
          <w:noProof/>
        </w:rPr>
        <w:t>35</w:t>
      </w:r>
      <w:r>
        <w:rPr>
          <w:noProof/>
        </w:rPr>
        <w:fldChar w:fldCharType="end"/>
      </w:r>
    </w:p>
    <w:p w14:paraId="0F09D6EC" w14:textId="6B1FB813" w:rsidR="00C1557D" w:rsidRDefault="00C1557D">
      <w:pPr>
        <w:pStyle w:val="Obsah2"/>
        <w:rPr>
          <w:rFonts w:asciiTheme="minorHAnsi" w:eastAsiaTheme="minorEastAsia" w:hAnsiTheme="minorHAnsi" w:cstheme="minorBidi"/>
          <w:noProof/>
          <w:szCs w:val="22"/>
          <w:lang w:eastAsia="sk-SK"/>
        </w:rPr>
      </w:pPr>
      <w:r>
        <w:rPr>
          <w:noProof/>
        </w:rPr>
        <w:t>2.4.</w:t>
      </w:r>
      <w:r>
        <w:rPr>
          <w:rFonts w:asciiTheme="minorHAnsi" w:eastAsiaTheme="minorEastAsia" w:hAnsiTheme="minorHAnsi" w:cstheme="minorBidi"/>
          <w:noProof/>
          <w:szCs w:val="22"/>
          <w:lang w:eastAsia="sk-SK"/>
        </w:rPr>
        <w:tab/>
      </w:r>
      <w:r>
        <w:rPr>
          <w:noProof/>
        </w:rPr>
        <w:t>Limit verejných výdavkov v roku 2023</w:t>
      </w:r>
      <w:r>
        <w:rPr>
          <w:noProof/>
        </w:rPr>
        <w:tab/>
      </w:r>
      <w:r>
        <w:rPr>
          <w:noProof/>
        </w:rPr>
        <w:fldChar w:fldCharType="begin"/>
      </w:r>
      <w:r>
        <w:rPr>
          <w:noProof/>
        </w:rPr>
        <w:instrText xml:space="preserve"> PAGEREF _Toc181095973 \h </w:instrText>
      </w:r>
      <w:r>
        <w:rPr>
          <w:noProof/>
        </w:rPr>
      </w:r>
      <w:r>
        <w:rPr>
          <w:noProof/>
        </w:rPr>
        <w:fldChar w:fldCharType="separate"/>
      </w:r>
      <w:r w:rsidR="001F05DE">
        <w:rPr>
          <w:noProof/>
        </w:rPr>
        <w:t>36</w:t>
      </w:r>
      <w:r>
        <w:rPr>
          <w:noProof/>
        </w:rPr>
        <w:fldChar w:fldCharType="end"/>
      </w:r>
    </w:p>
    <w:p w14:paraId="0786E6D1" w14:textId="1624A8E0" w:rsidR="00C1557D" w:rsidRDefault="00C1557D">
      <w:pPr>
        <w:pStyle w:val="Obsah1"/>
        <w:rPr>
          <w:rFonts w:asciiTheme="minorHAnsi" w:eastAsiaTheme="minorEastAsia" w:hAnsiTheme="minorHAnsi" w:cstheme="minorBidi"/>
          <w:lang w:eastAsia="sk-SK"/>
        </w:rPr>
      </w:pPr>
      <w:r w:rsidRPr="00EF0063">
        <w:t>3. Čisté bohatstvo</w:t>
      </w:r>
      <w:r>
        <w:tab/>
      </w:r>
      <w:r>
        <w:fldChar w:fldCharType="begin"/>
      </w:r>
      <w:r>
        <w:instrText xml:space="preserve"> PAGEREF _Toc181095974 \h </w:instrText>
      </w:r>
      <w:r>
        <w:fldChar w:fldCharType="separate"/>
      </w:r>
      <w:r w:rsidR="001F05DE">
        <w:t>37</w:t>
      </w:r>
      <w:r>
        <w:fldChar w:fldCharType="end"/>
      </w:r>
    </w:p>
    <w:p w14:paraId="5D51938D" w14:textId="253A297B" w:rsidR="00C1557D" w:rsidRDefault="00C1557D">
      <w:pPr>
        <w:pStyle w:val="Obsah2"/>
        <w:rPr>
          <w:rFonts w:asciiTheme="minorHAnsi" w:eastAsiaTheme="minorEastAsia" w:hAnsiTheme="minorHAnsi" w:cstheme="minorBidi"/>
          <w:noProof/>
          <w:szCs w:val="22"/>
          <w:lang w:eastAsia="sk-SK"/>
        </w:rPr>
      </w:pPr>
      <w:r>
        <w:rPr>
          <w:noProof/>
        </w:rPr>
        <w:t>3.1.</w:t>
      </w:r>
      <w:r>
        <w:rPr>
          <w:rFonts w:asciiTheme="minorHAnsi" w:eastAsiaTheme="minorEastAsia" w:hAnsiTheme="minorHAnsi" w:cstheme="minorBidi"/>
          <w:noProof/>
          <w:szCs w:val="22"/>
          <w:lang w:eastAsia="sk-SK"/>
        </w:rPr>
        <w:tab/>
      </w:r>
      <w:r>
        <w:rPr>
          <w:noProof/>
        </w:rPr>
        <w:t>Odhad čistého bohatstva za rok 2023</w:t>
      </w:r>
      <w:r>
        <w:rPr>
          <w:noProof/>
        </w:rPr>
        <w:tab/>
      </w:r>
      <w:r>
        <w:rPr>
          <w:noProof/>
        </w:rPr>
        <w:fldChar w:fldCharType="begin"/>
      </w:r>
      <w:r>
        <w:rPr>
          <w:noProof/>
        </w:rPr>
        <w:instrText xml:space="preserve"> PAGEREF _Toc181095975 \h </w:instrText>
      </w:r>
      <w:r>
        <w:rPr>
          <w:noProof/>
        </w:rPr>
      </w:r>
      <w:r>
        <w:rPr>
          <w:noProof/>
        </w:rPr>
        <w:fldChar w:fldCharType="separate"/>
      </w:r>
      <w:r w:rsidR="001F05DE">
        <w:rPr>
          <w:noProof/>
        </w:rPr>
        <w:t>37</w:t>
      </w:r>
      <w:r>
        <w:rPr>
          <w:noProof/>
        </w:rPr>
        <w:fldChar w:fldCharType="end"/>
      </w:r>
    </w:p>
    <w:p w14:paraId="1D9667D5" w14:textId="578B53FC" w:rsidR="00C1557D" w:rsidRDefault="00C1557D">
      <w:pPr>
        <w:pStyle w:val="Obsah3"/>
        <w:rPr>
          <w:rFonts w:asciiTheme="minorHAnsi" w:eastAsiaTheme="minorEastAsia" w:hAnsiTheme="minorHAnsi" w:cstheme="minorBidi"/>
          <w:noProof/>
          <w:szCs w:val="22"/>
          <w:lang w:eastAsia="sk-SK"/>
        </w:rPr>
      </w:pPr>
      <w:r>
        <w:rPr>
          <w:noProof/>
        </w:rPr>
        <w:t>3.1.1</w:t>
      </w:r>
      <w:r>
        <w:rPr>
          <w:rFonts w:asciiTheme="minorHAnsi" w:eastAsiaTheme="minorEastAsia" w:hAnsiTheme="minorHAnsi" w:cstheme="minorBidi"/>
          <w:noProof/>
          <w:szCs w:val="22"/>
          <w:lang w:eastAsia="sk-SK"/>
        </w:rPr>
        <w:tab/>
      </w:r>
      <w:r>
        <w:rPr>
          <w:noProof/>
        </w:rPr>
        <w:t>Vlastné imanie súhrnného celku verejnej správy</w:t>
      </w:r>
      <w:r>
        <w:rPr>
          <w:noProof/>
        </w:rPr>
        <w:tab/>
      </w:r>
      <w:r>
        <w:rPr>
          <w:noProof/>
        </w:rPr>
        <w:fldChar w:fldCharType="begin"/>
      </w:r>
      <w:r>
        <w:rPr>
          <w:noProof/>
        </w:rPr>
        <w:instrText xml:space="preserve"> PAGEREF _Toc181095976 \h </w:instrText>
      </w:r>
      <w:r>
        <w:rPr>
          <w:noProof/>
        </w:rPr>
      </w:r>
      <w:r>
        <w:rPr>
          <w:noProof/>
        </w:rPr>
        <w:fldChar w:fldCharType="separate"/>
      </w:r>
      <w:r w:rsidR="001F05DE">
        <w:rPr>
          <w:noProof/>
        </w:rPr>
        <w:t>38</w:t>
      </w:r>
      <w:r>
        <w:rPr>
          <w:noProof/>
        </w:rPr>
        <w:fldChar w:fldCharType="end"/>
      </w:r>
    </w:p>
    <w:p w14:paraId="2E1A2787" w14:textId="098B4CB2" w:rsidR="00C1557D" w:rsidRDefault="00C1557D">
      <w:pPr>
        <w:pStyle w:val="Obsah3"/>
        <w:rPr>
          <w:rFonts w:asciiTheme="minorHAnsi" w:eastAsiaTheme="minorEastAsia" w:hAnsiTheme="minorHAnsi" w:cstheme="minorBidi"/>
          <w:noProof/>
          <w:szCs w:val="22"/>
          <w:lang w:eastAsia="sk-SK"/>
        </w:rPr>
      </w:pPr>
      <w:r>
        <w:rPr>
          <w:noProof/>
        </w:rPr>
        <w:t>3.1.2</w:t>
      </w:r>
      <w:r>
        <w:rPr>
          <w:rFonts w:asciiTheme="minorHAnsi" w:eastAsiaTheme="minorEastAsia" w:hAnsiTheme="minorHAnsi" w:cstheme="minorBidi"/>
          <w:noProof/>
          <w:szCs w:val="22"/>
          <w:lang w:eastAsia="sk-SK"/>
        </w:rPr>
        <w:tab/>
      </w:r>
      <w:r>
        <w:rPr>
          <w:noProof/>
        </w:rPr>
        <w:t>Vlastné imanie podnikov štátnej správy</w:t>
      </w:r>
      <w:r>
        <w:rPr>
          <w:noProof/>
        </w:rPr>
        <w:tab/>
      </w:r>
      <w:r>
        <w:rPr>
          <w:noProof/>
        </w:rPr>
        <w:fldChar w:fldCharType="begin"/>
      </w:r>
      <w:r>
        <w:rPr>
          <w:noProof/>
        </w:rPr>
        <w:instrText xml:space="preserve"> PAGEREF _Toc181095977 \h </w:instrText>
      </w:r>
      <w:r>
        <w:rPr>
          <w:noProof/>
        </w:rPr>
      </w:r>
      <w:r>
        <w:rPr>
          <w:noProof/>
        </w:rPr>
        <w:fldChar w:fldCharType="separate"/>
      </w:r>
      <w:r w:rsidR="001F05DE">
        <w:rPr>
          <w:noProof/>
        </w:rPr>
        <w:t>39</w:t>
      </w:r>
      <w:r>
        <w:rPr>
          <w:noProof/>
        </w:rPr>
        <w:fldChar w:fldCharType="end"/>
      </w:r>
    </w:p>
    <w:p w14:paraId="3C6B3505" w14:textId="5A122323" w:rsidR="00C1557D" w:rsidRDefault="00C1557D">
      <w:pPr>
        <w:pStyle w:val="Obsah3"/>
        <w:rPr>
          <w:rFonts w:asciiTheme="minorHAnsi" w:eastAsiaTheme="minorEastAsia" w:hAnsiTheme="minorHAnsi" w:cstheme="minorBidi"/>
          <w:noProof/>
          <w:szCs w:val="22"/>
          <w:lang w:eastAsia="sk-SK"/>
        </w:rPr>
      </w:pPr>
      <w:r>
        <w:rPr>
          <w:noProof/>
        </w:rPr>
        <w:t>3.1.3</w:t>
      </w:r>
      <w:r>
        <w:rPr>
          <w:rFonts w:asciiTheme="minorHAnsi" w:eastAsiaTheme="minorEastAsia" w:hAnsiTheme="minorHAnsi" w:cstheme="minorBidi"/>
          <w:noProof/>
          <w:szCs w:val="22"/>
          <w:lang w:eastAsia="sk-SK"/>
        </w:rPr>
        <w:tab/>
      </w:r>
      <w:r>
        <w:rPr>
          <w:noProof/>
        </w:rPr>
        <w:t>Implicitné záväzky</w:t>
      </w:r>
      <w:r>
        <w:rPr>
          <w:noProof/>
        </w:rPr>
        <w:tab/>
      </w:r>
      <w:r>
        <w:rPr>
          <w:noProof/>
        </w:rPr>
        <w:fldChar w:fldCharType="begin"/>
      </w:r>
      <w:r>
        <w:rPr>
          <w:noProof/>
        </w:rPr>
        <w:instrText xml:space="preserve"> PAGEREF _Toc181095978 \h </w:instrText>
      </w:r>
      <w:r>
        <w:rPr>
          <w:noProof/>
        </w:rPr>
      </w:r>
      <w:r>
        <w:rPr>
          <w:noProof/>
        </w:rPr>
        <w:fldChar w:fldCharType="separate"/>
      </w:r>
      <w:r w:rsidR="001F05DE">
        <w:rPr>
          <w:noProof/>
        </w:rPr>
        <w:t>43</w:t>
      </w:r>
      <w:r>
        <w:rPr>
          <w:noProof/>
        </w:rPr>
        <w:fldChar w:fldCharType="end"/>
      </w:r>
    </w:p>
    <w:p w14:paraId="77DDC586" w14:textId="5B2257B2" w:rsidR="00C1557D" w:rsidRDefault="00C1557D">
      <w:pPr>
        <w:pStyle w:val="Obsah3"/>
        <w:rPr>
          <w:rFonts w:asciiTheme="minorHAnsi" w:eastAsiaTheme="minorEastAsia" w:hAnsiTheme="minorHAnsi" w:cstheme="minorBidi"/>
          <w:noProof/>
          <w:szCs w:val="22"/>
          <w:lang w:eastAsia="sk-SK"/>
        </w:rPr>
      </w:pPr>
      <w:r>
        <w:rPr>
          <w:noProof/>
        </w:rPr>
        <w:t>3.1.4</w:t>
      </w:r>
      <w:r>
        <w:rPr>
          <w:rFonts w:asciiTheme="minorHAnsi" w:eastAsiaTheme="minorEastAsia" w:hAnsiTheme="minorHAnsi" w:cstheme="minorBidi"/>
          <w:noProof/>
          <w:szCs w:val="22"/>
          <w:lang w:eastAsia="sk-SK"/>
        </w:rPr>
        <w:tab/>
      </w:r>
      <w:r>
        <w:rPr>
          <w:noProof/>
        </w:rPr>
        <w:t>Podmienené záväzky</w:t>
      </w:r>
      <w:r>
        <w:rPr>
          <w:noProof/>
        </w:rPr>
        <w:tab/>
      </w:r>
      <w:r>
        <w:rPr>
          <w:noProof/>
        </w:rPr>
        <w:fldChar w:fldCharType="begin"/>
      </w:r>
      <w:r>
        <w:rPr>
          <w:noProof/>
        </w:rPr>
        <w:instrText xml:space="preserve"> PAGEREF _Toc181095979 \h </w:instrText>
      </w:r>
      <w:r>
        <w:rPr>
          <w:noProof/>
        </w:rPr>
      </w:r>
      <w:r>
        <w:rPr>
          <w:noProof/>
        </w:rPr>
        <w:fldChar w:fldCharType="separate"/>
      </w:r>
      <w:r w:rsidR="001F05DE">
        <w:rPr>
          <w:noProof/>
        </w:rPr>
        <w:t>46</w:t>
      </w:r>
      <w:r>
        <w:rPr>
          <w:noProof/>
        </w:rPr>
        <w:fldChar w:fldCharType="end"/>
      </w:r>
    </w:p>
    <w:p w14:paraId="11EF952D" w14:textId="270A099E" w:rsidR="00C1557D" w:rsidRDefault="00C1557D">
      <w:pPr>
        <w:pStyle w:val="Obsah3"/>
        <w:rPr>
          <w:rFonts w:asciiTheme="minorHAnsi" w:eastAsiaTheme="minorEastAsia" w:hAnsiTheme="minorHAnsi" w:cstheme="minorBidi"/>
          <w:noProof/>
          <w:szCs w:val="22"/>
          <w:lang w:eastAsia="sk-SK"/>
        </w:rPr>
      </w:pPr>
      <w:r>
        <w:rPr>
          <w:noProof/>
        </w:rPr>
        <w:t>3.1.5</w:t>
      </w:r>
      <w:r>
        <w:rPr>
          <w:rFonts w:asciiTheme="minorHAnsi" w:eastAsiaTheme="minorEastAsia" w:hAnsiTheme="minorHAnsi" w:cstheme="minorBidi"/>
          <w:noProof/>
          <w:szCs w:val="22"/>
          <w:lang w:eastAsia="sk-SK"/>
        </w:rPr>
        <w:tab/>
      </w:r>
      <w:r>
        <w:rPr>
          <w:noProof/>
        </w:rPr>
        <w:t>Iné aktíva ako súčasť čistého bohatstva</w:t>
      </w:r>
      <w:r>
        <w:rPr>
          <w:noProof/>
        </w:rPr>
        <w:tab/>
      </w:r>
      <w:r>
        <w:rPr>
          <w:noProof/>
        </w:rPr>
        <w:fldChar w:fldCharType="begin"/>
      </w:r>
      <w:r>
        <w:rPr>
          <w:noProof/>
        </w:rPr>
        <w:instrText xml:space="preserve"> PAGEREF _Toc181095980 \h </w:instrText>
      </w:r>
      <w:r>
        <w:rPr>
          <w:noProof/>
        </w:rPr>
      </w:r>
      <w:r>
        <w:rPr>
          <w:noProof/>
        </w:rPr>
        <w:fldChar w:fldCharType="separate"/>
      </w:r>
      <w:r w:rsidR="001F05DE">
        <w:rPr>
          <w:noProof/>
        </w:rPr>
        <w:t>52</w:t>
      </w:r>
      <w:r>
        <w:rPr>
          <w:noProof/>
        </w:rPr>
        <w:fldChar w:fldCharType="end"/>
      </w:r>
    </w:p>
    <w:p w14:paraId="2F3A9D9D" w14:textId="2461F197" w:rsidR="00C1557D" w:rsidRDefault="00C1557D">
      <w:pPr>
        <w:pStyle w:val="Obsah1"/>
        <w:rPr>
          <w:rFonts w:asciiTheme="minorHAnsi" w:eastAsiaTheme="minorEastAsia" w:hAnsiTheme="minorHAnsi" w:cstheme="minorBidi"/>
          <w:lang w:eastAsia="sk-SK"/>
        </w:rPr>
      </w:pPr>
      <w:r>
        <w:t>Zoznam skratiek</w:t>
      </w:r>
      <w:r>
        <w:tab/>
      </w:r>
      <w:r>
        <w:fldChar w:fldCharType="begin"/>
      </w:r>
      <w:r>
        <w:instrText xml:space="preserve"> PAGEREF _Toc181095981 \h </w:instrText>
      </w:r>
      <w:r>
        <w:fldChar w:fldCharType="separate"/>
      </w:r>
      <w:r w:rsidR="001F05DE">
        <w:t>55</w:t>
      </w:r>
      <w:r>
        <w:fldChar w:fldCharType="end"/>
      </w:r>
    </w:p>
    <w:p w14:paraId="4250B670" w14:textId="3F79C17D" w:rsidR="005A1C55" w:rsidRPr="00EE151F" w:rsidRDefault="00F74AB3" w:rsidP="0009732B">
      <w:pPr>
        <w:spacing w:after="0" w:line="336" w:lineRule="auto"/>
        <w:rPr>
          <w:szCs w:val="22"/>
          <w:highlight w:val="yellow"/>
        </w:rPr>
      </w:pPr>
      <w:r w:rsidRPr="00EE151F">
        <w:rPr>
          <w:szCs w:val="22"/>
          <w:highlight w:val="yellow"/>
        </w:rPr>
        <w:fldChar w:fldCharType="end"/>
      </w:r>
    </w:p>
    <w:p w14:paraId="6A20C968" w14:textId="06DB9239" w:rsidR="00872FE7" w:rsidRPr="00866477" w:rsidRDefault="00872FE7" w:rsidP="0009732B">
      <w:pPr>
        <w:spacing w:after="0" w:line="336" w:lineRule="auto"/>
        <w:rPr>
          <w:szCs w:val="22"/>
        </w:rPr>
      </w:pPr>
      <w:r w:rsidRPr="00866477">
        <w:rPr>
          <w:szCs w:val="22"/>
        </w:rPr>
        <w:t>Prílohy:</w:t>
      </w:r>
    </w:p>
    <w:p w14:paraId="2D73C39A" w14:textId="77777777" w:rsidR="0009732B" w:rsidRPr="00866477" w:rsidRDefault="0009732B" w:rsidP="0009732B">
      <w:pPr>
        <w:spacing w:after="0" w:line="336" w:lineRule="auto"/>
        <w:rPr>
          <w:szCs w:val="22"/>
        </w:rPr>
      </w:pPr>
      <w:r w:rsidRPr="00866477">
        <w:rPr>
          <w:szCs w:val="22"/>
        </w:rPr>
        <w:t>Príloha č. 1 Prehľad hospodá</w:t>
      </w:r>
      <w:r w:rsidR="00706FC1" w:rsidRPr="00866477">
        <w:rPr>
          <w:szCs w:val="22"/>
        </w:rPr>
        <w:t>renia podnikov štátnej správy</w:t>
      </w:r>
    </w:p>
    <w:p w14:paraId="4D23A769" w14:textId="504A2FD4" w:rsidR="00651A0E" w:rsidRPr="00866477" w:rsidRDefault="0009732B" w:rsidP="00651A0E">
      <w:pPr>
        <w:spacing w:after="0" w:line="336" w:lineRule="auto"/>
        <w:rPr>
          <w:szCs w:val="22"/>
        </w:rPr>
      </w:pPr>
      <w:r w:rsidRPr="00866477">
        <w:rPr>
          <w:szCs w:val="22"/>
        </w:rPr>
        <w:t xml:space="preserve">Príloha č. 2 </w:t>
      </w:r>
      <w:r w:rsidR="00DA243F" w:rsidRPr="00866477">
        <w:rPr>
          <w:szCs w:val="22"/>
        </w:rPr>
        <w:t>Vlastné imanie podnikov štátnej správy</w:t>
      </w:r>
    </w:p>
    <w:p w14:paraId="6D099216" w14:textId="2BEF0025" w:rsidR="001960E5" w:rsidRDefault="001960E5" w:rsidP="00651A0E">
      <w:pPr>
        <w:spacing w:after="0" w:line="336" w:lineRule="auto"/>
        <w:rPr>
          <w:szCs w:val="22"/>
        </w:rPr>
      </w:pPr>
      <w:r w:rsidRPr="00866477">
        <w:rPr>
          <w:szCs w:val="22"/>
        </w:rPr>
        <w:t>Príloha č. 3 Súhrnná účtovná závierka verejnej správy SR za rok 20</w:t>
      </w:r>
      <w:r w:rsidR="0068099F" w:rsidRPr="00866477">
        <w:rPr>
          <w:szCs w:val="22"/>
        </w:rPr>
        <w:t>2</w:t>
      </w:r>
      <w:r w:rsidR="001D6B3C">
        <w:rPr>
          <w:szCs w:val="22"/>
        </w:rPr>
        <w:t>3</w:t>
      </w:r>
    </w:p>
    <w:p w14:paraId="6BDA5762" w14:textId="77777777" w:rsidR="00651A0E" w:rsidRPr="00EE151F" w:rsidRDefault="00651A0E">
      <w:pPr>
        <w:rPr>
          <w:color w:val="FF0000"/>
          <w:szCs w:val="22"/>
          <w:highlight w:val="yellow"/>
        </w:rPr>
      </w:pPr>
      <w:r w:rsidRPr="00EE151F">
        <w:rPr>
          <w:color w:val="FF0000"/>
          <w:szCs w:val="22"/>
          <w:highlight w:val="yellow"/>
        </w:rPr>
        <w:br w:type="page"/>
      </w:r>
    </w:p>
    <w:p w14:paraId="3EE12ECB" w14:textId="77777777" w:rsidR="00183FF7" w:rsidRPr="00ED284C" w:rsidRDefault="00183FF7" w:rsidP="00183FF7">
      <w:pPr>
        <w:pStyle w:val="Nadpis1"/>
        <w:numPr>
          <w:ilvl w:val="0"/>
          <w:numId w:val="0"/>
        </w:numPr>
        <w:spacing w:after="120" w:line="336" w:lineRule="auto"/>
      </w:pPr>
      <w:bookmarkStart w:id="2" w:name="_Toc399324355"/>
      <w:bookmarkStart w:id="3" w:name="_Toc401920004"/>
      <w:bookmarkStart w:id="4" w:name="_Toc465255006"/>
      <w:bookmarkStart w:id="5" w:name="_Toc495990479"/>
      <w:bookmarkStart w:id="6" w:name="_Toc181095956"/>
      <w:bookmarkStart w:id="7" w:name="_Toc399324356"/>
      <w:bookmarkStart w:id="8" w:name="_Toc401920005"/>
      <w:bookmarkEnd w:id="0"/>
      <w:bookmarkEnd w:id="1"/>
      <w:r w:rsidRPr="00ED284C">
        <w:lastRenderedPageBreak/>
        <w:t>Úvod</w:t>
      </w:r>
      <w:bookmarkEnd w:id="2"/>
      <w:bookmarkEnd w:id="3"/>
      <w:bookmarkEnd w:id="4"/>
      <w:bookmarkEnd w:id="5"/>
      <w:bookmarkEnd w:id="6"/>
    </w:p>
    <w:p w14:paraId="7F620F8F" w14:textId="77777777" w:rsidR="00546616" w:rsidRDefault="00546616" w:rsidP="00546616">
      <w:pPr>
        <w:spacing w:after="120" w:line="240" w:lineRule="auto"/>
        <w:jc w:val="both"/>
        <w:rPr>
          <w:lang w:eastAsia="cs-CZ"/>
        </w:rPr>
      </w:pPr>
      <w:r w:rsidRPr="00240F72">
        <w:rPr>
          <w:b/>
          <w:color w:val="4F81BD" w:themeColor="accent1"/>
          <w:lang w:eastAsia="cs-CZ"/>
        </w:rPr>
        <w:t>Súhrnná výročná správa Slovenskej republiky</w:t>
      </w:r>
      <w:r w:rsidRPr="00240F72">
        <w:rPr>
          <w:b/>
          <w:lang w:eastAsia="cs-CZ"/>
        </w:rPr>
        <w:t xml:space="preserve"> </w:t>
      </w:r>
      <w:r w:rsidRPr="00240F72">
        <w:rPr>
          <w:lang w:eastAsia="cs-CZ"/>
        </w:rPr>
        <w:t>sumarizuje celkové hospodárenie s verejnými financiami krajiny za predchádzajúci rozpočtový</w:t>
      </w:r>
      <w:r>
        <w:rPr>
          <w:lang w:eastAsia="cs-CZ"/>
        </w:rPr>
        <w:t xml:space="preserve"> rok, ponúka pohľad na medziročné porovnanie najdôležitejších veličín a reportuje údaje, ktoré sú vyžadované z pohľadu ústavného zákona o rozpočtovej zodpovednosti. Správu od </w:t>
      </w:r>
      <w:r w:rsidRPr="00240F72">
        <w:rPr>
          <w:lang w:eastAsia="cs-CZ"/>
        </w:rPr>
        <w:t xml:space="preserve">roku 2012 verejnosti prináša Ministerstvo financií SR a spolu s ďalšími strategickými dokumentami </w:t>
      </w:r>
      <w:r>
        <w:rPr>
          <w:lang w:eastAsia="cs-CZ"/>
        </w:rPr>
        <w:t xml:space="preserve">tak </w:t>
      </w:r>
      <w:r w:rsidRPr="00240F72">
        <w:rPr>
          <w:lang w:eastAsia="cs-CZ"/>
        </w:rPr>
        <w:t>dotvára komplexným spôsobom obraz o prerozdeľovaní verejných prostriedkov.</w:t>
      </w:r>
    </w:p>
    <w:p w14:paraId="6FFBD0F7" w14:textId="77777777" w:rsidR="00546616" w:rsidRDefault="00546616" w:rsidP="00546616">
      <w:pPr>
        <w:spacing w:after="120" w:line="240" w:lineRule="auto"/>
        <w:jc w:val="both"/>
        <w:rPr>
          <w:lang w:eastAsia="cs-CZ"/>
        </w:rPr>
      </w:pPr>
      <w:r w:rsidRPr="00F57519">
        <w:rPr>
          <w:u w:val="single"/>
          <w:lang w:eastAsia="cs-CZ"/>
        </w:rPr>
        <w:t>Správa je svojím obsahom zameraná na vyhodnocovanie medziročnej zmeny sald</w:t>
      </w:r>
      <w:r>
        <w:rPr>
          <w:u w:val="single"/>
          <w:lang w:eastAsia="cs-CZ"/>
        </w:rPr>
        <w:t>a</w:t>
      </w:r>
      <w:r w:rsidRPr="00F57519">
        <w:rPr>
          <w:u w:val="single"/>
          <w:lang w:eastAsia="cs-CZ"/>
        </w:rPr>
        <w:t xml:space="preserve"> a dlhu verejnej správy, celkových príjmo</w:t>
      </w:r>
      <w:r>
        <w:rPr>
          <w:u w:val="single"/>
          <w:lang w:eastAsia="cs-CZ"/>
        </w:rPr>
        <w:t>v</w:t>
      </w:r>
      <w:r w:rsidRPr="00F57519">
        <w:rPr>
          <w:u w:val="single"/>
          <w:lang w:eastAsia="cs-CZ"/>
        </w:rPr>
        <w:t xml:space="preserve"> a celkových výdavko</w:t>
      </w:r>
      <w:r>
        <w:rPr>
          <w:u w:val="single"/>
          <w:lang w:eastAsia="cs-CZ"/>
        </w:rPr>
        <w:t>v</w:t>
      </w:r>
      <w:r w:rsidRPr="00F57519">
        <w:rPr>
          <w:u w:val="single"/>
          <w:lang w:eastAsia="cs-CZ"/>
        </w:rPr>
        <w:t xml:space="preserve"> verejnej správy, a obsahuje aj ďalšie hodnotenia z pohľadu čistého bohatstva štátu a dlhodobej udržateľnosti verejných financií.</w:t>
      </w:r>
      <w:r w:rsidRPr="00240F72">
        <w:rPr>
          <w:lang w:eastAsia="cs-CZ"/>
        </w:rPr>
        <w:t xml:space="preserve"> Súhrnná účtovná závierka </w:t>
      </w:r>
      <w:r>
        <w:rPr>
          <w:lang w:eastAsia="cs-CZ"/>
        </w:rPr>
        <w:t>ako štandardná príloha k akejkoľvek výročnej správe v podnikateľskom prostredí, prezentuje</w:t>
      </w:r>
      <w:r w:rsidRPr="00240F72">
        <w:rPr>
          <w:lang w:eastAsia="cs-CZ"/>
        </w:rPr>
        <w:t xml:space="preserve"> </w:t>
      </w:r>
      <w:r>
        <w:rPr>
          <w:lang w:eastAsia="cs-CZ"/>
        </w:rPr>
        <w:t xml:space="preserve">zase čisto </w:t>
      </w:r>
      <w:r w:rsidRPr="00240F72">
        <w:rPr>
          <w:lang w:eastAsia="cs-CZ"/>
        </w:rPr>
        <w:t>účtovn</w:t>
      </w:r>
      <w:r>
        <w:rPr>
          <w:lang w:eastAsia="cs-CZ"/>
        </w:rPr>
        <w:t>é</w:t>
      </w:r>
      <w:r w:rsidRPr="00240F72">
        <w:rPr>
          <w:lang w:eastAsia="cs-CZ"/>
        </w:rPr>
        <w:t xml:space="preserve"> dát</w:t>
      </w:r>
      <w:r>
        <w:rPr>
          <w:lang w:eastAsia="cs-CZ"/>
        </w:rPr>
        <w:t>a za vyše 8 300 subjektov, koncentrované do </w:t>
      </w:r>
      <w:r w:rsidRPr="00240F72">
        <w:rPr>
          <w:lang w:eastAsia="cs-CZ"/>
        </w:rPr>
        <w:t>pomyseln</w:t>
      </w:r>
      <w:r>
        <w:rPr>
          <w:lang w:eastAsia="cs-CZ"/>
        </w:rPr>
        <w:t>ej</w:t>
      </w:r>
      <w:r w:rsidRPr="00240F72">
        <w:rPr>
          <w:lang w:eastAsia="cs-CZ"/>
        </w:rPr>
        <w:t xml:space="preserve"> závierk</w:t>
      </w:r>
      <w:r>
        <w:rPr>
          <w:lang w:eastAsia="cs-CZ"/>
        </w:rPr>
        <w:t>y</w:t>
      </w:r>
      <w:r w:rsidRPr="00240F72">
        <w:rPr>
          <w:lang w:eastAsia="cs-CZ"/>
        </w:rPr>
        <w:t xml:space="preserve"> štátu.</w:t>
      </w:r>
    </w:p>
    <w:p w14:paraId="2A8C82DA" w14:textId="77777777" w:rsidR="00546616" w:rsidRPr="00C840B2" w:rsidRDefault="00546616" w:rsidP="00546616">
      <w:pPr>
        <w:spacing w:after="120" w:line="240" w:lineRule="auto"/>
        <w:jc w:val="both"/>
        <w:rPr>
          <w:highlight w:val="yellow"/>
          <w:lang w:eastAsia="cs-CZ"/>
        </w:rPr>
      </w:pPr>
      <w:r>
        <w:rPr>
          <w:lang w:eastAsia="cs-CZ"/>
        </w:rPr>
        <w:t xml:space="preserve">Správa obsahuje aj údaje o veľkej benchmarkovej revízii národných účtov, ktorá sa realizuje pravidelne, avšak s časovým odstupom piatich rokov, pričom sa dotýka celého časového radu najdôležitejších ukazovateľov o ekonomike. Revízna politika Eurostatu je uplatňovaná pre všetky členské štáty EU, jej zámerom je reagovať na meniace sa potreby používateľov a legislatívne zmeny, pričom údaje sa spresňujú na základe nových zdrojov údajov, doplňujúcich vstupných informácií a zmien v metodických postupov.    </w:t>
      </w:r>
    </w:p>
    <w:p w14:paraId="6B84A70E" w14:textId="77777777" w:rsidR="00546616" w:rsidRDefault="00546616" w:rsidP="00546616">
      <w:pPr>
        <w:spacing w:after="120" w:line="240" w:lineRule="auto"/>
        <w:jc w:val="both"/>
        <w:rPr>
          <w:lang w:eastAsia="cs-CZ"/>
        </w:rPr>
      </w:pPr>
      <w:r w:rsidRPr="00DF7A41">
        <w:rPr>
          <w:lang w:eastAsia="cs-CZ"/>
        </w:rPr>
        <w:t>Na verejné financie aj v uplynulom roku vplývalo množstvo vnútorných, ako aj externých faktorov. Negatívne sa na výdavky vlády (verejnej správy) v plnej miere odzrkadlil inflačný šok podporený hlavne rastom cien energií, ale prispeli k nim aj ďalšie trvalé opatrenia. Na schémy kompenzácií nákladov rastúcich cien energií domácnostiam, firmám a subjektom verejnej správy sa v minulom roku vynaložilo viac ako 3 mld. eur. Časť z týchto výdavkov bol</w:t>
      </w:r>
      <w:r>
        <w:rPr>
          <w:lang w:eastAsia="cs-CZ"/>
        </w:rPr>
        <w:t>a</w:t>
      </w:r>
      <w:r w:rsidRPr="00DF7A41">
        <w:rPr>
          <w:lang w:eastAsia="cs-CZ"/>
        </w:rPr>
        <w:t xml:space="preserve"> kryt</w:t>
      </w:r>
      <w:r>
        <w:rPr>
          <w:lang w:eastAsia="cs-CZ"/>
        </w:rPr>
        <w:t>á</w:t>
      </w:r>
      <w:r w:rsidRPr="00DF7A41">
        <w:rPr>
          <w:lang w:eastAsia="cs-CZ"/>
        </w:rPr>
        <w:t xml:space="preserve"> prostriedkami z</w:t>
      </w:r>
      <w:r>
        <w:rPr>
          <w:lang w:eastAsia="cs-CZ"/>
        </w:rPr>
        <w:t xml:space="preserve"> nevyčerpaných </w:t>
      </w:r>
      <w:r w:rsidRPr="00DF7A41">
        <w:rPr>
          <w:lang w:eastAsia="cs-CZ"/>
        </w:rPr>
        <w:t>operačných programov fondov EÚ a časť z príjmov z nadmerných ziskov a odvodov vybraných spoločností.</w:t>
      </w:r>
    </w:p>
    <w:p w14:paraId="1ECAD315" w14:textId="7A9651B1" w:rsidR="00546616" w:rsidRDefault="00546616" w:rsidP="00546616">
      <w:pPr>
        <w:spacing w:after="120" w:line="240" w:lineRule="auto"/>
        <w:jc w:val="both"/>
        <w:rPr>
          <w:lang w:eastAsia="cs-CZ"/>
        </w:rPr>
      </w:pPr>
      <w:r>
        <w:rPr>
          <w:lang w:eastAsia="cs-CZ"/>
        </w:rPr>
        <w:t>V roku 2023 si prešlo Slovensko nielen zložitou finančnou</w:t>
      </w:r>
      <w:r w:rsidR="00A10185">
        <w:rPr>
          <w:lang w:eastAsia="cs-CZ"/>
        </w:rPr>
        <w:t>,</w:t>
      </w:r>
      <w:r>
        <w:rPr>
          <w:lang w:eastAsia="cs-CZ"/>
        </w:rPr>
        <w:t xml:space="preserve"> ale aj politickou situáciou. V rámci jedného rozpočtového roka boli vymenované tri vlády, pričom prvýkrát bola vymenovaná aj úradnícka vláda. Politická nestabilita vyústila do predčasných parlamentných volieb, ktoré sa konali 30. septembra 2023. Nová vláda bola vymenovaná 25. októbra 2023.</w:t>
      </w:r>
    </w:p>
    <w:p w14:paraId="66107DA1" w14:textId="4803C59A" w:rsidR="00546616" w:rsidRDefault="00546616" w:rsidP="00546616">
      <w:pPr>
        <w:spacing w:after="120" w:line="240" w:lineRule="auto"/>
        <w:jc w:val="both"/>
        <w:rPr>
          <w:lang w:eastAsia="cs-CZ"/>
        </w:rPr>
      </w:pPr>
      <w:r>
        <w:rPr>
          <w:lang w:eastAsia="cs-CZ"/>
        </w:rPr>
        <w:t xml:space="preserve">Deficit </w:t>
      </w:r>
      <w:r w:rsidR="00F812ED">
        <w:rPr>
          <w:lang w:eastAsia="cs-CZ"/>
        </w:rPr>
        <w:t xml:space="preserve">verejnej správy </w:t>
      </w:r>
      <w:r>
        <w:rPr>
          <w:lang w:eastAsia="cs-CZ"/>
        </w:rPr>
        <w:t>medziročne vzrástol z 1,7 % HDP na úroveň 5,2 % HDP, čo predstavuje</w:t>
      </w:r>
      <w:r w:rsidR="00F812ED">
        <w:rPr>
          <w:lang w:eastAsia="cs-CZ"/>
        </w:rPr>
        <w:br/>
      </w:r>
      <w:r>
        <w:rPr>
          <w:lang w:eastAsia="cs-CZ"/>
        </w:rPr>
        <w:t>-6,4 mld.</w:t>
      </w:r>
      <w:r>
        <w:t> </w:t>
      </w:r>
      <w:r>
        <w:rPr>
          <w:lang w:eastAsia="cs-CZ"/>
        </w:rPr>
        <w:t>eur. Verejný dlh vzrástol za rok úhrnom o 5,4 mld. eur. Hodnota štrukturálneho salda dosiahla</w:t>
      </w:r>
      <w:r w:rsidR="00F812ED">
        <w:rPr>
          <w:lang w:eastAsia="cs-CZ"/>
        </w:rPr>
        <w:br/>
      </w:r>
      <w:r>
        <w:rPr>
          <w:lang w:eastAsia="cs-CZ"/>
        </w:rPr>
        <w:t>-</w:t>
      </w:r>
      <w:r w:rsidRPr="00103208">
        <w:rPr>
          <w:lang w:eastAsia="cs-CZ"/>
        </w:rPr>
        <w:t>3,</w:t>
      </w:r>
      <w:r w:rsidR="00F812ED">
        <w:rPr>
          <w:lang w:eastAsia="cs-CZ"/>
        </w:rPr>
        <w:t>1</w:t>
      </w:r>
      <w:r w:rsidRPr="00103208">
        <w:rPr>
          <w:lang w:eastAsia="cs-CZ"/>
        </w:rPr>
        <w:t xml:space="preserve"> % HDP a medziročne </w:t>
      </w:r>
      <w:r>
        <w:rPr>
          <w:lang w:eastAsia="cs-CZ"/>
        </w:rPr>
        <w:t>sa zhoršilo</w:t>
      </w:r>
      <w:r w:rsidRPr="00103208">
        <w:rPr>
          <w:lang w:eastAsia="cs-CZ"/>
        </w:rPr>
        <w:t xml:space="preserve"> o </w:t>
      </w:r>
      <w:r w:rsidR="00F812ED">
        <w:rPr>
          <w:lang w:eastAsia="cs-CZ"/>
        </w:rPr>
        <w:t>1</w:t>
      </w:r>
      <w:r w:rsidRPr="00103208">
        <w:rPr>
          <w:lang w:eastAsia="cs-CZ"/>
        </w:rPr>
        <w:t>,</w:t>
      </w:r>
      <w:r w:rsidR="00F812ED">
        <w:rPr>
          <w:lang w:eastAsia="cs-CZ"/>
        </w:rPr>
        <w:t>9</w:t>
      </w:r>
      <w:r w:rsidRPr="00103208">
        <w:rPr>
          <w:lang w:eastAsia="cs-CZ"/>
        </w:rPr>
        <w:t> p. b. v pomere k</w:t>
      </w:r>
      <w:r>
        <w:rPr>
          <w:lang w:eastAsia="cs-CZ"/>
        </w:rPr>
        <w:t> </w:t>
      </w:r>
      <w:r w:rsidRPr="00103208">
        <w:rPr>
          <w:lang w:eastAsia="cs-CZ"/>
        </w:rPr>
        <w:t>HDP</w:t>
      </w:r>
      <w:r>
        <w:rPr>
          <w:lang w:eastAsia="cs-CZ"/>
        </w:rPr>
        <w:t>. Porovnanie výsledkov hospodárenia s verejnými financiami Slovenska s ostatnými členmi Európskej únie potvrdzuje negatívny trend</w:t>
      </w:r>
      <w:r w:rsidR="003A25BB">
        <w:rPr>
          <w:lang w:eastAsia="cs-CZ"/>
        </w:rPr>
        <w:br/>
      </w:r>
      <w:r>
        <w:rPr>
          <w:lang w:eastAsia="cs-CZ"/>
        </w:rPr>
        <w:t>v dlhodobej udržateľnosti verejných financií.</w:t>
      </w:r>
    </w:p>
    <w:p w14:paraId="21B081C0" w14:textId="5472AB6B" w:rsidR="00546616" w:rsidRDefault="00546616" w:rsidP="00546616">
      <w:pPr>
        <w:spacing w:after="120" w:line="240" w:lineRule="auto"/>
        <w:jc w:val="both"/>
      </w:pPr>
      <w:r>
        <w:rPr>
          <w:lang w:eastAsia="cs-CZ"/>
        </w:rPr>
        <w:t>Pozitívom vo vývoji hospodárstva bol pokles rastu inflácie meranej indexom spotrebiteľských cien z priemernej hodnoty 12,8 % za rok 2022 na hodnotu 10,5 % v roku 2023. HDP vyjadrený v stálych cenách vzrástol o 1,4 %, pričom na ekonomiku malo pozitívny vplyv najmä dočerpávanie eurofondov z tretieho programového obdobia. Príjmy z eurofondov a z plánu obnovy sa medziročne zvýšili o 2,1 mld. eur.</w:t>
      </w:r>
      <w:r w:rsidR="003A25BB">
        <w:rPr>
          <w:lang w:eastAsia="cs-CZ"/>
        </w:rPr>
        <w:br/>
      </w:r>
      <w:r>
        <w:rPr>
          <w:lang w:eastAsia="cs-CZ"/>
        </w:rPr>
        <w:t>Od roku 2004 Slovenská republika  prijala z rozpočtu EÚ 2,5 násobok prostriedkov, ktoré do rozpočtu únie odviedla. Prostriedky z fondov EÚ a Plánu obnovy a odolnosti sú jedinečnou a neopakovateľnou príležitosťou realizovať potrebné reformy a investície v krajine, pri výrazne nižšom zaťažení verejných financií, akoby tomu bolo pri financovaní len na úkor štátneho rozpočtu. Vláda SR bude maximalizovať svoje úsilie pri vytváraní podmienok pre efektívne čerpanie týchto prostriedkov, aj napriek ťažkým časom, ktoré Slovensko čakajú z dôvodu nutnej konsolidácie verejných financií.</w:t>
      </w:r>
    </w:p>
    <w:p w14:paraId="21177C6D" w14:textId="77777777" w:rsidR="001670B8" w:rsidRDefault="001670B8">
      <w:pPr>
        <w:rPr>
          <w:rFonts w:eastAsia="Calibri"/>
          <w:b/>
        </w:rPr>
      </w:pPr>
      <w:r>
        <w:rPr>
          <w:rFonts w:eastAsia="Calibri"/>
          <w:b/>
        </w:rPr>
        <w:br w:type="page"/>
      </w:r>
    </w:p>
    <w:p w14:paraId="7AE3A0B9" w14:textId="7B41A9AE" w:rsidR="00183FF7" w:rsidRPr="00F85F5E" w:rsidRDefault="00183FF7" w:rsidP="00183FF7">
      <w:pPr>
        <w:spacing w:after="120" w:line="336" w:lineRule="auto"/>
        <w:jc w:val="both"/>
        <w:rPr>
          <w:rFonts w:eastAsia="Calibri"/>
          <w:b/>
        </w:rPr>
      </w:pPr>
      <w:r w:rsidRPr="00F85F5E">
        <w:rPr>
          <w:rFonts w:eastAsia="Calibri"/>
          <w:b/>
        </w:rPr>
        <w:lastRenderedPageBreak/>
        <w:t>Štruktúra dokumentu:</w:t>
      </w:r>
    </w:p>
    <w:p w14:paraId="20B4CABC" w14:textId="77777777" w:rsidR="00803FAF" w:rsidRPr="00240F72" w:rsidRDefault="00803FAF" w:rsidP="00642FF8">
      <w:pPr>
        <w:spacing w:after="120" w:line="240" w:lineRule="auto"/>
        <w:jc w:val="both"/>
        <w:rPr>
          <w:rFonts w:cs="Book Antiqua"/>
          <w:lang w:eastAsia="sk-SK"/>
        </w:rPr>
      </w:pPr>
      <w:r w:rsidRPr="00240F72">
        <w:t xml:space="preserve">Súhrnná výročná správa podáva informácie o stave a vývoji verejných financií na základe troch </w:t>
      </w:r>
      <w:r w:rsidRPr="00240F72">
        <w:rPr>
          <w:rFonts w:cs="Book Antiqua"/>
          <w:lang w:eastAsia="sk-SK"/>
        </w:rPr>
        <w:t>prelínajúcich sa zákonných noriem:</w:t>
      </w:r>
    </w:p>
    <w:p w14:paraId="1EFE555B" w14:textId="0FF33A0F" w:rsidR="001D3BB3" w:rsidRPr="00240F72" w:rsidRDefault="00803FAF" w:rsidP="001D3BB3">
      <w:pPr>
        <w:pStyle w:val="Odsekzoznamu"/>
        <w:numPr>
          <w:ilvl w:val="0"/>
          <w:numId w:val="30"/>
        </w:numPr>
        <w:spacing w:before="120" w:after="120"/>
        <w:ind w:left="714" w:hanging="357"/>
        <w:jc w:val="both"/>
      </w:pPr>
      <w:r w:rsidRPr="00DA7E2B">
        <w:rPr>
          <w:u w:val="single"/>
        </w:rPr>
        <w:t>zákon</w:t>
      </w:r>
      <w:r w:rsidR="00F05C16" w:rsidRPr="00DA7E2B">
        <w:rPr>
          <w:u w:val="single"/>
        </w:rPr>
        <w:t xml:space="preserve"> č. </w:t>
      </w:r>
      <w:r w:rsidRPr="00DA7E2B">
        <w:rPr>
          <w:u w:val="single"/>
        </w:rPr>
        <w:t>523</w:t>
      </w:r>
      <w:r w:rsidRPr="00240F72">
        <w:rPr>
          <w:u w:val="single"/>
        </w:rPr>
        <w:t>/2004</w:t>
      </w:r>
      <w:r w:rsidR="00F05C16">
        <w:rPr>
          <w:u w:val="single"/>
        </w:rPr>
        <w:t> </w:t>
      </w:r>
      <w:r w:rsidRPr="00240F72">
        <w:rPr>
          <w:u w:val="single"/>
        </w:rPr>
        <w:t>Z.</w:t>
      </w:r>
      <w:r w:rsidR="00F05C16">
        <w:rPr>
          <w:u w:val="single"/>
        </w:rPr>
        <w:t> </w:t>
      </w:r>
      <w:r w:rsidRPr="00240F72">
        <w:rPr>
          <w:u w:val="single"/>
        </w:rPr>
        <w:t>z.</w:t>
      </w:r>
      <w:r w:rsidRPr="00240F72">
        <w:t xml:space="preserve"> o rozpočtových pravidlách verejnej správy a o zmene a doplnení niektorých zákonov </w:t>
      </w:r>
      <w:r w:rsidR="00DA7E2B">
        <w:t>v znení neskorších predpisov (§ </w:t>
      </w:r>
      <w:r w:rsidRPr="00240F72">
        <w:t>29a),</w:t>
      </w:r>
    </w:p>
    <w:p w14:paraId="6D2CF8DF" w14:textId="0975F3DC" w:rsidR="003B20F6" w:rsidRPr="00240F72" w:rsidRDefault="003B20F6" w:rsidP="003B20F6">
      <w:pPr>
        <w:pStyle w:val="Odsekzoznamu"/>
        <w:numPr>
          <w:ilvl w:val="0"/>
          <w:numId w:val="30"/>
        </w:numPr>
        <w:spacing w:after="120"/>
        <w:jc w:val="both"/>
      </w:pPr>
      <w:r w:rsidRPr="00240F72">
        <w:rPr>
          <w:u w:val="single"/>
        </w:rPr>
        <w:t>ústavný zákon č.</w:t>
      </w:r>
      <w:r w:rsidR="00F05C16">
        <w:rPr>
          <w:u w:val="single"/>
        </w:rPr>
        <w:t> 493/2011 Z. </w:t>
      </w:r>
      <w:r w:rsidRPr="00240F72">
        <w:rPr>
          <w:u w:val="single"/>
        </w:rPr>
        <w:t>z.</w:t>
      </w:r>
      <w:r w:rsidRPr="00240F72">
        <w:t xml:space="preserve"> o rozpočtovej zodpovednosti, ktorý okrem údajov podľa zákona o rozpočtových pravidlách verejnej správy ustanovuje aj ďalšie údaje, ktoré má súhrnná výročná správa obsahovať (čl. 9 ods. 5)</w:t>
      </w:r>
      <w:r w:rsidR="00F05C16">
        <w:t>,</w:t>
      </w:r>
    </w:p>
    <w:p w14:paraId="376D3B42" w14:textId="089C5181" w:rsidR="00803FAF" w:rsidRPr="00240F72" w:rsidRDefault="00803FAF" w:rsidP="001D3BB3">
      <w:pPr>
        <w:pStyle w:val="Odsekzoznamu"/>
        <w:numPr>
          <w:ilvl w:val="0"/>
          <w:numId w:val="30"/>
        </w:numPr>
        <w:spacing w:before="120" w:after="120"/>
        <w:ind w:left="714" w:hanging="357"/>
        <w:jc w:val="both"/>
      </w:pPr>
      <w:r w:rsidRPr="00DA7E2B">
        <w:rPr>
          <w:u w:val="single"/>
        </w:rPr>
        <w:t>z</w:t>
      </w:r>
      <w:r w:rsidR="00F05C16" w:rsidRPr="00DA7E2B">
        <w:rPr>
          <w:u w:val="single"/>
        </w:rPr>
        <w:t xml:space="preserve">ákon </w:t>
      </w:r>
      <w:r w:rsidR="00F05C16">
        <w:rPr>
          <w:u w:val="single"/>
        </w:rPr>
        <w:t>č. 431/2002 </w:t>
      </w:r>
      <w:r w:rsidRPr="00240F72">
        <w:rPr>
          <w:u w:val="single"/>
        </w:rPr>
        <w:t>Z.</w:t>
      </w:r>
      <w:r w:rsidR="00F05C16">
        <w:rPr>
          <w:u w:val="single"/>
        </w:rPr>
        <w:t> </w:t>
      </w:r>
      <w:r w:rsidRPr="00240F72">
        <w:rPr>
          <w:u w:val="single"/>
        </w:rPr>
        <w:t>z.</w:t>
      </w:r>
      <w:r w:rsidRPr="00240F72">
        <w:t xml:space="preserve"> o účtovníctve v znení neskorších predpisov, ktorý okrem iného ustanovuje pre Ministerstvo financií SR povinnosť zostaviť konsolidovanú účtovnú závierku ústrednej správy a súhrnnú účto</w:t>
      </w:r>
      <w:r w:rsidR="00F05C16">
        <w:t>vnú závierku verejnej správy (§ </w:t>
      </w:r>
      <w:r w:rsidRPr="00240F72">
        <w:t>22a)</w:t>
      </w:r>
      <w:r w:rsidR="00F05C16">
        <w:t>.</w:t>
      </w:r>
    </w:p>
    <w:p w14:paraId="0ED150A6" w14:textId="7B401D43" w:rsidR="001F43C8" w:rsidRPr="00240F72" w:rsidRDefault="001F43C8" w:rsidP="00642FF8">
      <w:pPr>
        <w:spacing w:after="120" w:line="240" w:lineRule="auto"/>
        <w:jc w:val="both"/>
      </w:pPr>
      <w:r w:rsidRPr="00240F72">
        <w:rPr>
          <w:rFonts w:cs="Book Antiqua"/>
          <w:lang w:eastAsia="sk-SK"/>
        </w:rPr>
        <w:t>Na zákla</w:t>
      </w:r>
      <w:r w:rsidRPr="00240F72">
        <w:t>de uvedeného je štruktúra správy koncipovaná do troch hlavných kapitol:</w:t>
      </w:r>
    </w:p>
    <w:p w14:paraId="73C69622" w14:textId="0FBBC1B3" w:rsidR="008D0E40" w:rsidRPr="00240F72" w:rsidRDefault="008D0E40" w:rsidP="00642FF8">
      <w:pPr>
        <w:pStyle w:val="Odsekzoznamu"/>
        <w:numPr>
          <w:ilvl w:val="0"/>
          <w:numId w:val="31"/>
        </w:numPr>
        <w:spacing w:before="120" w:after="120"/>
        <w:ind w:left="714" w:hanging="357"/>
        <w:jc w:val="both"/>
        <w:rPr>
          <w:lang w:eastAsia="cs-CZ"/>
        </w:rPr>
      </w:pPr>
      <w:r w:rsidRPr="00240F72">
        <w:t>Prvá</w:t>
      </w:r>
      <w:r w:rsidRPr="00240F72">
        <w:rPr>
          <w:i/>
        </w:rPr>
        <w:t xml:space="preserve"> kapitola</w:t>
      </w:r>
      <w:r w:rsidRPr="00240F72">
        <w:t xml:space="preserve"> prezentuje verejné financie z pohľadu sektorového členenia ver</w:t>
      </w:r>
      <w:r w:rsidR="00D418E2">
        <w:t>ejnej správy podľa metodiky ESA </w:t>
      </w:r>
      <w:r w:rsidRPr="00240F72">
        <w:t>2010</w:t>
      </w:r>
      <w:r w:rsidR="00F055A9" w:rsidRPr="00240F72">
        <w:rPr>
          <w:rStyle w:val="Odkaznapoznmkupodiarou"/>
        </w:rPr>
        <w:footnoteReference w:id="1"/>
      </w:r>
      <w:r w:rsidRPr="00240F72">
        <w:t xml:space="preserve">. Dôraz sa kladie na príspevok jednotlivých (skupín) subjektov verejnej správy k výsledku rozpočtového hospodárenia verejnej správy a k jeho medziročnej zmene. Hlavnými údajmi tejto časti sú saldo a dlh verejnej správy podľa maastrichtských kritérií. Údaje zohľadňujú závery z pravidelnej jesennej notifikácie údajov za predchádzajúci rok zo strany Eurostatu, ako aj prípadné </w:t>
      </w:r>
      <w:r w:rsidR="00F05C16">
        <w:rPr>
          <w:lang w:eastAsia="cs-CZ"/>
        </w:rPr>
        <w:t xml:space="preserve">revízie </w:t>
      </w:r>
      <w:r w:rsidR="00C02738">
        <w:rPr>
          <w:lang w:eastAsia="cs-CZ"/>
        </w:rPr>
        <w:t xml:space="preserve">predchádzajúcich </w:t>
      </w:r>
      <w:r w:rsidR="00F05C16">
        <w:rPr>
          <w:lang w:eastAsia="cs-CZ"/>
        </w:rPr>
        <w:t>obdob</w:t>
      </w:r>
      <w:r w:rsidR="00B7787B">
        <w:rPr>
          <w:lang w:eastAsia="cs-CZ"/>
        </w:rPr>
        <w:t>í</w:t>
      </w:r>
      <w:r w:rsidR="00F05C16">
        <w:rPr>
          <w:lang w:eastAsia="cs-CZ"/>
        </w:rPr>
        <w:t>.</w:t>
      </w:r>
    </w:p>
    <w:p w14:paraId="0C144CC0" w14:textId="4EEF3C4C" w:rsidR="008D0E40" w:rsidRPr="00E502BB" w:rsidRDefault="008D0E40" w:rsidP="00642FF8">
      <w:pPr>
        <w:pStyle w:val="Odsekzoznamu"/>
        <w:numPr>
          <w:ilvl w:val="0"/>
          <w:numId w:val="31"/>
        </w:numPr>
        <w:spacing w:after="120"/>
        <w:jc w:val="both"/>
      </w:pPr>
      <w:r w:rsidRPr="00E502BB">
        <w:rPr>
          <w:lang w:eastAsia="cs-CZ"/>
        </w:rPr>
        <w:t>D</w:t>
      </w:r>
      <w:r w:rsidRPr="00E502BB">
        <w:rPr>
          <w:i/>
        </w:rPr>
        <w:t>ruhá kapitola</w:t>
      </w:r>
      <w:r w:rsidRPr="00E502BB">
        <w:t xml:space="preserve"> nadväzuje na prvú v hodnotení verejných financií z pohľadu sektora verejnej správy. Pokiaľ sa však prvá kapitola zameriava s</w:t>
      </w:r>
      <w:r w:rsidR="00D418E2">
        <w:t>triktne na údaje v metodike ESA </w:t>
      </w:r>
      <w:r w:rsidRPr="00E502BB">
        <w:t>2010 a</w:t>
      </w:r>
      <w:r w:rsidR="004D4F58">
        <w:t> </w:t>
      </w:r>
      <w:r w:rsidRPr="00E502BB">
        <w:t>na</w:t>
      </w:r>
      <w:r w:rsidR="004D4F58">
        <w:t> </w:t>
      </w:r>
      <w:r w:rsidRPr="00E502BB">
        <w:t xml:space="preserve"> medziročné porovnanie dosiahnutej skutočnosti, druhá kapitola hodnotí vývoj verejnej správy najmä z pohľadu údajov, ktoré má obsahovať súhrnná správa na základe ústavného zákona o rozpočtovej zodpovednosti. Tieto údaje prehlbujú analytický pohľad na hospodárenie verejnej správy.</w:t>
      </w:r>
    </w:p>
    <w:p w14:paraId="64AA2B26" w14:textId="1BF1C871" w:rsidR="008D0E40" w:rsidRPr="00240F72" w:rsidRDefault="008D0E40" w:rsidP="00642FF8">
      <w:pPr>
        <w:pStyle w:val="Odsekzoznamu"/>
        <w:numPr>
          <w:ilvl w:val="0"/>
          <w:numId w:val="31"/>
        </w:numPr>
        <w:spacing w:after="120"/>
        <w:jc w:val="both"/>
        <w:rPr>
          <w:lang w:eastAsia="cs-CZ"/>
        </w:rPr>
      </w:pPr>
      <w:r w:rsidRPr="00240F72">
        <w:rPr>
          <w:i/>
        </w:rPr>
        <w:t xml:space="preserve">Tretia </w:t>
      </w:r>
      <w:r w:rsidRPr="00240F72">
        <w:rPr>
          <w:rFonts w:eastAsia="Cambria"/>
          <w:i/>
        </w:rPr>
        <w:t>kapitola</w:t>
      </w:r>
      <w:r w:rsidRPr="00240F72">
        <w:rPr>
          <w:rFonts w:eastAsia="Cambria"/>
        </w:rPr>
        <w:t xml:space="preserve"> rozširuje pohľad na verejné financie z verejnej správy na verejný sektor a jeho hlavný ukazovateľ čisté bohatstvo.</w:t>
      </w:r>
      <w:r w:rsidRPr="00240F72">
        <w:t xml:space="preserve"> V tejto časti je popísaná štruktúra a medziročné zmeny čistého bohatstva, v súlade s ústavným zákonom o rozpočtovej zodpovednosti je dôraz kladený na</w:t>
      </w:r>
      <w:r w:rsidR="004D4F58">
        <w:t> </w:t>
      </w:r>
      <w:r w:rsidRPr="00240F72">
        <w:t xml:space="preserve">mimobilančné </w:t>
      </w:r>
      <w:r w:rsidRPr="00240F72">
        <w:rPr>
          <w:lang w:eastAsia="cs-CZ"/>
        </w:rPr>
        <w:t>položky ako sú implicitné záväzky, podmienené záväzky, iné aktíva.</w:t>
      </w:r>
    </w:p>
    <w:p w14:paraId="49CC0EE7" w14:textId="77777777" w:rsidR="001D3BB3" w:rsidRPr="00897774" w:rsidRDefault="001D3BB3" w:rsidP="001D3BB3">
      <w:pPr>
        <w:pStyle w:val="Odsekzoznamu"/>
        <w:spacing w:after="120"/>
        <w:jc w:val="both"/>
      </w:pPr>
    </w:p>
    <w:p w14:paraId="6F4644A4" w14:textId="71AEE05F" w:rsidR="008D0E40" w:rsidRPr="00897774" w:rsidRDefault="008D0E40" w:rsidP="00642FF8">
      <w:pPr>
        <w:pStyle w:val="Odsekzoznamu"/>
        <w:numPr>
          <w:ilvl w:val="0"/>
          <w:numId w:val="30"/>
        </w:numPr>
        <w:spacing w:after="120"/>
        <w:jc w:val="both"/>
      </w:pPr>
      <w:r w:rsidRPr="00C45293">
        <w:rPr>
          <w:i/>
          <w:lang w:eastAsia="cs-CZ"/>
        </w:rPr>
        <w:t>Príloha</w:t>
      </w:r>
      <w:r w:rsidRPr="00C45293">
        <w:rPr>
          <w:i/>
        </w:rPr>
        <w:t xml:space="preserve"> č. 1</w:t>
      </w:r>
      <w:r w:rsidRPr="00897774">
        <w:t xml:space="preserve"> má tabuľkovú podobu a viaže sa k tretej kapitole. Obsahuje zoznam podnikov štátnej správy s údajmi o ich výsledku hospodárenia, výške vlastného imania za posledné tri roky a</w:t>
      </w:r>
      <w:r w:rsidR="00D71FFB">
        <w:t> </w:t>
      </w:r>
      <w:r w:rsidRPr="00897774">
        <w:t>o výške vlastníckeho podielu štátu v podnikoch.</w:t>
      </w:r>
    </w:p>
    <w:p w14:paraId="04F46190" w14:textId="77777777" w:rsidR="008D0E40" w:rsidRPr="00897774" w:rsidRDefault="008D0E40" w:rsidP="00642FF8">
      <w:pPr>
        <w:pStyle w:val="Odsekzoznamu"/>
        <w:numPr>
          <w:ilvl w:val="0"/>
          <w:numId w:val="30"/>
        </w:numPr>
        <w:spacing w:after="120"/>
        <w:jc w:val="both"/>
        <w:rPr>
          <w:lang w:eastAsia="cs-CZ"/>
        </w:rPr>
      </w:pPr>
      <w:r w:rsidRPr="00897774">
        <w:rPr>
          <w:i/>
        </w:rPr>
        <w:t>Príloha č. 2</w:t>
      </w:r>
      <w:r w:rsidRPr="00897774">
        <w:t xml:space="preserve"> má tabuľkovú podobu, obsahuje údaje o vlastnom imaní všetkých podnikov štátnej správy </w:t>
      </w:r>
      <w:r w:rsidRPr="00897774">
        <w:rPr>
          <w:lang w:eastAsia="cs-CZ"/>
        </w:rPr>
        <w:t>s vyčíslením najdôležitejších zmien vo vlastnom imaní.</w:t>
      </w:r>
    </w:p>
    <w:p w14:paraId="3D32B935" w14:textId="0846EB69" w:rsidR="008D0E40" w:rsidRPr="00897774" w:rsidRDefault="008D0E40" w:rsidP="00642FF8">
      <w:pPr>
        <w:pStyle w:val="Odsekzoznamu"/>
        <w:numPr>
          <w:ilvl w:val="0"/>
          <w:numId w:val="30"/>
        </w:numPr>
        <w:spacing w:after="120"/>
        <w:jc w:val="both"/>
        <w:rPr>
          <w:lang w:eastAsia="cs-CZ"/>
        </w:rPr>
      </w:pPr>
      <w:r w:rsidRPr="00C45293">
        <w:rPr>
          <w:i/>
          <w:lang w:eastAsia="cs-CZ"/>
        </w:rPr>
        <w:t>Príloha č. 3</w:t>
      </w:r>
      <w:r w:rsidRPr="00897774">
        <w:rPr>
          <w:lang w:eastAsia="cs-CZ"/>
        </w:rPr>
        <w:t xml:space="preserve"> predstavuje súhrnnú účtovnú závierku verejnej správy Slovenskej republiky za príslušný</w:t>
      </w:r>
      <w:r w:rsidRPr="00897774">
        <w:t xml:space="preserve"> rok, ktorá je povinnou sú</w:t>
      </w:r>
      <w:r w:rsidR="00D418E2" w:rsidRPr="00897774">
        <w:t>časťou tejto správy v súlade so </w:t>
      </w:r>
      <w:r w:rsidRPr="00897774">
        <w:t>zákonom o rozpočtových pravidlách.</w:t>
      </w:r>
    </w:p>
    <w:p w14:paraId="0F19DF88" w14:textId="7ADB50DF" w:rsidR="008D0E40" w:rsidRPr="00C83AD8" w:rsidRDefault="008D0E40" w:rsidP="008D0E40">
      <w:pPr>
        <w:spacing w:after="120" w:line="240" w:lineRule="auto"/>
        <w:jc w:val="both"/>
        <w:rPr>
          <w:lang w:eastAsia="cs-CZ"/>
        </w:rPr>
      </w:pPr>
      <w:r w:rsidRPr="00C83AD8">
        <w:rPr>
          <w:lang w:eastAsia="cs-CZ"/>
        </w:rPr>
        <w:t xml:space="preserve">K správe je priložená aj </w:t>
      </w:r>
      <w:r w:rsidRPr="00C83AD8">
        <w:rPr>
          <w:rFonts w:cs="Book Antiqua"/>
          <w:i/>
          <w:lang w:eastAsia="sk-SK"/>
        </w:rPr>
        <w:t>elektronická príloha</w:t>
      </w:r>
      <w:r w:rsidRPr="00C83AD8">
        <w:rPr>
          <w:lang w:eastAsia="cs-CZ"/>
        </w:rPr>
        <w:t xml:space="preserve">, ktorá </w:t>
      </w:r>
      <w:r w:rsidR="00D418E2">
        <w:rPr>
          <w:lang w:eastAsia="cs-CZ"/>
        </w:rPr>
        <w:t>sa viaže k </w:t>
      </w:r>
      <w:r w:rsidRPr="00C83AD8">
        <w:rPr>
          <w:lang w:eastAsia="cs-CZ"/>
        </w:rPr>
        <w:t>prvej kapitole a je zverejnená len na internetovej stránke MF SR spolu s hlavným dokumentom. Elektronická príloha obsahuje štruktúru schodku verejnej správy</w:t>
      </w:r>
      <w:r w:rsidR="00C83AD8" w:rsidRPr="00C83AD8">
        <w:rPr>
          <w:lang w:eastAsia="cs-CZ"/>
        </w:rPr>
        <w:t xml:space="preserve"> a jeho financovanie v roku 2023</w:t>
      </w:r>
      <w:r w:rsidRPr="00C83AD8">
        <w:rPr>
          <w:lang w:eastAsia="cs-CZ"/>
        </w:rPr>
        <w:t xml:space="preserve"> podľa jednotlivých skupín subjektov (prechod od</w:t>
      </w:r>
      <w:r w:rsidR="004D4F58">
        <w:rPr>
          <w:lang w:eastAsia="cs-CZ"/>
        </w:rPr>
        <w:t> </w:t>
      </w:r>
      <w:r w:rsidRPr="00C83AD8">
        <w:rPr>
          <w:lang w:eastAsia="cs-CZ"/>
        </w:rPr>
        <w:t xml:space="preserve"> hotovost</w:t>
      </w:r>
      <w:r w:rsidR="00D418E2">
        <w:rPr>
          <w:lang w:eastAsia="cs-CZ"/>
        </w:rPr>
        <w:t>ného schodku ku schodku na </w:t>
      </w:r>
      <w:r w:rsidRPr="00C83AD8">
        <w:rPr>
          <w:lang w:eastAsia="cs-CZ"/>
        </w:rPr>
        <w:t>akruálnej báze).</w:t>
      </w:r>
    </w:p>
    <w:p w14:paraId="3CF1E6BE" w14:textId="3DA8AABF" w:rsidR="00111143" w:rsidRDefault="008D0E40" w:rsidP="001D3BB3">
      <w:pPr>
        <w:spacing w:after="0" w:line="240" w:lineRule="auto"/>
        <w:jc w:val="both"/>
        <w:rPr>
          <w:lang w:eastAsia="cs-CZ"/>
        </w:rPr>
      </w:pPr>
      <w:r w:rsidRPr="00E502BB">
        <w:rPr>
          <w:lang w:eastAsia="cs-CZ"/>
        </w:rPr>
        <w:t>Pri výpočte podielových ukazovateľov</w:t>
      </w:r>
      <w:r w:rsidRPr="00E502BB">
        <w:rPr>
          <w:rStyle w:val="Odkaznapoznmkupodiarou"/>
          <w:lang w:eastAsia="cs-CZ"/>
        </w:rPr>
        <w:footnoteReference w:id="2"/>
      </w:r>
      <w:r w:rsidRPr="00E502BB">
        <w:rPr>
          <w:lang w:eastAsia="cs-CZ"/>
        </w:rPr>
        <w:t xml:space="preserve"> verejných fina</w:t>
      </w:r>
      <w:r w:rsidR="00D418E2">
        <w:rPr>
          <w:lang w:eastAsia="cs-CZ"/>
        </w:rPr>
        <w:t>ncií boli použité údaje o HDP v </w:t>
      </w:r>
      <w:r w:rsidRPr="00E502BB">
        <w:rPr>
          <w:lang w:eastAsia="cs-CZ"/>
        </w:rPr>
        <w:t>bežných cenách, ktoré boli notifikované v rámci októbrovej notifikácie</w:t>
      </w:r>
      <w:r w:rsidRPr="001D28D4">
        <w:rPr>
          <w:lang w:eastAsia="cs-CZ"/>
        </w:rPr>
        <w:t xml:space="preserve">: </w:t>
      </w:r>
      <w:r w:rsidR="001D28D4" w:rsidRPr="001D28D4">
        <w:rPr>
          <w:lang w:eastAsia="cs-CZ"/>
        </w:rPr>
        <w:t xml:space="preserve">2023: 122 918 887 tis. eur, </w:t>
      </w:r>
      <w:r w:rsidRPr="001D28D4">
        <w:rPr>
          <w:lang w:eastAsia="cs-CZ"/>
        </w:rPr>
        <w:t xml:space="preserve">2022: </w:t>
      </w:r>
      <w:r w:rsidR="001D28D4" w:rsidRPr="001D28D4">
        <w:rPr>
          <w:lang w:eastAsia="cs-CZ"/>
        </w:rPr>
        <w:t>110 088 567</w:t>
      </w:r>
      <w:r w:rsidRPr="001D28D4">
        <w:rPr>
          <w:lang w:eastAsia="cs-CZ"/>
        </w:rPr>
        <w:t> tis. eur, 2021:</w:t>
      </w:r>
      <w:r w:rsidR="00CE6D75" w:rsidRPr="001D28D4">
        <w:rPr>
          <w:lang w:eastAsia="cs-CZ"/>
        </w:rPr>
        <w:t> </w:t>
      </w:r>
      <w:r w:rsidR="001D28D4" w:rsidRPr="001D28D4">
        <w:rPr>
          <w:lang w:eastAsia="cs-CZ"/>
        </w:rPr>
        <w:t>101 960 012</w:t>
      </w:r>
      <w:r w:rsidR="00CE6D75" w:rsidRPr="001D28D4">
        <w:rPr>
          <w:lang w:eastAsia="cs-CZ"/>
        </w:rPr>
        <w:t> </w:t>
      </w:r>
      <w:r w:rsidR="001D28D4" w:rsidRPr="001D28D4">
        <w:rPr>
          <w:lang w:eastAsia="cs-CZ"/>
        </w:rPr>
        <w:t>tis. eur</w:t>
      </w:r>
      <w:r w:rsidRPr="001D28D4">
        <w:rPr>
          <w:lang w:eastAsia="cs-CZ"/>
        </w:rPr>
        <w:t xml:space="preserve">. Oproti minuloročnej správe sa </w:t>
      </w:r>
      <w:r w:rsidR="001D28D4" w:rsidRPr="001D28D4">
        <w:rPr>
          <w:lang w:eastAsia="cs-CZ"/>
        </w:rPr>
        <w:t xml:space="preserve">v rámci benchmarkovej revízie </w:t>
      </w:r>
      <w:r w:rsidRPr="001D28D4">
        <w:rPr>
          <w:lang w:eastAsia="cs-CZ"/>
        </w:rPr>
        <w:t>revidovali hodnoty HDP v</w:t>
      </w:r>
      <w:r w:rsidR="001D28D4" w:rsidRPr="001D28D4">
        <w:rPr>
          <w:lang w:eastAsia="cs-CZ"/>
        </w:rPr>
        <w:t xml:space="preserve"> celom časovom rade za </w:t>
      </w:r>
      <w:r w:rsidR="001D28D4" w:rsidRPr="005C4D95">
        <w:rPr>
          <w:lang w:eastAsia="cs-CZ"/>
        </w:rPr>
        <w:t>roky 199</w:t>
      </w:r>
      <w:r w:rsidR="005C4D95" w:rsidRPr="005C4D95">
        <w:rPr>
          <w:lang w:eastAsia="cs-CZ"/>
        </w:rPr>
        <w:t>5</w:t>
      </w:r>
      <w:r w:rsidR="001D28D4" w:rsidRPr="001D28D4">
        <w:rPr>
          <w:lang w:eastAsia="cs-CZ"/>
        </w:rPr>
        <w:t xml:space="preserve"> - 2020</w:t>
      </w:r>
      <w:r w:rsidRPr="001D28D4">
        <w:rPr>
          <w:lang w:eastAsia="cs-CZ"/>
        </w:rPr>
        <w:t>, čo mohlo mať dopad na</w:t>
      </w:r>
      <w:r w:rsidR="00627A8D">
        <w:rPr>
          <w:lang w:eastAsia="cs-CZ"/>
        </w:rPr>
        <w:t> </w:t>
      </w:r>
      <w:r w:rsidRPr="001D28D4">
        <w:rPr>
          <w:lang w:eastAsia="cs-CZ"/>
        </w:rPr>
        <w:t>zmenu veľkosti podielových ukazovateľov na HDP v týchto rokoch.</w:t>
      </w:r>
    </w:p>
    <w:p w14:paraId="203B345B" w14:textId="77777777" w:rsidR="00111143" w:rsidRDefault="00111143" w:rsidP="001D3BB3">
      <w:pPr>
        <w:spacing w:after="0" w:line="240" w:lineRule="auto"/>
        <w:jc w:val="both"/>
        <w:rPr>
          <w:lang w:eastAsia="cs-CZ"/>
        </w:rPr>
      </w:pPr>
    </w:p>
    <w:p w14:paraId="52551EA9" w14:textId="39F2EBDD" w:rsidR="00B97A5B" w:rsidRPr="00EE151F" w:rsidRDefault="00111143" w:rsidP="001D3BB3">
      <w:pPr>
        <w:spacing w:after="0" w:line="240" w:lineRule="auto"/>
        <w:jc w:val="both"/>
        <w:rPr>
          <w:highlight w:val="yellow"/>
          <w:lang w:eastAsia="cs-CZ"/>
        </w:rPr>
      </w:pPr>
      <w:r>
        <w:rPr>
          <w:lang w:eastAsia="cs-CZ"/>
        </w:rPr>
        <w:t>Prípadné rozdiely v tabuľkách v súčtoch a medzisúčtoch môžu byť spôsobené zaokrúhľovaním.</w:t>
      </w:r>
      <w:r w:rsidR="00B97A5B" w:rsidRPr="00EE151F">
        <w:rPr>
          <w:highlight w:val="yellow"/>
          <w:lang w:eastAsia="cs-CZ"/>
        </w:rPr>
        <w:br w:type="page"/>
      </w:r>
    </w:p>
    <w:p w14:paraId="0590931B" w14:textId="59B6678E" w:rsidR="0086315B" w:rsidRPr="003C1501" w:rsidRDefault="0086315B" w:rsidP="006C6327">
      <w:pPr>
        <w:pStyle w:val="Nadpis1"/>
        <w:numPr>
          <w:ilvl w:val="0"/>
          <w:numId w:val="0"/>
        </w:numPr>
        <w:spacing w:after="120" w:line="336" w:lineRule="auto"/>
      </w:pPr>
      <w:bookmarkStart w:id="9" w:name="_Toc465255005"/>
      <w:bookmarkStart w:id="10" w:name="_Toc495990478"/>
      <w:bookmarkStart w:id="11" w:name="_Toc181095957"/>
      <w:r w:rsidRPr="003C1501">
        <w:lastRenderedPageBreak/>
        <w:t>Zhrn</w:t>
      </w:r>
      <w:r w:rsidR="006C6327" w:rsidRPr="003C1501">
        <w:t>u</w:t>
      </w:r>
      <w:r w:rsidRPr="003C1501">
        <w:t>tie</w:t>
      </w:r>
      <w:bookmarkEnd w:id="9"/>
      <w:bookmarkEnd w:id="10"/>
      <w:bookmarkEnd w:id="11"/>
    </w:p>
    <w:p w14:paraId="7497AFB2" w14:textId="0B017D1E" w:rsidR="00A13F85" w:rsidRPr="002452B4" w:rsidRDefault="00A13F85" w:rsidP="00FA1620">
      <w:pPr>
        <w:pStyle w:val="Odsekzoznamu"/>
        <w:numPr>
          <w:ilvl w:val="0"/>
          <w:numId w:val="26"/>
        </w:numPr>
        <w:spacing w:after="120"/>
        <w:ind w:left="426" w:hanging="426"/>
        <w:jc w:val="both"/>
        <w:rPr>
          <w:lang w:eastAsia="cs-CZ"/>
        </w:rPr>
      </w:pPr>
      <w:bookmarkStart w:id="12" w:name="_Toc496786973"/>
      <w:bookmarkStart w:id="13" w:name="_Toc465255007"/>
      <w:bookmarkStart w:id="14" w:name="_Toc495990480"/>
      <w:r w:rsidRPr="00E53DF0">
        <w:rPr>
          <w:b/>
          <w:color w:val="4F81BD" w:themeColor="accent1"/>
        </w:rPr>
        <w:t>Schodok verejnej správy</w:t>
      </w:r>
      <w:r w:rsidRPr="00E53DF0">
        <w:rPr>
          <w:color w:val="4F81BD" w:themeColor="accent1"/>
        </w:rPr>
        <w:t xml:space="preserve"> </w:t>
      </w:r>
      <w:r w:rsidRPr="00E53DF0">
        <w:t>Slovenskej republiky vyk</w:t>
      </w:r>
      <w:r w:rsidR="00D418E2">
        <w:t>ázaný v jednotnej metodike (ESA </w:t>
      </w:r>
      <w:r w:rsidRPr="00E53DF0">
        <w:t>2010) pre</w:t>
      </w:r>
      <w:r w:rsidR="00144672" w:rsidRPr="00E53DF0">
        <w:t> </w:t>
      </w:r>
      <w:r w:rsidRPr="00E53DF0">
        <w:t xml:space="preserve">členské krajiny EÚ </w:t>
      </w:r>
      <w:r w:rsidRPr="00E53DF0">
        <w:rPr>
          <w:b/>
        </w:rPr>
        <w:t>dosiahol v roku 202</w:t>
      </w:r>
      <w:r w:rsidR="00C840B2" w:rsidRPr="00E53DF0">
        <w:rPr>
          <w:b/>
        </w:rPr>
        <w:t>3</w:t>
      </w:r>
      <w:r w:rsidRPr="00E53DF0">
        <w:rPr>
          <w:b/>
        </w:rPr>
        <w:t xml:space="preserve"> úroveň </w:t>
      </w:r>
      <w:r w:rsidR="00E74A91" w:rsidRPr="00E53DF0">
        <w:rPr>
          <w:b/>
        </w:rPr>
        <w:t>5</w:t>
      </w:r>
      <w:r w:rsidRPr="00E53DF0">
        <w:rPr>
          <w:b/>
        </w:rPr>
        <w:t>,</w:t>
      </w:r>
      <w:r w:rsidR="00E74A91" w:rsidRPr="00E53DF0">
        <w:rPr>
          <w:b/>
        </w:rPr>
        <w:t>2</w:t>
      </w:r>
      <w:r w:rsidRPr="00E53DF0">
        <w:rPr>
          <w:b/>
        </w:rPr>
        <w:t> % HDP</w:t>
      </w:r>
      <w:r w:rsidRPr="00E53DF0">
        <w:t xml:space="preserve"> </w:t>
      </w:r>
      <w:r w:rsidRPr="00E53DF0">
        <w:rPr>
          <w:b/>
        </w:rPr>
        <w:t>(-</w:t>
      </w:r>
      <w:r w:rsidR="00E74A91" w:rsidRPr="00E53DF0">
        <w:rPr>
          <w:b/>
        </w:rPr>
        <w:t>6 399 439</w:t>
      </w:r>
      <w:r w:rsidRPr="00E53DF0">
        <w:rPr>
          <w:b/>
        </w:rPr>
        <w:t> tis. eur</w:t>
      </w:r>
      <w:r w:rsidR="00144672" w:rsidRPr="00E53DF0">
        <w:t>). Oproti </w:t>
      </w:r>
      <w:r w:rsidRPr="00E53DF0">
        <w:t xml:space="preserve">predbežným výsledkom z jarnej notifikácie prezentovaným v Štátnom záverečnom účte, sa schodok </w:t>
      </w:r>
      <w:r w:rsidR="00AA10E9" w:rsidRPr="00E53DF0">
        <w:t>zvýšil</w:t>
      </w:r>
      <w:r w:rsidRPr="00E53DF0">
        <w:t xml:space="preserve"> o 0,</w:t>
      </w:r>
      <w:r w:rsidR="00AA10E9" w:rsidRPr="00E53DF0">
        <w:t>3</w:t>
      </w:r>
      <w:r w:rsidRPr="00E53DF0">
        <w:t> p. b. resp. o</w:t>
      </w:r>
      <w:r w:rsidR="00AA10E9" w:rsidRPr="00E53DF0">
        <w:t> 389 626 </w:t>
      </w:r>
      <w:r w:rsidRPr="00E53DF0">
        <w:t>tis. eur.</w:t>
      </w:r>
      <w:r w:rsidR="001A6FA7" w:rsidRPr="00E53DF0">
        <w:t xml:space="preserve"> Medziročná zmena </w:t>
      </w:r>
      <w:r w:rsidR="00750A8C">
        <w:t>deficitu</w:t>
      </w:r>
      <w:r w:rsidR="00750A8C" w:rsidRPr="00E53DF0">
        <w:t xml:space="preserve"> </w:t>
      </w:r>
      <w:r w:rsidRPr="00E53DF0">
        <w:t xml:space="preserve">dosiahla </w:t>
      </w:r>
      <w:r w:rsidR="00750A8C" w:rsidRPr="002452B4">
        <w:t>-</w:t>
      </w:r>
      <w:r w:rsidRPr="002452B4">
        <w:rPr>
          <w:lang w:eastAsia="cs-CZ"/>
        </w:rPr>
        <w:t>3,</w:t>
      </w:r>
      <w:r w:rsidR="00B66241">
        <w:rPr>
          <w:lang w:eastAsia="cs-CZ"/>
        </w:rPr>
        <w:t>5</w:t>
      </w:r>
      <w:r w:rsidRPr="002452B4">
        <w:rPr>
          <w:lang w:eastAsia="cs-CZ"/>
        </w:rPr>
        <w:t> p. b., čo</w:t>
      </w:r>
      <w:r w:rsidR="001D6B3C" w:rsidRPr="002452B4">
        <w:rPr>
          <w:lang w:eastAsia="cs-CZ"/>
        </w:rPr>
        <w:t> </w:t>
      </w:r>
      <w:r w:rsidRPr="002452B4">
        <w:rPr>
          <w:lang w:eastAsia="cs-CZ"/>
        </w:rPr>
        <w:t>predstavuje</w:t>
      </w:r>
      <w:r w:rsidR="001A6FA7" w:rsidRPr="002452B4">
        <w:rPr>
          <w:lang w:eastAsia="cs-CZ"/>
        </w:rPr>
        <w:t xml:space="preserve"> nárast </w:t>
      </w:r>
      <w:r w:rsidRPr="002452B4">
        <w:rPr>
          <w:lang w:eastAsia="cs-CZ"/>
        </w:rPr>
        <w:t>schodku</w:t>
      </w:r>
      <w:r w:rsidR="001A6FA7" w:rsidRPr="002452B4">
        <w:rPr>
          <w:lang w:eastAsia="cs-CZ"/>
        </w:rPr>
        <w:t xml:space="preserve"> </w:t>
      </w:r>
      <w:r w:rsidRPr="002452B4">
        <w:rPr>
          <w:lang w:eastAsia="cs-CZ"/>
        </w:rPr>
        <w:t>o </w:t>
      </w:r>
      <w:r w:rsidR="001A6FA7" w:rsidRPr="002452B4">
        <w:rPr>
          <w:lang w:eastAsia="cs-CZ"/>
        </w:rPr>
        <w:t>4 5</w:t>
      </w:r>
      <w:r w:rsidR="00B66241">
        <w:rPr>
          <w:lang w:eastAsia="cs-CZ"/>
        </w:rPr>
        <w:t>61</w:t>
      </w:r>
      <w:r w:rsidR="001A6FA7" w:rsidRPr="002452B4">
        <w:rPr>
          <w:lang w:eastAsia="cs-CZ"/>
        </w:rPr>
        <w:t> </w:t>
      </w:r>
      <w:r w:rsidR="00B66241">
        <w:rPr>
          <w:lang w:eastAsia="cs-CZ"/>
        </w:rPr>
        <w:t>764</w:t>
      </w:r>
      <w:r w:rsidRPr="002452B4">
        <w:rPr>
          <w:lang w:eastAsia="cs-CZ"/>
        </w:rPr>
        <w:t> tis. eur.</w:t>
      </w:r>
    </w:p>
    <w:p w14:paraId="7A3C408A" w14:textId="717CD41D" w:rsidR="00A13F85" w:rsidRPr="00DF5367" w:rsidRDefault="00A13F85" w:rsidP="00C37C5F">
      <w:pPr>
        <w:spacing w:after="120" w:line="240" w:lineRule="auto"/>
        <w:ind w:left="425"/>
        <w:jc w:val="both"/>
      </w:pPr>
      <w:r w:rsidRPr="002452B4">
        <w:rPr>
          <w:lang w:eastAsia="cs-CZ"/>
        </w:rPr>
        <w:t>Celkové pr</w:t>
      </w:r>
      <w:r w:rsidR="00C840B2" w:rsidRPr="002452B4">
        <w:rPr>
          <w:lang w:eastAsia="cs-CZ"/>
        </w:rPr>
        <w:t>íjmy verejnej správy za rok 2023</w:t>
      </w:r>
      <w:r w:rsidRPr="002452B4">
        <w:rPr>
          <w:lang w:eastAsia="cs-CZ"/>
        </w:rPr>
        <w:t xml:space="preserve"> dosiahli </w:t>
      </w:r>
      <w:r w:rsidR="00F15071" w:rsidRPr="002452B4">
        <w:rPr>
          <w:lang w:eastAsia="cs-CZ"/>
        </w:rPr>
        <w:t>52 </w:t>
      </w:r>
      <w:r w:rsidR="00511977">
        <w:rPr>
          <w:lang w:eastAsia="cs-CZ"/>
        </w:rPr>
        <w:t>172 138</w:t>
      </w:r>
      <w:r w:rsidR="00F15071" w:rsidRPr="002452B4">
        <w:rPr>
          <w:lang w:eastAsia="cs-CZ"/>
        </w:rPr>
        <w:t> </w:t>
      </w:r>
      <w:r w:rsidRPr="002452B4">
        <w:rPr>
          <w:lang w:eastAsia="cs-CZ"/>
        </w:rPr>
        <w:t>tis. eur (4</w:t>
      </w:r>
      <w:r w:rsidR="00511977">
        <w:rPr>
          <w:lang w:eastAsia="cs-CZ"/>
        </w:rPr>
        <w:t>3</w:t>
      </w:r>
      <w:r w:rsidRPr="002452B4">
        <w:rPr>
          <w:lang w:eastAsia="cs-CZ"/>
        </w:rPr>
        <w:t>,</w:t>
      </w:r>
      <w:r w:rsidR="00511977">
        <w:rPr>
          <w:lang w:eastAsia="cs-CZ"/>
        </w:rPr>
        <w:t>3</w:t>
      </w:r>
      <w:r w:rsidRPr="002452B4">
        <w:rPr>
          <w:lang w:eastAsia="cs-CZ"/>
        </w:rPr>
        <w:t> % HDP) a celkové</w:t>
      </w:r>
      <w:r w:rsidRPr="002452B4">
        <w:t xml:space="preserve"> výdavky verejnej správy dosiahli </w:t>
      </w:r>
      <w:r w:rsidR="00F15071" w:rsidRPr="002452B4">
        <w:t>59 </w:t>
      </w:r>
      <w:r w:rsidR="00511977">
        <w:t>571</w:t>
      </w:r>
      <w:r w:rsidR="00F15071" w:rsidRPr="002452B4">
        <w:t> </w:t>
      </w:r>
      <w:r w:rsidR="00511977">
        <w:t>577</w:t>
      </w:r>
      <w:r w:rsidRPr="002452B4">
        <w:t> tis. eur (</w:t>
      </w:r>
      <w:r w:rsidR="00511977">
        <w:t>48,5</w:t>
      </w:r>
      <w:r w:rsidRPr="002452B4">
        <w:t xml:space="preserve">% HDP) pri vyčíslenom HDP </w:t>
      </w:r>
      <w:r w:rsidR="00F15071" w:rsidRPr="00DF5367">
        <w:t>122 918 887</w:t>
      </w:r>
      <w:r w:rsidRPr="00DF5367">
        <w:t> tis. eur.</w:t>
      </w:r>
    </w:p>
    <w:p w14:paraId="27655145" w14:textId="565372C4" w:rsidR="00A13F85" w:rsidRPr="00DF5367" w:rsidRDefault="00A13F85" w:rsidP="00A13F85">
      <w:pPr>
        <w:pStyle w:val="Odsekzoznamu"/>
        <w:numPr>
          <w:ilvl w:val="0"/>
          <w:numId w:val="8"/>
        </w:numPr>
        <w:ind w:left="357" w:hanging="357"/>
        <w:jc w:val="both"/>
        <w:rPr>
          <w:rFonts w:eastAsiaTheme="minorHAnsi"/>
        </w:rPr>
      </w:pPr>
      <w:r w:rsidRPr="00DF5367">
        <w:rPr>
          <w:rFonts w:eastAsiaTheme="minorHAnsi"/>
          <w:b/>
          <w:color w:val="4F81BD" w:themeColor="accent1"/>
        </w:rPr>
        <w:t>Hrubý dlh verejnej správy</w:t>
      </w:r>
      <w:r w:rsidRPr="00DF5367">
        <w:rPr>
          <w:rFonts w:eastAsiaTheme="minorHAnsi"/>
          <w:color w:val="4F81BD" w:themeColor="accent1"/>
        </w:rPr>
        <w:t xml:space="preserve"> </w:t>
      </w:r>
      <w:r w:rsidRPr="00DF5367">
        <w:rPr>
          <w:rFonts w:eastAsiaTheme="minorHAnsi"/>
        </w:rPr>
        <w:t xml:space="preserve">podľa metodiky </w:t>
      </w:r>
      <w:r w:rsidR="00D418E2" w:rsidRPr="00DF5367">
        <w:rPr>
          <w:rFonts w:eastAsiaTheme="minorHAnsi"/>
        </w:rPr>
        <w:t>ESA 2010 k </w:t>
      </w:r>
      <w:r w:rsidR="00E502BB" w:rsidRPr="00DF5367">
        <w:rPr>
          <w:rFonts w:eastAsiaTheme="minorHAnsi"/>
        </w:rPr>
        <w:t>31.12.2023</w:t>
      </w:r>
      <w:r w:rsidRPr="00DF5367">
        <w:rPr>
          <w:rFonts w:eastAsiaTheme="minorHAnsi"/>
        </w:rPr>
        <w:t xml:space="preserve"> dosiahol </w:t>
      </w:r>
      <w:r w:rsidR="002C547E" w:rsidRPr="00DF5367">
        <w:rPr>
          <w:rFonts w:eastAsiaTheme="minorHAnsi"/>
          <w:b/>
        </w:rPr>
        <w:t>68</w:t>
      </w:r>
      <w:r w:rsidR="00DF5367" w:rsidRPr="00DF5367">
        <w:rPr>
          <w:rFonts w:eastAsiaTheme="minorHAnsi"/>
          <w:b/>
        </w:rPr>
        <w:t> 897 804</w:t>
      </w:r>
      <w:r w:rsidR="002C547E" w:rsidRPr="00DF5367">
        <w:rPr>
          <w:rFonts w:eastAsiaTheme="minorHAnsi"/>
          <w:b/>
        </w:rPr>
        <w:t> tis. eur (56,1</w:t>
      </w:r>
      <w:r w:rsidRPr="00DF5367">
        <w:rPr>
          <w:rFonts w:eastAsiaTheme="minorHAnsi"/>
          <w:b/>
        </w:rPr>
        <w:t xml:space="preserve"> % HDP). </w:t>
      </w:r>
      <w:r w:rsidRPr="00DF5367">
        <w:rPr>
          <w:rFonts w:eastAsiaTheme="minorHAnsi"/>
        </w:rPr>
        <w:t>Oproti</w:t>
      </w:r>
      <w:r w:rsidRPr="00DF5367">
        <w:rPr>
          <w:rFonts w:eastAsiaTheme="minorHAnsi" w:cs="Times New Roman"/>
          <w:iCs/>
        </w:rPr>
        <w:t xml:space="preserve"> jarnej notifikácii došlo k jeho revízi</w:t>
      </w:r>
      <w:r w:rsidR="002175EF" w:rsidRPr="00DF5367">
        <w:rPr>
          <w:rFonts w:eastAsiaTheme="minorHAnsi" w:cs="Times New Roman"/>
          <w:iCs/>
        </w:rPr>
        <w:t>i</w:t>
      </w:r>
      <w:r w:rsidRPr="00DF5367">
        <w:rPr>
          <w:rFonts w:eastAsiaTheme="minorHAnsi" w:cs="Times New Roman"/>
          <w:iCs/>
        </w:rPr>
        <w:t xml:space="preserve"> smerom </w:t>
      </w:r>
      <w:r w:rsidR="002C547E" w:rsidRPr="00DF5367">
        <w:rPr>
          <w:rFonts w:eastAsiaTheme="minorHAnsi" w:cs="Times New Roman"/>
          <w:iCs/>
        </w:rPr>
        <w:t>nahor</w:t>
      </w:r>
      <w:r w:rsidRPr="00DF5367">
        <w:rPr>
          <w:rFonts w:eastAsiaTheme="minorHAnsi" w:cs="Times New Roman"/>
          <w:iCs/>
        </w:rPr>
        <w:t xml:space="preserve"> o</w:t>
      </w:r>
      <w:r w:rsidR="00DF5367" w:rsidRPr="00DF5367">
        <w:rPr>
          <w:rFonts w:eastAsiaTheme="minorHAnsi" w:cs="Times New Roman"/>
          <w:iCs/>
        </w:rPr>
        <w:t> 67 413</w:t>
      </w:r>
      <w:r w:rsidR="002C547E" w:rsidRPr="00DF5367">
        <w:rPr>
          <w:rFonts w:eastAsiaTheme="minorHAnsi" w:cs="Times New Roman"/>
          <w:iCs/>
        </w:rPr>
        <w:t> </w:t>
      </w:r>
      <w:r w:rsidR="00144672" w:rsidRPr="00DF5367">
        <w:rPr>
          <w:rFonts w:eastAsiaTheme="minorHAnsi" w:cs="Times New Roman"/>
          <w:iCs/>
        </w:rPr>
        <w:t>tis. eur, pričom </w:t>
      </w:r>
      <w:r w:rsidRPr="00DF5367">
        <w:rPr>
          <w:rFonts w:eastAsiaTheme="minorHAnsi" w:cs="Times New Roman"/>
          <w:iCs/>
        </w:rPr>
        <w:t xml:space="preserve">v percentuálnom vyjadrení voči HDP sa dlh </w:t>
      </w:r>
      <w:r w:rsidR="002C547E" w:rsidRPr="00DF5367">
        <w:rPr>
          <w:rFonts w:eastAsiaTheme="minorHAnsi" w:cs="Times New Roman"/>
          <w:iCs/>
        </w:rPr>
        <w:t>zväčšil len o 0,1 p. b</w:t>
      </w:r>
      <w:r w:rsidRPr="00DF5367">
        <w:rPr>
          <w:rFonts w:eastAsiaTheme="minorHAnsi" w:cs="Times New Roman"/>
          <w:iCs/>
        </w:rPr>
        <w:t xml:space="preserve">. Medziročne sa dlh </w:t>
      </w:r>
      <w:r w:rsidR="00E53DF0" w:rsidRPr="00DF5367">
        <w:rPr>
          <w:rFonts w:eastAsiaTheme="minorHAnsi" w:cs="Times New Roman"/>
          <w:iCs/>
        </w:rPr>
        <w:t>znížil o 1,6</w:t>
      </w:r>
      <w:r w:rsidRPr="00DF5367">
        <w:rPr>
          <w:rFonts w:eastAsiaTheme="minorHAnsi" w:cs="Times New Roman"/>
          <w:iCs/>
        </w:rPr>
        <w:t xml:space="preserve">  p. b., v nominálnom vyjadrení </w:t>
      </w:r>
      <w:r w:rsidR="00144672" w:rsidRPr="00DF5367">
        <w:rPr>
          <w:rFonts w:eastAsiaTheme="minorHAnsi" w:cs="Times New Roman"/>
          <w:iCs/>
        </w:rPr>
        <w:t>však vzrástol o</w:t>
      </w:r>
      <w:r w:rsidR="00E53DF0" w:rsidRPr="00DF5367">
        <w:rPr>
          <w:rFonts w:eastAsiaTheme="minorHAnsi" w:cs="Times New Roman"/>
          <w:iCs/>
        </w:rPr>
        <w:t> 5</w:t>
      </w:r>
      <w:r w:rsidR="00DF5367" w:rsidRPr="00DF5367">
        <w:rPr>
          <w:rFonts w:eastAsiaTheme="minorHAnsi" w:cs="Times New Roman"/>
          <w:iCs/>
        </w:rPr>
        <w:t> 398 834</w:t>
      </w:r>
      <w:r w:rsidR="00144672" w:rsidRPr="00DF5367">
        <w:rPr>
          <w:rFonts w:eastAsiaTheme="minorHAnsi" w:cs="Times New Roman"/>
          <w:iCs/>
        </w:rPr>
        <w:t> tis. </w:t>
      </w:r>
      <w:r w:rsidRPr="00DF5367">
        <w:rPr>
          <w:rFonts w:eastAsiaTheme="minorHAnsi" w:cs="Times New Roman"/>
          <w:iCs/>
        </w:rPr>
        <w:t>eur.</w:t>
      </w:r>
    </w:p>
    <w:p w14:paraId="74EB9CB4" w14:textId="77777777" w:rsidR="00A13F85" w:rsidRPr="00653945" w:rsidRDefault="00A13F85" w:rsidP="00A13F85">
      <w:pPr>
        <w:pStyle w:val="Odsekzoznamu"/>
        <w:ind w:left="357"/>
        <w:jc w:val="both"/>
        <w:rPr>
          <w:rFonts w:eastAsiaTheme="minorHAnsi"/>
        </w:rPr>
      </w:pPr>
    </w:p>
    <w:p w14:paraId="03A321C4" w14:textId="77777777" w:rsidR="00442DE1" w:rsidRPr="00442DE1" w:rsidRDefault="00442DE1" w:rsidP="00442DE1">
      <w:pPr>
        <w:pStyle w:val="Odsekzoznamu"/>
        <w:numPr>
          <w:ilvl w:val="0"/>
          <w:numId w:val="8"/>
        </w:numPr>
        <w:ind w:left="357" w:hanging="357"/>
        <w:jc w:val="both"/>
        <w:rPr>
          <w:rFonts w:eastAsiaTheme="minorHAnsi"/>
        </w:rPr>
      </w:pPr>
      <w:r w:rsidRPr="00442DE1">
        <w:rPr>
          <w:b/>
          <w:color w:val="4F81BD" w:themeColor="accent1"/>
        </w:rPr>
        <w:t>V rámci Európskej únie (27 krajín)</w:t>
      </w:r>
      <w:r w:rsidRPr="00442DE1">
        <w:rPr>
          <w:color w:val="4F81BD" w:themeColor="accent1"/>
        </w:rPr>
        <w:t xml:space="preserve"> </w:t>
      </w:r>
      <w:r w:rsidRPr="00442DE1">
        <w:t xml:space="preserve">v roku 2023 dosiahlo 5 krajín vyšší schodok a 13 krajín dosiahlo vyšší dlh verejnej správy ako Slovenská republika. </w:t>
      </w:r>
      <w:r w:rsidRPr="00442DE1">
        <w:rPr>
          <w:b/>
        </w:rPr>
        <w:t xml:space="preserve">Priemerný schodok EÚ27 bol 3,5 % HDP a priemerný dlh verejnej správy EÚ27 bol 80,8 % HDP v roku 2023. </w:t>
      </w:r>
      <w:r w:rsidRPr="00442DE1">
        <w:t>V priemere sa schodok EÚ27 medziročne zhoršil o 0,3 p. b. (deficit SR vzrástol o 3,5 p. b.) a hrubý dlh EÚ27 sa medziročne znížil o 1,7 p. b. (dlh SR poklesol o 1,6 p. b.).</w:t>
      </w:r>
    </w:p>
    <w:p w14:paraId="0B75476C" w14:textId="77777777" w:rsidR="003C1501" w:rsidRPr="003C1501" w:rsidRDefault="003C1501" w:rsidP="003C1501">
      <w:pPr>
        <w:pStyle w:val="Odsekzoznamu"/>
        <w:rPr>
          <w:rFonts w:eastAsiaTheme="minorHAnsi"/>
        </w:rPr>
      </w:pPr>
    </w:p>
    <w:p w14:paraId="44B7EEFB" w14:textId="30A4EA0A" w:rsidR="00A13F85" w:rsidRPr="00103208" w:rsidRDefault="003C1501" w:rsidP="003C1501">
      <w:pPr>
        <w:pStyle w:val="Odsekzoznamu"/>
        <w:numPr>
          <w:ilvl w:val="0"/>
          <w:numId w:val="8"/>
        </w:numPr>
        <w:ind w:left="357" w:hanging="357"/>
        <w:jc w:val="both"/>
        <w:rPr>
          <w:rFonts w:eastAsiaTheme="minorHAnsi"/>
        </w:rPr>
      </w:pPr>
      <w:r w:rsidRPr="00103208">
        <w:rPr>
          <w:b/>
          <w:color w:val="4F81BD" w:themeColor="accent1"/>
        </w:rPr>
        <w:t>Štrukturálne saldo dosiahlo</w:t>
      </w:r>
      <w:r w:rsidRPr="00103208">
        <w:rPr>
          <w:color w:val="4F81BD" w:themeColor="accent1"/>
        </w:rPr>
        <w:t xml:space="preserve"> </w:t>
      </w:r>
      <w:r w:rsidR="00E502BB" w:rsidRPr="00103208">
        <w:t>v roku 2023</w:t>
      </w:r>
      <w:r w:rsidRPr="00103208">
        <w:t xml:space="preserve"> hodnotu </w:t>
      </w:r>
      <w:r w:rsidR="00C26B73" w:rsidRPr="00103208">
        <w:t>-3,</w:t>
      </w:r>
      <w:r w:rsidR="00FD51B6">
        <w:t>1</w:t>
      </w:r>
      <w:r w:rsidRPr="00103208">
        <w:t xml:space="preserve"> % HDP a medziročne </w:t>
      </w:r>
      <w:r w:rsidR="002175EF">
        <w:t>sa zhoršilo</w:t>
      </w:r>
      <w:r w:rsidRPr="00103208">
        <w:t xml:space="preserve"> o</w:t>
      </w:r>
      <w:r w:rsidR="00FD51B6">
        <w:t> 1,9</w:t>
      </w:r>
      <w:r w:rsidRPr="00103208">
        <w:t> p. b.</w:t>
      </w:r>
      <w:r w:rsidR="00E502BB" w:rsidRPr="00103208">
        <w:t xml:space="preserve"> v pomere k HDP. V roku 2023</w:t>
      </w:r>
      <w:r w:rsidRPr="00103208">
        <w:t xml:space="preserve"> boli identifikované </w:t>
      </w:r>
      <w:r w:rsidRPr="00103208">
        <w:rPr>
          <w:u w:val="single"/>
        </w:rPr>
        <w:t>jednorazové vplyvy</w:t>
      </w:r>
      <w:r w:rsidRPr="00103208">
        <w:t xml:space="preserve"> o</w:t>
      </w:r>
      <w:r w:rsidR="00121E5E" w:rsidRPr="00103208">
        <w:t> 1,</w:t>
      </w:r>
      <w:r w:rsidR="00FD51B6">
        <w:t>3</w:t>
      </w:r>
      <w:r w:rsidRPr="00103208">
        <w:t xml:space="preserve"> p. b. voči HDP </w:t>
      </w:r>
      <w:r w:rsidR="00121E5E" w:rsidRPr="00103208">
        <w:t>vyššie</w:t>
      </w:r>
      <w:r w:rsidRPr="00103208">
        <w:t xml:space="preserve"> ako v roku 202</w:t>
      </w:r>
      <w:r w:rsidR="00E502BB" w:rsidRPr="00103208">
        <w:t>2</w:t>
      </w:r>
      <w:r w:rsidRPr="00103208">
        <w:t>. Jednorazové vplyvy súviseli najmä s</w:t>
      </w:r>
      <w:r w:rsidR="00F75778" w:rsidRPr="00103208">
        <w:t xml:space="preserve"> podporou </w:t>
      </w:r>
      <w:r w:rsidR="002175EF">
        <w:t>platenia</w:t>
      </w:r>
      <w:r w:rsidR="002175EF" w:rsidRPr="00103208">
        <w:t xml:space="preserve"> </w:t>
      </w:r>
      <w:r w:rsidR="00F75778" w:rsidRPr="00103208">
        <w:t>vysokých cien energií</w:t>
      </w:r>
      <w:r w:rsidRPr="00103208">
        <w:t xml:space="preserve"> </w:t>
      </w:r>
      <w:r w:rsidR="00FD51B6">
        <w:t xml:space="preserve">(očistené o príjmy z fondov EÚ) </w:t>
      </w:r>
      <w:r w:rsidRPr="00103208">
        <w:t>približne za</w:t>
      </w:r>
      <w:r w:rsidR="00725EBD" w:rsidRPr="00103208">
        <w:t> </w:t>
      </w:r>
      <w:r w:rsidR="00F75778" w:rsidRPr="00103208">
        <w:t>2</w:t>
      </w:r>
      <w:r w:rsidR="00B634E0">
        <w:t> 166 600</w:t>
      </w:r>
      <w:r w:rsidRPr="00103208">
        <w:t> </w:t>
      </w:r>
      <w:r w:rsidR="00B634E0">
        <w:t>tis</w:t>
      </w:r>
      <w:r w:rsidRPr="00103208">
        <w:t>.</w:t>
      </w:r>
      <w:r w:rsidR="00B634E0">
        <w:t> </w:t>
      </w:r>
      <w:r w:rsidRPr="00103208">
        <w:t xml:space="preserve">eur. </w:t>
      </w:r>
      <w:r w:rsidRPr="00103208">
        <w:rPr>
          <w:u w:val="single"/>
        </w:rPr>
        <w:t>Cyklický vývoj</w:t>
      </w:r>
      <w:r w:rsidRPr="00103208">
        <w:t xml:space="preserve"> mal v roku 202</w:t>
      </w:r>
      <w:r w:rsidR="00C23EC2" w:rsidRPr="00103208">
        <w:t>3</w:t>
      </w:r>
      <w:r w:rsidRPr="00103208">
        <w:t xml:space="preserve"> mierne </w:t>
      </w:r>
      <w:r w:rsidR="00C23EC2" w:rsidRPr="00103208">
        <w:t>pozitívny</w:t>
      </w:r>
      <w:r w:rsidRPr="00103208">
        <w:t xml:space="preserve"> vplyv na štrukturálne sal</w:t>
      </w:r>
      <w:r w:rsidR="00C23EC2" w:rsidRPr="00103208">
        <w:t>do verejnej správy vo výške 0,2</w:t>
      </w:r>
      <w:r w:rsidR="00C37C5F" w:rsidRPr="00103208">
        <w:t> </w:t>
      </w:r>
      <w:r w:rsidRPr="00103208">
        <w:t>% HDP</w:t>
      </w:r>
      <w:r w:rsidR="00404D6A">
        <w:t>.</w:t>
      </w:r>
      <w:r w:rsidR="00357D75" w:rsidRPr="00103208">
        <w:rPr>
          <w:rFonts w:cs="Times New Roman"/>
        </w:rPr>
        <w:t xml:space="preserve"> V roku 2023 </w:t>
      </w:r>
      <w:r w:rsidR="002175EF">
        <w:rPr>
          <w:rFonts w:cs="Times New Roman"/>
        </w:rPr>
        <w:t xml:space="preserve">sa </w:t>
      </w:r>
      <w:r w:rsidR="00357D75" w:rsidRPr="00103208">
        <w:rPr>
          <w:rFonts w:cs="Times New Roman"/>
        </w:rPr>
        <w:t>ekonomika oproti predošlému roku dostala mierne pod svoj potenciál.</w:t>
      </w:r>
    </w:p>
    <w:p w14:paraId="1C38C4F1" w14:textId="77777777" w:rsidR="003C1501" w:rsidRPr="00103208" w:rsidRDefault="003C1501" w:rsidP="00A13F85">
      <w:pPr>
        <w:pStyle w:val="Odsekzoznamu"/>
        <w:ind w:left="357"/>
        <w:jc w:val="both"/>
      </w:pPr>
    </w:p>
    <w:p w14:paraId="4C9FA02B" w14:textId="2B239F18" w:rsidR="00A13F85" w:rsidRPr="00004FCF" w:rsidRDefault="00A13F85" w:rsidP="00E65F50">
      <w:pPr>
        <w:pStyle w:val="Odsekzoznamu"/>
        <w:numPr>
          <w:ilvl w:val="0"/>
          <w:numId w:val="8"/>
        </w:numPr>
        <w:jc w:val="both"/>
        <w:rPr>
          <w:rFonts w:eastAsia="Calibri" w:cs="Times New Roman"/>
        </w:rPr>
      </w:pPr>
      <w:r w:rsidRPr="00004FCF">
        <w:rPr>
          <w:rFonts w:eastAsia="Calibri" w:cs="Times New Roman"/>
          <w:b/>
          <w:color w:val="4F81BD" w:themeColor="accent1"/>
        </w:rPr>
        <w:t xml:space="preserve">Čisté bohatstvo </w:t>
      </w:r>
      <w:r w:rsidRPr="00004FCF">
        <w:rPr>
          <w:rFonts w:eastAsia="Calibri" w:cs="Times New Roman"/>
          <w:b/>
        </w:rPr>
        <w:t>verejného sektora dosiahlo k 31.12.202</w:t>
      </w:r>
      <w:r w:rsidR="002609F7" w:rsidRPr="00004FCF">
        <w:rPr>
          <w:rFonts w:eastAsia="Calibri" w:cs="Times New Roman"/>
          <w:b/>
        </w:rPr>
        <w:t>3</w:t>
      </w:r>
      <w:r w:rsidRPr="00004FCF">
        <w:rPr>
          <w:rFonts w:eastAsia="Calibri" w:cs="Times New Roman"/>
          <w:b/>
        </w:rPr>
        <w:t xml:space="preserve"> zápornú hodnotu </w:t>
      </w:r>
      <w:r w:rsidR="00EA24EF" w:rsidRPr="00004FCF">
        <w:rPr>
          <w:rFonts w:eastAsia="Calibri" w:cs="Times New Roman"/>
          <w:b/>
        </w:rPr>
        <w:t>184,</w:t>
      </w:r>
      <w:r w:rsidR="004D02C1">
        <w:rPr>
          <w:rFonts w:eastAsia="Calibri" w:cs="Times New Roman"/>
          <w:b/>
        </w:rPr>
        <w:t>4</w:t>
      </w:r>
      <w:r w:rsidRPr="00004FCF">
        <w:rPr>
          <w:rFonts w:eastAsia="Calibri" w:cs="Times New Roman"/>
          <w:b/>
        </w:rPr>
        <w:t> % HDP</w:t>
      </w:r>
      <w:r w:rsidR="00144672" w:rsidRPr="00004FCF">
        <w:rPr>
          <w:rFonts w:eastAsia="Calibri" w:cs="Times New Roman"/>
        </w:rPr>
        <w:t>.</w:t>
      </w:r>
      <w:r w:rsidR="00187EC7">
        <w:rPr>
          <w:rFonts w:eastAsia="Calibri" w:cs="Times New Roman"/>
        </w:rPr>
        <w:br/>
      </w:r>
      <w:r w:rsidR="00EA24EF" w:rsidRPr="00004FCF">
        <w:rPr>
          <w:rFonts w:eastAsia="Calibri" w:cs="Times New Roman"/>
        </w:rPr>
        <w:t>Oproti predchádzajúcemu roku sa hodnota čistého bohatstva zlepšila o 196 475 tis. eur</w:t>
      </w:r>
      <w:r w:rsidR="00187EC7">
        <w:rPr>
          <w:rFonts w:eastAsia="Calibri" w:cs="Times New Roman"/>
        </w:rPr>
        <w:t>, n</w:t>
      </w:r>
      <w:r w:rsidRPr="00004FCF">
        <w:rPr>
          <w:rFonts w:eastAsia="Calibri" w:cs="Times New Roman"/>
        </w:rPr>
        <w:t>ajmä</w:t>
      </w:r>
      <w:r w:rsidR="00FA7176" w:rsidRPr="00004FCF">
        <w:rPr>
          <w:rFonts w:eastAsia="Calibri" w:cs="Times New Roman"/>
        </w:rPr>
        <w:t xml:space="preserve"> nižšou hodnotou odhadovaných</w:t>
      </w:r>
      <w:r w:rsidRPr="00004FCF">
        <w:rPr>
          <w:rFonts w:eastAsia="Calibri" w:cs="Times New Roman"/>
        </w:rPr>
        <w:t xml:space="preserve"> implicitných záväzko</w:t>
      </w:r>
      <w:r w:rsidR="00FA7176" w:rsidRPr="00004FCF">
        <w:rPr>
          <w:rFonts w:eastAsia="Calibri" w:cs="Times New Roman"/>
        </w:rPr>
        <w:t>v</w:t>
      </w:r>
      <w:r w:rsidRPr="00004FCF">
        <w:rPr>
          <w:rFonts w:eastAsia="Calibri" w:cs="Times New Roman"/>
        </w:rPr>
        <w:t xml:space="preserve"> </w:t>
      </w:r>
      <w:r w:rsidR="00AC041C" w:rsidRPr="00004FCF">
        <w:rPr>
          <w:rFonts w:eastAsia="Calibri" w:cs="Times New Roman"/>
        </w:rPr>
        <w:t>súvisiacich s dôc</w:t>
      </w:r>
      <w:r w:rsidR="00FA7176" w:rsidRPr="00004FCF">
        <w:rPr>
          <w:rFonts w:eastAsia="Calibri" w:cs="Times New Roman"/>
        </w:rPr>
        <w:t>hodkovým systémom a zdravotnou či</w:t>
      </w:r>
      <w:r w:rsidR="00AC041C" w:rsidRPr="00004FCF">
        <w:rPr>
          <w:rFonts w:eastAsia="Calibri" w:cs="Times New Roman"/>
        </w:rPr>
        <w:t> dlhodobou starostlivosťou</w:t>
      </w:r>
      <w:r w:rsidR="00FA7176" w:rsidRPr="00004FCF">
        <w:rPr>
          <w:rFonts w:eastAsia="Calibri" w:cs="Times New Roman"/>
        </w:rPr>
        <w:t>.</w:t>
      </w:r>
      <w:r w:rsidRPr="00004FCF">
        <w:rPr>
          <w:rFonts w:eastAsia="Calibri" w:cs="Times New Roman"/>
        </w:rPr>
        <w:t xml:space="preserve"> </w:t>
      </w:r>
      <w:r w:rsidRPr="00004FCF">
        <w:rPr>
          <w:rFonts w:eastAsia="Calibri"/>
        </w:rPr>
        <w:t xml:space="preserve">K medziročnému </w:t>
      </w:r>
      <w:r w:rsidR="007A7425" w:rsidRPr="00004FCF">
        <w:rPr>
          <w:rFonts w:eastAsia="Calibri"/>
        </w:rPr>
        <w:t>zníženiu</w:t>
      </w:r>
      <w:r w:rsidRPr="00004FCF">
        <w:rPr>
          <w:rFonts w:eastAsia="Calibri"/>
        </w:rPr>
        <w:t xml:space="preserve"> implicitných záväzkov v roku 202</w:t>
      </w:r>
      <w:r w:rsidR="00EA24EF" w:rsidRPr="00004FCF">
        <w:rPr>
          <w:rFonts w:eastAsia="Calibri"/>
        </w:rPr>
        <w:t>3</w:t>
      </w:r>
      <w:r w:rsidRPr="00004FCF">
        <w:rPr>
          <w:rFonts w:eastAsia="Calibri"/>
        </w:rPr>
        <w:t xml:space="preserve"> prispeli </w:t>
      </w:r>
      <w:r w:rsidR="007A7425" w:rsidRPr="00004FCF">
        <w:rPr>
          <w:rFonts w:eastAsia="Calibri"/>
        </w:rPr>
        <w:t>najmä</w:t>
      </w:r>
      <w:r w:rsidRPr="00004FCF">
        <w:rPr>
          <w:rFonts w:eastAsia="Calibri"/>
        </w:rPr>
        <w:t xml:space="preserve"> zmeny ovplyvňujúce záväzky zo starnutia populácie, ktoré </w:t>
      </w:r>
      <w:r w:rsidR="007A7425" w:rsidRPr="00004FCF">
        <w:rPr>
          <w:rFonts w:eastAsia="Calibri"/>
        </w:rPr>
        <w:t>poklesli</w:t>
      </w:r>
      <w:r w:rsidRPr="00004FCF">
        <w:rPr>
          <w:rFonts w:eastAsia="Calibri"/>
        </w:rPr>
        <w:t xml:space="preserve"> o</w:t>
      </w:r>
      <w:r w:rsidR="00D873A0" w:rsidRPr="00004FCF">
        <w:rPr>
          <w:rFonts w:eastAsia="Calibri"/>
        </w:rPr>
        <w:t xml:space="preserve"> takmer</w:t>
      </w:r>
      <w:r w:rsidR="00144672" w:rsidRPr="00004FCF">
        <w:rPr>
          <w:rFonts w:eastAsia="Calibri"/>
        </w:rPr>
        <w:t> </w:t>
      </w:r>
      <w:r w:rsidR="00004FCF" w:rsidRPr="00004FCF">
        <w:rPr>
          <w:rFonts w:eastAsia="Calibri"/>
        </w:rPr>
        <w:t>204,6</w:t>
      </w:r>
      <w:r w:rsidR="00144672" w:rsidRPr="00004FCF">
        <w:rPr>
          <w:rFonts w:eastAsia="Calibri"/>
        </w:rPr>
        <w:t> </w:t>
      </w:r>
      <w:r w:rsidR="007A7425" w:rsidRPr="00004FCF">
        <w:rPr>
          <w:rFonts w:eastAsia="Calibri"/>
        </w:rPr>
        <w:t>p.</w:t>
      </w:r>
      <w:r w:rsidR="00144672" w:rsidRPr="00004FCF">
        <w:rPr>
          <w:rFonts w:eastAsia="Calibri"/>
        </w:rPr>
        <w:t> </w:t>
      </w:r>
      <w:r w:rsidR="007A7425" w:rsidRPr="00004FCF">
        <w:rPr>
          <w:rFonts w:eastAsia="Calibri"/>
        </w:rPr>
        <w:t>b</w:t>
      </w:r>
      <w:r w:rsidR="00004FCF" w:rsidRPr="00004FCF">
        <w:rPr>
          <w:rFonts w:eastAsia="Calibri"/>
        </w:rPr>
        <w:t>.</w:t>
      </w:r>
    </w:p>
    <w:p w14:paraId="0BF87463" w14:textId="77777777" w:rsidR="00004FCF" w:rsidRPr="00004FCF" w:rsidRDefault="00004FCF" w:rsidP="00004FCF">
      <w:pPr>
        <w:pStyle w:val="Odsekzoznamu"/>
        <w:rPr>
          <w:rFonts w:eastAsia="Calibri" w:cs="Times New Roman"/>
          <w:highlight w:val="yellow"/>
        </w:rPr>
      </w:pPr>
    </w:p>
    <w:p w14:paraId="4951C276" w14:textId="068831F6" w:rsidR="008B4C00" w:rsidRDefault="00A13F85" w:rsidP="00A13F85">
      <w:pPr>
        <w:pStyle w:val="Odsekzoznamu"/>
        <w:numPr>
          <w:ilvl w:val="0"/>
          <w:numId w:val="8"/>
        </w:numPr>
        <w:ind w:left="357" w:hanging="357"/>
        <w:jc w:val="both"/>
        <w:rPr>
          <w:rFonts w:eastAsia="Calibri" w:cs="Times New Roman"/>
        </w:rPr>
      </w:pPr>
      <w:r w:rsidRPr="00083DE2">
        <w:rPr>
          <w:rFonts w:eastAsia="Calibri" w:cs="Times New Roman"/>
          <w:b/>
          <w:color w:val="4F81BD" w:themeColor="accent1"/>
        </w:rPr>
        <w:t>Hodnota aktív ako aj pasív súhrnného celku</w:t>
      </w:r>
      <w:r w:rsidRPr="00083DE2">
        <w:rPr>
          <w:rFonts w:eastAsia="Calibri" w:cs="Times New Roman"/>
          <w:b/>
        </w:rPr>
        <w:t xml:space="preserve"> verejnej správy k 31.12.202</w:t>
      </w:r>
      <w:r w:rsidR="00542ED7">
        <w:rPr>
          <w:rFonts w:eastAsia="Calibri" w:cs="Times New Roman"/>
          <w:b/>
        </w:rPr>
        <w:t>3</w:t>
      </w:r>
      <w:r w:rsidRPr="00083DE2">
        <w:rPr>
          <w:rFonts w:eastAsia="Calibri" w:cs="Times New Roman"/>
          <w:b/>
        </w:rPr>
        <w:t xml:space="preserve"> bola</w:t>
      </w:r>
      <w:r w:rsidRPr="00083DE2">
        <w:rPr>
          <w:rFonts w:eastAsia="Calibri" w:cs="Times New Roman"/>
          <w:b/>
        </w:rPr>
        <w:br/>
        <w:t>8</w:t>
      </w:r>
      <w:r w:rsidR="00616669">
        <w:rPr>
          <w:rFonts w:eastAsia="Calibri" w:cs="Times New Roman"/>
          <w:b/>
        </w:rPr>
        <w:t>9 831 </w:t>
      </w:r>
      <w:r w:rsidR="002B6A36">
        <w:rPr>
          <w:rFonts w:eastAsia="Calibri" w:cs="Times New Roman"/>
          <w:b/>
        </w:rPr>
        <w:t>258</w:t>
      </w:r>
      <w:r w:rsidRPr="00083DE2">
        <w:rPr>
          <w:rFonts w:eastAsia="Calibri" w:cs="Times New Roman"/>
          <w:b/>
        </w:rPr>
        <w:t> tis. eur</w:t>
      </w:r>
      <w:r w:rsidRPr="00083DE2">
        <w:rPr>
          <w:rFonts w:eastAsia="Calibri" w:cs="Times New Roman"/>
        </w:rPr>
        <w:t xml:space="preserve"> (</w:t>
      </w:r>
      <w:r w:rsidR="00083DE2">
        <w:rPr>
          <w:rFonts w:eastAsia="Calibri" w:cs="Times New Roman"/>
        </w:rPr>
        <w:t>73,</w:t>
      </w:r>
      <w:r w:rsidR="004D02C1">
        <w:rPr>
          <w:rFonts w:eastAsia="Calibri" w:cs="Times New Roman"/>
        </w:rPr>
        <w:t>1</w:t>
      </w:r>
      <w:r w:rsidRPr="00083DE2">
        <w:rPr>
          <w:rFonts w:eastAsia="Calibri" w:cs="Times New Roman"/>
        </w:rPr>
        <w:t> % HDP) a medziročne sa zvýšili o</w:t>
      </w:r>
      <w:r w:rsidR="002B6A36">
        <w:rPr>
          <w:rFonts w:eastAsia="Calibri" w:cs="Times New Roman"/>
        </w:rPr>
        <w:t> 4 245 979</w:t>
      </w:r>
      <w:r w:rsidR="00616669">
        <w:rPr>
          <w:rFonts w:eastAsia="Calibri" w:cs="Times New Roman"/>
        </w:rPr>
        <w:t> </w:t>
      </w:r>
      <w:r w:rsidR="00083DE2">
        <w:rPr>
          <w:rFonts w:eastAsia="Calibri" w:cs="Times New Roman"/>
        </w:rPr>
        <w:t>tis.</w:t>
      </w:r>
      <w:r w:rsidR="00616669">
        <w:rPr>
          <w:rFonts w:eastAsia="Calibri" w:cs="Times New Roman"/>
        </w:rPr>
        <w:t> </w:t>
      </w:r>
      <w:r w:rsidR="00083DE2">
        <w:rPr>
          <w:rFonts w:eastAsia="Calibri" w:cs="Times New Roman"/>
        </w:rPr>
        <w:t>eur</w:t>
      </w:r>
      <w:r w:rsidRPr="00083DE2">
        <w:rPr>
          <w:rFonts w:eastAsia="Calibri" w:cs="Times New Roman"/>
        </w:rPr>
        <w:t xml:space="preserve">. Z položiek aktív rástla najmä hodnota </w:t>
      </w:r>
      <w:r w:rsidR="008B4C00">
        <w:rPr>
          <w:rFonts w:eastAsia="Calibri" w:cs="Times New Roman"/>
        </w:rPr>
        <w:t>hmotného majetku o 3 970</w:t>
      </w:r>
      <w:r w:rsidR="00F05659">
        <w:rPr>
          <w:rFonts w:eastAsia="Calibri" w:cs="Times New Roman"/>
        </w:rPr>
        <w:t> </w:t>
      </w:r>
      <w:r w:rsidR="008B4C00">
        <w:rPr>
          <w:rFonts w:eastAsia="Calibri" w:cs="Times New Roman"/>
        </w:rPr>
        <w:t>394</w:t>
      </w:r>
      <w:r w:rsidR="00F05659">
        <w:rPr>
          <w:rFonts w:eastAsia="Calibri" w:cs="Times New Roman"/>
        </w:rPr>
        <w:t> </w:t>
      </w:r>
      <w:r w:rsidR="008B4C00">
        <w:rPr>
          <w:rFonts w:eastAsia="Calibri" w:cs="Times New Roman"/>
        </w:rPr>
        <w:t>tis.</w:t>
      </w:r>
      <w:r w:rsidR="00F05659">
        <w:rPr>
          <w:rFonts w:eastAsia="Calibri" w:cs="Times New Roman"/>
        </w:rPr>
        <w:t> </w:t>
      </w:r>
      <w:r w:rsidR="008B4C00">
        <w:rPr>
          <w:rFonts w:eastAsia="Calibri" w:cs="Times New Roman"/>
        </w:rPr>
        <w:t>eur, ktorá je ovplyvnená minimálnou mierou vnútornej konsolidácie. Z hmotného majetku vzrástla účtovná hodnota stavieb o 1 191</w:t>
      </w:r>
      <w:r w:rsidR="00F05659">
        <w:rPr>
          <w:rFonts w:eastAsia="Calibri" w:cs="Times New Roman"/>
        </w:rPr>
        <w:t> </w:t>
      </w:r>
      <w:r w:rsidR="008B4C00">
        <w:rPr>
          <w:rFonts w:eastAsia="Calibri" w:cs="Times New Roman"/>
        </w:rPr>
        <w:t>530</w:t>
      </w:r>
      <w:r w:rsidR="00F05659">
        <w:rPr>
          <w:rFonts w:eastAsia="Calibri" w:cs="Times New Roman"/>
        </w:rPr>
        <w:t> </w:t>
      </w:r>
      <w:r w:rsidR="008B4C00">
        <w:rPr>
          <w:rFonts w:eastAsia="Calibri" w:cs="Times New Roman"/>
        </w:rPr>
        <w:t>tis.</w:t>
      </w:r>
      <w:r w:rsidR="00F05659">
        <w:rPr>
          <w:rFonts w:eastAsia="Calibri" w:cs="Times New Roman"/>
        </w:rPr>
        <w:t> </w:t>
      </w:r>
      <w:r w:rsidR="008B4C00">
        <w:rPr>
          <w:rFonts w:eastAsia="Calibri" w:cs="Times New Roman"/>
        </w:rPr>
        <w:t>eur, obstarania majetku o 1 334</w:t>
      </w:r>
      <w:r w:rsidR="00F05659">
        <w:rPr>
          <w:rFonts w:eastAsia="Calibri" w:cs="Times New Roman"/>
        </w:rPr>
        <w:t> </w:t>
      </w:r>
      <w:r w:rsidR="008B4C00">
        <w:rPr>
          <w:rFonts w:eastAsia="Calibri" w:cs="Times New Roman"/>
        </w:rPr>
        <w:t>915</w:t>
      </w:r>
      <w:r w:rsidR="00F05659">
        <w:rPr>
          <w:rFonts w:eastAsia="Calibri" w:cs="Times New Roman"/>
        </w:rPr>
        <w:t> </w:t>
      </w:r>
      <w:r w:rsidR="008B4C00">
        <w:rPr>
          <w:rFonts w:eastAsia="Calibri" w:cs="Times New Roman"/>
        </w:rPr>
        <w:t>tis.</w:t>
      </w:r>
      <w:r w:rsidR="00F05659">
        <w:rPr>
          <w:rFonts w:eastAsia="Calibri" w:cs="Times New Roman"/>
        </w:rPr>
        <w:t> </w:t>
      </w:r>
      <w:r w:rsidR="008B4C00">
        <w:rPr>
          <w:rFonts w:eastAsia="Calibri" w:cs="Times New Roman"/>
        </w:rPr>
        <w:t>eur, samostatných hnuteľných vecí o 654</w:t>
      </w:r>
      <w:r w:rsidR="00F05659">
        <w:rPr>
          <w:rFonts w:eastAsia="Calibri" w:cs="Times New Roman"/>
        </w:rPr>
        <w:t> </w:t>
      </w:r>
      <w:r w:rsidR="008B4C00">
        <w:rPr>
          <w:rFonts w:eastAsia="Calibri" w:cs="Times New Roman"/>
        </w:rPr>
        <w:t>703</w:t>
      </w:r>
      <w:r w:rsidR="00F05659">
        <w:rPr>
          <w:rFonts w:eastAsia="Calibri" w:cs="Times New Roman"/>
        </w:rPr>
        <w:t> </w:t>
      </w:r>
      <w:r w:rsidR="008B4C00">
        <w:rPr>
          <w:rFonts w:eastAsia="Calibri" w:cs="Times New Roman"/>
        </w:rPr>
        <w:t>tis.</w:t>
      </w:r>
      <w:r w:rsidR="00F05659">
        <w:rPr>
          <w:rFonts w:eastAsia="Calibri" w:cs="Times New Roman"/>
        </w:rPr>
        <w:t> </w:t>
      </w:r>
      <w:r w:rsidR="008B4C00">
        <w:rPr>
          <w:rFonts w:eastAsia="Calibri" w:cs="Times New Roman"/>
        </w:rPr>
        <w:t>eur a poskytnutých preddav</w:t>
      </w:r>
      <w:r w:rsidR="00F05659">
        <w:rPr>
          <w:rFonts w:eastAsia="Calibri" w:cs="Times New Roman"/>
        </w:rPr>
        <w:t>kov na hmotný majetok o 483 620 </w:t>
      </w:r>
      <w:r w:rsidR="008B4C00">
        <w:rPr>
          <w:rFonts w:eastAsia="Calibri" w:cs="Times New Roman"/>
        </w:rPr>
        <w:t>tis.</w:t>
      </w:r>
      <w:r w:rsidR="00F05659">
        <w:rPr>
          <w:rFonts w:eastAsia="Calibri" w:cs="Times New Roman"/>
        </w:rPr>
        <w:t> </w:t>
      </w:r>
      <w:r w:rsidR="008B4C00">
        <w:rPr>
          <w:rFonts w:eastAsia="Calibri" w:cs="Times New Roman"/>
        </w:rPr>
        <w:t>eur. Dlhodobý finančný majetok vzrástol o 1 417</w:t>
      </w:r>
      <w:r w:rsidR="00F05659">
        <w:rPr>
          <w:rFonts w:eastAsia="Calibri" w:cs="Times New Roman"/>
        </w:rPr>
        <w:t> </w:t>
      </w:r>
      <w:r w:rsidR="008B4C00">
        <w:rPr>
          <w:rFonts w:eastAsia="Calibri" w:cs="Times New Roman"/>
        </w:rPr>
        <w:t>383</w:t>
      </w:r>
      <w:r w:rsidR="00F05659">
        <w:rPr>
          <w:rFonts w:eastAsia="Calibri" w:cs="Times New Roman"/>
        </w:rPr>
        <w:t> </w:t>
      </w:r>
      <w:r w:rsidR="008B4C00">
        <w:rPr>
          <w:rFonts w:eastAsia="Calibri" w:cs="Times New Roman"/>
        </w:rPr>
        <w:t>tis.</w:t>
      </w:r>
      <w:r w:rsidR="00F05659">
        <w:rPr>
          <w:rFonts w:eastAsia="Calibri" w:cs="Times New Roman"/>
        </w:rPr>
        <w:t> </w:t>
      </w:r>
      <w:r w:rsidR="008B4C00">
        <w:rPr>
          <w:rFonts w:eastAsia="Calibri" w:cs="Times New Roman"/>
        </w:rPr>
        <w:t>eur najmä vďaka lepšiemu hospodáreniu štátnych podnikov a ich podielov v obchodných spoločnostiach z oblasti energetiky, čím sa spoločnosti stávali hodnotnejšími. Naopak, pokles zaznamenali zásoby o 877</w:t>
      </w:r>
      <w:r w:rsidR="00F05659">
        <w:rPr>
          <w:rFonts w:eastAsia="Calibri" w:cs="Times New Roman"/>
        </w:rPr>
        <w:t> </w:t>
      </w:r>
      <w:r w:rsidR="008B4C00">
        <w:rPr>
          <w:rFonts w:eastAsia="Calibri" w:cs="Times New Roman"/>
        </w:rPr>
        <w:t>234</w:t>
      </w:r>
      <w:r w:rsidR="00F05659">
        <w:rPr>
          <w:rFonts w:eastAsia="Calibri" w:cs="Times New Roman"/>
        </w:rPr>
        <w:t> </w:t>
      </w:r>
      <w:r w:rsidR="008B4C00">
        <w:rPr>
          <w:rFonts w:eastAsia="Calibri" w:cs="Times New Roman"/>
        </w:rPr>
        <w:t>tis.</w:t>
      </w:r>
      <w:r w:rsidR="00F05659">
        <w:rPr>
          <w:rFonts w:eastAsia="Calibri" w:cs="Times New Roman"/>
        </w:rPr>
        <w:t> </w:t>
      </w:r>
      <w:r w:rsidR="008B4C00">
        <w:rPr>
          <w:rFonts w:eastAsia="Calibri" w:cs="Times New Roman"/>
        </w:rPr>
        <w:t>eur, z dôvodu poklesu hodnoty zásob energií a krátkodobé pohľadávky poklesli o 676</w:t>
      </w:r>
      <w:r w:rsidR="00F05659">
        <w:rPr>
          <w:rFonts w:eastAsia="Calibri" w:cs="Times New Roman"/>
        </w:rPr>
        <w:t> </w:t>
      </w:r>
      <w:r w:rsidR="008B4C00">
        <w:rPr>
          <w:rFonts w:eastAsia="Calibri" w:cs="Times New Roman"/>
        </w:rPr>
        <w:t>810</w:t>
      </w:r>
      <w:r w:rsidR="00F05659">
        <w:rPr>
          <w:rFonts w:eastAsia="Calibri" w:cs="Times New Roman"/>
        </w:rPr>
        <w:t> </w:t>
      </w:r>
      <w:r w:rsidR="008B4C00">
        <w:rPr>
          <w:rFonts w:eastAsia="Calibri" w:cs="Times New Roman"/>
        </w:rPr>
        <w:t>tis.</w:t>
      </w:r>
      <w:r w:rsidR="00F05659">
        <w:rPr>
          <w:rFonts w:eastAsia="Calibri" w:cs="Times New Roman"/>
        </w:rPr>
        <w:t> </w:t>
      </w:r>
      <w:r w:rsidR="008B4C00">
        <w:rPr>
          <w:rFonts w:eastAsia="Calibri" w:cs="Times New Roman"/>
        </w:rPr>
        <w:t>eur.</w:t>
      </w:r>
      <w:r w:rsidR="00F22EA0">
        <w:rPr>
          <w:rFonts w:eastAsia="Calibri" w:cs="Times New Roman"/>
        </w:rPr>
        <w:t xml:space="preserve"> Z pasív sa vlastné imanie znížilo o 361</w:t>
      </w:r>
      <w:r w:rsidR="00F05659">
        <w:rPr>
          <w:rFonts w:eastAsia="Calibri" w:cs="Times New Roman"/>
        </w:rPr>
        <w:t> </w:t>
      </w:r>
      <w:r w:rsidR="00F22EA0">
        <w:rPr>
          <w:rFonts w:eastAsia="Calibri" w:cs="Times New Roman"/>
        </w:rPr>
        <w:t>409</w:t>
      </w:r>
      <w:r w:rsidR="00F05659">
        <w:rPr>
          <w:rFonts w:eastAsia="Calibri" w:cs="Times New Roman"/>
        </w:rPr>
        <w:t> </w:t>
      </w:r>
      <w:r w:rsidR="00F22EA0">
        <w:rPr>
          <w:rFonts w:eastAsia="Calibri" w:cs="Times New Roman"/>
        </w:rPr>
        <w:t>tis.</w:t>
      </w:r>
      <w:r w:rsidR="00F05659">
        <w:rPr>
          <w:rFonts w:eastAsia="Calibri" w:cs="Times New Roman"/>
        </w:rPr>
        <w:t> </w:t>
      </w:r>
      <w:r w:rsidR="00F22EA0">
        <w:rPr>
          <w:rFonts w:eastAsia="Calibri" w:cs="Times New Roman"/>
        </w:rPr>
        <w:t>eur najmä vplyvom výsledku hospodárenia, účtovné rezervy a</w:t>
      </w:r>
      <w:r w:rsidR="00F05659">
        <w:rPr>
          <w:rFonts w:eastAsia="Calibri" w:cs="Times New Roman"/>
        </w:rPr>
        <w:t>ko záväzky poklesli o 2 350 449 </w:t>
      </w:r>
      <w:r w:rsidR="00F22EA0">
        <w:rPr>
          <w:rFonts w:eastAsia="Calibri" w:cs="Times New Roman"/>
        </w:rPr>
        <w:t>tis.</w:t>
      </w:r>
      <w:r w:rsidR="00F05659">
        <w:rPr>
          <w:rFonts w:eastAsia="Calibri" w:cs="Times New Roman"/>
        </w:rPr>
        <w:t> </w:t>
      </w:r>
      <w:r w:rsidR="00F22EA0">
        <w:rPr>
          <w:rFonts w:eastAsia="Calibri" w:cs="Times New Roman"/>
        </w:rPr>
        <w:t>eur, a časové rozlíšenie n</w:t>
      </w:r>
      <w:r w:rsidR="00F05659">
        <w:rPr>
          <w:rFonts w:eastAsia="Calibri" w:cs="Times New Roman"/>
        </w:rPr>
        <w:t>aopak vzrástlo o 1 487 515 tis. </w:t>
      </w:r>
      <w:r w:rsidR="00F22EA0">
        <w:rPr>
          <w:rFonts w:eastAsia="Calibri" w:cs="Times New Roman"/>
        </w:rPr>
        <w:t>eur.</w:t>
      </w:r>
    </w:p>
    <w:p w14:paraId="609DF96A" w14:textId="77777777" w:rsidR="008B4C00" w:rsidRPr="008B4C00" w:rsidRDefault="008B4C00" w:rsidP="008B4C00">
      <w:pPr>
        <w:pStyle w:val="Odsekzoznamu"/>
        <w:rPr>
          <w:rFonts w:eastAsia="Calibri" w:cs="Times New Roman"/>
        </w:rPr>
      </w:pPr>
    </w:p>
    <w:p w14:paraId="3EA05333" w14:textId="69398BB3" w:rsidR="00A13F85" w:rsidRDefault="00A13F85" w:rsidP="00DA7E2B">
      <w:pPr>
        <w:pStyle w:val="Odsekzoznamu"/>
        <w:numPr>
          <w:ilvl w:val="0"/>
          <w:numId w:val="8"/>
        </w:numPr>
        <w:ind w:left="357" w:hanging="357"/>
        <w:jc w:val="both"/>
      </w:pPr>
      <w:r w:rsidRPr="00DA7E2B">
        <w:rPr>
          <w:rFonts w:eastAsia="Calibri" w:cs="Times New Roman"/>
          <w:b/>
          <w:color w:val="4F81BD" w:themeColor="accent1"/>
        </w:rPr>
        <w:t>Účtovný výsledok hospodárenia</w:t>
      </w:r>
      <w:r w:rsidR="00C26E66" w:rsidRPr="00DA7E2B">
        <w:rPr>
          <w:rFonts w:eastAsia="Calibri" w:cs="Times New Roman"/>
          <w:b/>
          <w:color w:val="4F81BD" w:themeColor="accent1"/>
        </w:rPr>
        <w:t>, ako porovnanie nákladov a výnosov</w:t>
      </w:r>
      <w:r w:rsidRPr="00DA7E2B">
        <w:rPr>
          <w:rFonts w:eastAsia="Calibri" w:cs="Times New Roman"/>
          <w:b/>
          <w:color w:val="4F81BD" w:themeColor="accent1"/>
        </w:rPr>
        <w:t xml:space="preserve"> </w:t>
      </w:r>
      <w:r w:rsidR="00C26E66" w:rsidRPr="00DA7E2B">
        <w:rPr>
          <w:rFonts w:eastAsia="Calibri" w:cs="Times New Roman"/>
          <w:b/>
          <w:color w:val="4F81BD" w:themeColor="accent1"/>
        </w:rPr>
        <w:t xml:space="preserve">za rok 2023 </w:t>
      </w:r>
      <w:r w:rsidRPr="00DA7E2B">
        <w:rPr>
          <w:rFonts w:eastAsia="Calibri" w:cs="Times New Roman"/>
          <w:b/>
        </w:rPr>
        <w:t>dosiahol</w:t>
      </w:r>
      <w:r w:rsidR="00C26E66" w:rsidRPr="00DA7E2B">
        <w:rPr>
          <w:rFonts w:eastAsia="Calibri" w:cs="Times New Roman"/>
          <w:b/>
        </w:rPr>
        <w:br/>
        <w:t>-2</w:t>
      </w:r>
      <w:r w:rsidR="00F05659" w:rsidRPr="00DA7E2B">
        <w:rPr>
          <w:rFonts w:eastAsia="Calibri" w:cs="Times New Roman"/>
          <w:b/>
        </w:rPr>
        <w:t> </w:t>
      </w:r>
      <w:r w:rsidR="00C26E66" w:rsidRPr="00DA7E2B">
        <w:rPr>
          <w:rFonts w:eastAsia="Calibri" w:cs="Times New Roman"/>
          <w:b/>
        </w:rPr>
        <w:t>60</w:t>
      </w:r>
      <w:r w:rsidR="00175D3A" w:rsidRPr="00DA7E2B">
        <w:rPr>
          <w:rFonts w:eastAsia="Calibri" w:cs="Times New Roman"/>
          <w:b/>
        </w:rPr>
        <w:t>5</w:t>
      </w:r>
      <w:r w:rsidR="00F05659" w:rsidRPr="00DA7E2B">
        <w:rPr>
          <w:rFonts w:eastAsia="Calibri" w:cs="Times New Roman"/>
          <w:b/>
        </w:rPr>
        <w:t> </w:t>
      </w:r>
      <w:r w:rsidR="00175D3A" w:rsidRPr="00DA7E2B">
        <w:rPr>
          <w:rFonts w:eastAsia="Calibri" w:cs="Times New Roman"/>
          <w:b/>
        </w:rPr>
        <w:t>213</w:t>
      </w:r>
      <w:r w:rsidR="00F05659" w:rsidRPr="00DA7E2B">
        <w:rPr>
          <w:rFonts w:eastAsia="Calibri" w:cs="Times New Roman"/>
          <w:b/>
        </w:rPr>
        <w:t> </w:t>
      </w:r>
      <w:r w:rsidRPr="00DA7E2B">
        <w:rPr>
          <w:rFonts w:eastAsia="Calibri" w:cs="Times New Roman"/>
          <w:b/>
        </w:rPr>
        <w:t>tis. eur</w:t>
      </w:r>
      <w:r w:rsidR="00187EC7">
        <w:rPr>
          <w:rFonts w:eastAsia="Calibri" w:cs="Times New Roman"/>
        </w:rPr>
        <w:t xml:space="preserve">. </w:t>
      </w:r>
      <w:r w:rsidRPr="00DA7E2B">
        <w:rPr>
          <w:rFonts w:eastAsia="Calibri" w:cs="Times New Roman"/>
        </w:rPr>
        <w:t xml:space="preserve">Celkové </w:t>
      </w:r>
      <w:r w:rsidR="00DE1B51">
        <w:rPr>
          <w:rFonts w:eastAsia="Calibri" w:cs="Times New Roman"/>
        </w:rPr>
        <w:t xml:space="preserve">účtovné </w:t>
      </w:r>
      <w:r w:rsidRPr="00DA7E2B">
        <w:rPr>
          <w:rFonts w:eastAsia="Calibri" w:cs="Times New Roman"/>
        </w:rPr>
        <w:t>náklady z výkazu ziskov a strát súhrnného celku dosiahli </w:t>
      </w:r>
      <w:r w:rsidR="00175D3A" w:rsidRPr="00DA7E2B">
        <w:rPr>
          <w:rFonts w:eastAsia="Calibri" w:cs="Times New Roman"/>
        </w:rPr>
        <w:t>74</w:t>
      </w:r>
      <w:r w:rsidR="00F05659" w:rsidRPr="00DA7E2B">
        <w:rPr>
          <w:rFonts w:eastAsia="Calibri" w:cs="Times New Roman"/>
        </w:rPr>
        <w:t> </w:t>
      </w:r>
      <w:r w:rsidR="00175D3A" w:rsidRPr="00DA7E2B">
        <w:rPr>
          <w:rFonts w:eastAsia="Calibri" w:cs="Times New Roman"/>
        </w:rPr>
        <w:t>660</w:t>
      </w:r>
      <w:r w:rsidR="00F05659" w:rsidRPr="00DA7E2B">
        <w:rPr>
          <w:rFonts w:eastAsia="Calibri" w:cs="Times New Roman"/>
        </w:rPr>
        <w:t> </w:t>
      </w:r>
      <w:r w:rsidR="00175D3A" w:rsidRPr="00DA7E2B">
        <w:rPr>
          <w:rFonts w:eastAsia="Calibri" w:cs="Times New Roman"/>
        </w:rPr>
        <w:t>086</w:t>
      </w:r>
      <w:r w:rsidRPr="00DA7E2B">
        <w:rPr>
          <w:rFonts w:eastAsia="Calibri" w:cs="Times New Roman"/>
        </w:rPr>
        <w:t xml:space="preserve"> tis. eur a celkové </w:t>
      </w:r>
      <w:r w:rsidR="00DE1B51">
        <w:rPr>
          <w:rFonts w:eastAsia="Calibri" w:cs="Times New Roman"/>
        </w:rPr>
        <w:t xml:space="preserve">účtovné </w:t>
      </w:r>
      <w:r w:rsidRPr="00DA7E2B">
        <w:rPr>
          <w:rFonts w:eastAsia="Calibri" w:cs="Times New Roman"/>
        </w:rPr>
        <w:t>výnosy dosiahli</w:t>
      </w:r>
      <w:r w:rsidR="00187EC7">
        <w:rPr>
          <w:rFonts w:eastAsia="Calibri" w:cs="Times New Roman"/>
        </w:rPr>
        <w:t xml:space="preserve"> </w:t>
      </w:r>
      <w:r w:rsidRPr="00DA7E2B">
        <w:rPr>
          <w:rFonts w:eastAsia="Calibri" w:cs="Times New Roman"/>
        </w:rPr>
        <w:t>7</w:t>
      </w:r>
      <w:r w:rsidR="00F05659" w:rsidRPr="00DA7E2B">
        <w:rPr>
          <w:rFonts w:eastAsia="Calibri" w:cs="Times New Roman"/>
        </w:rPr>
        <w:t>2 057 </w:t>
      </w:r>
      <w:r w:rsidR="00175D3A" w:rsidRPr="00DA7E2B">
        <w:rPr>
          <w:rFonts w:eastAsia="Calibri" w:cs="Times New Roman"/>
        </w:rPr>
        <w:t>616</w:t>
      </w:r>
      <w:r w:rsidR="00544797" w:rsidRPr="00DA7E2B">
        <w:rPr>
          <w:rFonts w:eastAsia="Calibri" w:cs="Times New Roman"/>
        </w:rPr>
        <w:t> tis. eur.</w:t>
      </w:r>
    </w:p>
    <w:p w14:paraId="3553C2A8" w14:textId="2A12FB19" w:rsidR="00A13F85" w:rsidRDefault="00A13F85">
      <w:pPr>
        <w:rPr>
          <w:rFonts w:cs="Book Antiqua"/>
          <w:szCs w:val="22"/>
          <w:lang w:eastAsia="sk-SK"/>
        </w:rPr>
      </w:pPr>
      <w:r>
        <w:br w:type="page"/>
      </w:r>
    </w:p>
    <w:p w14:paraId="4FAEB168" w14:textId="5F56CD3E" w:rsidR="003D050C" w:rsidRPr="00AF4A8D" w:rsidRDefault="003D050C" w:rsidP="003D050C">
      <w:pPr>
        <w:pStyle w:val="Nadpis1"/>
        <w:spacing w:line="336" w:lineRule="auto"/>
        <w:ind w:left="425" w:hanging="425"/>
        <w:rPr>
          <w:rFonts w:eastAsia="Times New Roman"/>
        </w:rPr>
      </w:pPr>
      <w:bookmarkStart w:id="15" w:name="_Toc181095958"/>
      <w:r w:rsidRPr="00AF4A8D">
        <w:rPr>
          <w:rFonts w:eastAsia="Times New Roman"/>
        </w:rPr>
        <w:lastRenderedPageBreak/>
        <w:t xml:space="preserve">Hospodárenie verejnej správy v metodike </w:t>
      </w:r>
      <w:r w:rsidR="00F40ABA" w:rsidRPr="00AF4A8D">
        <w:rPr>
          <w:rFonts w:eastAsia="Times New Roman"/>
        </w:rPr>
        <w:t>ESA 2010</w:t>
      </w:r>
      <w:bookmarkEnd w:id="12"/>
      <w:bookmarkEnd w:id="15"/>
    </w:p>
    <w:p w14:paraId="556D797A" w14:textId="7901A542" w:rsidR="009A116D" w:rsidRPr="00AF4A8D" w:rsidRDefault="009A116D" w:rsidP="00FC0FBF">
      <w:pPr>
        <w:spacing w:after="120" w:line="240" w:lineRule="auto"/>
        <w:jc w:val="both"/>
        <w:rPr>
          <w:szCs w:val="22"/>
        </w:rPr>
      </w:pPr>
      <w:r w:rsidRPr="00AF4A8D">
        <w:rPr>
          <w:szCs w:val="22"/>
        </w:rPr>
        <w:t xml:space="preserve">Kapitola obsahuje údaje, ktoré boli predmetom hodnotenia zo strany Európskeho štatistického úradu (Eurostatu) v rámci októbrovej notifikácie. Okrem výsledného salda príjmov a výdavkov a hodnoty hrubého dlhu verejnej správy sa </w:t>
      </w:r>
      <w:r w:rsidR="006C1472">
        <w:rPr>
          <w:szCs w:val="22"/>
        </w:rPr>
        <w:t>uvádza</w:t>
      </w:r>
      <w:r w:rsidR="006C1472" w:rsidRPr="00AF4A8D">
        <w:rPr>
          <w:szCs w:val="22"/>
        </w:rPr>
        <w:t xml:space="preserve"> </w:t>
      </w:r>
      <w:r w:rsidRPr="00AF4A8D">
        <w:rPr>
          <w:szCs w:val="22"/>
        </w:rPr>
        <w:t xml:space="preserve">príspevok jednotlivých </w:t>
      </w:r>
      <w:r w:rsidR="00830629" w:rsidRPr="00AF4A8D">
        <w:rPr>
          <w:szCs w:val="22"/>
        </w:rPr>
        <w:t>zložiek</w:t>
      </w:r>
      <w:r w:rsidRPr="00AF4A8D">
        <w:rPr>
          <w:szCs w:val="22"/>
        </w:rPr>
        <w:t xml:space="preserve"> verejnej správy k saldu a</w:t>
      </w:r>
      <w:r w:rsidR="004D4F58">
        <w:rPr>
          <w:szCs w:val="22"/>
        </w:rPr>
        <w:t> </w:t>
      </w:r>
      <w:r w:rsidRPr="00AF4A8D">
        <w:rPr>
          <w:szCs w:val="22"/>
        </w:rPr>
        <w:t>pri</w:t>
      </w:r>
      <w:r w:rsidR="004D4F58">
        <w:rPr>
          <w:szCs w:val="22"/>
        </w:rPr>
        <w:t> </w:t>
      </w:r>
      <w:r w:rsidRPr="00AF4A8D">
        <w:rPr>
          <w:szCs w:val="22"/>
        </w:rPr>
        <w:t xml:space="preserve"> analýze dlhu príspevok faktorov, ktoré vysvetľujú jeho medziročnú zmenu. </w:t>
      </w:r>
      <w:r w:rsidR="00F055A9">
        <w:rPr>
          <w:szCs w:val="22"/>
        </w:rPr>
        <w:t>Pre úplnosť je uvedené aj</w:t>
      </w:r>
      <w:r w:rsidRPr="00AF4A8D">
        <w:rPr>
          <w:szCs w:val="22"/>
        </w:rPr>
        <w:t xml:space="preserve"> </w:t>
      </w:r>
      <w:r w:rsidR="00830629" w:rsidRPr="00AF4A8D">
        <w:rPr>
          <w:szCs w:val="22"/>
        </w:rPr>
        <w:t xml:space="preserve">vysvetlenie </w:t>
      </w:r>
      <w:r w:rsidRPr="00AF4A8D">
        <w:rPr>
          <w:szCs w:val="22"/>
        </w:rPr>
        <w:t>rozdiel</w:t>
      </w:r>
      <w:r w:rsidR="00830629" w:rsidRPr="00AF4A8D">
        <w:rPr>
          <w:szCs w:val="22"/>
        </w:rPr>
        <w:t>ov</w:t>
      </w:r>
      <w:r w:rsidRPr="00AF4A8D">
        <w:rPr>
          <w:szCs w:val="22"/>
        </w:rPr>
        <w:t xml:space="preserve"> medzi jarnou a jesennou notifikáciou</w:t>
      </w:r>
      <w:r w:rsidR="00830629" w:rsidRPr="00AF4A8D">
        <w:rPr>
          <w:szCs w:val="22"/>
        </w:rPr>
        <w:t xml:space="preserve"> a porovnanie notifikovaných údajov o</w:t>
      </w:r>
      <w:r w:rsidR="00627A8D">
        <w:rPr>
          <w:szCs w:val="22"/>
        </w:rPr>
        <w:t> </w:t>
      </w:r>
      <w:r w:rsidR="00830629" w:rsidRPr="00AF4A8D">
        <w:rPr>
          <w:szCs w:val="22"/>
        </w:rPr>
        <w:t>salde a dlhu verejnej správy za všetky členské krajiny Európskej únie.</w:t>
      </w:r>
      <w:r w:rsidR="004C4FBF">
        <w:rPr>
          <w:szCs w:val="22"/>
        </w:rPr>
        <w:t xml:space="preserve"> Súčasťou tejto správy sú aj informácie </w:t>
      </w:r>
      <w:r w:rsidR="006447F4">
        <w:rPr>
          <w:szCs w:val="22"/>
        </w:rPr>
        <w:t xml:space="preserve">Štatistického úradu SR </w:t>
      </w:r>
      <w:r w:rsidR="004C4FBF">
        <w:rPr>
          <w:szCs w:val="22"/>
        </w:rPr>
        <w:t>z ben</w:t>
      </w:r>
      <w:r w:rsidR="00CD0E31">
        <w:rPr>
          <w:szCs w:val="22"/>
        </w:rPr>
        <w:t>ch</w:t>
      </w:r>
      <w:r w:rsidR="004C4FBF">
        <w:rPr>
          <w:szCs w:val="22"/>
        </w:rPr>
        <w:t>markovej revízie</w:t>
      </w:r>
      <w:r w:rsidR="006447F4">
        <w:rPr>
          <w:rStyle w:val="Odkaznapoznmkupodiarou"/>
          <w:szCs w:val="22"/>
        </w:rPr>
        <w:footnoteReference w:id="3"/>
      </w:r>
      <w:r w:rsidR="004C4FBF">
        <w:rPr>
          <w:szCs w:val="22"/>
        </w:rPr>
        <w:t xml:space="preserve"> </w:t>
      </w:r>
      <w:r w:rsidR="006447F4">
        <w:rPr>
          <w:szCs w:val="22"/>
        </w:rPr>
        <w:t xml:space="preserve">národných účtov za </w:t>
      </w:r>
      <w:r w:rsidR="004C4FBF">
        <w:rPr>
          <w:szCs w:val="22"/>
        </w:rPr>
        <w:t>rok</w:t>
      </w:r>
      <w:r w:rsidR="006447F4">
        <w:rPr>
          <w:szCs w:val="22"/>
        </w:rPr>
        <w:t>y</w:t>
      </w:r>
      <w:r w:rsidR="00627A8D">
        <w:rPr>
          <w:szCs w:val="22"/>
        </w:rPr>
        <w:t xml:space="preserve"> 1995 až 2020, ktorá sa </w:t>
      </w:r>
      <w:r w:rsidR="004C4FBF">
        <w:rPr>
          <w:szCs w:val="22"/>
        </w:rPr>
        <w:t>pravidelne r</w:t>
      </w:r>
      <w:r w:rsidR="006447F4">
        <w:rPr>
          <w:szCs w:val="22"/>
        </w:rPr>
        <w:t>ealizuje každých päť rokov a dotýka sa celého časového radu najdôležitejších ukazovateľov o ekonomike.</w:t>
      </w:r>
    </w:p>
    <w:p w14:paraId="551A139C" w14:textId="2809115B" w:rsidR="00801893" w:rsidRPr="00CD0E31" w:rsidRDefault="006C0DD0" w:rsidP="00424A0B">
      <w:pPr>
        <w:spacing w:after="0" w:line="240" w:lineRule="auto"/>
        <w:jc w:val="both"/>
        <w:rPr>
          <w:bCs/>
          <w:szCs w:val="22"/>
        </w:rPr>
      </w:pPr>
      <w:r w:rsidRPr="00CD0E31">
        <w:rPr>
          <w:bCs/>
          <w:szCs w:val="22"/>
        </w:rPr>
        <w:t>Z dôvodu prehľadnosti opisu hospodárenia verejnej správy za</w:t>
      </w:r>
      <w:r w:rsidR="00D418E2" w:rsidRPr="00CD0E31">
        <w:rPr>
          <w:bCs/>
          <w:szCs w:val="22"/>
        </w:rPr>
        <w:t> </w:t>
      </w:r>
      <w:r w:rsidRPr="00CD0E31">
        <w:rPr>
          <w:bCs/>
          <w:szCs w:val="22"/>
        </w:rPr>
        <w:t>rok 20</w:t>
      </w:r>
      <w:r w:rsidR="00927B2F" w:rsidRPr="00CD0E31">
        <w:rPr>
          <w:bCs/>
          <w:szCs w:val="22"/>
        </w:rPr>
        <w:t>2</w:t>
      </w:r>
      <w:r w:rsidR="00E502BB" w:rsidRPr="00CD0E31">
        <w:rPr>
          <w:bCs/>
          <w:szCs w:val="22"/>
        </w:rPr>
        <w:t>3</w:t>
      </w:r>
      <w:r w:rsidRPr="00CD0E31">
        <w:rPr>
          <w:bCs/>
          <w:szCs w:val="22"/>
        </w:rPr>
        <w:t xml:space="preserve"> ako aj z dôvodu vykonanej rutinnej revízie predchádzajúcich rokov, sú v nasledovnom texte porovnávané už len revidované </w:t>
      </w:r>
      <w:r w:rsidR="00EC369F" w:rsidRPr="00CD0E31">
        <w:rPr>
          <w:bCs/>
          <w:szCs w:val="22"/>
        </w:rPr>
        <w:t>h</w:t>
      </w:r>
      <w:r w:rsidR="00AF4A8D" w:rsidRPr="00CD0E31">
        <w:rPr>
          <w:bCs/>
          <w:szCs w:val="22"/>
        </w:rPr>
        <w:t>odnoty (</w:t>
      </w:r>
      <w:r w:rsidR="00D418E2" w:rsidRPr="00CD0E31">
        <w:rPr>
          <w:bCs/>
          <w:szCs w:val="22"/>
        </w:rPr>
        <w:t>saldo, dlh) za </w:t>
      </w:r>
      <w:r w:rsidR="00E502BB" w:rsidRPr="00CD0E31">
        <w:rPr>
          <w:bCs/>
          <w:szCs w:val="22"/>
        </w:rPr>
        <w:t>roky 2022</w:t>
      </w:r>
      <w:r w:rsidRPr="00CD0E31">
        <w:rPr>
          <w:bCs/>
          <w:szCs w:val="22"/>
        </w:rPr>
        <w:t xml:space="preserve"> a 20</w:t>
      </w:r>
      <w:r w:rsidR="00E502BB" w:rsidRPr="00CD0E31">
        <w:rPr>
          <w:bCs/>
          <w:szCs w:val="22"/>
        </w:rPr>
        <w:t>21</w:t>
      </w:r>
      <w:r w:rsidRPr="00CD0E31">
        <w:rPr>
          <w:bCs/>
          <w:szCs w:val="22"/>
        </w:rPr>
        <w:t>. Dôraz sa kladie na porovnávanie dosiahnutej skutočnosti za</w:t>
      </w:r>
      <w:r w:rsidR="00D418E2" w:rsidRPr="00CD0E31">
        <w:rPr>
          <w:bCs/>
          <w:szCs w:val="22"/>
        </w:rPr>
        <w:t> </w:t>
      </w:r>
      <w:r w:rsidRPr="00CD0E31">
        <w:rPr>
          <w:bCs/>
          <w:szCs w:val="22"/>
        </w:rPr>
        <w:t>rok 20</w:t>
      </w:r>
      <w:r w:rsidR="00927B2F" w:rsidRPr="00CD0E31">
        <w:rPr>
          <w:bCs/>
          <w:szCs w:val="22"/>
        </w:rPr>
        <w:t>2</w:t>
      </w:r>
      <w:r w:rsidR="00E502BB" w:rsidRPr="00CD0E31">
        <w:rPr>
          <w:bCs/>
          <w:szCs w:val="22"/>
        </w:rPr>
        <w:t>3</w:t>
      </w:r>
      <w:r w:rsidR="0068249C" w:rsidRPr="00CD0E31">
        <w:rPr>
          <w:bCs/>
          <w:szCs w:val="22"/>
        </w:rPr>
        <w:t xml:space="preserve"> oproti roku 20</w:t>
      </w:r>
      <w:r w:rsidR="00EC369F" w:rsidRPr="00CD0E31">
        <w:rPr>
          <w:bCs/>
          <w:szCs w:val="22"/>
        </w:rPr>
        <w:t>2</w:t>
      </w:r>
      <w:r w:rsidR="00E502BB" w:rsidRPr="00CD0E31">
        <w:rPr>
          <w:bCs/>
          <w:szCs w:val="22"/>
        </w:rPr>
        <w:t>2</w:t>
      </w:r>
      <w:r w:rsidR="00F867F1" w:rsidRPr="00CD0E31">
        <w:rPr>
          <w:bCs/>
          <w:szCs w:val="22"/>
        </w:rPr>
        <w:t>.</w:t>
      </w:r>
    </w:p>
    <w:p w14:paraId="6ADD8E7A" w14:textId="5CE840A8" w:rsidR="008E7556" w:rsidRPr="00CF5332" w:rsidRDefault="008E7556" w:rsidP="00AA46C8">
      <w:pPr>
        <w:pStyle w:val="Nadpis2"/>
        <w:numPr>
          <w:ilvl w:val="0"/>
          <w:numId w:val="0"/>
        </w:numPr>
        <w:ind w:left="1020"/>
      </w:pPr>
      <w:bookmarkStart w:id="16" w:name="_Toc181095959"/>
      <w:r w:rsidRPr="00CF5332">
        <w:t>1.1.</w:t>
      </w:r>
      <w:r w:rsidRPr="00CF5332">
        <w:tab/>
        <w:t>Rozdiely medzi októbrovou a aprílovou notifikáciou údajov</w:t>
      </w:r>
      <w:bookmarkEnd w:id="16"/>
    </w:p>
    <w:p w14:paraId="44A94A9B" w14:textId="24876868" w:rsidR="00DC1800" w:rsidRPr="00CF5332" w:rsidRDefault="00DC1800" w:rsidP="00DC1800">
      <w:pPr>
        <w:spacing w:after="120" w:line="240" w:lineRule="auto"/>
        <w:jc w:val="both"/>
        <w:rPr>
          <w:szCs w:val="22"/>
        </w:rPr>
      </w:pPr>
      <w:r w:rsidRPr="00CF5332">
        <w:rPr>
          <w:szCs w:val="22"/>
        </w:rPr>
        <w:t>Nariadenie Rady (ES) o uplatňovaní Protokolu o postupe pri nadmernom schodku</w:t>
      </w:r>
      <w:r w:rsidR="00561441">
        <w:rPr>
          <w:rStyle w:val="Odkaznapoznmkupodiarou"/>
          <w:szCs w:val="22"/>
        </w:rPr>
        <w:footnoteReference w:id="4"/>
      </w:r>
      <w:r w:rsidR="00A4125D">
        <w:rPr>
          <w:szCs w:val="22"/>
        </w:rPr>
        <w:t xml:space="preserve"> </w:t>
      </w:r>
      <w:r w:rsidRPr="00CF5332">
        <w:rPr>
          <w:szCs w:val="22"/>
        </w:rPr>
        <w:t>stanovuje podrobné pravidlá pre organizovanie rýchleho a pravidelného vykazovania plánovaných a skutočných výsledkov hospodárenia s financiami verejnej správy. Podľa tohto nariadenia sa Európskej komisii (Eurostatu) predkladajú výsledky hospodárenia verejnej správy za uplynulé obdobie dvakrát ročne, prvýkrát do 1. apríla bežného roka (tzv. aprílová notifikácia</w:t>
      </w:r>
      <w:r w:rsidR="007516A5">
        <w:rPr>
          <w:szCs w:val="22"/>
        </w:rPr>
        <w:t xml:space="preserve"> alebo aj prvé kolo notifikácie</w:t>
      </w:r>
      <w:r w:rsidRPr="00CF5332">
        <w:rPr>
          <w:szCs w:val="22"/>
        </w:rPr>
        <w:t>) a aktualizované údaje druhýkrát do 1. októbra bežného roka (tzv. októbrová notifikácia</w:t>
      </w:r>
      <w:r w:rsidR="007516A5">
        <w:rPr>
          <w:szCs w:val="22"/>
        </w:rPr>
        <w:t xml:space="preserve"> alebo aj druhé kolo notifikácie</w:t>
      </w:r>
      <w:r w:rsidRPr="00CF5332">
        <w:rPr>
          <w:szCs w:val="22"/>
        </w:rPr>
        <w:t>).</w:t>
      </w:r>
    </w:p>
    <w:p w14:paraId="090D6A4C" w14:textId="77777777" w:rsidR="002D19D1" w:rsidRDefault="002D19D1" w:rsidP="002D19D1">
      <w:pPr>
        <w:pStyle w:val="Popis"/>
        <w:framePr w:wrap="around" w:x="1756" w:y="887"/>
      </w:pPr>
      <w:bookmarkStart w:id="17" w:name="_Ref180140769"/>
      <w:r>
        <w:t xml:space="preserve">Tabuľka </w:t>
      </w:r>
      <w:r w:rsidR="001F05DE">
        <w:fldChar w:fldCharType="begin"/>
      </w:r>
      <w:r w:rsidR="001F05DE">
        <w:instrText xml:space="preserve"> SEQ Tabuľka \* ARABIC </w:instrText>
      </w:r>
      <w:r w:rsidR="001F05DE">
        <w:fldChar w:fldCharType="separate"/>
      </w:r>
      <w:r>
        <w:rPr>
          <w:noProof/>
        </w:rPr>
        <w:t>1</w:t>
      </w:r>
      <w:r w:rsidR="001F05DE">
        <w:rPr>
          <w:noProof/>
        </w:rPr>
        <w:fldChar w:fldCharType="end"/>
      </w:r>
      <w:bookmarkEnd w:id="17"/>
      <w:r>
        <w:t xml:space="preserve"> - </w:t>
      </w:r>
      <w:r w:rsidRPr="007516A5">
        <w:t>Zmena</w:t>
      </w:r>
      <w:r w:rsidRPr="004402A9">
        <w:t xml:space="preserve"> schodku VS za rok 2023 pri jesennej notifikácii v metodike ESA 2010</w:t>
      </w:r>
    </w:p>
    <w:p w14:paraId="2D9FECA2" w14:textId="6052DD76" w:rsidR="00DC1800" w:rsidRDefault="005E1709" w:rsidP="00DC1800">
      <w:pPr>
        <w:spacing w:after="120" w:line="240" w:lineRule="auto"/>
        <w:jc w:val="both"/>
        <w:rPr>
          <w:szCs w:val="22"/>
        </w:rPr>
      </w:pPr>
      <w:r>
        <w:rPr>
          <w:b/>
          <w:szCs w:val="22"/>
        </w:rPr>
        <w:t>Predbežný s</w:t>
      </w:r>
      <w:r w:rsidR="00DC1800" w:rsidRPr="00CF5332">
        <w:rPr>
          <w:b/>
          <w:szCs w:val="22"/>
        </w:rPr>
        <w:t>chodok hospodárenia</w:t>
      </w:r>
      <w:r w:rsidR="00DC1800" w:rsidRPr="00CF5332">
        <w:rPr>
          <w:szCs w:val="22"/>
        </w:rPr>
        <w:t xml:space="preserve">, ktorý bol </w:t>
      </w:r>
      <w:r>
        <w:rPr>
          <w:szCs w:val="22"/>
        </w:rPr>
        <w:t xml:space="preserve">notifikovaný na základe jarnej </w:t>
      </w:r>
      <w:r w:rsidRPr="00B4518A">
        <w:rPr>
          <w:szCs w:val="22"/>
        </w:rPr>
        <w:t>notifikácie</w:t>
      </w:r>
      <w:r w:rsidR="00DC1800" w:rsidRPr="00B4518A">
        <w:rPr>
          <w:szCs w:val="22"/>
        </w:rPr>
        <w:t xml:space="preserve"> (</w:t>
      </w:r>
      <w:r w:rsidR="00B4518A" w:rsidRPr="00B4518A">
        <w:rPr>
          <w:szCs w:val="22"/>
        </w:rPr>
        <w:t>4,9</w:t>
      </w:r>
      <w:r w:rsidR="00DC1800" w:rsidRPr="00B4518A">
        <w:rPr>
          <w:szCs w:val="22"/>
        </w:rPr>
        <w:t> % HDP) sa</w:t>
      </w:r>
      <w:r w:rsidR="00627A8D">
        <w:rPr>
          <w:szCs w:val="22"/>
        </w:rPr>
        <w:t> </w:t>
      </w:r>
      <w:r w:rsidR="00B4518A" w:rsidRPr="00B4518A">
        <w:rPr>
          <w:szCs w:val="22"/>
        </w:rPr>
        <w:t>zvýšil v rámci jesennej notifikácie</w:t>
      </w:r>
      <w:r w:rsidRPr="00B4518A">
        <w:rPr>
          <w:szCs w:val="22"/>
        </w:rPr>
        <w:t xml:space="preserve"> </w:t>
      </w:r>
      <w:r w:rsidR="00DC1800" w:rsidRPr="00B4518A">
        <w:rPr>
          <w:szCs w:val="22"/>
        </w:rPr>
        <w:t>o 0,</w:t>
      </w:r>
      <w:r w:rsidR="00B4518A" w:rsidRPr="00B4518A">
        <w:rPr>
          <w:szCs w:val="22"/>
        </w:rPr>
        <w:t>31</w:t>
      </w:r>
      <w:r w:rsidR="00DC1800" w:rsidRPr="00B4518A">
        <w:rPr>
          <w:szCs w:val="22"/>
        </w:rPr>
        <w:t xml:space="preserve"> p. b. </w:t>
      </w:r>
      <w:r w:rsidRPr="00B4518A">
        <w:rPr>
          <w:szCs w:val="22"/>
        </w:rPr>
        <w:t xml:space="preserve">voči </w:t>
      </w:r>
      <w:r w:rsidR="00DC1800" w:rsidRPr="00B4518A">
        <w:rPr>
          <w:szCs w:val="22"/>
        </w:rPr>
        <w:t>revidované</w:t>
      </w:r>
      <w:r w:rsidRPr="00B4518A">
        <w:rPr>
          <w:szCs w:val="22"/>
        </w:rPr>
        <w:t>mu</w:t>
      </w:r>
      <w:r w:rsidR="00DC1800" w:rsidRPr="00B4518A">
        <w:rPr>
          <w:szCs w:val="22"/>
        </w:rPr>
        <w:t xml:space="preserve"> HDP</w:t>
      </w:r>
      <w:r w:rsidR="007516A5">
        <w:rPr>
          <w:szCs w:val="22"/>
        </w:rPr>
        <w:t>, ktoré sa zmenilo o</w:t>
      </w:r>
      <w:r w:rsidR="00BB44E7">
        <w:rPr>
          <w:szCs w:val="22"/>
        </w:rPr>
        <w:t> 106 092 </w:t>
      </w:r>
      <w:r w:rsidR="007516A5">
        <w:rPr>
          <w:szCs w:val="22"/>
        </w:rPr>
        <w:t>tis.</w:t>
      </w:r>
      <w:r w:rsidR="00BB44E7">
        <w:rPr>
          <w:szCs w:val="22"/>
        </w:rPr>
        <w:t> </w:t>
      </w:r>
      <w:r w:rsidR="007516A5">
        <w:rPr>
          <w:szCs w:val="22"/>
        </w:rPr>
        <w:t>eur</w:t>
      </w:r>
      <w:r w:rsidR="00DC1800" w:rsidRPr="00B4518A">
        <w:rPr>
          <w:szCs w:val="22"/>
        </w:rPr>
        <w:t>. Najvýznamnejšie</w:t>
      </w:r>
      <w:r w:rsidR="00DC1800" w:rsidRPr="00CF5332">
        <w:rPr>
          <w:szCs w:val="22"/>
        </w:rPr>
        <w:t xml:space="preserve"> </w:t>
      </w:r>
      <w:r w:rsidR="007516A5">
        <w:rPr>
          <w:szCs w:val="22"/>
        </w:rPr>
        <w:t>dôvody</w:t>
      </w:r>
      <w:r w:rsidR="007516A5" w:rsidRPr="00CF5332">
        <w:rPr>
          <w:szCs w:val="22"/>
        </w:rPr>
        <w:t xml:space="preserve"> </w:t>
      </w:r>
      <w:r w:rsidR="007516A5">
        <w:rPr>
          <w:szCs w:val="22"/>
        </w:rPr>
        <w:t xml:space="preserve">tejto </w:t>
      </w:r>
      <w:r w:rsidR="00DC1800" w:rsidRPr="00CF5332">
        <w:rPr>
          <w:szCs w:val="22"/>
        </w:rPr>
        <w:t xml:space="preserve">revízie schodku </w:t>
      </w:r>
      <w:r w:rsidR="007516A5">
        <w:rPr>
          <w:szCs w:val="22"/>
        </w:rPr>
        <w:t>poskytuje</w:t>
      </w:r>
      <w:r w:rsidR="007516A5" w:rsidRPr="00CF5332">
        <w:rPr>
          <w:szCs w:val="22"/>
        </w:rPr>
        <w:t xml:space="preserve"> </w:t>
      </w:r>
      <w:r w:rsidR="00DC1800" w:rsidRPr="00CF5332">
        <w:rPr>
          <w:szCs w:val="22"/>
        </w:rPr>
        <w:t>nasledovná tabuľka.</w:t>
      </w:r>
    </w:p>
    <w:tbl>
      <w:tblPr>
        <w:tblW w:w="5000" w:type="pct"/>
        <w:tblCellMar>
          <w:left w:w="70" w:type="dxa"/>
          <w:right w:w="70" w:type="dxa"/>
        </w:tblCellMar>
        <w:tblLook w:val="04A0" w:firstRow="1" w:lastRow="0" w:firstColumn="1" w:lastColumn="0" w:noHBand="0" w:noVBand="1"/>
      </w:tblPr>
      <w:tblGrid>
        <w:gridCol w:w="2979"/>
        <w:gridCol w:w="1007"/>
        <w:gridCol w:w="1318"/>
        <w:gridCol w:w="4050"/>
      </w:tblGrid>
      <w:tr w:rsidR="002535AD" w:rsidRPr="002535AD" w14:paraId="214EF0EB" w14:textId="77777777" w:rsidTr="009C4C76">
        <w:trPr>
          <w:trHeight w:val="495"/>
          <w:tblHeader/>
        </w:trPr>
        <w:tc>
          <w:tcPr>
            <w:tcW w:w="1609" w:type="pct"/>
            <w:tcBorders>
              <w:top w:val="single" w:sz="4" w:space="0" w:color="auto"/>
              <w:left w:val="nil"/>
              <w:bottom w:val="single" w:sz="4" w:space="0" w:color="auto"/>
              <w:right w:val="nil"/>
            </w:tcBorders>
            <w:shd w:val="clear" w:color="auto" w:fill="auto"/>
            <w:vAlign w:val="center"/>
            <w:hideMark/>
          </w:tcPr>
          <w:p w14:paraId="039BA0D0" w14:textId="77777777" w:rsidR="002535AD" w:rsidRPr="002535AD" w:rsidRDefault="002535AD" w:rsidP="002535AD">
            <w:pPr>
              <w:spacing w:after="0" w:line="240" w:lineRule="auto"/>
              <w:rPr>
                <w:b/>
                <w:bCs/>
                <w:sz w:val="20"/>
                <w:szCs w:val="20"/>
                <w:lang w:eastAsia="sk-SK"/>
              </w:rPr>
            </w:pPr>
            <w:r w:rsidRPr="002535AD">
              <w:rPr>
                <w:b/>
                <w:bCs/>
                <w:sz w:val="20"/>
                <w:szCs w:val="20"/>
                <w:lang w:eastAsia="sk-SK"/>
              </w:rPr>
              <w:t>Upravené položky</w:t>
            </w:r>
          </w:p>
        </w:tc>
        <w:tc>
          <w:tcPr>
            <w:tcW w:w="489" w:type="pct"/>
            <w:tcBorders>
              <w:top w:val="single" w:sz="4" w:space="0" w:color="auto"/>
              <w:left w:val="nil"/>
              <w:bottom w:val="single" w:sz="4" w:space="0" w:color="auto"/>
              <w:right w:val="nil"/>
            </w:tcBorders>
            <w:shd w:val="clear" w:color="auto" w:fill="auto"/>
            <w:vAlign w:val="center"/>
            <w:hideMark/>
          </w:tcPr>
          <w:p w14:paraId="0474FCDF" w14:textId="77777777" w:rsidR="002535AD" w:rsidRPr="002535AD" w:rsidRDefault="002535AD" w:rsidP="002535AD">
            <w:pPr>
              <w:spacing w:after="0" w:line="240" w:lineRule="auto"/>
              <w:jc w:val="right"/>
              <w:rPr>
                <w:b/>
                <w:bCs/>
                <w:sz w:val="20"/>
                <w:szCs w:val="20"/>
                <w:lang w:eastAsia="sk-SK"/>
              </w:rPr>
            </w:pPr>
            <w:r w:rsidRPr="002535AD">
              <w:rPr>
                <w:b/>
                <w:bCs/>
                <w:sz w:val="20"/>
                <w:szCs w:val="20"/>
                <w:lang w:eastAsia="sk-SK"/>
              </w:rPr>
              <w:t>tis. eur</w:t>
            </w:r>
          </w:p>
        </w:tc>
        <w:tc>
          <w:tcPr>
            <w:tcW w:w="721" w:type="pct"/>
            <w:tcBorders>
              <w:top w:val="single" w:sz="4" w:space="0" w:color="auto"/>
              <w:left w:val="nil"/>
              <w:bottom w:val="single" w:sz="4" w:space="0" w:color="auto"/>
              <w:right w:val="nil"/>
            </w:tcBorders>
            <w:shd w:val="clear" w:color="auto" w:fill="auto"/>
            <w:vAlign w:val="center"/>
            <w:hideMark/>
          </w:tcPr>
          <w:p w14:paraId="1715980F" w14:textId="77777777" w:rsidR="002535AD" w:rsidRPr="002535AD" w:rsidRDefault="002535AD" w:rsidP="002535AD">
            <w:pPr>
              <w:spacing w:after="0" w:line="240" w:lineRule="auto"/>
              <w:jc w:val="center"/>
              <w:rPr>
                <w:b/>
                <w:bCs/>
                <w:sz w:val="20"/>
                <w:szCs w:val="20"/>
                <w:lang w:eastAsia="sk-SK"/>
              </w:rPr>
            </w:pPr>
            <w:r w:rsidRPr="002535AD">
              <w:rPr>
                <w:b/>
                <w:bCs/>
                <w:sz w:val="20"/>
                <w:szCs w:val="20"/>
                <w:lang w:eastAsia="sk-SK"/>
              </w:rPr>
              <w:t>% HDP</w:t>
            </w:r>
          </w:p>
        </w:tc>
        <w:tc>
          <w:tcPr>
            <w:tcW w:w="2181" w:type="pct"/>
            <w:tcBorders>
              <w:top w:val="single" w:sz="4" w:space="0" w:color="auto"/>
              <w:left w:val="nil"/>
              <w:bottom w:val="single" w:sz="4" w:space="0" w:color="auto"/>
              <w:right w:val="nil"/>
            </w:tcBorders>
            <w:shd w:val="clear" w:color="auto" w:fill="auto"/>
            <w:vAlign w:val="center"/>
            <w:hideMark/>
          </w:tcPr>
          <w:p w14:paraId="32772EE6" w14:textId="77777777" w:rsidR="002535AD" w:rsidRPr="002535AD" w:rsidRDefault="002535AD" w:rsidP="002535AD">
            <w:pPr>
              <w:spacing w:after="0" w:line="240" w:lineRule="auto"/>
              <w:jc w:val="center"/>
              <w:rPr>
                <w:b/>
                <w:bCs/>
                <w:sz w:val="20"/>
                <w:szCs w:val="20"/>
                <w:lang w:eastAsia="sk-SK"/>
              </w:rPr>
            </w:pPr>
            <w:r w:rsidRPr="002535AD">
              <w:rPr>
                <w:b/>
                <w:bCs/>
                <w:sz w:val="20"/>
                <w:szCs w:val="20"/>
                <w:lang w:eastAsia="sk-SK"/>
              </w:rPr>
              <w:t>Zdôvodnenie úprav</w:t>
            </w:r>
          </w:p>
        </w:tc>
      </w:tr>
      <w:tr w:rsidR="002535AD" w:rsidRPr="002535AD" w14:paraId="7F09FB77" w14:textId="77777777" w:rsidTr="009C4C76">
        <w:trPr>
          <w:trHeight w:val="330"/>
        </w:trPr>
        <w:tc>
          <w:tcPr>
            <w:tcW w:w="1609" w:type="pct"/>
            <w:tcBorders>
              <w:top w:val="single" w:sz="4" w:space="0" w:color="auto"/>
              <w:left w:val="nil"/>
              <w:bottom w:val="single" w:sz="4" w:space="0" w:color="auto"/>
              <w:right w:val="nil"/>
            </w:tcBorders>
            <w:shd w:val="clear" w:color="auto" w:fill="auto"/>
            <w:noWrap/>
            <w:vAlign w:val="center"/>
            <w:hideMark/>
          </w:tcPr>
          <w:p w14:paraId="6C7D2629" w14:textId="2692A0E5" w:rsidR="002535AD" w:rsidRPr="002535AD" w:rsidRDefault="002535AD" w:rsidP="00F34BAB">
            <w:pPr>
              <w:spacing w:after="0" w:line="240" w:lineRule="auto"/>
              <w:rPr>
                <w:b/>
                <w:bCs/>
                <w:sz w:val="20"/>
                <w:szCs w:val="20"/>
                <w:lang w:eastAsia="sk-SK"/>
              </w:rPr>
            </w:pPr>
            <w:r w:rsidRPr="002535AD">
              <w:rPr>
                <w:b/>
                <w:bCs/>
                <w:sz w:val="20"/>
                <w:szCs w:val="20"/>
                <w:lang w:eastAsia="sk-SK"/>
              </w:rPr>
              <w:t>Schodok VS - apríl 2024</w:t>
            </w:r>
            <w:r w:rsidRPr="002535AD">
              <w:rPr>
                <w:b/>
                <w:bCs/>
                <w:sz w:val="20"/>
                <w:szCs w:val="20"/>
                <w:vertAlign w:val="superscript"/>
                <w:lang w:eastAsia="sk-SK"/>
              </w:rPr>
              <w:t>1)</w:t>
            </w:r>
          </w:p>
        </w:tc>
        <w:tc>
          <w:tcPr>
            <w:tcW w:w="489" w:type="pct"/>
            <w:tcBorders>
              <w:top w:val="single" w:sz="4" w:space="0" w:color="auto"/>
              <w:left w:val="nil"/>
              <w:bottom w:val="single" w:sz="4" w:space="0" w:color="auto"/>
              <w:right w:val="nil"/>
            </w:tcBorders>
            <w:shd w:val="clear" w:color="auto" w:fill="auto"/>
            <w:noWrap/>
            <w:vAlign w:val="center"/>
            <w:hideMark/>
          </w:tcPr>
          <w:p w14:paraId="182DD4FA" w14:textId="77777777" w:rsidR="002535AD" w:rsidRPr="002535AD" w:rsidRDefault="002535AD" w:rsidP="002535AD">
            <w:pPr>
              <w:spacing w:after="0" w:line="240" w:lineRule="auto"/>
              <w:jc w:val="right"/>
              <w:rPr>
                <w:b/>
                <w:bCs/>
                <w:sz w:val="20"/>
                <w:szCs w:val="20"/>
                <w:lang w:eastAsia="sk-SK"/>
              </w:rPr>
            </w:pPr>
            <w:r w:rsidRPr="002535AD">
              <w:rPr>
                <w:b/>
                <w:bCs/>
                <w:sz w:val="20"/>
                <w:szCs w:val="20"/>
                <w:lang w:eastAsia="sk-SK"/>
              </w:rPr>
              <w:t>-6 009 813</w:t>
            </w:r>
          </w:p>
        </w:tc>
        <w:tc>
          <w:tcPr>
            <w:tcW w:w="721" w:type="pct"/>
            <w:tcBorders>
              <w:top w:val="single" w:sz="4" w:space="0" w:color="auto"/>
              <w:left w:val="nil"/>
              <w:bottom w:val="single" w:sz="4" w:space="0" w:color="auto"/>
              <w:right w:val="nil"/>
            </w:tcBorders>
            <w:shd w:val="clear" w:color="auto" w:fill="auto"/>
            <w:noWrap/>
            <w:vAlign w:val="center"/>
            <w:hideMark/>
          </w:tcPr>
          <w:p w14:paraId="31504BD2" w14:textId="77777777" w:rsidR="002535AD" w:rsidRPr="002535AD" w:rsidRDefault="002535AD" w:rsidP="002535AD">
            <w:pPr>
              <w:spacing w:after="0" w:line="240" w:lineRule="auto"/>
              <w:jc w:val="center"/>
              <w:rPr>
                <w:b/>
                <w:bCs/>
                <w:sz w:val="20"/>
                <w:szCs w:val="20"/>
                <w:lang w:eastAsia="sk-SK"/>
              </w:rPr>
            </w:pPr>
            <w:r w:rsidRPr="002535AD">
              <w:rPr>
                <w:b/>
                <w:bCs/>
                <w:sz w:val="20"/>
                <w:szCs w:val="20"/>
                <w:lang w:eastAsia="sk-SK"/>
              </w:rPr>
              <w:t>-4,89</w:t>
            </w:r>
          </w:p>
        </w:tc>
        <w:tc>
          <w:tcPr>
            <w:tcW w:w="2181" w:type="pct"/>
            <w:tcBorders>
              <w:top w:val="single" w:sz="4" w:space="0" w:color="auto"/>
              <w:left w:val="nil"/>
              <w:bottom w:val="single" w:sz="4" w:space="0" w:color="auto"/>
              <w:right w:val="nil"/>
            </w:tcBorders>
            <w:shd w:val="clear" w:color="auto" w:fill="auto"/>
            <w:vAlign w:val="center"/>
            <w:hideMark/>
          </w:tcPr>
          <w:p w14:paraId="70797853" w14:textId="77777777" w:rsidR="002535AD" w:rsidRPr="002535AD" w:rsidRDefault="002535AD" w:rsidP="002535AD">
            <w:pPr>
              <w:spacing w:after="0" w:line="240" w:lineRule="auto"/>
              <w:jc w:val="center"/>
              <w:rPr>
                <w:sz w:val="20"/>
                <w:szCs w:val="20"/>
                <w:lang w:eastAsia="sk-SK"/>
              </w:rPr>
            </w:pPr>
            <w:r w:rsidRPr="002535AD">
              <w:rPr>
                <w:sz w:val="20"/>
                <w:szCs w:val="20"/>
                <w:lang w:eastAsia="sk-SK"/>
              </w:rPr>
              <w:t> </w:t>
            </w:r>
          </w:p>
        </w:tc>
      </w:tr>
      <w:tr w:rsidR="002535AD" w:rsidRPr="002535AD" w14:paraId="05DAB8EB" w14:textId="77777777" w:rsidTr="002535AD">
        <w:trPr>
          <w:trHeight w:val="1621"/>
        </w:trPr>
        <w:tc>
          <w:tcPr>
            <w:tcW w:w="1609" w:type="pct"/>
            <w:tcBorders>
              <w:top w:val="nil"/>
              <w:left w:val="nil"/>
              <w:bottom w:val="nil"/>
              <w:right w:val="nil"/>
            </w:tcBorders>
            <w:shd w:val="clear" w:color="auto" w:fill="auto"/>
            <w:noWrap/>
            <w:vAlign w:val="center"/>
            <w:hideMark/>
          </w:tcPr>
          <w:p w14:paraId="3D00F30D" w14:textId="77777777" w:rsidR="002535AD" w:rsidRPr="002535AD" w:rsidRDefault="002535AD" w:rsidP="002535AD">
            <w:pPr>
              <w:spacing w:after="0" w:line="240" w:lineRule="auto"/>
              <w:rPr>
                <w:sz w:val="20"/>
                <w:szCs w:val="20"/>
                <w:lang w:eastAsia="sk-SK"/>
              </w:rPr>
            </w:pPr>
            <w:r w:rsidRPr="002535AD">
              <w:rPr>
                <w:sz w:val="20"/>
                <w:szCs w:val="20"/>
                <w:lang w:eastAsia="sk-SK"/>
              </w:rPr>
              <w:t xml:space="preserve">Akruálne príjmy z daní </w:t>
            </w:r>
          </w:p>
        </w:tc>
        <w:tc>
          <w:tcPr>
            <w:tcW w:w="489" w:type="pct"/>
            <w:tcBorders>
              <w:top w:val="nil"/>
              <w:left w:val="nil"/>
              <w:bottom w:val="nil"/>
              <w:right w:val="nil"/>
            </w:tcBorders>
            <w:shd w:val="clear" w:color="auto" w:fill="auto"/>
            <w:noWrap/>
            <w:vAlign w:val="center"/>
            <w:hideMark/>
          </w:tcPr>
          <w:p w14:paraId="68790613" w14:textId="77777777" w:rsidR="002535AD" w:rsidRPr="002535AD" w:rsidRDefault="002535AD" w:rsidP="002535AD">
            <w:pPr>
              <w:spacing w:after="0" w:line="240" w:lineRule="auto"/>
              <w:jc w:val="right"/>
              <w:rPr>
                <w:sz w:val="20"/>
                <w:szCs w:val="20"/>
                <w:lang w:eastAsia="sk-SK"/>
              </w:rPr>
            </w:pPr>
            <w:r w:rsidRPr="002535AD">
              <w:rPr>
                <w:sz w:val="20"/>
                <w:szCs w:val="20"/>
                <w:lang w:eastAsia="sk-SK"/>
              </w:rPr>
              <w:t>-198 038</w:t>
            </w:r>
          </w:p>
        </w:tc>
        <w:tc>
          <w:tcPr>
            <w:tcW w:w="721" w:type="pct"/>
            <w:tcBorders>
              <w:top w:val="nil"/>
              <w:left w:val="nil"/>
              <w:bottom w:val="nil"/>
              <w:right w:val="nil"/>
            </w:tcBorders>
            <w:shd w:val="clear" w:color="auto" w:fill="auto"/>
            <w:noWrap/>
            <w:vAlign w:val="center"/>
            <w:hideMark/>
          </w:tcPr>
          <w:p w14:paraId="05EAE444" w14:textId="77777777" w:rsidR="002535AD" w:rsidRPr="002535AD" w:rsidRDefault="002535AD" w:rsidP="002535AD">
            <w:pPr>
              <w:spacing w:after="0" w:line="240" w:lineRule="auto"/>
              <w:jc w:val="center"/>
              <w:rPr>
                <w:sz w:val="20"/>
                <w:szCs w:val="20"/>
                <w:lang w:eastAsia="sk-SK"/>
              </w:rPr>
            </w:pPr>
            <w:r w:rsidRPr="002535AD">
              <w:rPr>
                <w:sz w:val="20"/>
                <w:szCs w:val="20"/>
                <w:lang w:eastAsia="sk-SK"/>
              </w:rPr>
              <w:t>-0,161</w:t>
            </w:r>
          </w:p>
        </w:tc>
        <w:tc>
          <w:tcPr>
            <w:tcW w:w="2181" w:type="pct"/>
            <w:tcBorders>
              <w:top w:val="nil"/>
              <w:left w:val="nil"/>
              <w:bottom w:val="nil"/>
              <w:right w:val="nil"/>
            </w:tcBorders>
            <w:shd w:val="clear" w:color="auto" w:fill="auto"/>
            <w:vAlign w:val="center"/>
            <w:hideMark/>
          </w:tcPr>
          <w:p w14:paraId="1F43C49F" w14:textId="293EE834" w:rsidR="002535AD" w:rsidRPr="002535AD" w:rsidRDefault="002535AD" w:rsidP="005A73E2">
            <w:pPr>
              <w:spacing w:after="0" w:line="240" w:lineRule="auto"/>
              <w:jc w:val="both"/>
              <w:rPr>
                <w:sz w:val="20"/>
                <w:szCs w:val="20"/>
                <w:lang w:eastAsia="sk-SK"/>
              </w:rPr>
            </w:pPr>
            <w:r w:rsidRPr="002535AD">
              <w:rPr>
                <w:sz w:val="20"/>
                <w:szCs w:val="20"/>
                <w:lang w:eastAsia="sk-SK"/>
              </w:rPr>
              <w:t>Aktualizácia na základe daňových priznaní, Solidárny príspevok z činností v odvetviach ropy, zemného plynu, uhlia a rafinérií bol v</w:t>
            </w:r>
            <w:r>
              <w:rPr>
                <w:sz w:val="20"/>
                <w:szCs w:val="20"/>
                <w:lang w:eastAsia="sk-SK"/>
              </w:rPr>
              <w:t> </w:t>
            </w:r>
            <w:r w:rsidRPr="002535AD">
              <w:rPr>
                <w:sz w:val="20"/>
                <w:szCs w:val="20"/>
                <w:lang w:eastAsia="sk-SK"/>
              </w:rPr>
              <w:t>marci odhadnutý a zarátaný d</w:t>
            </w:r>
            <w:r>
              <w:rPr>
                <w:sz w:val="20"/>
                <w:szCs w:val="20"/>
                <w:lang w:eastAsia="sk-SK"/>
              </w:rPr>
              <w:t>o daňových príjmov vo</w:t>
            </w:r>
            <w:r w:rsidR="005A73E2">
              <w:rPr>
                <w:sz w:val="20"/>
                <w:szCs w:val="20"/>
                <w:lang w:eastAsia="sk-SK"/>
              </w:rPr>
              <w:t> </w:t>
            </w:r>
            <w:r>
              <w:rPr>
                <w:sz w:val="20"/>
                <w:szCs w:val="20"/>
                <w:lang w:eastAsia="sk-SK"/>
              </w:rPr>
              <w:t>výške 416 </w:t>
            </w:r>
            <w:r w:rsidRPr="002535AD">
              <w:rPr>
                <w:sz w:val="20"/>
                <w:szCs w:val="20"/>
                <w:lang w:eastAsia="sk-SK"/>
              </w:rPr>
              <w:t>020</w:t>
            </w:r>
            <w:r>
              <w:rPr>
                <w:sz w:val="20"/>
                <w:szCs w:val="20"/>
                <w:lang w:eastAsia="sk-SK"/>
              </w:rPr>
              <w:t> </w:t>
            </w:r>
            <w:r w:rsidRPr="002535AD">
              <w:rPr>
                <w:sz w:val="20"/>
                <w:szCs w:val="20"/>
                <w:lang w:eastAsia="sk-SK"/>
              </w:rPr>
              <w:t>tis.</w:t>
            </w:r>
            <w:r>
              <w:rPr>
                <w:sz w:val="20"/>
                <w:szCs w:val="20"/>
                <w:lang w:eastAsia="sk-SK"/>
              </w:rPr>
              <w:t> </w:t>
            </w:r>
            <w:r w:rsidRPr="002535AD">
              <w:rPr>
                <w:sz w:val="20"/>
                <w:szCs w:val="20"/>
                <w:lang w:eastAsia="sk-SK"/>
              </w:rPr>
              <w:t>eur. Spoločnosť Slovna</w:t>
            </w:r>
            <w:r>
              <w:rPr>
                <w:sz w:val="20"/>
                <w:szCs w:val="20"/>
                <w:lang w:eastAsia="sk-SK"/>
              </w:rPr>
              <w:t xml:space="preserve">ft nakoniec príspevok </w:t>
            </w:r>
            <w:r w:rsidRPr="002535AD">
              <w:rPr>
                <w:sz w:val="20"/>
                <w:szCs w:val="20"/>
                <w:lang w:eastAsia="sk-SK"/>
              </w:rPr>
              <w:t>neuhradila, lebo nedosiahla predpokladaný zisk.</w:t>
            </w:r>
          </w:p>
        </w:tc>
      </w:tr>
      <w:tr w:rsidR="002535AD" w:rsidRPr="002535AD" w14:paraId="6672DE3F" w14:textId="77777777" w:rsidTr="009C4C76">
        <w:trPr>
          <w:trHeight w:val="846"/>
        </w:trPr>
        <w:tc>
          <w:tcPr>
            <w:tcW w:w="1609" w:type="pct"/>
            <w:tcBorders>
              <w:top w:val="nil"/>
              <w:left w:val="nil"/>
              <w:right w:val="nil"/>
            </w:tcBorders>
            <w:shd w:val="clear" w:color="000000" w:fill="FFFFFF"/>
            <w:vAlign w:val="center"/>
            <w:hideMark/>
          </w:tcPr>
          <w:p w14:paraId="32F4C8D8" w14:textId="77777777" w:rsidR="002535AD" w:rsidRPr="002535AD" w:rsidRDefault="002535AD" w:rsidP="002535AD">
            <w:pPr>
              <w:spacing w:after="0" w:line="240" w:lineRule="auto"/>
              <w:rPr>
                <w:sz w:val="20"/>
                <w:szCs w:val="20"/>
                <w:lang w:eastAsia="sk-SK"/>
              </w:rPr>
            </w:pPr>
            <w:r w:rsidRPr="002535AD">
              <w:rPr>
                <w:sz w:val="20"/>
                <w:szCs w:val="20"/>
                <w:lang w:eastAsia="sk-SK"/>
              </w:rPr>
              <w:t>Platené daňové kredity</w:t>
            </w:r>
          </w:p>
        </w:tc>
        <w:tc>
          <w:tcPr>
            <w:tcW w:w="489" w:type="pct"/>
            <w:tcBorders>
              <w:top w:val="nil"/>
              <w:left w:val="nil"/>
              <w:right w:val="nil"/>
            </w:tcBorders>
            <w:shd w:val="clear" w:color="auto" w:fill="auto"/>
            <w:noWrap/>
            <w:vAlign w:val="center"/>
            <w:hideMark/>
          </w:tcPr>
          <w:p w14:paraId="73C9C628" w14:textId="77777777" w:rsidR="002535AD" w:rsidRPr="002535AD" w:rsidRDefault="002535AD" w:rsidP="002535AD">
            <w:pPr>
              <w:spacing w:after="0" w:line="240" w:lineRule="auto"/>
              <w:jc w:val="right"/>
              <w:rPr>
                <w:sz w:val="20"/>
                <w:szCs w:val="20"/>
                <w:lang w:eastAsia="sk-SK"/>
              </w:rPr>
            </w:pPr>
            <w:r w:rsidRPr="002535AD">
              <w:rPr>
                <w:sz w:val="20"/>
                <w:szCs w:val="20"/>
                <w:lang w:eastAsia="sk-SK"/>
              </w:rPr>
              <w:t>-121 777</w:t>
            </w:r>
          </w:p>
        </w:tc>
        <w:tc>
          <w:tcPr>
            <w:tcW w:w="721" w:type="pct"/>
            <w:tcBorders>
              <w:top w:val="nil"/>
              <w:left w:val="nil"/>
              <w:right w:val="nil"/>
            </w:tcBorders>
            <w:shd w:val="clear" w:color="auto" w:fill="auto"/>
            <w:noWrap/>
            <w:vAlign w:val="center"/>
            <w:hideMark/>
          </w:tcPr>
          <w:p w14:paraId="1EC3D582" w14:textId="77777777" w:rsidR="002535AD" w:rsidRPr="002535AD" w:rsidRDefault="002535AD" w:rsidP="002535AD">
            <w:pPr>
              <w:spacing w:after="0" w:line="240" w:lineRule="auto"/>
              <w:jc w:val="center"/>
              <w:rPr>
                <w:sz w:val="20"/>
                <w:szCs w:val="20"/>
                <w:lang w:eastAsia="sk-SK"/>
              </w:rPr>
            </w:pPr>
            <w:r w:rsidRPr="002535AD">
              <w:rPr>
                <w:sz w:val="20"/>
                <w:szCs w:val="20"/>
                <w:lang w:eastAsia="sk-SK"/>
              </w:rPr>
              <w:t>-0,099</w:t>
            </w:r>
          </w:p>
        </w:tc>
        <w:tc>
          <w:tcPr>
            <w:tcW w:w="2181" w:type="pct"/>
            <w:tcBorders>
              <w:top w:val="nil"/>
              <w:left w:val="nil"/>
              <w:right w:val="nil"/>
            </w:tcBorders>
            <w:shd w:val="clear" w:color="000000" w:fill="FFFFFF"/>
            <w:vAlign w:val="center"/>
            <w:hideMark/>
          </w:tcPr>
          <w:p w14:paraId="59E2A222" w14:textId="0C2CFB7D" w:rsidR="002535AD" w:rsidRPr="002535AD" w:rsidRDefault="002535AD" w:rsidP="002D19D1">
            <w:pPr>
              <w:spacing w:after="0" w:line="240" w:lineRule="auto"/>
              <w:jc w:val="both"/>
              <w:rPr>
                <w:sz w:val="20"/>
                <w:szCs w:val="20"/>
                <w:lang w:eastAsia="sk-SK"/>
              </w:rPr>
            </w:pPr>
            <w:r>
              <w:rPr>
                <w:sz w:val="20"/>
                <w:szCs w:val="20"/>
                <w:lang w:eastAsia="sk-SK"/>
              </w:rPr>
              <w:t xml:space="preserve">Aktualizácia daňových príjmov </w:t>
            </w:r>
            <w:r w:rsidRPr="002535AD">
              <w:rPr>
                <w:sz w:val="20"/>
                <w:szCs w:val="20"/>
                <w:lang w:eastAsia="sk-SK"/>
              </w:rPr>
              <w:t>na základe nových údajov za</w:t>
            </w:r>
            <w:r>
              <w:rPr>
                <w:sz w:val="20"/>
                <w:szCs w:val="20"/>
                <w:lang w:eastAsia="sk-SK"/>
              </w:rPr>
              <w:t> </w:t>
            </w:r>
            <w:r w:rsidRPr="002535AD">
              <w:rPr>
                <w:sz w:val="20"/>
                <w:szCs w:val="20"/>
                <w:lang w:eastAsia="sk-SK"/>
              </w:rPr>
              <w:t>rok 2023 (daňové priznania a</w:t>
            </w:r>
            <w:r w:rsidR="002D19D1">
              <w:rPr>
                <w:sz w:val="20"/>
                <w:szCs w:val="20"/>
                <w:lang w:eastAsia="sk-SK"/>
              </w:rPr>
              <w:t> </w:t>
            </w:r>
            <w:r w:rsidRPr="002535AD">
              <w:rPr>
                <w:sz w:val="20"/>
                <w:szCs w:val="20"/>
                <w:lang w:eastAsia="sk-SK"/>
              </w:rPr>
              <w:t>hlás</w:t>
            </w:r>
            <w:r w:rsidR="00524D65">
              <w:rPr>
                <w:sz w:val="20"/>
                <w:szCs w:val="20"/>
                <w:lang w:eastAsia="sk-SK"/>
              </w:rPr>
              <w:t>e</w:t>
            </w:r>
            <w:r w:rsidRPr="002535AD">
              <w:rPr>
                <w:sz w:val="20"/>
                <w:szCs w:val="20"/>
                <w:lang w:eastAsia="sk-SK"/>
              </w:rPr>
              <w:t>nia).</w:t>
            </w:r>
          </w:p>
        </w:tc>
      </w:tr>
      <w:tr w:rsidR="002535AD" w:rsidRPr="002535AD" w14:paraId="6629F6D1" w14:textId="77777777" w:rsidTr="009C4C76">
        <w:trPr>
          <w:trHeight w:val="1300"/>
        </w:trPr>
        <w:tc>
          <w:tcPr>
            <w:tcW w:w="1609" w:type="pct"/>
            <w:tcBorders>
              <w:top w:val="nil"/>
              <w:left w:val="nil"/>
              <w:bottom w:val="single" w:sz="4" w:space="0" w:color="auto"/>
              <w:right w:val="nil"/>
            </w:tcBorders>
            <w:shd w:val="clear" w:color="auto" w:fill="auto"/>
            <w:vAlign w:val="center"/>
            <w:hideMark/>
          </w:tcPr>
          <w:p w14:paraId="5FC5064E" w14:textId="77777777" w:rsidR="002535AD" w:rsidRPr="002535AD" w:rsidRDefault="002535AD" w:rsidP="002535AD">
            <w:pPr>
              <w:spacing w:after="0" w:line="240" w:lineRule="auto"/>
              <w:rPr>
                <w:sz w:val="20"/>
                <w:szCs w:val="20"/>
                <w:lang w:eastAsia="sk-SK"/>
              </w:rPr>
            </w:pPr>
            <w:r w:rsidRPr="002535AD">
              <w:rPr>
                <w:sz w:val="20"/>
                <w:szCs w:val="20"/>
                <w:lang w:eastAsia="sk-SK"/>
              </w:rPr>
              <w:t>Ostatné záväzky ŠR</w:t>
            </w:r>
          </w:p>
        </w:tc>
        <w:tc>
          <w:tcPr>
            <w:tcW w:w="489" w:type="pct"/>
            <w:tcBorders>
              <w:top w:val="nil"/>
              <w:left w:val="nil"/>
              <w:bottom w:val="single" w:sz="4" w:space="0" w:color="auto"/>
              <w:right w:val="nil"/>
            </w:tcBorders>
            <w:shd w:val="clear" w:color="auto" w:fill="auto"/>
            <w:noWrap/>
            <w:vAlign w:val="center"/>
            <w:hideMark/>
          </w:tcPr>
          <w:p w14:paraId="248FBC00" w14:textId="77777777" w:rsidR="002535AD" w:rsidRPr="002535AD" w:rsidRDefault="002535AD" w:rsidP="002535AD">
            <w:pPr>
              <w:spacing w:after="0" w:line="240" w:lineRule="auto"/>
              <w:jc w:val="right"/>
              <w:rPr>
                <w:sz w:val="20"/>
                <w:szCs w:val="20"/>
                <w:lang w:eastAsia="sk-SK"/>
              </w:rPr>
            </w:pPr>
            <w:r w:rsidRPr="002535AD">
              <w:rPr>
                <w:sz w:val="20"/>
                <w:szCs w:val="20"/>
                <w:lang w:eastAsia="sk-SK"/>
              </w:rPr>
              <w:t>-69 127</w:t>
            </w:r>
          </w:p>
        </w:tc>
        <w:tc>
          <w:tcPr>
            <w:tcW w:w="721" w:type="pct"/>
            <w:tcBorders>
              <w:top w:val="nil"/>
              <w:left w:val="nil"/>
              <w:bottom w:val="single" w:sz="4" w:space="0" w:color="auto"/>
              <w:right w:val="nil"/>
            </w:tcBorders>
            <w:shd w:val="clear" w:color="auto" w:fill="auto"/>
            <w:noWrap/>
            <w:vAlign w:val="center"/>
            <w:hideMark/>
          </w:tcPr>
          <w:p w14:paraId="392C016D" w14:textId="77777777" w:rsidR="002535AD" w:rsidRPr="002535AD" w:rsidRDefault="002535AD" w:rsidP="002535AD">
            <w:pPr>
              <w:spacing w:after="0" w:line="240" w:lineRule="auto"/>
              <w:jc w:val="center"/>
              <w:rPr>
                <w:sz w:val="20"/>
                <w:szCs w:val="20"/>
                <w:lang w:eastAsia="sk-SK"/>
              </w:rPr>
            </w:pPr>
            <w:r w:rsidRPr="002535AD">
              <w:rPr>
                <w:sz w:val="20"/>
                <w:szCs w:val="20"/>
                <w:lang w:eastAsia="sk-SK"/>
              </w:rPr>
              <w:t>-0,056</w:t>
            </w:r>
          </w:p>
        </w:tc>
        <w:tc>
          <w:tcPr>
            <w:tcW w:w="2181" w:type="pct"/>
            <w:tcBorders>
              <w:top w:val="nil"/>
              <w:left w:val="nil"/>
              <w:bottom w:val="single" w:sz="4" w:space="0" w:color="auto"/>
              <w:right w:val="nil"/>
            </w:tcBorders>
            <w:shd w:val="clear" w:color="auto" w:fill="auto"/>
            <w:vAlign w:val="center"/>
            <w:hideMark/>
          </w:tcPr>
          <w:p w14:paraId="683F79A1" w14:textId="7B22F688" w:rsidR="002535AD" w:rsidRPr="002535AD" w:rsidRDefault="002535AD" w:rsidP="00B46B79">
            <w:pPr>
              <w:spacing w:after="0" w:line="240" w:lineRule="auto"/>
              <w:jc w:val="both"/>
              <w:rPr>
                <w:sz w:val="20"/>
                <w:szCs w:val="20"/>
                <w:lang w:eastAsia="sk-SK"/>
              </w:rPr>
            </w:pPr>
            <w:r w:rsidRPr="002535AD">
              <w:rPr>
                <w:sz w:val="20"/>
                <w:szCs w:val="20"/>
                <w:lang w:eastAsia="sk-SK"/>
              </w:rPr>
              <w:t xml:space="preserve">Imputácia záväzku z nevyplatenej energopomoci. Ide o časový posun </w:t>
            </w:r>
            <w:r w:rsidR="00524D65">
              <w:rPr>
                <w:sz w:val="20"/>
                <w:szCs w:val="20"/>
                <w:lang w:eastAsia="sk-SK"/>
              </w:rPr>
              <w:t xml:space="preserve">časti </w:t>
            </w:r>
            <w:r w:rsidRPr="002535AD">
              <w:rPr>
                <w:sz w:val="20"/>
                <w:szCs w:val="20"/>
                <w:lang w:eastAsia="sk-SK"/>
              </w:rPr>
              <w:t>dotácií na energopomoc, ktorá akruálne patrí do roku 2023, ale hotovostne bola vyplatená až v roku 2024. Záväzok bol</w:t>
            </w:r>
            <w:r w:rsidR="00727A4C">
              <w:rPr>
                <w:sz w:val="20"/>
                <w:szCs w:val="20"/>
                <w:lang w:eastAsia="sk-SK"/>
              </w:rPr>
              <w:t xml:space="preserve">  imputova</w:t>
            </w:r>
            <w:r w:rsidR="00524D65">
              <w:rPr>
                <w:sz w:val="20"/>
                <w:szCs w:val="20"/>
                <w:lang w:eastAsia="sk-SK"/>
              </w:rPr>
              <w:t>ný</w:t>
            </w:r>
            <w:r w:rsidR="00727A4C">
              <w:rPr>
                <w:sz w:val="20"/>
                <w:szCs w:val="20"/>
                <w:lang w:eastAsia="sk-SK"/>
              </w:rPr>
              <w:t xml:space="preserve"> v súlade s </w:t>
            </w:r>
            <w:r w:rsidRPr="002535AD">
              <w:rPr>
                <w:sz w:val="20"/>
                <w:szCs w:val="20"/>
                <w:lang w:eastAsia="sk-SK"/>
              </w:rPr>
              <w:t>potvrdeným zaznamenaním celkovej energopomoci do</w:t>
            </w:r>
            <w:r w:rsidR="00727A4C">
              <w:rPr>
                <w:sz w:val="20"/>
                <w:szCs w:val="20"/>
                <w:lang w:eastAsia="sk-SK"/>
              </w:rPr>
              <w:t> </w:t>
            </w:r>
            <w:r w:rsidRPr="002535AD">
              <w:rPr>
                <w:sz w:val="20"/>
                <w:szCs w:val="20"/>
                <w:lang w:eastAsia="sk-SK"/>
              </w:rPr>
              <w:t>roku 2023.</w:t>
            </w:r>
          </w:p>
        </w:tc>
      </w:tr>
      <w:tr w:rsidR="002535AD" w:rsidRPr="002535AD" w14:paraId="7340C24D" w14:textId="77777777" w:rsidTr="005A73E2">
        <w:trPr>
          <w:trHeight w:val="1480"/>
        </w:trPr>
        <w:tc>
          <w:tcPr>
            <w:tcW w:w="1609" w:type="pct"/>
            <w:tcBorders>
              <w:top w:val="single" w:sz="4" w:space="0" w:color="auto"/>
              <w:left w:val="nil"/>
              <w:bottom w:val="nil"/>
              <w:right w:val="nil"/>
            </w:tcBorders>
            <w:shd w:val="clear" w:color="auto" w:fill="auto"/>
            <w:vAlign w:val="center"/>
            <w:hideMark/>
          </w:tcPr>
          <w:p w14:paraId="72EEAE41" w14:textId="77777777" w:rsidR="002535AD" w:rsidRPr="002535AD" w:rsidRDefault="002535AD" w:rsidP="002535AD">
            <w:pPr>
              <w:spacing w:after="0" w:line="240" w:lineRule="auto"/>
              <w:rPr>
                <w:sz w:val="20"/>
                <w:szCs w:val="20"/>
                <w:lang w:eastAsia="sk-SK"/>
              </w:rPr>
            </w:pPr>
            <w:r w:rsidRPr="002535AD">
              <w:rPr>
                <w:sz w:val="20"/>
                <w:szCs w:val="20"/>
                <w:lang w:eastAsia="sk-SK"/>
              </w:rPr>
              <w:lastRenderedPageBreak/>
              <w:t>Ostatné pohľadávky a záväzky</w:t>
            </w:r>
          </w:p>
        </w:tc>
        <w:tc>
          <w:tcPr>
            <w:tcW w:w="489" w:type="pct"/>
            <w:tcBorders>
              <w:top w:val="single" w:sz="4" w:space="0" w:color="auto"/>
              <w:left w:val="nil"/>
              <w:bottom w:val="nil"/>
              <w:right w:val="nil"/>
            </w:tcBorders>
            <w:shd w:val="clear" w:color="auto" w:fill="auto"/>
            <w:noWrap/>
            <w:vAlign w:val="center"/>
            <w:hideMark/>
          </w:tcPr>
          <w:p w14:paraId="499FD6E5" w14:textId="77777777" w:rsidR="002535AD" w:rsidRPr="002535AD" w:rsidRDefault="002535AD" w:rsidP="002535AD">
            <w:pPr>
              <w:spacing w:after="0" w:line="240" w:lineRule="auto"/>
              <w:jc w:val="right"/>
              <w:rPr>
                <w:sz w:val="20"/>
                <w:szCs w:val="20"/>
                <w:lang w:eastAsia="sk-SK"/>
              </w:rPr>
            </w:pPr>
            <w:r w:rsidRPr="002535AD">
              <w:rPr>
                <w:sz w:val="20"/>
                <w:szCs w:val="20"/>
                <w:lang w:eastAsia="sk-SK"/>
              </w:rPr>
              <w:t>-40 440</w:t>
            </w:r>
          </w:p>
        </w:tc>
        <w:tc>
          <w:tcPr>
            <w:tcW w:w="721" w:type="pct"/>
            <w:tcBorders>
              <w:top w:val="single" w:sz="4" w:space="0" w:color="auto"/>
              <w:left w:val="nil"/>
              <w:bottom w:val="nil"/>
              <w:right w:val="nil"/>
            </w:tcBorders>
            <w:shd w:val="clear" w:color="auto" w:fill="auto"/>
            <w:noWrap/>
            <w:vAlign w:val="center"/>
            <w:hideMark/>
          </w:tcPr>
          <w:p w14:paraId="1403DC98" w14:textId="77777777" w:rsidR="002535AD" w:rsidRPr="002535AD" w:rsidRDefault="002535AD" w:rsidP="002535AD">
            <w:pPr>
              <w:spacing w:after="0" w:line="240" w:lineRule="auto"/>
              <w:jc w:val="center"/>
              <w:rPr>
                <w:sz w:val="20"/>
                <w:szCs w:val="20"/>
                <w:lang w:eastAsia="sk-SK"/>
              </w:rPr>
            </w:pPr>
            <w:r w:rsidRPr="002535AD">
              <w:rPr>
                <w:sz w:val="20"/>
                <w:szCs w:val="20"/>
                <w:lang w:eastAsia="sk-SK"/>
              </w:rPr>
              <w:t>-0,033</w:t>
            </w:r>
          </w:p>
        </w:tc>
        <w:tc>
          <w:tcPr>
            <w:tcW w:w="2181" w:type="pct"/>
            <w:tcBorders>
              <w:top w:val="single" w:sz="4" w:space="0" w:color="auto"/>
              <w:left w:val="nil"/>
              <w:bottom w:val="nil"/>
              <w:right w:val="nil"/>
            </w:tcBorders>
            <w:shd w:val="clear" w:color="auto" w:fill="auto"/>
            <w:vAlign w:val="center"/>
            <w:hideMark/>
          </w:tcPr>
          <w:p w14:paraId="73327F0B" w14:textId="10109FD5" w:rsidR="002535AD" w:rsidRPr="002535AD" w:rsidRDefault="002535AD" w:rsidP="005A73E2">
            <w:pPr>
              <w:spacing w:after="0" w:line="240" w:lineRule="auto"/>
              <w:jc w:val="both"/>
              <w:rPr>
                <w:sz w:val="20"/>
                <w:szCs w:val="20"/>
                <w:lang w:eastAsia="sk-SK"/>
              </w:rPr>
            </w:pPr>
            <w:r w:rsidRPr="002535AD">
              <w:rPr>
                <w:sz w:val="20"/>
                <w:szCs w:val="20"/>
                <w:lang w:eastAsia="sk-SK"/>
              </w:rPr>
              <w:t>Revízia aprílových údajov na základe riadnych účtovných závierok vybraných subjektov VS, najväčší vplyv malo vykázanie záväzkov - výdavkov budúcich o</w:t>
            </w:r>
            <w:r>
              <w:rPr>
                <w:sz w:val="20"/>
                <w:szCs w:val="20"/>
                <w:lang w:eastAsia="sk-SK"/>
              </w:rPr>
              <w:t>bdobí Valaliky Industrial Park, s. r. </w:t>
            </w:r>
            <w:r w:rsidRPr="002535AD">
              <w:rPr>
                <w:sz w:val="20"/>
                <w:szCs w:val="20"/>
                <w:lang w:eastAsia="sk-SK"/>
              </w:rPr>
              <w:t>o, o</w:t>
            </w:r>
            <w:r>
              <w:rPr>
                <w:sz w:val="20"/>
                <w:szCs w:val="20"/>
                <w:lang w:eastAsia="sk-SK"/>
              </w:rPr>
              <w:t> </w:t>
            </w:r>
            <w:r w:rsidRPr="002535AD">
              <w:rPr>
                <w:sz w:val="20"/>
                <w:szCs w:val="20"/>
                <w:lang w:eastAsia="sk-SK"/>
              </w:rPr>
              <w:t>45</w:t>
            </w:r>
            <w:r>
              <w:rPr>
                <w:sz w:val="20"/>
                <w:szCs w:val="20"/>
                <w:lang w:eastAsia="sk-SK"/>
              </w:rPr>
              <w:t> </w:t>
            </w:r>
            <w:r w:rsidRPr="002535AD">
              <w:rPr>
                <w:sz w:val="20"/>
                <w:szCs w:val="20"/>
                <w:lang w:eastAsia="sk-SK"/>
              </w:rPr>
              <w:t>mil.</w:t>
            </w:r>
            <w:r>
              <w:rPr>
                <w:sz w:val="20"/>
                <w:szCs w:val="20"/>
                <w:lang w:eastAsia="sk-SK"/>
              </w:rPr>
              <w:t> </w:t>
            </w:r>
            <w:r w:rsidRPr="002535AD">
              <w:rPr>
                <w:sz w:val="20"/>
                <w:szCs w:val="20"/>
                <w:lang w:eastAsia="sk-SK"/>
              </w:rPr>
              <w:t>eur, súvisiacich s</w:t>
            </w:r>
            <w:r>
              <w:rPr>
                <w:sz w:val="20"/>
                <w:szCs w:val="20"/>
                <w:lang w:eastAsia="sk-SK"/>
              </w:rPr>
              <w:t> </w:t>
            </w:r>
            <w:r w:rsidRPr="002535AD">
              <w:rPr>
                <w:sz w:val="20"/>
                <w:szCs w:val="20"/>
                <w:lang w:eastAsia="sk-SK"/>
              </w:rPr>
              <w:t xml:space="preserve">predajom </w:t>
            </w:r>
            <w:r>
              <w:rPr>
                <w:sz w:val="20"/>
                <w:szCs w:val="20"/>
                <w:lang w:eastAsia="sk-SK"/>
              </w:rPr>
              <w:t>pozemku Volvo Cars Slovakia,</w:t>
            </w:r>
            <w:r w:rsidRPr="002535AD">
              <w:rPr>
                <w:sz w:val="20"/>
                <w:szCs w:val="20"/>
                <w:lang w:eastAsia="sk-SK"/>
              </w:rPr>
              <w:t>s.</w:t>
            </w:r>
            <w:r>
              <w:rPr>
                <w:sz w:val="20"/>
                <w:szCs w:val="20"/>
                <w:lang w:eastAsia="sk-SK"/>
              </w:rPr>
              <w:t> </w:t>
            </w:r>
            <w:r w:rsidRPr="002535AD">
              <w:rPr>
                <w:sz w:val="20"/>
                <w:szCs w:val="20"/>
                <w:lang w:eastAsia="sk-SK"/>
              </w:rPr>
              <w:t>r.</w:t>
            </w:r>
            <w:r>
              <w:rPr>
                <w:sz w:val="20"/>
                <w:szCs w:val="20"/>
                <w:lang w:eastAsia="sk-SK"/>
              </w:rPr>
              <w:t> </w:t>
            </w:r>
            <w:r w:rsidRPr="002535AD">
              <w:rPr>
                <w:sz w:val="20"/>
                <w:szCs w:val="20"/>
                <w:lang w:eastAsia="sk-SK"/>
              </w:rPr>
              <w:t>o.</w:t>
            </w:r>
          </w:p>
        </w:tc>
      </w:tr>
      <w:tr w:rsidR="002535AD" w:rsidRPr="002535AD" w14:paraId="5CEEC966" w14:textId="77777777" w:rsidTr="0048253F">
        <w:trPr>
          <w:trHeight w:val="1412"/>
        </w:trPr>
        <w:tc>
          <w:tcPr>
            <w:tcW w:w="1609" w:type="pct"/>
            <w:tcBorders>
              <w:top w:val="nil"/>
              <w:left w:val="nil"/>
              <w:bottom w:val="nil"/>
              <w:right w:val="nil"/>
            </w:tcBorders>
            <w:shd w:val="clear" w:color="auto" w:fill="auto"/>
            <w:vAlign w:val="center"/>
            <w:hideMark/>
          </w:tcPr>
          <w:p w14:paraId="166B072D" w14:textId="0B85DCF7" w:rsidR="002535AD" w:rsidRPr="002535AD" w:rsidRDefault="00377960" w:rsidP="002535AD">
            <w:pPr>
              <w:spacing w:after="0" w:line="240" w:lineRule="auto"/>
              <w:rPr>
                <w:sz w:val="20"/>
                <w:szCs w:val="20"/>
                <w:lang w:eastAsia="sk-SK"/>
              </w:rPr>
            </w:pPr>
            <w:r w:rsidRPr="00DD6C1B">
              <w:rPr>
                <w:sz w:val="20"/>
                <w:szCs w:val="20"/>
                <w:lang w:eastAsia="sk-SK"/>
              </w:rPr>
              <w:t>Zníženie pohľadávky EÚ z dôvodu nadkontrahovania programu</w:t>
            </w:r>
            <w:r w:rsidR="00B46B79">
              <w:rPr>
                <w:sz w:val="20"/>
                <w:szCs w:val="20"/>
                <w:lang w:eastAsia="sk-SK"/>
              </w:rPr>
              <w:t xml:space="preserve"> </w:t>
            </w:r>
            <w:r w:rsidR="00D64ED8">
              <w:rPr>
                <w:sz w:val="20"/>
                <w:szCs w:val="20"/>
                <w:lang w:eastAsia="sk-SK"/>
              </w:rPr>
              <w:t>„</w:t>
            </w:r>
            <w:r w:rsidR="00B46B79" w:rsidRPr="00B46B79">
              <w:rPr>
                <w:sz w:val="20"/>
                <w:szCs w:val="20"/>
                <w:lang w:eastAsia="sk-SK"/>
              </w:rPr>
              <w:t>Integrovaný regionálny operačný program</w:t>
            </w:r>
            <w:r w:rsidR="00D64ED8">
              <w:rPr>
                <w:sz w:val="20"/>
                <w:szCs w:val="20"/>
                <w:lang w:eastAsia="sk-SK"/>
              </w:rPr>
              <w:t>“</w:t>
            </w:r>
            <w:r w:rsidR="00B46B79">
              <w:rPr>
                <w:sz w:val="20"/>
                <w:szCs w:val="20"/>
                <w:lang w:eastAsia="sk-SK"/>
              </w:rPr>
              <w:t xml:space="preserve"> (IROP)</w:t>
            </w:r>
            <w:r w:rsidRPr="00DD6C1B">
              <w:rPr>
                <w:sz w:val="20"/>
                <w:szCs w:val="20"/>
                <w:lang w:eastAsia="sk-SK"/>
              </w:rPr>
              <w:t xml:space="preserve"> nad</w:t>
            </w:r>
            <w:r>
              <w:rPr>
                <w:sz w:val="20"/>
                <w:szCs w:val="20"/>
                <w:lang w:eastAsia="sk-SK"/>
              </w:rPr>
              <w:t> </w:t>
            </w:r>
            <w:r w:rsidRPr="00DD6C1B">
              <w:rPr>
                <w:sz w:val="20"/>
                <w:szCs w:val="20"/>
                <w:lang w:eastAsia="sk-SK"/>
              </w:rPr>
              <w:t>rámec alokácie</w:t>
            </w:r>
          </w:p>
        </w:tc>
        <w:tc>
          <w:tcPr>
            <w:tcW w:w="489" w:type="pct"/>
            <w:tcBorders>
              <w:top w:val="nil"/>
              <w:left w:val="nil"/>
              <w:bottom w:val="nil"/>
              <w:right w:val="nil"/>
            </w:tcBorders>
            <w:shd w:val="clear" w:color="auto" w:fill="auto"/>
            <w:noWrap/>
            <w:vAlign w:val="center"/>
            <w:hideMark/>
          </w:tcPr>
          <w:p w14:paraId="22FEFEEC" w14:textId="77777777" w:rsidR="002535AD" w:rsidRPr="002535AD" w:rsidRDefault="002535AD" w:rsidP="002535AD">
            <w:pPr>
              <w:spacing w:after="0" w:line="240" w:lineRule="auto"/>
              <w:jc w:val="right"/>
              <w:rPr>
                <w:sz w:val="20"/>
                <w:szCs w:val="20"/>
                <w:lang w:eastAsia="sk-SK"/>
              </w:rPr>
            </w:pPr>
            <w:r w:rsidRPr="002535AD">
              <w:rPr>
                <w:sz w:val="20"/>
                <w:szCs w:val="20"/>
                <w:lang w:eastAsia="sk-SK"/>
              </w:rPr>
              <w:t>31 201</w:t>
            </w:r>
          </w:p>
        </w:tc>
        <w:tc>
          <w:tcPr>
            <w:tcW w:w="721" w:type="pct"/>
            <w:tcBorders>
              <w:top w:val="nil"/>
              <w:left w:val="nil"/>
              <w:bottom w:val="nil"/>
              <w:right w:val="nil"/>
            </w:tcBorders>
            <w:shd w:val="clear" w:color="auto" w:fill="auto"/>
            <w:noWrap/>
            <w:vAlign w:val="center"/>
            <w:hideMark/>
          </w:tcPr>
          <w:p w14:paraId="2B8678B4" w14:textId="77777777" w:rsidR="002535AD" w:rsidRPr="002535AD" w:rsidRDefault="002535AD" w:rsidP="002535AD">
            <w:pPr>
              <w:spacing w:after="0" w:line="240" w:lineRule="auto"/>
              <w:jc w:val="center"/>
              <w:rPr>
                <w:sz w:val="20"/>
                <w:szCs w:val="20"/>
                <w:lang w:eastAsia="sk-SK"/>
              </w:rPr>
            </w:pPr>
            <w:r w:rsidRPr="002535AD">
              <w:rPr>
                <w:sz w:val="20"/>
                <w:szCs w:val="20"/>
                <w:lang w:eastAsia="sk-SK"/>
              </w:rPr>
              <w:t>0,025</w:t>
            </w:r>
          </w:p>
        </w:tc>
        <w:tc>
          <w:tcPr>
            <w:tcW w:w="2181" w:type="pct"/>
            <w:tcBorders>
              <w:top w:val="nil"/>
              <w:left w:val="nil"/>
              <w:bottom w:val="nil"/>
              <w:right w:val="nil"/>
            </w:tcBorders>
            <w:shd w:val="clear" w:color="auto" w:fill="auto"/>
            <w:vAlign w:val="center"/>
            <w:hideMark/>
          </w:tcPr>
          <w:p w14:paraId="60D16A7B" w14:textId="1D5A0474" w:rsidR="002535AD" w:rsidRPr="002535AD" w:rsidRDefault="002535AD" w:rsidP="00B46B79">
            <w:pPr>
              <w:spacing w:after="0" w:line="240" w:lineRule="auto"/>
              <w:jc w:val="both"/>
              <w:rPr>
                <w:sz w:val="20"/>
                <w:szCs w:val="20"/>
                <w:lang w:eastAsia="sk-SK"/>
              </w:rPr>
            </w:pPr>
            <w:r w:rsidRPr="002535AD">
              <w:rPr>
                <w:sz w:val="20"/>
                <w:szCs w:val="20"/>
                <w:lang w:eastAsia="sk-SK"/>
              </w:rPr>
              <w:t>Posun č</w:t>
            </w:r>
            <w:r>
              <w:rPr>
                <w:sz w:val="20"/>
                <w:szCs w:val="20"/>
                <w:lang w:eastAsia="sk-SK"/>
              </w:rPr>
              <w:t>asti nadkontrahovania do </w:t>
            </w:r>
            <w:r w:rsidRPr="002535AD">
              <w:rPr>
                <w:sz w:val="20"/>
                <w:szCs w:val="20"/>
                <w:lang w:eastAsia="sk-SK"/>
              </w:rPr>
              <w:t>roku 2024. Podľa aktualizovaných údajov bola časť nadkontrahovania vo výške 31</w:t>
            </w:r>
            <w:r>
              <w:rPr>
                <w:sz w:val="20"/>
                <w:szCs w:val="20"/>
                <w:lang w:eastAsia="sk-SK"/>
              </w:rPr>
              <w:t> 201 tis. </w:t>
            </w:r>
            <w:r w:rsidRPr="002535AD">
              <w:rPr>
                <w:sz w:val="20"/>
                <w:szCs w:val="20"/>
                <w:lang w:eastAsia="sk-SK"/>
              </w:rPr>
              <w:t>eur z</w:t>
            </w:r>
            <w:r>
              <w:rPr>
                <w:sz w:val="20"/>
                <w:szCs w:val="20"/>
                <w:lang w:eastAsia="sk-SK"/>
              </w:rPr>
              <w:t> </w:t>
            </w:r>
            <w:r w:rsidRPr="002535AD">
              <w:rPr>
                <w:sz w:val="20"/>
                <w:szCs w:val="20"/>
                <w:lang w:eastAsia="sk-SK"/>
              </w:rPr>
              <w:t>celkovej sumy 190</w:t>
            </w:r>
            <w:r>
              <w:rPr>
                <w:sz w:val="20"/>
                <w:szCs w:val="20"/>
                <w:lang w:eastAsia="sk-SK"/>
              </w:rPr>
              <w:t> </w:t>
            </w:r>
            <w:r w:rsidRPr="002535AD">
              <w:rPr>
                <w:sz w:val="20"/>
                <w:szCs w:val="20"/>
                <w:lang w:eastAsia="sk-SK"/>
              </w:rPr>
              <w:t>000</w:t>
            </w:r>
            <w:r>
              <w:rPr>
                <w:sz w:val="20"/>
                <w:szCs w:val="20"/>
                <w:lang w:eastAsia="sk-SK"/>
              </w:rPr>
              <w:t> </w:t>
            </w:r>
            <w:r w:rsidRPr="002535AD">
              <w:rPr>
                <w:sz w:val="20"/>
                <w:szCs w:val="20"/>
                <w:lang w:eastAsia="sk-SK"/>
              </w:rPr>
              <w:t>tis.</w:t>
            </w:r>
            <w:r>
              <w:rPr>
                <w:sz w:val="20"/>
                <w:szCs w:val="20"/>
                <w:lang w:eastAsia="sk-SK"/>
              </w:rPr>
              <w:t> </w:t>
            </w:r>
            <w:r w:rsidRPr="002535AD">
              <w:rPr>
                <w:sz w:val="20"/>
                <w:szCs w:val="20"/>
                <w:lang w:eastAsia="sk-SK"/>
              </w:rPr>
              <w:t>eur vyplatená až</w:t>
            </w:r>
            <w:r w:rsidR="00727A4C">
              <w:rPr>
                <w:sz w:val="20"/>
                <w:szCs w:val="20"/>
                <w:lang w:eastAsia="sk-SK"/>
              </w:rPr>
              <w:t> </w:t>
            </w:r>
            <w:r w:rsidRPr="002535AD">
              <w:rPr>
                <w:sz w:val="20"/>
                <w:szCs w:val="20"/>
                <w:lang w:eastAsia="sk-SK"/>
              </w:rPr>
              <w:t>v</w:t>
            </w:r>
            <w:r>
              <w:rPr>
                <w:sz w:val="20"/>
                <w:szCs w:val="20"/>
                <w:lang w:eastAsia="sk-SK"/>
              </w:rPr>
              <w:t> </w:t>
            </w:r>
            <w:r w:rsidRPr="002535AD">
              <w:rPr>
                <w:sz w:val="20"/>
                <w:szCs w:val="20"/>
                <w:lang w:eastAsia="sk-SK"/>
              </w:rPr>
              <w:t>roku 2024.</w:t>
            </w:r>
          </w:p>
        </w:tc>
      </w:tr>
      <w:tr w:rsidR="002535AD" w:rsidRPr="002535AD" w14:paraId="323DEF77" w14:textId="77777777" w:rsidTr="005A73E2">
        <w:trPr>
          <w:trHeight w:val="567"/>
        </w:trPr>
        <w:tc>
          <w:tcPr>
            <w:tcW w:w="1609" w:type="pct"/>
            <w:tcBorders>
              <w:top w:val="nil"/>
              <w:left w:val="nil"/>
              <w:bottom w:val="nil"/>
              <w:right w:val="nil"/>
            </w:tcBorders>
            <w:shd w:val="clear" w:color="auto" w:fill="auto"/>
            <w:vAlign w:val="center"/>
            <w:hideMark/>
          </w:tcPr>
          <w:p w14:paraId="4FB12A4A" w14:textId="77777777" w:rsidR="002535AD" w:rsidRPr="002535AD" w:rsidRDefault="002535AD" w:rsidP="002535AD">
            <w:pPr>
              <w:spacing w:after="0" w:line="240" w:lineRule="auto"/>
              <w:rPr>
                <w:sz w:val="20"/>
                <w:szCs w:val="20"/>
                <w:lang w:eastAsia="sk-SK"/>
              </w:rPr>
            </w:pPr>
            <w:r w:rsidRPr="002535AD">
              <w:rPr>
                <w:sz w:val="20"/>
                <w:szCs w:val="20"/>
                <w:lang w:eastAsia="sk-SK"/>
              </w:rPr>
              <w:t>Preradenie SZRB do sektora verejnej správy</w:t>
            </w:r>
          </w:p>
        </w:tc>
        <w:tc>
          <w:tcPr>
            <w:tcW w:w="489" w:type="pct"/>
            <w:tcBorders>
              <w:top w:val="nil"/>
              <w:left w:val="nil"/>
              <w:bottom w:val="nil"/>
              <w:right w:val="nil"/>
            </w:tcBorders>
            <w:shd w:val="clear" w:color="auto" w:fill="auto"/>
            <w:noWrap/>
            <w:vAlign w:val="center"/>
            <w:hideMark/>
          </w:tcPr>
          <w:p w14:paraId="5AB049B9" w14:textId="77777777" w:rsidR="002535AD" w:rsidRPr="002535AD" w:rsidRDefault="002535AD" w:rsidP="002535AD">
            <w:pPr>
              <w:spacing w:after="0" w:line="240" w:lineRule="auto"/>
              <w:jc w:val="right"/>
              <w:rPr>
                <w:sz w:val="20"/>
                <w:szCs w:val="20"/>
                <w:lang w:eastAsia="sk-SK"/>
              </w:rPr>
            </w:pPr>
            <w:r w:rsidRPr="002535AD">
              <w:rPr>
                <w:sz w:val="20"/>
                <w:szCs w:val="20"/>
                <w:lang w:eastAsia="sk-SK"/>
              </w:rPr>
              <w:t>8 541</w:t>
            </w:r>
          </w:p>
        </w:tc>
        <w:tc>
          <w:tcPr>
            <w:tcW w:w="721" w:type="pct"/>
            <w:tcBorders>
              <w:top w:val="nil"/>
              <w:left w:val="nil"/>
              <w:bottom w:val="nil"/>
              <w:right w:val="nil"/>
            </w:tcBorders>
            <w:shd w:val="clear" w:color="auto" w:fill="auto"/>
            <w:noWrap/>
            <w:vAlign w:val="center"/>
            <w:hideMark/>
          </w:tcPr>
          <w:p w14:paraId="38092D2D" w14:textId="77777777" w:rsidR="002535AD" w:rsidRPr="002535AD" w:rsidRDefault="002535AD" w:rsidP="002535AD">
            <w:pPr>
              <w:spacing w:after="0" w:line="240" w:lineRule="auto"/>
              <w:jc w:val="center"/>
              <w:rPr>
                <w:sz w:val="20"/>
                <w:szCs w:val="20"/>
                <w:lang w:eastAsia="sk-SK"/>
              </w:rPr>
            </w:pPr>
            <w:r w:rsidRPr="002535AD">
              <w:rPr>
                <w:sz w:val="20"/>
                <w:szCs w:val="20"/>
                <w:lang w:eastAsia="sk-SK"/>
              </w:rPr>
              <w:t>0,007</w:t>
            </w:r>
          </w:p>
        </w:tc>
        <w:tc>
          <w:tcPr>
            <w:tcW w:w="2181" w:type="pct"/>
            <w:tcBorders>
              <w:top w:val="nil"/>
              <w:left w:val="nil"/>
              <w:bottom w:val="nil"/>
              <w:right w:val="nil"/>
            </w:tcBorders>
            <w:shd w:val="clear" w:color="auto" w:fill="auto"/>
            <w:vAlign w:val="center"/>
            <w:hideMark/>
          </w:tcPr>
          <w:p w14:paraId="5316F18F" w14:textId="6596B5FC" w:rsidR="002535AD" w:rsidRPr="002535AD" w:rsidRDefault="002535AD" w:rsidP="00B46B79">
            <w:pPr>
              <w:spacing w:after="0" w:line="240" w:lineRule="auto"/>
              <w:jc w:val="both"/>
              <w:rPr>
                <w:sz w:val="20"/>
                <w:szCs w:val="20"/>
                <w:lang w:eastAsia="sk-SK"/>
              </w:rPr>
            </w:pPr>
            <w:r w:rsidRPr="002535AD">
              <w:rPr>
                <w:sz w:val="20"/>
                <w:szCs w:val="20"/>
                <w:lang w:eastAsia="sk-SK"/>
              </w:rPr>
              <w:t>Vplyv prebytku SZRB na schodok verejnej správy</w:t>
            </w:r>
            <w:r>
              <w:rPr>
                <w:sz w:val="20"/>
                <w:szCs w:val="20"/>
                <w:lang w:eastAsia="sk-SK"/>
              </w:rPr>
              <w:t>.</w:t>
            </w:r>
          </w:p>
        </w:tc>
      </w:tr>
      <w:tr w:rsidR="0072055C" w:rsidRPr="002535AD" w14:paraId="1AFE9DC5" w14:textId="77777777" w:rsidTr="006D2CD5">
        <w:trPr>
          <w:trHeight w:val="420"/>
        </w:trPr>
        <w:tc>
          <w:tcPr>
            <w:tcW w:w="1609" w:type="pct"/>
            <w:tcBorders>
              <w:top w:val="nil"/>
              <w:left w:val="nil"/>
              <w:bottom w:val="nil"/>
              <w:right w:val="nil"/>
            </w:tcBorders>
            <w:shd w:val="clear" w:color="auto" w:fill="auto"/>
            <w:vAlign w:val="center"/>
          </w:tcPr>
          <w:p w14:paraId="5260F19B" w14:textId="08407DC2" w:rsidR="0072055C" w:rsidRPr="00C82029" w:rsidRDefault="0072055C" w:rsidP="002535AD">
            <w:pPr>
              <w:spacing w:after="0" w:line="240" w:lineRule="auto"/>
              <w:rPr>
                <w:sz w:val="20"/>
                <w:szCs w:val="20"/>
                <w:lang w:eastAsia="sk-SK"/>
              </w:rPr>
            </w:pPr>
            <w:r w:rsidRPr="00C82029">
              <w:rPr>
                <w:sz w:val="20"/>
                <w:szCs w:val="20"/>
                <w:lang w:eastAsia="sk-SK"/>
              </w:rPr>
              <w:t>Ostatné nevýznamné zmeny</w:t>
            </w:r>
          </w:p>
        </w:tc>
        <w:tc>
          <w:tcPr>
            <w:tcW w:w="489" w:type="pct"/>
            <w:tcBorders>
              <w:top w:val="nil"/>
              <w:left w:val="nil"/>
              <w:bottom w:val="nil"/>
              <w:right w:val="nil"/>
            </w:tcBorders>
            <w:shd w:val="clear" w:color="auto" w:fill="auto"/>
            <w:noWrap/>
            <w:vAlign w:val="center"/>
          </w:tcPr>
          <w:p w14:paraId="6C219FDF" w14:textId="0BB21F48" w:rsidR="0072055C" w:rsidRPr="00C82029" w:rsidRDefault="00FF072C" w:rsidP="002535AD">
            <w:pPr>
              <w:spacing w:after="0" w:line="240" w:lineRule="auto"/>
              <w:jc w:val="right"/>
              <w:rPr>
                <w:sz w:val="20"/>
                <w:szCs w:val="20"/>
                <w:lang w:eastAsia="sk-SK"/>
              </w:rPr>
            </w:pPr>
            <w:r w:rsidRPr="00C82029">
              <w:rPr>
                <w:sz w:val="20"/>
                <w:szCs w:val="20"/>
                <w:lang w:eastAsia="sk-SK"/>
              </w:rPr>
              <w:t>14</w:t>
            </w:r>
          </w:p>
        </w:tc>
        <w:tc>
          <w:tcPr>
            <w:tcW w:w="721" w:type="pct"/>
            <w:tcBorders>
              <w:top w:val="nil"/>
              <w:left w:val="nil"/>
              <w:bottom w:val="nil"/>
              <w:right w:val="nil"/>
            </w:tcBorders>
            <w:shd w:val="clear" w:color="auto" w:fill="auto"/>
            <w:noWrap/>
            <w:vAlign w:val="center"/>
          </w:tcPr>
          <w:p w14:paraId="60FF22AC" w14:textId="6B4DA445" w:rsidR="0072055C" w:rsidRPr="00C82029" w:rsidRDefault="00FF072C" w:rsidP="002535AD">
            <w:pPr>
              <w:spacing w:after="0" w:line="240" w:lineRule="auto"/>
              <w:jc w:val="center"/>
              <w:rPr>
                <w:sz w:val="20"/>
                <w:szCs w:val="20"/>
                <w:lang w:eastAsia="sk-SK"/>
              </w:rPr>
            </w:pPr>
            <w:r w:rsidRPr="00C82029">
              <w:rPr>
                <w:sz w:val="20"/>
                <w:szCs w:val="20"/>
                <w:lang w:eastAsia="sk-SK"/>
              </w:rPr>
              <w:t>0,000</w:t>
            </w:r>
          </w:p>
        </w:tc>
        <w:tc>
          <w:tcPr>
            <w:tcW w:w="2181" w:type="pct"/>
            <w:tcBorders>
              <w:top w:val="nil"/>
              <w:left w:val="nil"/>
              <w:bottom w:val="nil"/>
              <w:right w:val="nil"/>
            </w:tcBorders>
            <w:shd w:val="clear" w:color="auto" w:fill="auto"/>
            <w:vAlign w:val="center"/>
          </w:tcPr>
          <w:p w14:paraId="36E219A5" w14:textId="0BB26924" w:rsidR="0072055C" w:rsidRPr="002535AD" w:rsidRDefault="00BB1D32" w:rsidP="00B46B79">
            <w:pPr>
              <w:spacing w:after="0" w:line="240" w:lineRule="auto"/>
              <w:jc w:val="both"/>
              <w:rPr>
                <w:sz w:val="20"/>
                <w:szCs w:val="20"/>
                <w:lang w:eastAsia="sk-SK"/>
              </w:rPr>
            </w:pPr>
            <w:r>
              <w:rPr>
                <w:sz w:val="20"/>
                <w:szCs w:val="20"/>
                <w:lang w:eastAsia="sk-SK"/>
              </w:rPr>
              <w:t xml:space="preserve">Aktualizácia superdividend, pohľadávok voči EÚ </w:t>
            </w:r>
            <w:r w:rsidR="00C82029">
              <w:rPr>
                <w:sz w:val="20"/>
                <w:szCs w:val="20"/>
                <w:lang w:eastAsia="sk-SK"/>
              </w:rPr>
              <w:t>a akruálnych príjmov z odvodov.</w:t>
            </w:r>
          </w:p>
        </w:tc>
      </w:tr>
      <w:tr w:rsidR="002535AD" w:rsidRPr="002535AD" w14:paraId="625F56B4" w14:textId="77777777" w:rsidTr="00EA2C94">
        <w:trPr>
          <w:trHeight w:val="362"/>
        </w:trPr>
        <w:tc>
          <w:tcPr>
            <w:tcW w:w="1609" w:type="pct"/>
            <w:tcBorders>
              <w:top w:val="single" w:sz="4" w:space="0" w:color="auto"/>
              <w:left w:val="nil"/>
              <w:bottom w:val="single" w:sz="8" w:space="0" w:color="auto"/>
              <w:right w:val="nil"/>
            </w:tcBorders>
            <w:shd w:val="clear" w:color="auto" w:fill="auto"/>
            <w:noWrap/>
            <w:vAlign w:val="center"/>
            <w:hideMark/>
          </w:tcPr>
          <w:p w14:paraId="0D186D05" w14:textId="77777777" w:rsidR="002535AD" w:rsidRPr="002535AD" w:rsidRDefault="002535AD" w:rsidP="002535AD">
            <w:pPr>
              <w:spacing w:after="0" w:line="240" w:lineRule="auto"/>
              <w:rPr>
                <w:b/>
                <w:bCs/>
                <w:sz w:val="20"/>
                <w:szCs w:val="20"/>
                <w:lang w:eastAsia="sk-SK"/>
              </w:rPr>
            </w:pPr>
            <w:r w:rsidRPr="002535AD">
              <w:rPr>
                <w:b/>
                <w:bCs/>
                <w:sz w:val="20"/>
                <w:szCs w:val="20"/>
                <w:lang w:eastAsia="sk-SK"/>
              </w:rPr>
              <w:t>Zmena celkom</w:t>
            </w:r>
          </w:p>
        </w:tc>
        <w:tc>
          <w:tcPr>
            <w:tcW w:w="489" w:type="pct"/>
            <w:tcBorders>
              <w:top w:val="single" w:sz="4" w:space="0" w:color="auto"/>
              <w:left w:val="nil"/>
              <w:bottom w:val="single" w:sz="8" w:space="0" w:color="auto"/>
              <w:right w:val="nil"/>
            </w:tcBorders>
            <w:shd w:val="clear" w:color="auto" w:fill="auto"/>
            <w:noWrap/>
            <w:vAlign w:val="center"/>
            <w:hideMark/>
          </w:tcPr>
          <w:p w14:paraId="7D1B028C" w14:textId="77777777" w:rsidR="002535AD" w:rsidRPr="002535AD" w:rsidRDefault="002535AD" w:rsidP="002535AD">
            <w:pPr>
              <w:spacing w:after="0" w:line="240" w:lineRule="auto"/>
              <w:jc w:val="right"/>
              <w:rPr>
                <w:b/>
                <w:bCs/>
                <w:sz w:val="20"/>
                <w:szCs w:val="20"/>
                <w:lang w:eastAsia="sk-SK"/>
              </w:rPr>
            </w:pPr>
            <w:r w:rsidRPr="002535AD">
              <w:rPr>
                <w:b/>
                <w:bCs/>
                <w:sz w:val="20"/>
                <w:szCs w:val="20"/>
                <w:lang w:eastAsia="sk-SK"/>
              </w:rPr>
              <w:t>-389 626</w:t>
            </w:r>
          </w:p>
        </w:tc>
        <w:tc>
          <w:tcPr>
            <w:tcW w:w="721" w:type="pct"/>
            <w:tcBorders>
              <w:top w:val="single" w:sz="4" w:space="0" w:color="auto"/>
              <w:left w:val="nil"/>
              <w:bottom w:val="single" w:sz="8" w:space="0" w:color="auto"/>
              <w:right w:val="nil"/>
            </w:tcBorders>
            <w:shd w:val="clear" w:color="auto" w:fill="auto"/>
            <w:noWrap/>
            <w:vAlign w:val="center"/>
            <w:hideMark/>
          </w:tcPr>
          <w:p w14:paraId="103DBBBC" w14:textId="77777777" w:rsidR="002535AD" w:rsidRPr="002535AD" w:rsidRDefault="002535AD" w:rsidP="002535AD">
            <w:pPr>
              <w:spacing w:after="0" w:line="240" w:lineRule="auto"/>
              <w:jc w:val="center"/>
              <w:rPr>
                <w:b/>
                <w:bCs/>
                <w:sz w:val="20"/>
                <w:szCs w:val="20"/>
                <w:lang w:eastAsia="sk-SK"/>
              </w:rPr>
            </w:pPr>
            <w:r w:rsidRPr="002535AD">
              <w:rPr>
                <w:b/>
                <w:bCs/>
                <w:sz w:val="20"/>
                <w:szCs w:val="20"/>
                <w:lang w:eastAsia="sk-SK"/>
              </w:rPr>
              <w:t> </w:t>
            </w:r>
          </w:p>
        </w:tc>
        <w:tc>
          <w:tcPr>
            <w:tcW w:w="2181" w:type="pct"/>
            <w:tcBorders>
              <w:top w:val="single" w:sz="4" w:space="0" w:color="auto"/>
              <w:left w:val="nil"/>
              <w:bottom w:val="single" w:sz="8" w:space="0" w:color="auto"/>
              <w:right w:val="nil"/>
            </w:tcBorders>
            <w:shd w:val="clear" w:color="auto" w:fill="auto"/>
            <w:noWrap/>
            <w:vAlign w:val="bottom"/>
            <w:hideMark/>
          </w:tcPr>
          <w:p w14:paraId="2B57CCFA" w14:textId="77777777" w:rsidR="002535AD" w:rsidRPr="002535AD" w:rsidRDefault="002535AD" w:rsidP="002535AD">
            <w:pPr>
              <w:spacing w:after="0" w:line="240" w:lineRule="auto"/>
              <w:jc w:val="center"/>
              <w:rPr>
                <w:b/>
                <w:bCs/>
                <w:sz w:val="20"/>
                <w:szCs w:val="20"/>
                <w:lang w:eastAsia="sk-SK"/>
              </w:rPr>
            </w:pPr>
            <w:r w:rsidRPr="002535AD">
              <w:rPr>
                <w:b/>
                <w:bCs/>
                <w:sz w:val="20"/>
                <w:szCs w:val="20"/>
                <w:lang w:eastAsia="sk-SK"/>
              </w:rPr>
              <w:t> </w:t>
            </w:r>
          </w:p>
        </w:tc>
      </w:tr>
      <w:tr w:rsidR="002535AD" w:rsidRPr="002535AD" w14:paraId="6A5315DF" w14:textId="77777777" w:rsidTr="00EA2C94">
        <w:trPr>
          <w:trHeight w:val="401"/>
        </w:trPr>
        <w:tc>
          <w:tcPr>
            <w:tcW w:w="1609" w:type="pct"/>
            <w:tcBorders>
              <w:top w:val="nil"/>
              <w:left w:val="nil"/>
              <w:bottom w:val="single" w:sz="8" w:space="0" w:color="auto"/>
              <w:right w:val="nil"/>
            </w:tcBorders>
            <w:shd w:val="clear" w:color="auto" w:fill="auto"/>
            <w:vAlign w:val="center"/>
            <w:hideMark/>
          </w:tcPr>
          <w:p w14:paraId="7E8E26F5" w14:textId="77777777" w:rsidR="002535AD" w:rsidRPr="002535AD" w:rsidRDefault="002535AD" w:rsidP="002535AD">
            <w:pPr>
              <w:spacing w:after="0" w:line="240" w:lineRule="auto"/>
              <w:rPr>
                <w:b/>
                <w:bCs/>
                <w:color w:val="000000"/>
                <w:sz w:val="20"/>
                <w:szCs w:val="20"/>
                <w:lang w:eastAsia="sk-SK"/>
              </w:rPr>
            </w:pPr>
            <w:r w:rsidRPr="002535AD">
              <w:rPr>
                <w:b/>
                <w:bCs/>
                <w:color w:val="000000"/>
                <w:sz w:val="20"/>
                <w:szCs w:val="20"/>
                <w:lang w:eastAsia="sk-SK"/>
              </w:rPr>
              <w:t>Schodok VS - október 2024</w:t>
            </w:r>
          </w:p>
        </w:tc>
        <w:tc>
          <w:tcPr>
            <w:tcW w:w="489" w:type="pct"/>
            <w:tcBorders>
              <w:top w:val="nil"/>
              <w:left w:val="nil"/>
              <w:bottom w:val="single" w:sz="8" w:space="0" w:color="auto"/>
              <w:right w:val="nil"/>
            </w:tcBorders>
            <w:shd w:val="clear" w:color="auto" w:fill="auto"/>
            <w:vAlign w:val="center"/>
            <w:hideMark/>
          </w:tcPr>
          <w:p w14:paraId="2E79709A" w14:textId="77777777" w:rsidR="002535AD" w:rsidRPr="002535AD" w:rsidRDefault="002535AD" w:rsidP="002535AD">
            <w:pPr>
              <w:spacing w:after="0" w:line="240" w:lineRule="auto"/>
              <w:jc w:val="right"/>
              <w:rPr>
                <w:b/>
                <w:bCs/>
                <w:color w:val="000000"/>
                <w:sz w:val="20"/>
                <w:szCs w:val="20"/>
                <w:lang w:eastAsia="sk-SK"/>
              </w:rPr>
            </w:pPr>
            <w:r w:rsidRPr="002535AD">
              <w:rPr>
                <w:b/>
                <w:bCs/>
                <w:color w:val="000000"/>
                <w:sz w:val="20"/>
                <w:szCs w:val="20"/>
                <w:lang w:eastAsia="sk-SK"/>
              </w:rPr>
              <w:t>-6 399 439</w:t>
            </w:r>
          </w:p>
        </w:tc>
        <w:tc>
          <w:tcPr>
            <w:tcW w:w="721" w:type="pct"/>
            <w:tcBorders>
              <w:top w:val="nil"/>
              <w:left w:val="nil"/>
              <w:bottom w:val="single" w:sz="8" w:space="0" w:color="auto"/>
              <w:right w:val="nil"/>
            </w:tcBorders>
            <w:shd w:val="clear" w:color="auto" w:fill="auto"/>
            <w:vAlign w:val="center"/>
            <w:hideMark/>
          </w:tcPr>
          <w:p w14:paraId="03E1977F" w14:textId="77777777" w:rsidR="002535AD" w:rsidRPr="002535AD" w:rsidRDefault="002535AD" w:rsidP="002535AD">
            <w:pPr>
              <w:spacing w:after="0" w:line="240" w:lineRule="auto"/>
              <w:jc w:val="center"/>
              <w:rPr>
                <w:b/>
                <w:bCs/>
                <w:color w:val="000000"/>
                <w:sz w:val="20"/>
                <w:szCs w:val="20"/>
                <w:lang w:eastAsia="sk-SK"/>
              </w:rPr>
            </w:pPr>
            <w:r w:rsidRPr="002535AD">
              <w:rPr>
                <w:b/>
                <w:bCs/>
                <w:color w:val="000000"/>
                <w:sz w:val="20"/>
                <w:szCs w:val="20"/>
                <w:lang w:eastAsia="sk-SK"/>
              </w:rPr>
              <w:t>-5,21</w:t>
            </w:r>
          </w:p>
        </w:tc>
        <w:tc>
          <w:tcPr>
            <w:tcW w:w="2181" w:type="pct"/>
            <w:tcBorders>
              <w:top w:val="nil"/>
              <w:left w:val="nil"/>
              <w:bottom w:val="single" w:sz="8" w:space="0" w:color="auto"/>
              <w:right w:val="nil"/>
            </w:tcBorders>
            <w:shd w:val="clear" w:color="auto" w:fill="auto"/>
            <w:vAlign w:val="bottom"/>
            <w:hideMark/>
          </w:tcPr>
          <w:p w14:paraId="007D848F" w14:textId="77777777" w:rsidR="002535AD" w:rsidRPr="002535AD" w:rsidRDefault="002535AD" w:rsidP="002535AD">
            <w:pPr>
              <w:spacing w:after="0" w:line="240" w:lineRule="auto"/>
              <w:jc w:val="center"/>
              <w:rPr>
                <w:b/>
                <w:bCs/>
                <w:color w:val="000000"/>
                <w:sz w:val="20"/>
                <w:szCs w:val="20"/>
                <w:lang w:eastAsia="sk-SK"/>
              </w:rPr>
            </w:pPr>
            <w:r w:rsidRPr="002535AD">
              <w:rPr>
                <w:b/>
                <w:bCs/>
                <w:color w:val="000000"/>
                <w:sz w:val="20"/>
                <w:szCs w:val="20"/>
                <w:lang w:eastAsia="sk-SK"/>
              </w:rPr>
              <w:t> </w:t>
            </w:r>
          </w:p>
        </w:tc>
      </w:tr>
    </w:tbl>
    <w:p w14:paraId="1A0446E7" w14:textId="2D5278B8" w:rsidR="00AF4A8D" w:rsidRPr="00CF5332" w:rsidRDefault="00AF4A8D" w:rsidP="00AF4A8D">
      <w:pPr>
        <w:keepLines/>
        <w:widowControl w:val="0"/>
        <w:spacing w:after="0" w:line="240" w:lineRule="auto"/>
        <w:jc w:val="both"/>
        <w:rPr>
          <w:sz w:val="16"/>
          <w:szCs w:val="16"/>
          <w:lang w:eastAsia="sk-SK"/>
        </w:rPr>
      </w:pPr>
      <w:r w:rsidRPr="00CE08BA">
        <w:rPr>
          <w:sz w:val="16"/>
          <w:szCs w:val="16"/>
          <w:vertAlign w:val="superscript"/>
          <w:lang w:eastAsia="sk-SK"/>
        </w:rPr>
        <w:t>1)</w:t>
      </w:r>
      <w:r w:rsidRPr="00CF5332">
        <w:rPr>
          <w:sz w:val="16"/>
          <w:szCs w:val="16"/>
          <w:lang w:eastAsia="sk-SK"/>
        </w:rPr>
        <w:t> Percento schodku z aprílovej notifikácie je vyčíslené v pomere k</w:t>
      </w:r>
      <w:r w:rsidR="00E502BB">
        <w:rPr>
          <w:sz w:val="16"/>
          <w:szCs w:val="16"/>
          <w:lang w:eastAsia="sk-SK"/>
        </w:rPr>
        <w:t> HDP notifikovanom v apríli 2024</w:t>
      </w:r>
      <w:r w:rsidRPr="00CF5332">
        <w:rPr>
          <w:sz w:val="16"/>
          <w:szCs w:val="16"/>
          <w:lang w:eastAsia="sk-SK"/>
        </w:rPr>
        <w:t xml:space="preserve">. </w:t>
      </w:r>
      <w:r>
        <w:rPr>
          <w:sz w:val="16"/>
          <w:szCs w:val="16"/>
          <w:lang w:eastAsia="sk-SK"/>
        </w:rPr>
        <w:t xml:space="preserve">  </w:t>
      </w:r>
      <w:r w:rsidRPr="00CF5332">
        <w:rPr>
          <w:sz w:val="16"/>
          <w:szCs w:val="16"/>
          <w:lang w:eastAsia="sk-SK"/>
        </w:rPr>
        <w:t xml:space="preserve">                     </w:t>
      </w:r>
      <w:r w:rsidRPr="00CF5332">
        <w:rPr>
          <w:sz w:val="16"/>
          <w:szCs w:val="16"/>
          <w:lang w:eastAsia="sk-SK"/>
        </w:rPr>
        <w:tab/>
      </w:r>
      <w:r>
        <w:rPr>
          <w:sz w:val="16"/>
          <w:szCs w:val="16"/>
          <w:lang w:eastAsia="sk-SK"/>
        </w:rPr>
        <w:t xml:space="preserve">    </w:t>
      </w:r>
      <w:r w:rsidR="000720E8">
        <w:rPr>
          <w:sz w:val="16"/>
          <w:szCs w:val="16"/>
          <w:lang w:eastAsia="sk-SK"/>
        </w:rPr>
        <w:t xml:space="preserve">   </w:t>
      </w:r>
      <w:r>
        <w:rPr>
          <w:sz w:val="16"/>
          <w:szCs w:val="16"/>
          <w:lang w:eastAsia="sk-SK"/>
        </w:rPr>
        <w:t xml:space="preserve">       </w:t>
      </w:r>
      <w:r w:rsidRPr="00CF5332">
        <w:rPr>
          <w:sz w:val="16"/>
          <w:szCs w:val="16"/>
          <w:lang w:eastAsia="sk-SK"/>
        </w:rPr>
        <w:t xml:space="preserve">  Zdroj: MF SR</w:t>
      </w:r>
    </w:p>
    <w:p w14:paraId="3120D127" w14:textId="1BDE3E4F" w:rsidR="00AF4A8D" w:rsidRPr="00CF5332" w:rsidRDefault="00AF4A8D" w:rsidP="00AF4A8D">
      <w:pPr>
        <w:keepLines/>
        <w:spacing w:after="0" w:line="240" w:lineRule="auto"/>
        <w:rPr>
          <w:b/>
          <w:bCs/>
          <w:color w:val="4F81BD"/>
          <w:sz w:val="20"/>
          <w:szCs w:val="20"/>
          <w:lang w:eastAsia="sk-SK"/>
        </w:rPr>
      </w:pPr>
      <w:r w:rsidRPr="00CF5332">
        <w:rPr>
          <w:sz w:val="16"/>
          <w:szCs w:val="16"/>
          <w:lang w:eastAsia="sk-SK"/>
        </w:rPr>
        <w:t xml:space="preserve"> </w:t>
      </w:r>
      <w:r w:rsidR="00F34BAB">
        <w:rPr>
          <w:sz w:val="16"/>
          <w:szCs w:val="16"/>
          <w:lang w:eastAsia="sk-SK"/>
        </w:rPr>
        <w:t xml:space="preserve"> </w:t>
      </w:r>
      <w:r w:rsidRPr="00CF5332">
        <w:rPr>
          <w:sz w:val="16"/>
          <w:szCs w:val="16"/>
          <w:lang w:eastAsia="sk-SK"/>
        </w:rPr>
        <w:t xml:space="preserve"> Ostatné percentá sa vyčíslujú v pomere k </w:t>
      </w:r>
      <w:r w:rsidR="00E502BB">
        <w:rPr>
          <w:sz w:val="16"/>
          <w:szCs w:val="16"/>
          <w:lang w:eastAsia="sk-SK"/>
        </w:rPr>
        <w:t>HDP notifikovanom v októbri 2024</w:t>
      </w:r>
      <w:r w:rsidR="00544797">
        <w:rPr>
          <w:sz w:val="16"/>
          <w:szCs w:val="16"/>
          <w:lang w:eastAsia="sk-SK"/>
        </w:rPr>
        <w:t>.</w:t>
      </w:r>
    </w:p>
    <w:p w14:paraId="4CB97B8F" w14:textId="70D74C10" w:rsidR="00431F6E" w:rsidRDefault="00DC1800" w:rsidP="00F76E57">
      <w:pPr>
        <w:widowControl w:val="0"/>
        <w:spacing w:before="120" w:after="120" w:line="240" w:lineRule="auto"/>
        <w:jc w:val="both"/>
      </w:pPr>
      <w:r w:rsidRPr="00F84134">
        <w:t>Úprava hodnoty schodku verejnej správy vyčísleného v ap</w:t>
      </w:r>
      <w:r w:rsidR="00A476CC" w:rsidRPr="00F84134">
        <w:t>ríli v Štátnom záverečnom účte bola</w:t>
      </w:r>
      <w:r w:rsidRPr="00F84134">
        <w:t xml:space="preserve"> pri jesennej notifikácii ovplyvnená aktualizáciami a metodickými zmenami</w:t>
      </w:r>
      <w:r w:rsidR="008A54C1" w:rsidRPr="00F84134">
        <w:rPr>
          <w:rStyle w:val="Odkaznapoznmkupodiarou"/>
        </w:rPr>
        <w:footnoteReference w:id="5"/>
      </w:r>
      <w:r w:rsidRPr="00F84134">
        <w:t xml:space="preserve">. Aktualizácie sú každoročne sa opakujúce spresnenia zdrojových dát (napríklad príjem z daní a odvodov) alebo jednorazovo sa vyskytujúce úpravy v danom roku na základe zistenia nových skutočností. </w:t>
      </w:r>
      <w:r w:rsidR="00431F6E" w:rsidRPr="00F84134">
        <w:t xml:space="preserve">Metodickými zmenami </w:t>
      </w:r>
      <w:r w:rsidR="00B85CBF">
        <w:t xml:space="preserve">sa </w:t>
      </w:r>
      <w:r w:rsidR="00431F6E" w:rsidRPr="00F84134">
        <w:t>rozum</w:t>
      </w:r>
      <w:r w:rsidR="00B85CBF">
        <w:t>ejú</w:t>
      </w:r>
      <w:r w:rsidR="00431F6E" w:rsidRPr="00F84134">
        <w:t xml:space="preserve"> úpravy napríklad na základe rozhodnutia Eurostatu o posúdení zaznamenania predmetnej transakcie alebo na</w:t>
      </w:r>
      <w:r w:rsidR="00627A8D">
        <w:t> </w:t>
      </w:r>
      <w:r w:rsidR="00431F6E" w:rsidRPr="00F84134">
        <w:t>základe záverov dialógovej misie Eurostatu.</w:t>
      </w:r>
    </w:p>
    <w:p w14:paraId="211EE6BC" w14:textId="77777777" w:rsidR="00DC1800" w:rsidRPr="0001193D" w:rsidRDefault="00DC1800" w:rsidP="00DC1800">
      <w:pPr>
        <w:spacing w:after="120" w:line="240" w:lineRule="auto"/>
        <w:jc w:val="both"/>
        <w:rPr>
          <w:b/>
          <w:color w:val="548DD4" w:themeColor="text2" w:themeTint="99"/>
          <w:sz w:val="24"/>
          <w:szCs w:val="24"/>
        </w:rPr>
      </w:pPr>
      <w:r w:rsidRPr="0001193D">
        <w:rPr>
          <w:b/>
          <w:color w:val="548DD4" w:themeColor="text2" w:themeTint="99"/>
          <w:sz w:val="24"/>
          <w:szCs w:val="24"/>
        </w:rPr>
        <w:t>Aktualizácie schodku verejnej správy pri jesennej notifikácii</w:t>
      </w:r>
    </w:p>
    <w:p w14:paraId="2C9C3A8A" w14:textId="6A923945" w:rsidR="00402C5E" w:rsidRPr="00402C5E" w:rsidRDefault="0089657A" w:rsidP="00E9770D">
      <w:pPr>
        <w:pStyle w:val="Odsekzoznamu"/>
        <w:numPr>
          <w:ilvl w:val="0"/>
          <w:numId w:val="24"/>
        </w:numPr>
        <w:spacing w:before="120" w:after="120"/>
        <w:ind w:left="567" w:hanging="425"/>
        <w:contextualSpacing w:val="0"/>
        <w:jc w:val="both"/>
      </w:pPr>
      <w:r w:rsidRPr="00402C5E">
        <w:rPr>
          <w:rFonts w:cs="Times New Roman"/>
          <w:b/>
        </w:rPr>
        <w:t>A</w:t>
      </w:r>
      <w:r w:rsidR="00DC1800" w:rsidRPr="00402C5E">
        <w:rPr>
          <w:rFonts w:cs="Times New Roman"/>
          <w:b/>
        </w:rPr>
        <w:t>ktualizácia údajov o výške akruálnych daní</w:t>
      </w:r>
      <w:r w:rsidR="00DC1800" w:rsidRPr="00402C5E">
        <w:rPr>
          <w:rFonts w:cs="Times New Roman"/>
        </w:rPr>
        <w:t xml:space="preserve"> na základe daňo</w:t>
      </w:r>
      <w:r w:rsidR="00D418E2" w:rsidRPr="00402C5E">
        <w:rPr>
          <w:rFonts w:cs="Times New Roman"/>
        </w:rPr>
        <w:t>vých priznaní za </w:t>
      </w:r>
      <w:r w:rsidR="00DC1800" w:rsidRPr="00402C5E">
        <w:rPr>
          <w:rFonts w:cs="Times New Roman"/>
        </w:rPr>
        <w:t>rok 202</w:t>
      </w:r>
      <w:r w:rsidR="000768A5" w:rsidRPr="00402C5E">
        <w:rPr>
          <w:rFonts w:cs="Times New Roman"/>
        </w:rPr>
        <w:t>3</w:t>
      </w:r>
      <w:r w:rsidR="00DC1800" w:rsidRPr="00402C5E">
        <w:rPr>
          <w:rFonts w:cs="Times New Roman"/>
        </w:rPr>
        <w:t xml:space="preserve">. Celkový vplyv aktualizácie príjmov z daní bol </w:t>
      </w:r>
      <w:r w:rsidR="000768A5" w:rsidRPr="00402C5E">
        <w:rPr>
          <w:rFonts w:cs="Times New Roman"/>
        </w:rPr>
        <w:t>negatívny</w:t>
      </w:r>
      <w:r w:rsidR="00DC1800" w:rsidRPr="00402C5E">
        <w:rPr>
          <w:rFonts w:cs="Times New Roman"/>
        </w:rPr>
        <w:t xml:space="preserve"> v</w:t>
      </w:r>
      <w:r w:rsidR="009D5C48" w:rsidRPr="00402C5E">
        <w:rPr>
          <w:rFonts w:cs="Times New Roman"/>
        </w:rPr>
        <w:t> </w:t>
      </w:r>
      <w:r w:rsidR="00DC1800" w:rsidRPr="00402C5E">
        <w:rPr>
          <w:rFonts w:cs="Times New Roman"/>
        </w:rPr>
        <w:t>hodnote</w:t>
      </w:r>
      <w:r w:rsidR="009D5C48" w:rsidRPr="00402C5E">
        <w:rPr>
          <w:rFonts w:cs="Times New Roman"/>
        </w:rPr>
        <w:t> </w:t>
      </w:r>
      <w:r w:rsidR="000768A5" w:rsidRPr="00402C5E">
        <w:rPr>
          <w:rFonts w:cs="Times New Roman"/>
        </w:rPr>
        <w:t xml:space="preserve">198 038 </w:t>
      </w:r>
      <w:r w:rsidR="00DC1800" w:rsidRPr="00402C5E">
        <w:rPr>
          <w:rFonts w:cs="Times New Roman"/>
        </w:rPr>
        <w:t xml:space="preserve">tis. eur, z toho najväčší vplyv mal </w:t>
      </w:r>
      <w:r w:rsidR="006403C0" w:rsidRPr="00402C5E">
        <w:rPr>
          <w:rFonts w:cs="Times New Roman"/>
        </w:rPr>
        <w:t xml:space="preserve">Solidárny príspevok </w:t>
      </w:r>
      <w:r w:rsidR="00DC1800" w:rsidRPr="00402C5E">
        <w:rPr>
          <w:rFonts w:cs="Times New Roman"/>
        </w:rPr>
        <w:t>(</w:t>
      </w:r>
      <w:r w:rsidR="006403C0" w:rsidRPr="00402C5E">
        <w:rPr>
          <w:rFonts w:cs="Times New Roman"/>
        </w:rPr>
        <w:t>pokles</w:t>
      </w:r>
      <w:r w:rsidR="002F15C7" w:rsidRPr="00402C5E">
        <w:rPr>
          <w:rFonts w:cs="Times New Roman"/>
        </w:rPr>
        <w:t xml:space="preserve"> o</w:t>
      </w:r>
      <w:r w:rsidR="00703662" w:rsidRPr="00402C5E">
        <w:rPr>
          <w:rFonts w:cs="Times New Roman"/>
        </w:rPr>
        <w:t> </w:t>
      </w:r>
      <w:r w:rsidR="006403C0" w:rsidRPr="00402C5E">
        <w:rPr>
          <w:rFonts w:cs="Times New Roman"/>
        </w:rPr>
        <w:t>416</w:t>
      </w:r>
      <w:r w:rsidR="00703662" w:rsidRPr="00402C5E">
        <w:rPr>
          <w:rFonts w:cs="Times New Roman"/>
        </w:rPr>
        <w:t> 020 </w:t>
      </w:r>
      <w:r w:rsidR="002F15C7" w:rsidRPr="00402C5E">
        <w:rPr>
          <w:rFonts w:cs="Times New Roman"/>
        </w:rPr>
        <w:t>tis. eur).</w:t>
      </w:r>
      <w:r w:rsidR="006403C0" w:rsidRPr="00402C5E">
        <w:rPr>
          <w:rFonts w:cs="Times New Roman"/>
        </w:rPr>
        <w:t xml:space="preserve"> </w:t>
      </w:r>
      <w:r w:rsidR="00CB6E1F">
        <w:rPr>
          <w:rFonts w:cs="Times New Roman"/>
        </w:rPr>
        <w:t>Jediná s</w:t>
      </w:r>
      <w:r w:rsidR="006403C0" w:rsidRPr="00402C5E">
        <w:rPr>
          <w:rFonts w:cs="Times New Roman"/>
        </w:rPr>
        <w:t xml:space="preserve">poločnosť, ktorá mala byť predmetom </w:t>
      </w:r>
      <w:r w:rsidR="00CB6E1F">
        <w:rPr>
          <w:rFonts w:cs="Times New Roman"/>
        </w:rPr>
        <w:t xml:space="preserve">tejto </w:t>
      </w:r>
      <w:r w:rsidR="006403C0" w:rsidRPr="00402C5E">
        <w:rPr>
          <w:rFonts w:cs="Times New Roman"/>
        </w:rPr>
        <w:t>dane, ju nezaplatila, pretože nespĺňala kritériá (</w:t>
      </w:r>
      <w:r w:rsidR="005E2508">
        <w:rPr>
          <w:rFonts w:cs="Times New Roman"/>
        </w:rPr>
        <w:t>s</w:t>
      </w:r>
      <w:r w:rsidR="006403C0" w:rsidRPr="00402C5E">
        <w:rPr>
          <w:rFonts w:cs="Times New Roman"/>
        </w:rPr>
        <w:t>ol</w:t>
      </w:r>
      <w:r w:rsidR="00DA7E2B">
        <w:rPr>
          <w:rFonts w:cs="Times New Roman"/>
        </w:rPr>
        <w:t>idárny príspevok sa vzťahuje na </w:t>
      </w:r>
      <w:r w:rsidR="006403C0" w:rsidRPr="00402C5E">
        <w:rPr>
          <w:rFonts w:cs="Times New Roman"/>
        </w:rPr>
        <w:t>spoločnosti pôsobiace v ropnom se</w:t>
      </w:r>
      <w:r w:rsidR="006558EA">
        <w:rPr>
          <w:rFonts w:cs="Times New Roman"/>
        </w:rPr>
        <w:t>ktore, kde minimálne 75 </w:t>
      </w:r>
      <w:r w:rsidR="006403C0" w:rsidRPr="00402C5E">
        <w:rPr>
          <w:rFonts w:cs="Times New Roman"/>
        </w:rPr>
        <w:t>% ich obratu poc</w:t>
      </w:r>
      <w:r w:rsidR="00402C5E">
        <w:rPr>
          <w:rFonts w:cs="Times New Roman"/>
        </w:rPr>
        <w:t>hádza z ekonomických činností v </w:t>
      </w:r>
      <w:r w:rsidR="006403C0" w:rsidRPr="00402C5E">
        <w:rPr>
          <w:rFonts w:cs="Times New Roman"/>
        </w:rPr>
        <w:t>oblasti rafináci</w:t>
      </w:r>
      <w:r w:rsidR="00CB6E1F">
        <w:rPr>
          <w:rFonts w:cs="Times New Roman"/>
        </w:rPr>
        <w:t>e</w:t>
      </w:r>
      <w:r w:rsidR="006403C0" w:rsidRPr="00402C5E">
        <w:rPr>
          <w:rFonts w:cs="Times New Roman"/>
        </w:rPr>
        <w:t xml:space="preserve"> ropy)</w:t>
      </w:r>
      <w:r w:rsidR="006558EA">
        <w:rPr>
          <w:rFonts w:cs="Times New Roman"/>
        </w:rPr>
        <w:t>.</w:t>
      </w:r>
      <w:r w:rsidR="009A40E9">
        <w:rPr>
          <w:rStyle w:val="Odkaznapoznmkupodiarou"/>
        </w:rPr>
        <w:footnoteReference w:id="6"/>
      </w:r>
      <w:r w:rsidR="006558EA">
        <w:rPr>
          <w:rFonts w:cs="Times New Roman"/>
        </w:rPr>
        <w:t xml:space="preserve"> </w:t>
      </w:r>
      <w:r w:rsidR="00CB6E1F">
        <w:rPr>
          <w:rFonts w:cs="Times New Roman"/>
        </w:rPr>
        <w:t>Na druhej strane p</w:t>
      </w:r>
      <w:r w:rsidR="00952CF5" w:rsidRPr="00402C5E">
        <w:rPr>
          <w:rFonts w:cs="Times New Roman"/>
        </w:rPr>
        <w:t xml:space="preserve">ozitívne vplývali </w:t>
      </w:r>
      <w:r w:rsidR="00F07C11">
        <w:rPr>
          <w:rFonts w:cs="Times New Roman"/>
        </w:rPr>
        <w:t xml:space="preserve">na schodok </w:t>
      </w:r>
      <w:r w:rsidR="00952CF5" w:rsidRPr="00402C5E">
        <w:rPr>
          <w:rFonts w:cs="Times New Roman"/>
        </w:rPr>
        <w:t>príjmy</w:t>
      </w:r>
      <w:r w:rsidR="00627A8D">
        <w:rPr>
          <w:rFonts w:cs="Times New Roman"/>
        </w:rPr>
        <w:t xml:space="preserve"> z </w:t>
      </w:r>
      <w:r w:rsidR="00DC1800" w:rsidRPr="00402C5E">
        <w:rPr>
          <w:rFonts w:cs="Times New Roman"/>
        </w:rPr>
        <w:t>DP</w:t>
      </w:r>
      <w:r w:rsidR="006403C0" w:rsidRPr="00402C5E">
        <w:rPr>
          <w:rFonts w:cs="Times New Roman"/>
        </w:rPr>
        <w:t>P</w:t>
      </w:r>
      <w:r w:rsidR="00DC1800" w:rsidRPr="00402C5E">
        <w:rPr>
          <w:rFonts w:cs="Times New Roman"/>
        </w:rPr>
        <w:t>O (</w:t>
      </w:r>
      <w:r w:rsidR="006403C0" w:rsidRPr="00402C5E">
        <w:rPr>
          <w:rFonts w:cs="Times New Roman"/>
        </w:rPr>
        <w:t>nárast</w:t>
      </w:r>
      <w:r w:rsidR="002F15C7" w:rsidRPr="00402C5E">
        <w:rPr>
          <w:rFonts w:cs="Times New Roman"/>
        </w:rPr>
        <w:t xml:space="preserve"> o</w:t>
      </w:r>
      <w:r w:rsidR="00703662" w:rsidRPr="00402C5E">
        <w:rPr>
          <w:rFonts w:cs="Times New Roman"/>
        </w:rPr>
        <w:t> 101 721 </w:t>
      </w:r>
      <w:r w:rsidR="006403C0" w:rsidRPr="00402C5E">
        <w:rPr>
          <w:rFonts w:cs="Times New Roman"/>
        </w:rPr>
        <w:t>tis. eur)</w:t>
      </w:r>
      <w:r w:rsidR="00952CF5" w:rsidRPr="00402C5E">
        <w:rPr>
          <w:rFonts w:cs="Times New Roman"/>
        </w:rPr>
        <w:t xml:space="preserve"> a </w:t>
      </w:r>
      <w:r w:rsidR="002F15C7" w:rsidRPr="00402C5E">
        <w:rPr>
          <w:rFonts w:cs="Times New Roman"/>
        </w:rPr>
        <w:t>DPH (</w:t>
      </w:r>
      <w:r w:rsidR="006403C0" w:rsidRPr="00402C5E">
        <w:rPr>
          <w:rFonts w:cs="Times New Roman"/>
        </w:rPr>
        <w:t>nárast</w:t>
      </w:r>
      <w:r w:rsidR="002F15C7" w:rsidRPr="00402C5E">
        <w:rPr>
          <w:rFonts w:cs="Times New Roman"/>
        </w:rPr>
        <w:t xml:space="preserve"> </w:t>
      </w:r>
      <w:r w:rsidR="002F15C7" w:rsidRPr="00703662">
        <w:t>o</w:t>
      </w:r>
      <w:r w:rsidR="00703662" w:rsidRPr="00703662">
        <w:t> </w:t>
      </w:r>
      <w:r w:rsidR="006403C0" w:rsidRPr="00703662">
        <w:t>48</w:t>
      </w:r>
      <w:r w:rsidR="00703662" w:rsidRPr="00703662">
        <w:t> 066 </w:t>
      </w:r>
      <w:r w:rsidR="006403C0" w:rsidRPr="00402C5E">
        <w:rPr>
          <w:rFonts w:cs="Times New Roman"/>
        </w:rPr>
        <w:t>tis. eur)</w:t>
      </w:r>
      <w:r w:rsidR="00CB6E1F">
        <w:rPr>
          <w:rFonts w:cs="Times New Roman"/>
        </w:rPr>
        <w:t>, ktoré sa akrualizovali na základe podaných odložených daňových priznaní</w:t>
      </w:r>
      <w:r w:rsidR="00DE4215" w:rsidRPr="00402C5E">
        <w:rPr>
          <w:rFonts w:cs="Times New Roman"/>
        </w:rPr>
        <w:t>.</w:t>
      </w:r>
    </w:p>
    <w:p w14:paraId="685C63C0" w14:textId="24162091" w:rsidR="00E73928" w:rsidRDefault="00E73928" w:rsidP="00E9770D">
      <w:pPr>
        <w:pStyle w:val="Odsekzoznamu"/>
        <w:numPr>
          <w:ilvl w:val="0"/>
          <w:numId w:val="24"/>
        </w:numPr>
        <w:spacing w:before="120" w:after="120"/>
        <w:ind w:left="567" w:hanging="425"/>
        <w:contextualSpacing w:val="0"/>
        <w:jc w:val="both"/>
      </w:pPr>
      <w:r w:rsidRPr="00402C5E">
        <w:rPr>
          <w:b/>
        </w:rPr>
        <w:t>Aktualizácia ostatných záväzkov ŠR</w:t>
      </w:r>
      <w:r>
        <w:t xml:space="preserve"> </w:t>
      </w:r>
      <w:r w:rsidR="0059573D">
        <w:t>o 69</w:t>
      </w:r>
      <w:r w:rsidR="00D418E2">
        <w:t> </w:t>
      </w:r>
      <w:r w:rsidR="0059573D">
        <w:t>127</w:t>
      </w:r>
      <w:r w:rsidR="00D418E2">
        <w:t> </w:t>
      </w:r>
      <w:r w:rsidR="0059573D">
        <w:t>tis.</w:t>
      </w:r>
      <w:r w:rsidR="00D418E2">
        <w:t> </w:t>
      </w:r>
      <w:r w:rsidR="0059573D">
        <w:t xml:space="preserve">eur v dôsledku zaznamenania </w:t>
      </w:r>
      <w:r w:rsidR="00F07C11">
        <w:t xml:space="preserve">časti </w:t>
      </w:r>
      <w:r w:rsidR="0059573D">
        <w:t>energopomoci do</w:t>
      </w:r>
      <w:r w:rsidR="00D418E2">
        <w:t> </w:t>
      </w:r>
      <w:r w:rsidR="00F05C16">
        <w:t xml:space="preserve">roku 2023. Ide o časový posun </w:t>
      </w:r>
      <w:r w:rsidR="005E2508">
        <w:t xml:space="preserve">časti </w:t>
      </w:r>
      <w:r w:rsidR="0059573D">
        <w:t>dotácií na energopomoc, ktor</w:t>
      </w:r>
      <w:r w:rsidR="005E2508">
        <w:t>á</w:t>
      </w:r>
      <w:r w:rsidR="0059573D">
        <w:t xml:space="preserve"> akruálne patr</w:t>
      </w:r>
      <w:r w:rsidR="005E2508">
        <w:t>í</w:t>
      </w:r>
      <w:r w:rsidR="0059573D">
        <w:t xml:space="preserve"> do</w:t>
      </w:r>
      <w:r w:rsidR="00D418E2">
        <w:t> </w:t>
      </w:r>
      <w:r w:rsidR="006B3842">
        <w:t xml:space="preserve">výdavkov </w:t>
      </w:r>
      <w:r w:rsidR="0059573D">
        <w:t>roku 2023, ale hotovostne</w:t>
      </w:r>
      <w:r w:rsidR="00544797">
        <w:t xml:space="preserve"> bol</w:t>
      </w:r>
      <w:r w:rsidR="005E2508">
        <w:t>a</w:t>
      </w:r>
      <w:r w:rsidR="00544797">
        <w:t xml:space="preserve"> vyplaten</w:t>
      </w:r>
      <w:r w:rsidR="005E2508">
        <w:t>á</w:t>
      </w:r>
      <w:r w:rsidR="00544797">
        <w:t xml:space="preserve"> až v roku 2024.</w:t>
      </w:r>
    </w:p>
    <w:p w14:paraId="60735F93" w14:textId="7FEC2587" w:rsidR="00402C5E" w:rsidRDefault="00302921" w:rsidP="00B166CE">
      <w:pPr>
        <w:pStyle w:val="Odsekzoznamu"/>
        <w:numPr>
          <w:ilvl w:val="0"/>
          <w:numId w:val="24"/>
        </w:numPr>
        <w:spacing w:before="120" w:after="120"/>
        <w:ind w:left="567" w:hanging="425"/>
        <w:contextualSpacing w:val="0"/>
        <w:jc w:val="both"/>
      </w:pPr>
      <w:r w:rsidRPr="00074BA3">
        <w:rPr>
          <w:b/>
        </w:rPr>
        <w:t xml:space="preserve">Aktualizácia výšky platených daňových kreditov </w:t>
      </w:r>
      <w:r w:rsidRPr="00487006">
        <w:t xml:space="preserve">ovplyvnila </w:t>
      </w:r>
      <w:r w:rsidR="00487006" w:rsidRPr="00487006">
        <w:t xml:space="preserve">negatívne </w:t>
      </w:r>
      <w:r w:rsidRPr="00487006">
        <w:t>schodok</w:t>
      </w:r>
      <w:r w:rsidRPr="00074BA3">
        <w:rPr>
          <w:b/>
        </w:rPr>
        <w:t xml:space="preserve"> </w:t>
      </w:r>
      <w:r w:rsidRPr="00487006">
        <w:t xml:space="preserve">v sume </w:t>
      </w:r>
      <w:r w:rsidR="00487006" w:rsidRPr="00487006">
        <w:t>121</w:t>
      </w:r>
      <w:r w:rsidR="004D4F58">
        <w:t> </w:t>
      </w:r>
      <w:r w:rsidR="00487006" w:rsidRPr="00487006">
        <w:t>777</w:t>
      </w:r>
      <w:r w:rsidR="004D4F58">
        <w:t> </w:t>
      </w:r>
      <w:r w:rsidR="00D418E2">
        <w:t>tis. </w:t>
      </w:r>
      <w:r w:rsidRPr="00487006">
        <w:t>eur.</w:t>
      </w:r>
      <w:r w:rsidR="00074BA3">
        <w:t xml:space="preserve"> Oproti jarnej notifikácii </w:t>
      </w:r>
      <w:r w:rsidR="00B166CE">
        <w:t>bola upravená</w:t>
      </w:r>
      <w:r w:rsidR="00074BA3">
        <w:t xml:space="preserve"> výšk</w:t>
      </w:r>
      <w:r w:rsidR="00B166CE">
        <w:t>a</w:t>
      </w:r>
      <w:r w:rsidR="00627A8D">
        <w:t xml:space="preserve"> daňových kreditov. Odhad v </w:t>
      </w:r>
      <w:r w:rsidR="00074BA3">
        <w:t xml:space="preserve">jarnej notifikácii bol na základe údajov z roku 2022, </w:t>
      </w:r>
      <w:r w:rsidR="00B166CE">
        <w:t>v septembrovej notifikácii boli údaje aktualizované. V</w:t>
      </w:r>
      <w:r w:rsidR="00074BA3">
        <w:t xml:space="preserve"> rovnakej miere, ako sa zvýšili výdavky na daňové kredity, boli upravené aj akruálne daňové príjmy na DPFO zo závislej činnosti a z podnikania. Zároveň pri DPFO </w:t>
      </w:r>
      <w:r w:rsidR="005E2508">
        <w:t xml:space="preserve">z </w:t>
      </w:r>
      <w:r w:rsidR="00074BA3">
        <w:t>podnikan</w:t>
      </w:r>
      <w:r w:rsidR="005E2508">
        <w:t>ia</w:t>
      </w:r>
      <w:r w:rsidR="00074BA3">
        <w:t xml:space="preserve"> prišlo k</w:t>
      </w:r>
      <w:r w:rsidR="00DA7E2B">
        <w:t> </w:t>
      </w:r>
      <w:r w:rsidR="00074BA3">
        <w:t xml:space="preserve">zníženiu </w:t>
      </w:r>
      <w:r w:rsidR="00074BA3">
        <w:lastRenderedPageBreak/>
        <w:t>výnosu z dôvodu väčšieho negatívneho vyrovnania dane.</w:t>
      </w:r>
      <w:r w:rsidR="00B166CE">
        <w:t xml:space="preserve"> </w:t>
      </w:r>
      <w:r w:rsidR="00074BA3">
        <w:t xml:space="preserve">Na saldo </w:t>
      </w:r>
      <w:r w:rsidR="00B166CE">
        <w:t xml:space="preserve">verejnej správy </w:t>
      </w:r>
      <w:r w:rsidR="00074BA3">
        <w:t>teda zmena daňových kreditov nemá vplyv.</w:t>
      </w:r>
    </w:p>
    <w:p w14:paraId="0CEFFA30" w14:textId="4E52FAFB" w:rsidR="0037256A" w:rsidRPr="00487006" w:rsidRDefault="00EE151F" w:rsidP="00402C5E">
      <w:pPr>
        <w:pStyle w:val="Odsekzoznamu"/>
        <w:numPr>
          <w:ilvl w:val="0"/>
          <w:numId w:val="24"/>
        </w:numPr>
        <w:spacing w:before="120" w:after="120"/>
        <w:ind w:left="567" w:hanging="425"/>
        <w:contextualSpacing w:val="0"/>
        <w:jc w:val="both"/>
      </w:pPr>
      <w:r w:rsidRPr="00402C5E">
        <w:rPr>
          <w:b/>
        </w:rPr>
        <w:t>A</w:t>
      </w:r>
      <w:r w:rsidR="00DC1800" w:rsidRPr="00402C5E">
        <w:rPr>
          <w:b/>
        </w:rPr>
        <w:t xml:space="preserve">ktualizácia pohľadávok a záväzkov subjektov verejnej správy </w:t>
      </w:r>
      <w:r w:rsidR="00DC1800" w:rsidRPr="00487006">
        <w:t>o</w:t>
      </w:r>
      <w:r w:rsidR="00487006" w:rsidRPr="00487006">
        <w:t xml:space="preserve"> 40 440 </w:t>
      </w:r>
      <w:r w:rsidR="00DC1800" w:rsidRPr="00487006">
        <w:t>tis.</w:t>
      </w:r>
      <w:r w:rsidR="00921698" w:rsidRPr="00487006">
        <w:t> </w:t>
      </w:r>
      <w:r w:rsidR="00D418E2">
        <w:t>eur na </w:t>
      </w:r>
      <w:r w:rsidR="00DC1800" w:rsidRPr="00487006">
        <w:t>základe predložených účtovných závierok po termíne jarnej notifikácie schodku a dlhu.</w:t>
      </w:r>
    </w:p>
    <w:p w14:paraId="61C2788C" w14:textId="25A50399" w:rsidR="0037256A" w:rsidRPr="00A521A9" w:rsidRDefault="0037256A" w:rsidP="002365F2">
      <w:pPr>
        <w:pStyle w:val="Odsekzoznamu"/>
        <w:numPr>
          <w:ilvl w:val="0"/>
          <w:numId w:val="24"/>
        </w:numPr>
        <w:spacing w:before="120" w:after="120"/>
        <w:ind w:left="567" w:hanging="425"/>
        <w:contextualSpacing w:val="0"/>
        <w:jc w:val="both"/>
      </w:pPr>
      <w:r w:rsidRPr="00A521A9">
        <w:rPr>
          <w:b/>
        </w:rPr>
        <w:t>Preradenie Slovenskej záručnej a rozvojovej banky (SZRB)</w:t>
      </w:r>
      <w:r w:rsidR="00D418E2">
        <w:t xml:space="preserve"> do </w:t>
      </w:r>
      <w:r w:rsidRPr="00A521A9">
        <w:t>sektora verejnej správ</w:t>
      </w:r>
      <w:r w:rsidR="00D418E2">
        <w:t>y. Prebytok SZRB vo výške 8 541 tis. </w:t>
      </w:r>
      <w:r w:rsidRPr="00A521A9">
        <w:t>eur mal pozitívny vplyv na</w:t>
      </w:r>
      <w:r w:rsidR="00402C5E">
        <w:t xml:space="preserve"> výšku schodku verejnej správy.</w:t>
      </w:r>
    </w:p>
    <w:p w14:paraId="4AB7807E" w14:textId="72ECF808" w:rsidR="0037256A" w:rsidRPr="00A521A9" w:rsidRDefault="0037256A" w:rsidP="002365F2">
      <w:pPr>
        <w:pStyle w:val="Odsekzoznamu"/>
        <w:numPr>
          <w:ilvl w:val="0"/>
          <w:numId w:val="24"/>
        </w:numPr>
        <w:spacing w:before="120" w:after="120"/>
        <w:ind w:left="567" w:hanging="425"/>
        <w:contextualSpacing w:val="0"/>
        <w:jc w:val="both"/>
      </w:pPr>
      <w:r w:rsidRPr="00A521A9">
        <w:rPr>
          <w:b/>
        </w:rPr>
        <w:t>Zníženie pohľadávky EÚ</w:t>
      </w:r>
      <w:r w:rsidRPr="00A521A9">
        <w:t xml:space="preserve"> z dôvodu </w:t>
      </w:r>
      <w:r w:rsidR="005E718C">
        <w:t>nadčerp</w:t>
      </w:r>
      <w:r w:rsidR="00C84727">
        <w:t>a</w:t>
      </w:r>
      <w:r w:rsidR="005E718C">
        <w:t>nia</w:t>
      </w:r>
      <w:r w:rsidRPr="00A521A9">
        <w:t xml:space="preserve"> program</w:t>
      </w:r>
      <w:r w:rsidR="005E718C">
        <w:t>ov</w:t>
      </w:r>
      <w:r w:rsidRPr="00A521A9">
        <w:t xml:space="preserve"> nad rámec alokácie</w:t>
      </w:r>
      <w:r w:rsidR="00D418E2">
        <w:t xml:space="preserve"> o 31 201 tis. </w:t>
      </w:r>
      <w:r w:rsidR="005E718C">
        <w:t xml:space="preserve">eur (posun </w:t>
      </w:r>
      <w:r w:rsidR="009E0CB3">
        <w:t xml:space="preserve">vplyvu nadčerpania o </w:t>
      </w:r>
      <w:r w:rsidR="005E718C">
        <w:t>hotovostn</w:t>
      </w:r>
      <w:r w:rsidR="009E0CB3">
        <w:t>é</w:t>
      </w:r>
      <w:r w:rsidR="005E718C">
        <w:t xml:space="preserve"> plat</w:t>
      </w:r>
      <w:r w:rsidR="009E0CB3">
        <w:t>by</w:t>
      </w:r>
      <w:r w:rsidR="005E718C">
        <w:t xml:space="preserve"> nadkontrahovani</w:t>
      </w:r>
      <w:r w:rsidR="00D418E2">
        <w:t>a do </w:t>
      </w:r>
      <w:r w:rsidR="005E718C">
        <w:t>roku 2024)</w:t>
      </w:r>
      <w:r w:rsidRPr="00A521A9">
        <w:t>.</w:t>
      </w:r>
      <w:r w:rsidR="005E2508">
        <w:t xml:space="preserve"> </w:t>
      </w:r>
      <w:r w:rsidR="005E2508" w:rsidRPr="005E2508">
        <w:t>Nadkontrahovanie je nutné zaznamenať v čase, kedy sa uskutočnili výdavky „navyše“, nie v čase administratívneho vytvorenia rámca, alebo iného obdobného rozhodnutia o možnosti nadkontrahovať prostriedky z EÚ.</w:t>
      </w:r>
      <w:r w:rsidR="005E2508" w:rsidRPr="002535AD">
        <w:rPr>
          <w:sz w:val="20"/>
          <w:szCs w:val="20"/>
        </w:rPr>
        <w:t xml:space="preserve"> </w:t>
      </w:r>
      <w:r w:rsidR="00640809">
        <w:t xml:space="preserve"> </w:t>
      </w:r>
      <w:r w:rsidR="00640809" w:rsidRPr="00640809">
        <w:t>Podľa aktualizovaných údajov bola časť nadkontrahovania vo výške 31 201 tis. eur z celkovej sumy 190 000 tis. eur vyplatená až v roku 2024.</w:t>
      </w:r>
    </w:p>
    <w:p w14:paraId="006872AB" w14:textId="77777777" w:rsidR="00EB54C1" w:rsidRPr="00A3009E" w:rsidRDefault="00EB54C1" w:rsidP="00EB54C1">
      <w:pPr>
        <w:pStyle w:val="Odsekzoznamu"/>
        <w:ind w:left="709"/>
        <w:jc w:val="both"/>
        <w:rPr>
          <w:szCs w:val="21"/>
        </w:rPr>
      </w:pPr>
    </w:p>
    <w:p w14:paraId="0AE6AAFE" w14:textId="77777777" w:rsidR="002D19D1" w:rsidRPr="0001193D" w:rsidRDefault="002D19D1" w:rsidP="002D19D1">
      <w:pPr>
        <w:pStyle w:val="Popis"/>
        <w:framePr w:wrap="around" w:x="1732" w:y="646"/>
      </w:pPr>
      <w:r w:rsidRPr="0001193D">
        <w:t xml:space="preserve">Tabuľka </w:t>
      </w:r>
      <w:r w:rsidR="001F05DE">
        <w:fldChar w:fldCharType="begin"/>
      </w:r>
      <w:r w:rsidR="001F05DE">
        <w:instrText xml:space="preserve"> SEQ Tabuľka \* ARABIC </w:instrText>
      </w:r>
      <w:r w:rsidR="001F05DE">
        <w:fldChar w:fldCharType="separate"/>
      </w:r>
      <w:r w:rsidRPr="0001193D">
        <w:rPr>
          <w:noProof/>
        </w:rPr>
        <w:t>2</w:t>
      </w:r>
      <w:r w:rsidR="001F05DE">
        <w:rPr>
          <w:noProof/>
        </w:rPr>
        <w:fldChar w:fldCharType="end"/>
      </w:r>
      <w:r w:rsidRPr="0001193D">
        <w:t xml:space="preserve"> - Úpravy maastrichtského dlhu VS za rok 2023 pri jesennej notifikácii v metodike ESA 2010</w:t>
      </w:r>
    </w:p>
    <w:p w14:paraId="008E6ED6" w14:textId="7F13E63D" w:rsidR="00FC747C" w:rsidRDefault="00DC1800" w:rsidP="00FC747C">
      <w:pPr>
        <w:spacing w:after="0" w:line="240" w:lineRule="auto"/>
        <w:jc w:val="both"/>
      </w:pPr>
      <w:r w:rsidRPr="0001193D">
        <w:rPr>
          <w:b/>
          <w:color w:val="548DD4" w:themeColor="text2" w:themeTint="99"/>
        </w:rPr>
        <w:t>Dlh verejnej správy</w:t>
      </w:r>
      <w:r w:rsidR="008920F2" w:rsidRPr="0001193D">
        <w:rPr>
          <w:color w:val="548DD4" w:themeColor="text2" w:themeTint="99"/>
        </w:rPr>
        <w:t xml:space="preserve"> </w:t>
      </w:r>
      <w:r w:rsidR="008920F2" w:rsidRPr="00DC0F15">
        <w:t xml:space="preserve">ktorý bol vykázaný </w:t>
      </w:r>
      <w:r w:rsidR="008920F2">
        <w:t>v rámci jarnej notifikácie</w:t>
      </w:r>
      <w:r w:rsidR="008920F2" w:rsidRPr="00DC0F15">
        <w:t xml:space="preserve"> </w:t>
      </w:r>
      <w:r w:rsidR="008920F2" w:rsidRPr="007B1842">
        <w:t>(56,0 % HDP) pri jesennej notifikácii</w:t>
      </w:r>
      <w:r w:rsidR="008920F2">
        <w:t xml:space="preserve"> vzrástol o </w:t>
      </w:r>
      <w:r w:rsidR="008920F2" w:rsidRPr="00D85C8A">
        <w:t>67 </w:t>
      </w:r>
      <w:r w:rsidR="00532F9F">
        <w:t>413</w:t>
      </w:r>
      <w:r w:rsidR="008920F2" w:rsidRPr="00D85C8A">
        <w:t> </w:t>
      </w:r>
      <w:r w:rsidR="008920F2">
        <w:t>tis. eur na 56,1 % HDP.</w:t>
      </w:r>
      <w:r w:rsidR="008920F2" w:rsidRPr="007B1842">
        <w:t xml:space="preserve"> </w:t>
      </w:r>
      <w:r w:rsidR="008920F2">
        <w:t>J</w:t>
      </w:r>
      <w:r w:rsidR="008920F2" w:rsidRPr="00D85C8A">
        <w:t>ednotlivé revízie</w:t>
      </w:r>
      <w:r w:rsidR="009F4F64">
        <w:t xml:space="preserve"> vysvetľuje</w:t>
      </w:r>
      <w:r w:rsidR="008920F2">
        <w:t xml:space="preserve"> nasledovná tabuľka.</w:t>
      </w:r>
    </w:p>
    <w:tbl>
      <w:tblPr>
        <w:tblW w:w="5000" w:type="pct"/>
        <w:tblCellMar>
          <w:left w:w="70" w:type="dxa"/>
          <w:right w:w="70" w:type="dxa"/>
        </w:tblCellMar>
        <w:tblLook w:val="04A0" w:firstRow="1" w:lastRow="0" w:firstColumn="1" w:lastColumn="0" w:noHBand="0" w:noVBand="1"/>
      </w:tblPr>
      <w:tblGrid>
        <w:gridCol w:w="3143"/>
        <w:gridCol w:w="1466"/>
        <w:gridCol w:w="657"/>
        <w:gridCol w:w="4088"/>
      </w:tblGrid>
      <w:tr w:rsidR="008920F2" w:rsidRPr="00A83726" w14:paraId="02ECCFC2" w14:textId="77777777" w:rsidTr="00FC747C">
        <w:trPr>
          <w:trHeight w:val="520"/>
          <w:tblHeader/>
        </w:trPr>
        <w:tc>
          <w:tcPr>
            <w:tcW w:w="1680" w:type="pct"/>
            <w:tcBorders>
              <w:top w:val="single" w:sz="4" w:space="0" w:color="auto"/>
              <w:left w:val="nil"/>
              <w:bottom w:val="single" w:sz="4" w:space="0" w:color="auto"/>
              <w:right w:val="nil"/>
            </w:tcBorders>
            <w:shd w:val="clear" w:color="auto" w:fill="auto"/>
            <w:vAlign w:val="center"/>
            <w:hideMark/>
          </w:tcPr>
          <w:p w14:paraId="2968DB71" w14:textId="77777777" w:rsidR="008920F2" w:rsidRPr="00A83726" w:rsidRDefault="008920F2" w:rsidP="008920F2">
            <w:pPr>
              <w:spacing w:after="0" w:line="240" w:lineRule="auto"/>
              <w:rPr>
                <w:b/>
                <w:bCs/>
                <w:sz w:val="20"/>
                <w:szCs w:val="20"/>
                <w:lang w:eastAsia="sk-SK"/>
              </w:rPr>
            </w:pPr>
            <w:r w:rsidRPr="00A83726">
              <w:rPr>
                <w:b/>
                <w:bCs/>
                <w:sz w:val="20"/>
                <w:szCs w:val="20"/>
                <w:lang w:eastAsia="sk-SK"/>
              </w:rPr>
              <w:t>Upravené položky</w:t>
            </w:r>
          </w:p>
        </w:tc>
        <w:tc>
          <w:tcPr>
            <w:tcW w:w="784" w:type="pct"/>
            <w:tcBorders>
              <w:top w:val="single" w:sz="4" w:space="0" w:color="auto"/>
              <w:left w:val="nil"/>
              <w:bottom w:val="single" w:sz="4" w:space="0" w:color="auto"/>
              <w:right w:val="nil"/>
            </w:tcBorders>
            <w:shd w:val="clear" w:color="auto" w:fill="auto"/>
            <w:vAlign w:val="center"/>
            <w:hideMark/>
          </w:tcPr>
          <w:p w14:paraId="36B744EF" w14:textId="77777777" w:rsidR="008920F2" w:rsidRPr="00A83726" w:rsidRDefault="008920F2" w:rsidP="008920F2">
            <w:pPr>
              <w:spacing w:after="0" w:line="240" w:lineRule="auto"/>
              <w:jc w:val="center"/>
              <w:rPr>
                <w:b/>
                <w:bCs/>
                <w:sz w:val="20"/>
                <w:szCs w:val="20"/>
                <w:lang w:eastAsia="sk-SK"/>
              </w:rPr>
            </w:pPr>
            <w:r w:rsidRPr="00A83726">
              <w:rPr>
                <w:b/>
                <w:bCs/>
                <w:sz w:val="20"/>
                <w:szCs w:val="20"/>
                <w:lang w:eastAsia="sk-SK"/>
              </w:rPr>
              <w:t xml:space="preserve">               tis. €</w:t>
            </w:r>
          </w:p>
        </w:tc>
        <w:tc>
          <w:tcPr>
            <w:tcW w:w="351" w:type="pct"/>
            <w:tcBorders>
              <w:top w:val="single" w:sz="4" w:space="0" w:color="auto"/>
              <w:left w:val="nil"/>
              <w:bottom w:val="single" w:sz="4" w:space="0" w:color="auto"/>
              <w:right w:val="nil"/>
            </w:tcBorders>
            <w:shd w:val="clear" w:color="auto" w:fill="auto"/>
            <w:vAlign w:val="center"/>
            <w:hideMark/>
          </w:tcPr>
          <w:p w14:paraId="2FDC5839" w14:textId="77777777" w:rsidR="008920F2" w:rsidRPr="00A83726" w:rsidRDefault="008920F2" w:rsidP="008920F2">
            <w:pPr>
              <w:spacing w:after="0" w:line="240" w:lineRule="auto"/>
              <w:jc w:val="center"/>
              <w:rPr>
                <w:b/>
                <w:bCs/>
                <w:sz w:val="20"/>
                <w:szCs w:val="20"/>
                <w:lang w:eastAsia="sk-SK"/>
              </w:rPr>
            </w:pPr>
            <w:r w:rsidRPr="00A83726">
              <w:rPr>
                <w:b/>
                <w:bCs/>
                <w:sz w:val="20"/>
                <w:szCs w:val="20"/>
                <w:lang w:eastAsia="sk-SK"/>
              </w:rPr>
              <w:t xml:space="preserve">% </w:t>
            </w:r>
            <w:r w:rsidRPr="00A83726">
              <w:rPr>
                <w:b/>
                <w:bCs/>
                <w:sz w:val="20"/>
                <w:szCs w:val="20"/>
                <w:lang w:eastAsia="sk-SK"/>
              </w:rPr>
              <w:br/>
              <w:t>HDP</w:t>
            </w:r>
          </w:p>
        </w:tc>
        <w:tc>
          <w:tcPr>
            <w:tcW w:w="2185" w:type="pct"/>
            <w:tcBorders>
              <w:top w:val="single" w:sz="4" w:space="0" w:color="auto"/>
              <w:left w:val="nil"/>
              <w:bottom w:val="single" w:sz="4" w:space="0" w:color="auto"/>
              <w:right w:val="nil"/>
            </w:tcBorders>
            <w:shd w:val="clear" w:color="auto" w:fill="auto"/>
            <w:vAlign w:val="center"/>
            <w:hideMark/>
          </w:tcPr>
          <w:p w14:paraId="33313C8E" w14:textId="77777777" w:rsidR="008920F2" w:rsidRPr="00A83726" w:rsidRDefault="008920F2" w:rsidP="008920F2">
            <w:pPr>
              <w:spacing w:after="0" w:line="240" w:lineRule="auto"/>
              <w:jc w:val="center"/>
              <w:rPr>
                <w:b/>
                <w:bCs/>
                <w:sz w:val="20"/>
                <w:szCs w:val="20"/>
                <w:lang w:eastAsia="sk-SK"/>
              </w:rPr>
            </w:pPr>
            <w:r w:rsidRPr="00A83726">
              <w:rPr>
                <w:b/>
                <w:bCs/>
                <w:sz w:val="20"/>
                <w:szCs w:val="20"/>
                <w:lang w:eastAsia="sk-SK"/>
              </w:rPr>
              <w:t>Zdôvodnenie úprav</w:t>
            </w:r>
          </w:p>
        </w:tc>
      </w:tr>
      <w:tr w:rsidR="008920F2" w:rsidRPr="00A83726" w14:paraId="5E674C65" w14:textId="77777777" w:rsidTr="00FC747C">
        <w:trPr>
          <w:trHeight w:val="300"/>
        </w:trPr>
        <w:tc>
          <w:tcPr>
            <w:tcW w:w="1680" w:type="pct"/>
            <w:tcBorders>
              <w:top w:val="single" w:sz="4" w:space="0" w:color="auto"/>
              <w:left w:val="nil"/>
              <w:bottom w:val="single" w:sz="4" w:space="0" w:color="auto"/>
              <w:right w:val="nil"/>
            </w:tcBorders>
            <w:shd w:val="clear" w:color="auto" w:fill="auto"/>
            <w:noWrap/>
            <w:vAlign w:val="center"/>
            <w:hideMark/>
          </w:tcPr>
          <w:p w14:paraId="51EAF37B" w14:textId="77777777" w:rsidR="008920F2" w:rsidRPr="00A83726" w:rsidRDefault="008920F2" w:rsidP="008920F2">
            <w:pPr>
              <w:spacing w:after="0" w:line="240" w:lineRule="auto"/>
              <w:rPr>
                <w:b/>
                <w:bCs/>
                <w:sz w:val="20"/>
                <w:szCs w:val="20"/>
                <w:lang w:eastAsia="sk-SK"/>
              </w:rPr>
            </w:pPr>
            <w:r w:rsidRPr="00A83726">
              <w:rPr>
                <w:b/>
                <w:bCs/>
                <w:sz w:val="20"/>
                <w:szCs w:val="20"/>
                <w:lang w:eastAsia="sk-SK"/>
              </w:rPr>
              <w:t>Maastrichtský dlh VS - apríl 2024</w:t>
            </w:r>
            <w:r w:rsidRPr="00A83726">
              <w:rPr>
                <w:b/>
                <w:bCs/>
                <w:sz w:val="20"/>
                <w:szCs w:val="20"/>
                <w:vertAlign w:val="superscript"/>
                <w:lang w:eastAsia="sk-SK"/>
              </w:rPr>
              <w:t>1)</w:t>
            </w:r>
          </w:p>
        </w:tc>
        <w:tc>
          <w:tcPr>
            <w:tcW w:w="784" w:type="pct"/>
            <w:tcBorders>
              <w:top w:val="single" w:sz="4" w:space="0" w:color="auto"/>
              <w:left w:val="nil"/>
              <w:bottom w:val="single" w:sz="4" w:space="0" w:color="auto"/>
              <w:right w:val="nil"/>
            </w:tcBorders>
            <w:shd w:val="clear" w:color="auto" w:fill="auto"/>
            <w:noWrap/>
            <w:vAlign w:val="center"/>
            <w:hideMark/>
          </w:tcPr>
          <w:p w14:paraId="3D8BA3C2" w14:textId="0AE0A249" w:rsidR="008920F2" w:rsidRPr="00A83726" w:rsidRDefault="008920F2" w:rsidP="00532F9F">
            <w:pPr>
              <w:spacing w:after="0" w:line="240" w:lineRule="auto"/>
              <w:jc w:val="right"/>
              <w:rPr>
                <w:b/>
                <w:bCs/>
                <w:sz w:val="20"/>
                <w:szCs w:val="20"/>
                <w:lang w:eastAsia="sk-SK"/>
              </w:rPr>
            </w:pPr>
            <w:r w:rsidRPr="00A83726">
              <w:rPr>
                <w:b/>
                <w:bCs/>
                <w:sz w:val="20"/>
                <w:szCs w:val="20"/>
                <w:lang w:eastAsia="sk-SK"/>
              </w:rPr>
              <w:t xml:space="preserve">68 830 </w:t>
            </w:r>
            <w:r w:rsidR="00532F9F">
              <w:rPr>
                <w:b/>
                <w:bCs/>
                <w:sz w:val="20"/>
                <w:szCs w:val="20"/>
                <w:lang w:eastAsia="sk-SK"/>
              </w:rPr>
              <w:t>391</w:t>
            </w:r>
          </w:p>
        </w:tc>
        <w:tc>
          <w:tcPr>
            <w:tcW w:w="351" w:type="pct"/>
            <w:tcBorders>
              <w:top w:val="single" w:sz="4" w:space="0" w:color="auto"/>
              <w:left w:val="nil"/>
              <w:bottom w:val="single" w:sz="4" w:space="0" w:color="auto"/>
              <w:right w:val="nil"/>
            </w:tcBorders>
            <w:shd w:val="clear" w:color="auto" w:fill="auto"/>
            <w:noWrap/>
            <w:vAlign w:val="center"/>
            <w:hideMark/>
          </w:tcPr>
          <w:p w14:paraId="31160D70" w14:textId="77777777" w:rsidR="008920F2" w:rsidRPr="00A83726" w:rsidRDefault="008920F2" w:rsidP="008920F2">
            <w:pPr>
              <w:spacing w:after="0" w:line="240" w:lineRule="auto"/>
              <w:jc w:val="center"/>
              <w:rPr>
                <w:b/>
                <w:bCs/>
                <w:sz w:val="20"/>
                <w:szCs w:val="20"/>
                <w:lang w:eastAsia="sk-SK"/>
              </w:rPr>
            </w:pPr>
            <w:r w:rsidRPr="00A83726">
              <w:rPr>
                <w:b/>
                <w:bCs/>
                <w:sz w:val="20"/>
                <w:szCs w:val="20"/>
                <w:lang w:eastAsia="sk-SK"/>
              </w:rPr>
              <w:t>56,0</w:t>
            </w:r>
          </w:p>
        </w:tc>
        <w:tc>
          <w:tcPr>
            <w:tcW w:w="2185" w:type="pct"/>
            <w:tcBorders>
              <w:top w:val="single" w:sz="4" w:space="0" w:color="auto"/>
              <w:left w:val="nil"/>
              <w:bottom w:val="single" w:sz="4" w:space="0" w:color="auto"/>
              <w:right w:val="nil"/>
            </w:tcBorders>
            <w:shd w:val="clear" w:color="auto" w:fill="auto"/>
            <w:noWrap/>
            <w:vAlign w:val="center"/>
            <w:hideMark/>
          </w:tcPr>
          <w:p w14:paraId="360E51DD" w14:textId="77777777" w:rsidR="008920F2" w:rsidRPr="00A83726" w:rsidRDefault="008920F2" w:rsidP="008920F2">
            <w:pPr>
              <w:spacing w:after="0" w:line="240" w:lineRule="auto"/>
              <w:jc w:val="center"/>
              <w:rPr>
                <w:sz w:val="20"/>
                <w:szCs w:val="20"/>
                <w:lang w:eastAsia="sk-SK"/>
              </w:rPr>
            </w:pPr>
            <w:r w:rsidRPr="00A83726">
              <w:rPr>
                <w:sz w:val="20"/>
                <w:szCs w:val="20"/>
                <w:lang w:eastAsia="sk-SK"/>
              </w:rPr>
              <w:t> </w:t>
            </w:r>
          </w:p>
        </w:tc>
      </w:tr>
      <w:tr w:rsidR="008920F2" w:rsidRPr="00A83726" w14:paraId="3945D481" w14:textId="77777777" w:rsidTr="00DA7E2B">
        <w:trPr>
          <w:trHeight w:val="322"/>
        </w:trPr>
        <w:tc>
          <w:tcPr>
            <w:tcW w:w="1680" w:type="pct"/>
            <w:tcBorders>
              <w:top w:val="nil"/>
              <w:left w:val="nil"/>
              <w:bottom w:val="nil"/>
              <w:right w:val="nil"/>
            </w:tcBorders>
            <w:shd w:val="clear" w:color="auto" w:fill="auto"/>
            <w:noWrap/>
            <w:vAlign w:val="center"/>
            <w:hideMark/>
          </w:tcPr>
          <w:p w14:paraId="3BEAB8FA" w14:textId="77777777" w:rsidR="008920F2" w:rsidRPr="00A83726" w:rsidRDefault="008920F2" w:rsidP="008920F2">
            <w:pPr>
              <w:spacing w:after="0" w:line="240" w:lineRule="auto"/>
              <w:rPr>
                <w:b/>
                <w:bCs/>
                <w:sz w:val="20"/>
                <w:szCs w:val="20"/>
                <w:lang w:eastAsia="sk-SK"/>
              </w:rPr>
            </w:pPr>
            <w:r w:rsidRPr="00A83726">
              <w:rPr>
                <w:b/>
                <w:bCs/>
                <w:sz w:val="20"/>
                <w:szCs w:val="20"/>
                <w:lang w:eastAsia="sk-SK"/>
              </w:rPr>
              <w:t>Úpravy dlhu oproti aprílu 2024</w:t>
            </w:r>
          </w:p>
        </w:tc>
        <w:tc>
          <w:tcPr>
            <w:tcW w:w="784" w:type="pct"/>
            <w:tcBorders>
              <w:top w:val="nil"/>
              <w:left w:val="nil"/>
              <w:bottom w:val="nil"/>
              <w:right w:val="nil"/>
            </w:tcBorders>
            <w:shd w:val="clear" w:color="auto" w:fill="auto"/>
            <w:noWrap/>
            <w:vAlign w:val="center"/>
            <w:hideMark/>
          </w:tcPr>
          <w:p w14:paraId="36C71315" w14:textId="77777777" w:rsidR="008920F2" w:rsidRPr="00A83726" w:rsidRDefault="008920F2" w:rsidP="008920F2">
            <w:pPr>
              <w:spacing w:after="0" w:line="240" w:lineRule="auto"/>
              <w:rPr>
                <w:b/>
                <w:bCs/>
                <w:sz w:val="20"/>
                <w:szCs w:val="20"/>
                <w:lang w:eastAsia="sk-SK"/>
              </w:rPr>
            </w:pPr>
          </w:p>
        </w:tc>
        <w:tc>
          <w:tcPr>
            <w:tcW w:w="351" w:type="pct"/>
            <w:tcBorders>
              <w:top w:val="nil"/>
              <w:left w:val="nil"/>
              <w:bottom w:val="nil"/>
              <w:right w:val="nil"/>
            </w:tcBorders>
            <w:shd w:val="clear" w:color="auto" w:fill="auto"/>
            <w:noWrap/>
            <w:vAlign w:val="center"/>
            <w:hideMark/>
          </w:tcPr>
          <w:p w14:paraId="0E33D251" w14:textId="77777777" w:rsidR="008920F2" w:rsidRPr="00A83726" w:rsidRDefault="008920F2" w:rsidP="008920F2">
            <w:pPr>
              <w:spacing w:after="0" w:line="240" w:lineRule="auto"/>
              <w:jc w:val="right"/>
              <w:rPr>
                <w:sz w:val="20"/>
                <w:szCs w:val="20"/>
                <w:lang w:eastAsia="sk-SK"/>
              </w:rPr>
            </w:pPr>
          </w:p>
        </w:tc>
        <w:tc>
          <w:tcPr>
            <w:tcW w:w="2185" w:type="pct"/>
            <w:tcBorders>
              <w:top w:val="nil"/>
              <w:left w:val="nil"/>
              <w:bottom w:val="nil"/>
              <w:right w:val="nil"/>
            </w:tcBorders>
            <w:shd w:val="clear" w:color="auto" w:fill="auto"/>
            <w:vAlign w:val="center"/>
            <w:hideMark/>
          </w:tcPr>
          <w:p w14:paraId="75181E0D" w14:textId="77777777" w:rsidR="008920F2" w:rsidRPr="00A83726" w:rsidRDefault="008920F2" w:rsidP="008920F2">
            <w:pPr>
              <w:spacing w:after="0" w:line="240" w:lineRule="auto"/>
              <w:jc w:val="center"/>
              <w:rPr>
                <w:sz w:val="20"/>
                <w:szCs w:val="20"/>
                <w:lang w:eastAsia="sk-SK"/>
              </w:rPr>
            </w:pPr>
          </w:p>
        </w:tc>
      </w:tr>
      <w:tr w:rsidR="008920F2" w:rsidRPr="00A83726" w14:paraId="1CDB48CF" w14:textId="77777777" w:rsidTr="003009A6">
        <w:trPr>
          <w:trHeight w:val="990"/>
        </w:trPr>
        <w:tc>
          <w:tcPr>
            <w:tcW w:w="1680" w:type="pct"/>
            <w:tcBorders>
              <w:top w:val="nil"/>
              <w:left w:val="nil"/>
              <w:bottom w:val="nil"/>
              <w:right w:val="nil"/>
            </w:tcBorders>
            <w:shd w:val="clear" w:color="auto" w:fill="auto"/>
            <w:noWrap/>
            <w:vAlign w:val="center"/>
            <w:hideMark/>
          </w:tcPr>
          <w:p w14:paraId="46F63566" w14:textId="77777777" w:rsidR="008920F2" w:rsidRPr="00A83726" w:rsidRDefault="008920F2" w:rsidP="008920F2">
            <w:pPr>
              <w:spacing w:after="0" w:line="240" w:lineRule="auto"/>
              <w:rPr>
                <w:sz w:val="20"/>
                <w:szCs w:val="20"/>
                <w:lang w:eastAsia="sk-SK"/>
              </w:rPr>
            </w:pPr>
            <w:r w:rsidRPr="00A83726">
              <w:rPr>
                <w:sz w:val="20"/>
                <w:szCs w:val="20"/>
                <w:lang w:eastAsia="sk-SK"/>
              </w:rPr>
              <w:t>štátny dlh</w:t>
            </w:r>
          </w:p>
        </w:tc>
        <w:tc>
          <w:tcPr>
            <w:tcW w:w="784" w:type="pct"/>
            <w:tcBorders>
              <w:top w:val="nil"/>
              <w:left w:val="nil"/>
              <w:bottom w:val="nil"/>
              <w:right w:val="nil"/>
            </w:tcBorders>
            <w:shd w:val="clear" w:color="auto" w:fill="auto"/>
            <w:noWrap/>
            <w:vAlign w:val="center"/>
            <w:hideMark/>
          </w:tcPr>
          <w:p w14:paraId="6E6B7067" w14:textId="77777777" w:rsidR="008920F2" w:rsidRPr="00A83726" w:rsidRDefault="008920F2" w:rsidP="008920F2">
            <w:pPr>
              <w:spacing w:after="0" w:line="240" w:lineRule="auto"/>
              <w:jc w:val="right"/>
              <w:rPr>
                <w:sz w:val="20"/>
                <w:szCs w:val="20"/>
                <w:lang w:eastAsia="sk-SK"/>
              </w:rPr>
            </w:pPr>
            <w:r w:rsidRPr="00A83726">
              <w:rPr>
                <w:sz w:val="20"/>
                <w:szCs w:val="20"/>
                <w:lang w:eastAsia="sk-SK"/>
              </w:rPr>
              <w:t>132 106</w:t>
            </w:r>
          </w:p>
        </w:tc>
        <w:tc>
          <w:tcPr>
            <w:tcW w:w="351" w:type="pct"/>
            <w:tcBorders>
              <w:top w:val="nil"/>
              <w:left w:val="nil"/>
              <w:bottom w:val="nil"/>
              <w:right w:val="nil"/>
            </w:tcBorders>
            <w:shd w:val="clear" w:color="auto" w:fill="auto"/>
            <w:noWrap/>
            <w:vAlign w:val="center"/>
            <w:hideMark/>
          </w:tcPr>
          <w:p w14:paraId="2AC42444" w14:textId="77777777" w:rsidR="008920F2" w:rsidRPr="00A83726" w:rsidRDefault="008920F2" w:rsidP="008920F2">
            <w:pPr>
              <w:spacing w:after="0" w:line="240" w:lineRule="auto"/>
              <w:jc w:val="center"/>
              <w:rPr>
                <w:sz w:val="20"/>
                <w:szCs w:val="20"/>
                <w:lang w:eastAsia="sk-SK"/>
              </w:rPr>
            </w:pPr>
            <w:r w:rsidRPr="00A83726">
              <w:rPr>
                <w:sz w:val="20"/>
                <w:szCs w:val="20"/>
                <w:lang w:eastAsia="sk-SK"/>
              </w:rPr>
              <w:t>0,107</w:t>
            </w:r>
          </w:p>
        </w:tc>
        <w:tc>
          <w:tcPr>
            <w:tcW w:w="2185" w:type="pct"/>
            <w:tcBorders>
              <w:top w:val="nil"/>
              <w:left w:val="nil"/>
              <w:bottom w:val="nil"/>
              <w:right w:val="nil"/>
            </w:tcBorders>
            <w:shd w:val="clear" w:color="auto" w:fill="auto"/>
            <w:vAlign w:val="center"/>
            <w:hideMark/>
          </w:tcPr>
          <w:p w14:paraId="41B0207E" w14:textId="21B09A4C" w:rsidR="008920F2" w:rsidRPr="00A83726" w:rsidRDefault="004643BA" w:rsidP="00AA3726">
            <w:pPr>
              <w:spacing w:after="0" w:line="240" w:lineRule="auto"/>
              <w:jc w:val="both"/>
              <w:rPr>
                <w:sz w:val="20"/>
                <w:szCs w:val="20"/>
                <w:lang w:eastAsia="sk-SK"/>
              </w:rPr>
            </w:pPr>
            <w:r>
              <w:rPr>
                <w:sz w:val="20"/>
                <w:szCs w:val="20"/>
                <w:lang w:eastAsia="sk-SK"/>
              </w:rPr>
              <w:t>Z</w:t>
            </w:r>
            <w:r w:rsidR="008920F2" w:rsidRPr="00A83726">
              <w:rPr>
                <w:sz w:val="20"/>
                <w:szCs w:val="20"/>
                <w:lang w:eastAsia="sk-SK"/>
              </w:rPr>
              <w:t>men</w:t>
            </w:r>
            <w:r>
              <w:rPr>
                <w:sz w:val="20"/>
                <w:szCs w:val="20"/>
                <w:lang w:eastAsia="sk-SK"/>
              </w:rPr>
              <w:t>a</w:t>
            </w:r>
            <w:r w:rsidR="008920F2" w:rsidRPr="00A83726">
              <w:rPr>
                <w:sz w:val="20"/>
                <w:szCs w:val="20"/>
                <w:lang w:eastAsia="sk-SK"/>
              </w:rPr>
              <w:t xml:space="preserve"> metodiky vykazovania dlhu vyplývajúceho z EFSF. Na</w:t>
            </w:r>
            <w:r w:rsidR="008920F2">
              <w:rPr>
                <w:sz w:val="20"/>
                <w:szCs w:val="20"/>
                <w:lang w:eastAsia="sk-SK"/>
              </w:rPr>
              <w:t> </w:t>
            </w:r>
            <w:r w:rsidR="008920F2" w:rsidRPr="00A83726">
              <w:rPr>
                <w:sz w:val="20"/>
                <w:szCs w:val="20"/>
                <w:lang w:eastAsia="sk-SK"/>
              </w:rPr>
              <w:t>základe usmernenia Eurostatu bol dlh z EFSF zvýšený o</w:t>
            </w:r>
            <w:r w:rsidR="00AA3726">
              <w:rPr>
                <w:sz w:val="20"/>
                <w:szCs w:val="20"/>
                <w:lang w:eastAsia="sk-SK"/>
              </w:rPr>
              <w:t> </w:t>
            </w:r>
            <w:r w:rsidR="008920F2" w:rsidRPr="00A83726">
              <w:rPr>
                <w:sz w:val="20"/>
                <w:szCs w:val="20"/>
                <w:lang w:eastAsia="sk-SK"/>
              </w:rPr>
              <w:t>sumu odložených</w:t>
            </w:r>
            <w:r>
              <w:rPr>
                <w:sz w:val="20"/>
                <w:szCs w:val="20"/>
                <w:lang w:eastAsia="sk-SK"/>
              </w:rPr>
              <w:t xml:space="preserve"> </w:t>
            </w:r>
            <w:r w:rsidR="00AA3726">
              <w:rPr>
                <w:sz w:val="20"/>
                <w:szCs w:val="20"/>
                <w:lang w:eastAsia="sk-SK"/>
              </w:rPr>
              <w:t>kapitalizovaných úrokov z </w:t>
            </w:r>
            <w:r w:rsidR="008920F2" w:rsidRPr="00A83726">
              <w:rPr>
                <w:sz w:val="20"/>
                <w:szCs w:val="20"/>
                <w:lang w:eastAsia="sk-SK"/>
              </w:rPr>
              <w:t>pôžičiek.</w:t>
            </w:r>
          </w:p>
        </w:tc>
      </w:tr>
      <w:tr w:rsidR="008920F2" w:rsidRPr="00A83726" w14:paraId="512977D6" w14:textId="77777777" w:rsidTr="00DA7E2B">
        <w:trPr>
          <w:trHeight w:val="279"/>
        </w:trPr>
        <w:tc>
          <w:tcPr>
            <w:tcW w:w="1680" w:type="pct"/>
            <w:tcBorders>
              <w:top w:val="nil"/>
              <w:left w:val="nil"/>
              <w:bottom w:val="nil"/>
              <w:right w:val="nil"/>
            </w:tcBorders>
            <w:shd w:val="clear" w:color="auto" w:fill="auto"/>
            <w:noWrap/>
            <w:vAlign w:val="center"/>
            <w:hideMark/>
          </w:tcPr>
          <w:p w14:paraId="2384E82B" w14:textId="77777777" w:rsidR="008920F2" w:rsidRPr="00A83726" w:rsidRDefault="008920F2" w:rsidP="008920F2">
            <w:pPr>
              <w:spacing w:after="0" w:line="240" w:lineRule="auto"/>
              <w:rPr>
                <w:sz w:val="20"/>
                <w:szCs w:val="20"/>
                <w:lang w:eastAsia="sk-SK"/>
              </w:rPr>
            </w:pPr>
            <w:r w:rsidRPr="00A83726">
              <w:rPr>
                <w:sz w:val="20"/>
                <w:szCs w:val="20"/>
                <w:lang w:eastAsia="sk-SK"/>
              </w:rPr>
              <w:t>preradené jednotky</w:t>
            </w:r>
          </w:p>
        </w:tc>
        <w:tc>
          <w:tcPr>
            <w:tcW w:w="784" w:type="pct"/>
            <w:tcBorders>
              <w:top w:val="nil"/>
              <w:left w:val="nil"/>
              <w:bottom w:val="nil"/>
              <w:right w:val="nil"/>
            </w:tcBorders>
            <w:shd w:val="clear" w:color="auto" w:fill="auto"/>
            <w:noWrap/>
            <w:vAlign w:val="center"/>
            <w:hideMark/>
          </w:tcPr>
          <w:p w14:paraId="3CCB9196" w14:textId="77777777" w:rsidR="008920F2" w:rsidRPr="00A83726" w:rsidRDefault="008920F2" w:rsidP="008920F2">
            <w:pPr>
              <w:spacing w:after="0" w:line="240" w:lineRule="auto"/>
              <w:jc w:val="right"/>
              <w:rPr>
                <w:sz w:val="20"/>
                <w:szCs w:val="20"/>
                <w:lang w:eastAsia="sk-SK"/>
              </w:rPr>
            </w:pPr>
            <w:r w:rsidRPr="00A83726">
              <w:rPr>
                <w:sz w:val="20"/>
                <w:szCs w:val="20"/>
                <w:lang w:eastAsia="sk-SK"/>
              </w:rPr>
              <w:t>-74 554</w:t>
            </w:r>
          </w:p>
        </w:tc>
        <w:tc>
          <w:tcPr>
            <w:tcW w:w="351" w:type="pct"/>
            <w:tcBorders>
              <w:top w:val="nil"/>
              <w:left w:val="nil"/>
              <w:bottom w:val="nil"/>
              <w:right w:val="nil"/>
            </w:tcBorders>
            <w:shd w:val="clear" w:color="auto" w:fill="auto"/>
            <w:noWrap/>
            <w:vAlign w:val="center"/>
            <w:hideMark/>
          </w:tcPr>
          <w:p w14:paraId="689D0AC5" w14:textId="77777777" w:rsidR="008920F2" w:rsidRPr="00A83726" w:rsidRDefault="008920F2" w:rsidP="008920F2">
            <w:pPr>
              <w:spacing w:after="0" w:line="240" w:lineRule="auto"/>
              <w:jc w:val="center"/>
              <w:rPr>
                <w:sz w:val="20"/>
                <w:szCs w:val="20"/>
                <w:lang w:eastAsia="sk-SK"/>
              </w:rPr>
            </w:pPr>
            <w:r w:rsidRPr="00A83726">
              <w:rPr>
                <w:sz w:val="20"/>
                <w:szCs w:val="20"/>
                <w:lang w:eastAsia="sk-SK"/>
              </w:rPr>
              <w:t>-0,061</w:t>
            </w:r>
          </w:p>
        </w:tc>
        <w:tc>
          <w:tcPr>
            <w:tcW w:w="2185" w:type="pct"/>
            <w:tcBorders>
              <w:top w:val="nil"/>
              <w:left w:val="nil"/>
              <w:bottom w:val="nil"/>
              <w:right w:val="nil"/>
            </w:tcBorders>
            <w:shd w:val="clear" w:color="auto" w:fill="auto"/>
            <w:vAlign w:val="center"/>
            <w:hideMark/>
          </w:tcPr>
          <w:p w14:paraId="6BB31B41" w14:textId="7D243F4C" w:rsidR="008920F2" w:rsidRPr="00A83726" w:rsidRDefault="008920F2" w:rsidP="008920F2">
            <w:pPr>
              <w:spacing w:after="0" w:line="240" w:lineRule="auto"/>
              <w:jc w:val="both"/>
              <w:rPr>
                <w:sz w:val="20"/>
                <w:szCs w:val="20"/>
                <w:lang w:eastAsia="sk-SK"/>
              </w:rPr>
            </w:pPr>
            <w:r w:rsidRPr="00A83726">
              <w:rPr>
                <w:sz w:val="20"/>
                <w:szCs w:val="20"/>
                <w:lang w:eastAsia="sk-SK"/>
              </w:rPr>
              <w:t>Zaradenie SZRB do sektora VS.</w:t>
            </w:r>
          </w:p>
        </w:tc>
      </w:tr>
      <w:tr w:rsidR="008920F2" w:rsidRPr="00A83726" w14:paraId="44587875" w14:textId="77777777" w:rsidTr="00B61920">
        <w:trPr>
          <w:trHeight w:val="250"/>
        </w:trPr>
        <w:tc>
          <w:tcPr>
            <w:tcW w:w="5000" w:type="pct"/>
            <w:gridSpan w:val="4"/>
            <w:tcBorders>
              <w:top w:val="nil"/>
              <w:left w:val="nil"/>
              <w:bottom w:val="nil"/>
              <w:right w:val="nil"/>
            </w:tcBorders>
            <w:shd w:val="clear" w:color="auto" w:fill="auto"/>
            <w:vAlign w:val="center"/>
            <w:hideMark/>
          </w:tcPr>
          <w:p w14:paraId="3EE723E2" w14:textId="77777777" w:rsidR="008920F2" w:rsidRPr="00A83726" w:rsidRDefault="008920F2" w:rsidP="008920F2">
            <w:pPr>
              <w:spacing w:after="0" w:line="240" w:lineRule="auto"/>
              <w:rPr>
                <w:b/>
                <w:bCs/>
                <w:sz w:val="20"/>
                <w:szCs w:val="20"/>
                <w:lang w:eastAsia="sk-SK"/>
              </w:rPr>
            </w:pPr>
            <w:r w:rsidRPr="00A83726">
              <w:rPr>
                <w:b/>
                <w:bCs/>
                <w:sz w:val="20"/>
                <w:szCs w:val="20"/>
                <w:lang w:eastAsia="sk-SK"/>
              </w:rPr>
              <w:t>Úpravy z dôvodu podania definitívnych výkazov</w:t>
            </w:r>
          </w:p>
        </w:tc>
      </w:tr>
      <w:tr w:rsidR="008920F2" w:rsidRPr="00A83726" w14:paraId="183FB71C" w14:textId="77777777" w:rsidTr="00FC747C">
        <w:trPr>
          <w:trHeight w:val="520"/>
        </w:trPr>
        <w:tc>
          <w:tcPr>
            <w:tcW w:w="1680" w:type="pct"/>
            <w:tcBorders>
              <w:top w:val="nil"/>
              <w:left w:val="nil"/>
              <w:bottom w:val="nil"/>
              <w:right w:val="nil"/>
            </w:tcBorders>
            <w:shd w:val="clear" w:color="auto" w:fill="auto"/>
            <w:vAlign w:val="center"/>
            <w:hideMark/>
          </w:tcPr>
          <w:p w14:paraId="1111F4CD" w14:textId="3D5F78D5" w:rsidR="008920F2" w:rsidRPr="00A83726" w:rsidRDefault="008920F2" w:rsidP="00A94716">
            <w:pPr>
              <w:spacing w:after="0" w:line="240" w:lineRule="auto"/>
              <w:rPr>
                <w:sz w:val="20"/>
                <w:szCs w:val="20"/>
                <w:lang w:eastAsia="sk-SK"/>
              </w:rPr>
            </w:pPr>
            <w:r w:rsidRPr="00A83726">
              <w:rPr>
                <w:sz w:val="20"/>
                <w:szCs w:val="20"/>
                <w:lang w:eastAsia="sk-SK"/>
              </w:rPr>
              <w:t xml:space="preserve">obce a ich </w:t>
            </w:r>
            <w:r w:rsidR="00A94716">
              <w:rPr>
                <w:sz w:val="20"/>
                <w:szCs w:val="20"/>
                <w:lang w:eastAsia="sk-SK"/>
              </w:rPr>
              <w:t>rozpočtové organizácie</w:t>
            </w:r>
          </w:p>
        </w:tc>
        <w:tc>
          <w:tcPr>
            <w:tcW w:w="784" w:type="pct"/>
            <w:tcBorders>
              <w:top w:val="nil"/>
              <w:left w:val="nil"/>
              <w:bottom w:val="nil"/>
              <w:right w:val="nil"/>
            </w:tcBorders>
            <w:shd w:val="clear" w:color="auto" w:fill="auto"/>
            <w:noWrap/>
            <w:vAlign w:val="center"/>
            <w:hideMark/>
          </w:tcPr>
          <w:p w14:paraId="78E91D35" w14:textId="77777777" w:rsidR="008920F2" w:rsidRPr="00A83726" w:rsidRDefault="008920F2" w:rsidP="008920F2">
            <w:pPr>
              <w:spacing w:after="0" w:line="240" w:lineRule="auto"/>
              <w:jc w:val="right"/>
              <w:rPr>
                <w:sz w:val="20"/>
                <w:szCs w:val="20"/>
                <w:lang w:eastAsia="sk-SK"/>
              </w:rPr>
            </w:pPr>
            <w:r w:rsidRPr="00A83726">
              <w:rPr>
                <w:sz w:val="20"/>
                <w:szCs w:val="20"/>
                <w:lang w:eastAsia="sk-SK"/>
              </w:rPr>
              <w:t>-13 300</w:t>
            </w:r>
          </w:p>
        </w:tc>
        <w:tc>
          <w:tcPr>
            <w:tcW w:w="351" w:type="pct"/>
            <w:tcBorders>
              <w:top w:val="nil"/>
              <w:left w:val="nil"/>
              <w:bottom w:val="nil"/>
              <w:right w:val="nil"/>
            </w:tcBorders>
            <w:shd w:val="clear" w:color="auto" w:fill="auto"/>
            <w:noWrap/>
            <w:vAlign w:val="center"/>
            <w:hideMark/>
          </w:tcPr>
          <w:p w14:paraId="22127810" w14:textId="77777777" w:rsidR="008920F2" w:rsidRPr="00A83726" w:rsidRDefault="008920F2" w:rsidP="008920F2">
            <w:pPr>
              <w:spacing w:after="0" w:line="240" w:lineRule="auto"/>
              <w:jc w:val="center"/>
              <w:rPr>
                <w:sz w:val="20"/>
                <w:szCs w:val="20"/>
                <w:lang w:eastAsia="sk-SK"/>
              </w:rPr>
            </w:pPr>
            <w:r w:rsidRPr="00A83726">
              <w:rPr>
                <w:sz w:val="20"/>
                <w:szCs w:val="20"/>
                <w:lang w:eastAsia="sk-SK"/>
              </w:rPr>
              <w:t>-0,011</w:t>
            </w:r>
          </w:p>
        </w:tc>
        <w:tc>
          <w:tcPr>
            <w:tcW w:w="2185" w:type="pct"/>
            <w:tcBorders>
              <w:top w:val="nil"/>
              <w:left w:val="nil"/>
              <w:bottom w:val="nil"/>
              <w:right w:val="nil"/>
            </w:tcBorders>
            <w:shd w:val="clear" w:color="auto" w:fill="auto"/>
            <w:vAlign w:val="center"/>
            <w:hideMark/>
          </w:tcPr>
          <w:p w14:paraId="3994B064" w14:textId="7A03E2B2" w:rsidR="008920F2" w:rsidRPr="00A83726" w:rsidRDefault="004643BA" w:rsidP="008920F2">
            <w:pPr>
              <w:spacing w:after="0" w:line="240" w:lineRule="auto"/>
              <w:jc w:val="both"/>
              <w:rPr>
                <w:sz w:val="20"/>
                <w:szCs w:val="20"/>
                <w:lang w:eastAsia="sk-SK"/>
              </w:rPr>
            </w:pPr>
            <w:r>
              <w:rPr>
                <w:sz w:val="20"/>
                <w:szCs w:val="20"/>
                <w:lang w:eastAsia="sk-SK"/>
              </w:rPr>
              <w:t>Vyššia miera konsolidácie pôžičiek v rámci sektora VS</w:t>
            </w:r>
            <w:r w:rsidR="008920F2" w:rsidRPr="00A83726">
              <w:rPr>
                <w:sz w:val="20"/>
                <w:szCs w:val="20"/>
                <w:lang w:eastAsia="sk-SK"/>
              </w:rPr>
              <w:t>.</w:t>
            </w:r>
          </w:p>
        </w:tc>
      </w:tr>
      <w:tr w:rsidR="008920F2" w:rsidRPr="00A83726" w14:paraId="69DD769E" w14:textId="77777777" w:rsidTr="003009A6">
        <w:trPr>
          <w:trHeight w:val="367"/>
        </w:trPr>
        <w:tc>
          <w:tcPr>
            <w:tcW w:w="1680" w:type="pct"/>
            <w:tcBorders>
              <w:top w:val="nil"/>
              <w:left w:val="nil"/>
              <w:bottom w:val="nil"/>
              <w:right w:val="nil"/>
            </w:tcBorders>
            <w:shd w:val="clear" w:color="auto" w:fill="auto"/>
            <w:noWrap/>
            <w:vAlign w:val="center"/>
            <w:hideMark/>
          </w:tcPr>
          <w:p w14:paraId="5F606B49" w14:textId="77777777" w:rsidR="008920F2" w:rsidRPr="00A83726" w:rsidRDefault="008920F2" w:rsidP="008920F2">
            <w:pPr>
              <w:spacing w:after="0" w:line="240" w:lineRule="auto"/>
              <w:rPr>
                <w:sz w:val="20"/>
                <w:szCs w:val="20"/>
                <w:lang w:eastAsia="sk-SK"/>
              </w:rPr>
            </w:pPr>
            <w:r w:rsidRPr="00A83726">
              <w:rPr>
                <w:sz w:val="20"/>
                <w:szCs w:val="20"/>
                <w:lang w:eastAsia="sk-SK"/>
              </w:rPr>
              <w:t>ostatné malé jednotky miestne</w:t>
            </w:r>
          </w:p>
        </w:tc>
        <w:tc>
          <w:tcPr>
            <w:tcW w:w="784" w:type="pct"/>
            <w:tcBorders>
              <w:top w:val="nil"/>
              <w:left w:val="nil"/>
              <w:bottom w:val="nil"/>
              <w:right w:val="nil"/>
            </w:tcBorders>
            <w:shd w:val="clear" w:color="auto" w:fill="auto"/>
            <w:noWrap/>
            <w:vAlign w:val="center"/>
            <w:hideMark/>
          </w:tcPr>
          <w:p w14:paraId="1100BF9E" w14:textId="3466F0CE" w:rsidR="008920F2" w:rsidRPr="00A83726" w:rsidRDefault="008920F2" w:rsidP="00612F07">
            <w:pPr>
              <w:spacing w:after="0" w:line="240" w:lineRule="auto"/>
              <w:jc w:val="right"/>
              <w:rPr>
                <w:sz w:val="20"/>
                <w:szCs w:val="20"/>
                <w:lang w:eastAsia="sk-SK"/>
              </w:rPr>
            </w:pPr>
            <w:r w:rsidRPr="00A83726">
              <w:rPr>
                <w:sz w:val="20"/>
                <w:szCs w:val="20"/>
                <w:lang w:eastAsia="sk-SK"/>
              </w:rPr>
              <w:t xml:space="preserve">12 </w:t>
            </w:r>
            <w:r w:rsidR="00612F07">
              <w:rPr>
                <w:sz w:val="20"/>
                <w:szCs w:val="20"/>
                <w:lang w:eastAsia="sk-SK"/>
              </w:rPr>
              <w:t>908</w:t>
            </w:r>
          </w:p>
        </w:tc>
        <w:tc>
          <w:tcPr>
            <w:tcW w:w="351" w:type="pct"/>
            <w:tcBorders>
              <w:top w:val="nil"/>
              <w:left w:val="nil"/>
              <w:bottom w:val="nil"/>
              <w:right w:val="nil"/>
            </w:tcBorders>
            <w:shd w:val="clear" w:color="auto" w:fill="auto"/>
            <w:noWrap/>
            <w:vAlign w:val="center"/>
            <w:hideMark/>
          </w:tcPr>
          <w:p w14:paraId="64C3B9AF" w14:textId="72366A52" w:rsidR="008920F2" w:rsidRPr="00A83726" w:rsidRDefault="008920F2" w:rsidP="008920F2">
            <w:pPr>
              <w:spacing w:after="0" w:line="240" w:lineRule="auto"/>
              <w:jc w:val="center"/>
              <w:rPr>
                <w:sz w:val="20"/>
                <w:szCs w:val="20"/>
                <w:lang w:eastAsia="sk-SK"/>
              </w:rPr>
            </w:pPr>
            <w:r w:rsidRPr="00A83726">
              <w:rPr>
                <w:sz w:val="20"/>
                <w:szCs w:val="20"/>
                <w:lang w:eastAsia="sk-SK"/>
              </w:rPr>
              <w:t>0</w:t>
            </w:r>
            <w:r w:rsidR="00120030">
              <w:rPr>
                <w:sz w:val="20"/>
                <w:szCs w:val="20"/>
                <w:lang w:eastAsia="sk-SK"/>
              </w:rPr>
              <w:t>,011</w:t>
            </w:r>
          </w:p>
        </w:tc>
        <w:tc>
          <w:tcPr>
            <w:tcW w:w="2185" w:type="pct"/>
            <w:tcBorders>
              <w:top w:val="nil"/>
              <w:left w:val="nil"/>
              <w:bottom w:val="nil"/>
              <w:right w:val="nil"/>
            </w:tcBorders>
            <w:shd w:val="clear" w:color="auto" w:fill="auto"/>
            <w:vAlign w:val="center"/>
            <w:hideMark/>
          </w:tcPr>
          <w:p w14:paraId="43B74BA3" w14:textId="5DEA6B30" w:rsidR="008920F2" w:rsidRPr="00A83726" w:rsidRDefault="008920F2" w:rsidP="00EB2C31">
            <w:pPr>
              <w:spacing w:after="0" w:line="240" w:lineRule="auto"/>
              <w:jc w:val="both"/>
              <w:rPr>
                <w:sz w:val="20"/>
                <w:szCs w:val="20"/>
                <w:lang w:eastAsia="sk-SK"/>
              </w:rPr>
            </w:pPr>
            <w:r w:rsidRPr="00A83726">
              <w:rPr>
                <w:sz w:val="20"/>
                <w:szCs w:val="20"/>
                <w:lang w:eastAsia="sk-SK"/>
              </w:rPr>
              <w:t xml:space="preserve">Každoročná </w:t>
            </w:r>
            <w:r>
              <w:rPr>
                <w:sz w:val="20"/>
                <w:szCs w:val="20"/>
                <w:lang w:eastAsia="sk-SK"/>
              </w:rPr>
              <w:t>aktualizácia na základe súvah k </w:t>
            </w:r>
            <w:r w:rsidRPr="00A83726">
              <w:rPr>
                <w:sz w:val="20"/>
                <w:szCs w:val="20"/>
                <w:lang w:eastAsia="sk-SK"/>
              </w:rPr>
              <w:t>31.12.</w:t>
            </w:r>
          </w:p>
        </w:tc>
      </w:tr>
      <w:tr w:rsidR="008920F2" w:rsidRPr="00A83726" w14:paraId="6563EB47" w14:textId="77777777" w:rsidTr="00DA7E2B">
        <w:trPr>
          <w:trHeight w:val="628"/>
        </w:trPr>
        <w:tc>
          <w:tcPr>
            <w:tcW w:w="1680" w:type="pct"/>
            <w:tcBorders>
              <w:top w:val="nil"/>
              <w:left w:val="nil"/>
              <w:bottom w:val="nil"/>
              <w:right w:val="nil"/>
            </w:tcBorders>
            <w:shd w:val="clear" w:color="auto" w:fill="auto"/>
            <w:vAlign w:val="center"/>
            <w:hideMark/>
          </w:tcPr>
          <w:p w14:paraId="701C7365" w14:textId="77777777" w:rsidR="008920F2" w:rsidRPr="00A83726" w:rsidRDefault="008920F2" w:rsidP="008920F2">
            <w:pPr>
              <w:spacing w:after="0" w:line="240" w:lineRule="auto"/>
              <w:rPr>
                <w:sz w:val="20"/>
                <w:szCs w:val="20"/>
                <w:lang w:eastAsia="sk-SK"/>
              </w:rPr>
            </w:pPr>
            <w:r w:rsidRPr="00A83726">
              <w:rPr>
                <w:sz w:val="20"/>
                <w:szCs w:val="20"/>
                <w:lang w:eastAsia="sk-SK"/>
              </w:rPr>
              <w:t>zdravotnícke zariadenia ústrednej správy</w:t>
            </w:r>
          </w:p>
        </w:tc>
        <w:tc>
          <w:tcPr>
            <w:tcW w:w="784" w:type="pct"/>
            <w:tcBorders>
              <w:top w:val="nil"/>
              <w:left w:val="nil"/>
              <w:bottom w:val="nil"/>
              <w:right w:val="nil"/>
            </w:tcBorders>
            <w:shd w:val="clear" w:color="auto" w:fill="auto"/>
            <w:noWrap/>
            <w:vAlign w:val="center"/>
            <w:hideMark/>
          </w:tcPr>
          <w:p w14:paraId="0E83EE65" w14:textId="77777777" w:rsidR="008920F2" w:rsidRPr="00A83726" w:rsidRDefault="008920F2" w:rsidP="008920F2">
            <w:pPr>
              <w:spacing w:after="0" w:line="240" w:lineRule="auto"/>
              <w:jc w:val="right"/>
              <w:rPr>
                <w:sz w:val="20"/>
                <w:szCs w:val="20"/>
                <w:lang w:eastAsia="sk-SK"/>
              </w:rPr>
            </w:pPr>
            <w:r w:rsidRPr="00A83726">
              <w:rPr>
                <w:sz w:val="20"/>
                <w:szCs w:val="20"/>
                <w:lang w:eastAsia="sk-SK"/>
              </w:rPr>
              <w:t>11 327</w:t>
            </w:r>
          </w:p>
        </w:tc>
        <w:tc>
          <w:tcPr>
            <w:tcW w:w="351" w:type="pct"/>
            <w:tcBorders>
              <w:top w:val="nil"/>
              <w:left w:val="nil"/>
              <w:bottom w:val="nil"/>
              <w:right w:val="nil"/>
            </w:tcBorders>
            <w:shd w:val="clear" w:color="auto" w:fill="auto"/>
            <w:noWrap/>
            <w:vAlign w:val="center"/>
            <w:hideMark/>
          </w:tcPr>
          <w:p w14:paraId="765D402D" w14:textId="77777777" w:rsidR="008920F2" w:rsidRPr="00A83726" w:rsidRDefault="008920F2" w:rsidP="008920F2">
            <w:pPr>
              <w:spacing w:after="0" w:line="240" w:lineRule="auto"/>
              <w:jc w:val="center"/>
              <w:rPr>
                <w:sz w:val="20"/>
                <w:szCs w:val="20"/>
                <w:lang w:eastAsia="sk-SK"/>
              </w:rPr>
            </w:pPr>
            <w:r w:rsidRPr="00A83726">
              <w:rPr>
                <w:sz w:val="20"/>
                <w:szCs w:val="20"/>
                <w:lang w:eastAsia="sk-SK"/>
              </w:rPr>
              <w:t>0,009</w:t>
            </w:r>
          </w:p>
        </w:tc>
        <w:tc>
          <w:tcPr>
            <w:tcW w:w="2185" w:type="pct"/>
            <w:tcBorders>
              <w:top w:val="nil"/>
              <w:left w:val="nil"/>
              <w:bottom w:val="nil"/>
              <w:right w:val="nil"/>
            </w:tcBorders>
            <w:shd w:val="clear" w:color="auto" w:fill="auto"/>
            <w:vAlign w:val="center"/>
            <w:hideMark/>
          </w:tcPr>
          <w:p w14:paraId="7273F3FB" w14:textId="32E66BC3" w:rsidR="008920F2" w:rsidRPr="00A83726" w:rsidRDefault="004643BA" w:rsidP="008920F2">
            <w:pPr>
              <w:spacing w:after="0" w:line="240" w:lineRule="auto"/>
              <w:jc w:val="both"/>
              <w:rPr>
                <w:sz w:val="20"/>
                <w:szCs w:val="20"/>
                <w:lang w:eastAsia="sk-SK"/>
              </w:rPr>
            </w:pPr>
            <w:r>
              <w:rPr>
                <w:sz w:val="20"/>
                <w:szCs w:val="20"/>
                <w:lang w:eastAsia="sk-SK"/>
              </w:rPr>
              <w:t>Aktualizácia údajov o záväzkoch po zmene veriteľa, ktoré vstupujú do dlhu VS.</w:t>
            </w:r>
          </w:p>
        </w:tc>
      </w:tr>
      <w:tr w:rsidR="008920F2" w:rsidRPr="0072055C" w14:paraId="0039FB6C" w14:textId="77777777" w:rsidTr="00DA7E2B">
        <w:trPr>
          <w:trHeight w:val="394"/>
        </w:trPr>
        <w:tc>
          <w:tcPr>
            <w:tcW w:w="1680" w:type="pct"/>
            <w:tcBorders>
              <w:top w:val="nil"/>
              <w:left w:val="nil"/>
              <w:bottom w:val="nil"/>
              <w:right w:val="nil"/>
            </w:tcBorders>
            <w:shd w:val="clear" w:color="auto" w:fill="auto"/>
            <w:vAlign w:val="center"/>
            <w:hideMark/>
          </w:tcPr>
          <w:p w14:paraId="4545EFD0" w14:textId="63D656C2" w:rsidR="008920F2" w:rsidRPr="00BB1D32" w:rsidRDefault="00FF072C" w:rsidP="008920F2">
            <w:pPr>
              <w:spacing w:after="0" w:line="240" w:lineRule="auto"/>
              <w:rPr>
                <w:sz w:val="20"/>
                <w:szCs w:val="20"/>
                <w:lang w:eastAsia="sk-SK"/>
              </w:rPr>
            </w:pPr>
            <w:r w:rsidRPr="00BB1D32">
              <w:rPr>
                <w:sz w:val="20"/>
                <w:szCs w:val="20"/>
                <w:lang w:eastAsia="sk-SK"/>
              </w:rPr>
              <w:t>Ostatné nevýznamné zmeny</w:t>
            </w:r>
          </w:p>
        </w:tc>
        <w:tc>
          <w:tcPr>
            <w:tcW w:w="784" w:type="pct"/>
            <w:tcBorders>
              <w:top w:val="nil"/>
              <w:left w:val="nil"/>
              <w:bottom w:val="nil"/>
              <w:right w:val="nil"/>
            </w:tcBorders>
            <w:shd w:val="clear" w:color="auto" w:fill="auto"/>
            <w:noWrap/>
            <w:vAlign w:val="center"/>
            <w:hideMark/>
          </w:tcPr>
          <w:p w14:paraId="270DE36B" w14:textId="650A953A" w:rsidR="008920F2" w:rsidRPr="00BB1D32" w:rsidRDefault="008920F2" w:rsidP="00FF072C">
            <w:pPr>
              <w:spacing w:after="0" w:line="240" w:lineRule="auto"/>
              <w:jc w:val="right"/>
              <w:rPr>
                <w:sz w:val="20"/>
                <w:szCs w:val="20"/>
                <w:lang w:eastAsia="sk-SK"/>
              </w:rPr>
            </w:pPr>
            <w:r w:rsidRPr="00BB1D32">
              <w:rPr>
                <w:sz w:val="20"/>
                <w:szCs w:val="20"/>
                <w:lang w:eastAsia="sk-SK"/>
              </w:rPr>
              <w:t>-</w:t>
            </w:r>
            <w:r w:rsidR="00FF072C" w:rsidRPr="00BB1D32">
              <w:rPr>
                <w:sz w:val="20"/>
                <w:szCs w:val="20"/>
                <w:lang w:eastAsia="sk-SK"/>
              </w:rPr>
              <w:t>1 074</w:t>
            </w:r>
          </w:p>
        </w:tc>
        <w:tc>
          <w:tcPr>
            <w:tcW w:w="351" w:type="pct"/>
            <w:tcBorders>
              <w:top w:val="nil"/>
              <w:left w:val="nil"/>
              <w:bottom w:val="nil"/>
              <w:right w:val="nil"/>
            </w:tcBorders>
            <w:shd w:val="clear" w:color="auto" w:fill="auto"/>
            <w:noWrap/>
            <w:vAlign w:val="center"/>
            <w:hideMark/>
          </w:tcPr>
          <w:p w14:paraId="5ADA4614" w14:textId="29B9749C" w:rsidR="008920F2" w:rsidRPr="00BB1D32" w:rsidRDefault="00FF072C" w:rsidP="00FF072C">
            <w:pPr>
              <w:spacing w:after="0" w:line="240" w:lineRule="auto"/>
              <w:jc w:val="center"/>
              <w:rPr>
                <w:sz w:val="20"/>
                <w:szCs w:val="20"/>
                <w:lang w:eastAsia="sk-SK"/>
              </w:rPr>
            </w:pPr>
            <w:r w:rsidRPr="00BB1D32">
              <w:rPr>
                <w:sz w:val="20"/>
                <w:szCs w:val="20"/>
                <w:lang w:eastAsia="sk-SK"/>
              </w:rPr>
              <w:t>-</w:t>
            </w:r>
            <w:r w:rsidR="008920F2" w:rsidRPr="00BB1D32">
              <w:rPr>
                <w:sz w:val="20"/>
                <w:szCs w:val="20"/>
                <w:lang w:eastAsia="sk-SK"/>
              </w:rPr>
              <w:t>0,00</w:t>
            </w:r>
            <w:r w:rsidRPr="00BB1D32">
              <w:rPr>
                <w:sz w:val="20"/>
                <w:szCs w:val="20"/>
                <w:lang w:eastAsia="sk-SK"/>
              </w:rPr>
              <w:t>1</w:t>
            </w:r>
          </w:p>
        </w:tc>
        <w:tc>
          <w:tcPr>
            <w:tcW w:w="2185" w:type="pct"/>
            <w:tcBorders>
              <w:top w:val="nil"/>
              <w:left w:val="nil"/>
              <w:bottom w:val="nil"/>
              <w:right w:val="nil"/>
            </w:tcBorders>
            <w:shd w:val="clear" w:color="auto" w:fill="auto"/>
            <w:vAlign w:val="center"/>
            <w:hideMark/>
          </w:tcPr>
          <w:p w14:paraId="02BF4EAD" w14:textId="2C0AEDA0" w:rsidR="008920F2" w:rsidRPr="00BB1D32" w:rsidRDefault="008920F2" w:rsidP="00FF072C">
            <w:pPr>
              <w:spacing w:after="0" w:line="240" w:lineRule="auto"/>
              <w:jc w:val="both"/>
              <w:rPr>
                <w:sz w:val="20"/>
                <w:szCs w:val="20"/>
                <w:lang w:eastAsia="sk-SK"/>
              </w:rPr>
            </w:pPr>
            <w:r w:rsidRPr="00BB1D32">
              <w:rPr>
                <w:sz w:val="20"/>
                <w:szCs w:val="20"/>
                <w:lang w:eastAsia="sk-SK"/>
              </w:rPr>
              <w:t xml:space="preserve">Aktualizácia na základe </w:t>
            </w:r>
            <w:r w:rsidR="00FF072C" w:rsidRPr="00BB1D32">
              <w:rPr>
                <w:sz w:val="20"/>
                <w:szCs w:val="20"/>
                <w:lang w:eastAsia="sk-SK"/>
              </w:rPr>
              <w:t>definitívnych</w:t>
            </w:r>
            <w:r w:rsidR="000B41DB" w:rsidRPr="00BB1D32">
              <w:rPr>
                <w:sz w:val="20"/>
                <w:szCs w:val="20"/>
                <w:lang w:eastAsia="sk-SK"/>
              </w:rPr>
              <w:t xml:space="preserve"> finančných</w:t>
            </w:r>
            <w:r w:rsidR="00FF072C" w:rsidRPr="00BB1D32">
              <w:rPr>
                <w:sz w:val="20"/>
                <w:szCs w:val="20"/>
                <w:lang w:eastAsia="sk-SK"/>
              </w:rPr>
              <w:t xml:space="preserve"> a účtovných</w:t>
            </w:r>
            <w:r w:rsidR="000B41DB" w:rsidRPr="00BB1D32">
              <w:rPr>
                <w:sz w:val="20"/>
                <w:szCs w:val="20"/>
                <w:lang w:eastAsia="sk-SK"/>
              </w:rPr>
              <w:t xml:space="preserve"> výkazov</w:t>
            </w:r>
            <w:r w:rsidRPr="00BB1D32">
              <w:rPr>
                <w:sz w:val="20"/>
                <w:szCs w:val="20"/>
                <w:lang w:eastAsia="sk-SK"/>
              </w:rPr>
              <w:t>.</w:t>
            </w:r>
          </w:p>
        </w:tc>
      </w:tr>
      <w:tr w:rsidR="00532F9F" w:rsidRPr="00A83726" w14:paraId="2F79AA81" w14:textId="77777777" w:rsidTr="00FC747C">
        <w:trPr>
          <w:trHeight w:val="260"/>
        </w:trPr>
        <w:tc>
          <w:tcPr>
            <w:tcW w:w="1680" w:type="pct"/>
            <w:tcBorders>
              <w:top w:val="single" w:sz="4" w:space="0" w:color="auto"/>
              <w:left w:val="nil"/>
              <w:bottom w:val="nil"/>
              <w:right w:val="nil"/>
            </w:tcBorders>
            <w:shd w:val="clear" w:color="auto" w:fill="auto"/>
            <w:noWrap/>
            <w:vAlign w:val="bottom"/>
            <w:hideMark/>
          </w:tcPr>
          <w:p w14:paraId="036326FA" w14:textId="77777777" w:rsidR="00532F9F" w:rsidRPr="00A83726" w:rsidRDefault="00532F9F" w:rsidP="00532F9F">
            <w:pPr>
              <w:spacing w:after="0" w:line="240" w:lineRule="auto"/>
              <w:rPr>
                <w:b/>
                <w:bCs/>
                <w:color w:val="000000"/>
                <w:sz w:val="20"/>
                <w:szCs w:val="20"/>
                <w:lang w:eastAsia="sk-SK"/>
              </w:rPr>
            </w:pPr>
            <w:r w:rsidRPr="00A83726">
              <w:rPr>
                <w:b/>
                <w:bCs/>
                <w:color w:val="000000"/>
                <w:sz w:val="20"/>
                <w:szCs w:val="20"/>
                <w:lang w:eastAsia="sk-SK"/>
              </w:rPr>
              <w:t>Zmena celkom</w:t>
            </w:r>
          </w:p>
        </w:tc>
        <w:tc>
          <w:tcPr>
            <w:tcW w:w="784" w:type="pct"/>
            <w:tcBorders>
              <w:top w:val="single" w:sz="4" w:space="0" w:color="auto"/>
              <w:left w:val="nil"/>
              <w:bottom w:val="single" w:sz="4" w:space="0" w:color="auto"/>
              <w:right w:val="nil"/>
            </w:tcBorders>
            <w:shd w:val="clear" w:color="auto" w:fill="auto"/>
            <w:noWrap/>
            <w:vAlign w:val="center"/>
            <w:hideMark/>
          </w:tcPr>
          <w:p w14:paraId="0DDAE891" w14:textId="7C873AA0" w:rsidR="00532F9F" w:rsidRPr="00A83726" w:rsidRDefault="00532F9F" w:rsidP="00532F9F">
            <w:pPr>
              <w:spacing w:after="0" w:line="240" w:lineRule="auto"/>
              <w:jc w:val="right"/>
              <w:rPr>
                <w:b/>
                <w:bCs/>
                <w:sz w:val="20"/>
                <w:szCs w:val="20"/>
                <w:lang w:eastAsia="sk-SK"/>
              </w:rPr>
            </w:pPr>
            <w:r w:rsidRPr="00A83726">
              <w:rPr>
                <w:b/>
                <w:bCs/>
                <w:sz w:val="20"/>
                <w:szCs w:val="20"/>
                <w:lang w:eastAsia="sk-SK"/>
              </w:rPr>
              <w:t xml:space="preserve">67 </w:t>
            </w:r>
            <w:r>
              <w:rPr>
                <w:b/>
                <w:bCs/>
                <w:sz w:val="20"/>
                <w:szCs w:val="20"/>
                <w:lang w:eastAsia="sk-SK"/>
              </w:rPr>
              <w:t>413</w:t>
            </w:r>
          </w:p>
        </w:tc>
        <w:tc>
          <w:tcPr>
            <w:tcW w:w="351" w:type="pct"/>
            <w:tcBorders>
              <w:top w:val="single" w:sz="4" w:space="0" w:color="auto"/>
              <w:left w:val="nil"/>
              <w:bottom w:val="single" w:sz="4" w:space="0" w:color="auto"/>
              <w:right w:val="nil"/>
            </w:tcBorders>
            <w:shd w:val="clear" w:color="auto" w:fill="auto"/>
            <w:noWrap/>
            <w:vAlign w:val="center"/>
            <w:hideMark/>
          </w:tcPr>
          <w:p w14:paraId="2218A871" w14:textId="3B4E7210" w:rsidR="00532F9F" w:rsidRPr="00A83726" w:rsidRDefault="00532F9F" w:rsidP="00BB1D32">
            <w:pPr>
              <w:spacing w:after="0" w:line="240" w:lineRule="auto"/>
              <w:jc w:val="center"/>
              <w:rPr>
                <w:b/>
                <w:bCs/>
                <w:sz w:val="20"/>
                <w:szCs w:val="20"/>
                <w:lang w:eastAsia="sk-SK"/>
              </w:rPr>
            </w:pPr>
          </w:p>
        </w:tc>
        <w:tc>
          <w:tcPr>
            <w:tcW w:w="2185" w:type="pct"/>
            <w:tcBorders>
              <w:top w:val="single" w:sz="4" w:space="0" w:color="auto"/>
              <w:left w:val="nil"/>
              <w:bottom w:val="single" w:sz="4" w:space="0" w:color="auto"/>
              <w:right w:val="nil"/>
            </w:tcBorders>
            <w:shd w:val="clear" w:color="auto" w:fill="auto"/>
            <w:vAlign w:val="center"/>
            <w:hideMark/>
          </w:tcPr>
          <w:p w14:paraId="2702BF82" w14:textId="77777777" w:rsidR="00532F9F" w:rsidRPr="00A83726" w:rsidRDefault="00532F9F" w:rsidP="00532F9F">
            <w:pPr>
              <w:spacing w:after="0" w:line="240" w:lineRule="auto"/>
              <w:rPr>
                <w:sz w:val="20"/>
                <w:szCs w:val="20"/>
                <w:lang w:eastAsia="sk-SK"/>
              </w:rPr>
            </w:pPr>
            <w:r w:rsidRPr="00A83726">
              <w:rPr>
                <w:sz w:val="20"/>
                <w:szCs w:val="20"/>
                <w:lang w:eastAsia="sk-SK"/>
              </w:rPr>
              <w:t> </w:t>
            </w:r>
          </w:p>
        </w:tc>
      </w:tr>
      <w:tr w:rsidR="00532F9F" w:rsidRPr="00A83726" w14:paraId="70788AAD" w14:textId="77777777" w:rsidTr="00FC747C">
        <w:trPr>
          <w:trHeight w:val="260"/>
        </w:trPr>
        <w:tc>
          <w:tcPr>
            <w:tcW w:w="1680" w:type="pct"/>
            <w:tcBorders>
              <w:top w:val="single" w:sz="4" w:space="0" w:color="auto"/>
              <w:left w:val="nil"/>
              <w:bottom w:val="single" w:sz="4" w:space="0" w:color="auto"/>
              <w:right w:val="nil"/>
            </w:tcBorders>
            <w:shd w:val="clear" w:color="auto" w:fill="auto"/>
            <w:vAlign w:val="center"/>
            <w:hideMark/>
          </w:tcPr>
          <w:p w14:paraId="698EED41" w14:textId="77777777" w:rsidR="00532F9F" w:rsidRPr="00A83726" w:rsidRDefault="00532F9F" w:rsidP="00532F9F">
            <w:pPr>
              <w:spacing w:after="0" w:line="240" w:lineRule="auto"/>
              <w:rPr>
                <w:b/>
                <w:bCs/>
                <w:sz w:val="20"/>
                <w:szCs w:val="20"/>
                <w:lang w:eastAsia="sk-SK"/>
              </w:rPr>
            </w:pPr>
            <w:r w:rsidRPr="00A83726">
              <w:rPr>
                <w:b/>
                <w:bCs/>
                <w:sz w:val="20"/>
                <w:szCs w:val="20"/>
                <w:lang w:eastAsia="sk-SK"/>
              </w:rPr>
              <w:t>Maastrichtský dlh  VS - október 2024</w:t>
            </w:r>
          </w:p>
        </w:tc>
        <w:tc>
          <w:tcPr>
            <w:tcW w:w="784" w:type="pct"/>
            <w:tcBorders>
              <w:top w:val="nil"/>
              <w:left w:val="nil"/>
              <w:bottom w:val="single" w:sz="4" w:space="0" w:color="auto"/>
              <w:right w:val="nil"/>
            </w:tcBorders>
            <w:shd w:val="clear" w:color="auto" w:fill="auto"/>
            <w:noWrap/>
            <w:vAlign w:val="center"/>
            <w:hideMark/>
          </w:tcPr>
          <w:p w14:paraId="2B30C103" w14:textId="77777777" w:rsidR="00532F9F" w:rsidRPr="00A83726" w:rsidRDefault="00532F9F" w:rsidP="00532F9F">
            <w:pPr>
              <w:spacing w:after="0" w:line="240" w:lineRule="auto"/>
              <w:jc w:val="right"/>
              <w:rPr>
                <w:b/>
                <w:bCs/>
                <w:sz w:val="20"/>
                <w:szCs w:val="20"/>
                <w:lang w:eastAsia="sk-SK"/>
              </w:rPr>
            </w:pPr>
            <w:r w:rsidRPr="00A83726">
              <w:rPr>
                <w:b/>
                <w:bCs/>
                <w:sz w:val="20"/>
                <w:szCs w:val="20"/>
                <w:lang w:eastAsia="sk-SK"/>
              </w:rPr>
              <w:t>68 897 804</w:t>
            </w:r>
          </w:p>
        </w:tc>
        <w:tc>
          <w:tcPr>
            <w:tcW w:w="351" w:type="pct"/>
            <w:tcBorders>
              <w:top w:val="nil"/>
              <w:left w:val="nil"/>
              <w:bottom w:val="single" w:sz="4" w:space="0" w:color="auto"/>
              <w:right w:val="nil"/>
            </w:tcBorders>
            <w:shd w:val="clear" w:color="auto" w:fill="auto"/>
            <w:vAlign w:val="center"/>
            <w:hideMark/>
          </w:tcPr>
          <w:p w14:paraId="0869673C" w14:textId="77777777" w:rsidR="00532F9F" w:rsidRPr="00A83726" w:rsidRDefault="00532F9F" w:rsidP="00532F9F">
            <w:pPr>
              <w:spacing w:after="0" w:line="240" w:lineRule="auto"/>
              <w:jc w:val="center"/>
              <w:rPr>
                <w:b/>
                <w:bCs/>
                <w:sz w:val="20"/>
                <w:szCs w:val="20"/>
                <w:lang w:eastAsia="sk-SK"/>
              </w:rPr>
            </w:pPr>
            <w:r w:rsidRPr="00A83726">
              <w:rPr>
                <w:b/>
                <w:bCs/>
                <w:sz w:val="20"/>
                <w:szCs w:val="20"/>
                <w:lang w:eastAsia="sk-SK"/>
              </w:rPr>
              <w:t>56,1</w:t>
            </w:r>
          </w:p>
        </w:tc>
        <w:tc>
          <w:tcPr>
            <w:tcW w:w="2185" w:type="pct"/>
            <w:tcBorders>
              <w:top w:val="nil"/>
              <w:left w:val="nil"/>
              <w:bottom w:val="single" w:sz="4" w:space="0" w:color="auto"/>
              <w:right w:val="nil"/>
            </w:tcBorders>
            <w:shd w:val="clear" w:color="auto" w:fill="auto"/>
            <w:noWrap/>
            <w:vAlign w:val="center"/>
            <w:hideMark/>
          </w:tcPr>
          <w:p w14:paraId="4EAA25CA" w14:textId="77777777" w:rsidR="00532F9F" w:rsidRPr="00A83726" w:rsidRDefault="00532F9F" w:rsidP="00532F9F">
            <w:pPr>
              <w:spacing w:after="0" w:line="240" w:lineRule="auto"/>
              <w:jc w:val="center"/>
              <w:rPr>
                <w:b/>
                <w:bCs/>
                <w:sz w:val="20"/>
                <w:szCs w:val="20"/>
                <w:lang w:eastAsia="sk-SK"/>
              </w:rPr>
            </w:pPr>
            <w:r w:rsidRPr="00A83726">
              <w:rPr>
                <w:b/>
                <w:bCs/>
                <w:sz w:val="20"/>
                <w:szCs w:val="20"/>
                <w:lang w:eastAsia="sk-SK"/>
              </w:rPr>
              <w:t> </w:t>
            </w:r>
          </w:p>
        </w:tc>
      </w:tr>
    </w:tbl>
    <w:p w14:paraId="2CF2050E" w14:textId="39B829DE" w:rsidR="00DC0F15" w:rsidRPr="00DC0F15" w:rsidRDefault="00DC0F15" w:rsidP="00DC0F15">
      <w:pPr>
        <w:widowControl w:val="0"/>
        <w:spacing w:after="0" w:line="240" w:lineRule="auto"/>
        <w:jc w:val="both"/>
        <w:rPr>
          <w:sz w:val="16"/>
          <w:szCs w:val="16"/>
          <w:lang w:eastAsia="sk-SK"/>
        </w:rPr>
      </w:pPr>
      <w:r w:rsidRPr="00DC0F15">
        <w:fldChar w:fldCharType="begin"/>
      </w:r>
      <w:r w:rsidRPr="00DC0F15">
        <w:instrText xml:space="preserve"> LINK Excel.Sheet.8 "\\\\mf.mfsr.sk\\DfsRoot\\ADRESARE\\OISS_313\\STATVERFIN\\SZU\\2021\\SVS\\SVS 2021_Tab schodku_19.9.2022.xls" "Úpravy schodku 2020 !R14C2" \a \f 4 \h  \* MERGEFORMAT </w:instrText>
      </w:r>
      <w:r w:rsidRPr="00DC0F15">
        <w:fldChar w:fldCharType="separate"/>
      </w:r>
      <w:r w:rsidR="00532F9F" w:rsidRPr="00EB7CBB">
        <w:rPr>
          <w:sz w:val="16"/>
          <w:szCs w:val="16"/>
          <w:vertAlign w:val="superscript"/>
          <w:lang w:eastAsia="sk-SK"/>
        </w:rPr>
        <w:t>1)</w:t>
      </w:r>
      <w:r w:rsidR="00532F9F">
        <w:rPr>
          <w:sz w:val="16"/>
          <w:szCs w:val="16"/>
          <w:lang w:eastAsia="sk-SK"/>
        </w:rPr>
        <w:t> </w:t>
      </w:r>
      <w:r w:rsidR="00532F9F" w:rsidRPr="00EB7CBB">
        <w:rPr>
          <w:sz w:val="16"/>
          <w:szCs w:val="16"/>
          <w:lang w:eastAsia="sk-SK"/>
        </w:rPr>
        <w:t>Percento</w:t>
      </w:r>
      <w:r w:rsidR="00532F9F">
        <w:rPr>
          <w:sz w:val="16"/>
          <w:szCs w:val="16"/>
          <w:lang w:eastAsia="sk-SK"/>
        </w:rPr>
        <w:t xml:space="preserve"> dlhu</w:t>
      </w:r>
      <w:r w:rsidRPr="00DC0F15">
        <w:rPr>
          <w:sz w:val="16"/>
          <w:szCs w:val="16"/>
          <w:lang w:eastAsia="sk-SK"/>
        </w:rPr>
        <w:t xml:space="preserve"> z aprílovej notifikácie je vyčíslené v pomere k</w:t>
      </w:r>
      <w:r w:rsidR="002D1E17">
        <w:rPr>
          <w:sz w:val="16"/>
          <w:szCs w:val="16"/>
          <w:lang w:eastAsia="sk-SK"/>
        </w:rPr>
        <w:t> HDP notifikovanom v apríli 2024</w:t>
      </w:r>
      <w:r w:rsidRPr="00DC0F15">
        <w:rPr>
          <w:sz w:val="16"/>
          <w:szCs w:val="16"/>
          <w:lang w:eastAsia="sk-SK"/>
        </w:rPr>
        <w:t xml:space="preserve">. </w:t>
      </w:r>
      <w:r w:rsidRPr="00DC0F15">
        <w:rPr>
          <w:sz w:val="16"/>
          <w:szCs w:val="16"/>
          <w:lang w:eastAsia="sk-SK"/>
        </w:rPr>
        <w:tab/>
      </w:r>
      <w:r w:rsidRPr="00DC0F15">
        <w:rPr>
          <w:sz w:val="16"/>
          <w:szCs w:val="16"/>
          <w:lang w:eastAsia="sk-SK"/>
        </w:rPr>
        <w:tab/>
        <w:t xml:space="preserve">      </w:t>
      </w:r>
      <w:r w:rsidR="003009A6">
        <w:rPr>
          <w:sz w:val="16"/>
          <w:szCs w:val="16"/>
          <w:lang w:eastAsia="sk-SK"/>
        </w:rPr>
        <w:t xml:space="preserve">                  </w:t>
      </w:r>
      <w:r w:rsidRPr="00DC0F15">
        <w:rPr>
          <w:sz w:val="16"/>
          <w:szCs w:val="16"/>
          <w:lang w:eastAsia="sk-SK"/>
        </w:rPr>
        <w:t xml:space="preserve">         Zdroj: MF SR</w:t>
      </w:r>
    </w:p>
    <w:p w14:paraId="5BB8A414" w14:textId="7C90B5B6" w:rsidR="00DC0F15" w:rsidRPr="00DC0F15" w:rsidRDefault="00DC0F15" w:rsidP="00EB54C1">
      <w:pPr>
        <w:widowControl w:val="0"/>
        <w:spacing w:after="120" w:line="240" w:lineRule="auto"/>
        <w:jc w:val="both"/>
        <w:rPr>
          <w:rFonts w:ascii="Arial Narrow" w:hAnsi="Arial Narrow" w:cs="Arial Narrow"/>
          <w:szCs w:val="22"/>
        </w:rPr>
      </w:pPr>
      <w:r w:rsidRPr="00DC0F15">
        <w:rPr>
          <w:sz w:val="16"/>
          <w:szCs w:val="16"/>
          <w:lang w:eastAsia="sk-SK"/>
        </w:rPr>
        <w:t xml:space="preserve">    Ostatné percentá sa vyčíslujú v pomere k </w:t>
      </w:r>
      <w:r w:rsidR="002D1E17">
        <w:rPr>
          <w:sz w:val="16"/>
          <w:szCs w:val="16"/>
          <w:lang w:eastAsia="sk-SK"/>
        </w:rPr>
        <w:t>HDP notifikovanom v októbri 2024</w:t>
      </w:r>
      <w:r w:rsidR="00544797">
        <w:rPr>
          <w:sz w:val="16"/>
          <w:szCs w:val="16"/>
          <w:lang w:eastAsia="sk-SK"/>
        </w:rPr>
        <w:t>.</w:t>
      </w:r>
    </w:p>
    <w:p w14:paraId="50C86FD9" w14:textId="77777777" w:rsidR="002D19D1" w:rsidRDefault="00DC0F15" w:rsidP="007018F7">
      <w:pPr>
        <w:pStyle w:val="Obyajntext"/>
        <w:spacing w:after="120"/>
        <w:jc w:val="both"/>
      </w:pPr>
      <w:r w:rsidRPr="00DC0F15">
        <w:fldChar w:fldCharType="end"/>
      </w:r>
    </w:p>
    <w:p w14:paraId="5F8A4D22" w14:textId="4543B01F" w:rsidR="007018F7" w:rsidRPr="0001193D" w:rsidRDefault="007018F7" w:rsidP="007018F7">
      <w:pPr>
        <w:pStyle w:val="Obyajntext"/>
        <w:spacing w:after="120"/>
        <w:jc w:val="both"/>
        <w:rPr>
          <w:color w:val="548DD4" w:themeColor="text2" w:themeTint="99"/>
        </w:rPr>
      </w:pPr>
      <w:r w:rsidRPr="0001193D">
        <w:rPr>
          <w:b/>
          <w:color w:val="548DD4" w:themeColor="text2" w:themeTint="99"/>
          <w:sz w:val="24"/>
          <w:szCs w:val="24"/>
        </w:rPr>
        <w:t>Metodické zmeny výpočtu dlhu verejnej správy pri jesennej notifikácii</w:t>
      </w:r>
    </w:p>
    <w:p w14:paraId="57BDF142" w14:textId="4114395C" w:rsidR="007018F7" w:rsidRPr="00A20EE9" w:rsidRDefault="007018F7" w:rsidP="007018F7">
      <w:pPr>
        <w:pStyle w:val="Odsekzoznamu"/>
        <w:numPr>
          <w:ilvl w:val="0"/>
          <w:numId w:val="24"/>
        </w:numPr>
        <w:spacing w:before="120" w:after="120"/>
        <w:ind w:left="709" w:hanging="425"/>
        <w:contextualSpacing w:val="0"/>
        <w:jc w:val="both"/>
        <w:rPr>
          <w:b/>
        </w:rPr>
      </w:pPr>
      <w:r w:rsidRPr="00A20EE9">
        <w:rPr>
          <w:b/>
        </w:rPr>
        <w:t xml:space="preserve">Zvýšenie dlhu z EFSF </w:t>
      </w:r>
      <w:r w:rsidRPr="00A20EE9">
        <w:t xml:space="preserve">z dôvodu pripočítania odložených kapitalizovaných úrokov </w:t>
      </w:r>
      <w:r>
        <w:t xml:space="preserve">vo výške 132 106 tis. eur </w:t>
      </w:r>
      <w:r w:rsidRPr="00A20EE9">
        <w:t>k sume istiny</w:t>
      </w:r>
      <w:r w:rsidR="006E79C0">
        <w:t xml:space="preserve"> pripadajúcej na SR</w:t>
      </w:r>
      <w:r w:rsidRPr="00A20EE9">
        <w:t>. Z dôvodu veľkého nes</w:t>
      </w:r>
      <w:r w:rsidR="00D71FFB">
        <w:t>úladu medzi akruálnymi úrokmi a </w:t>
      </w:r>
      <w:r w:rsidRPr="00A20EE9">
        <w:t xml:space="preserve">úrokmi uhrádzanými zo strany prijímateľských krajín bolo na pracovnej skupine </w:t>
      </w:r>
      <w:r w:rsidR="00E322D9">
        <w:t xml:space="preserve">(European Data Protection Supervision Working Group) </w:t>
      </w:r>
      <w:r w:rsidRPr="00A20EE9">
        <w:t xml:space="preserve">v </w:t>
      </w:r>
      <w:r w:rsidR="00627A8D">
        <w:t>júni 2024 prijaté rozhodnutie o </w:t>
      </w:r>
      <w:r w:rsidRPr="00A20EE9">
        <w:t>zmene metodiky vykazovania dlhu vyplývajúceho z EFSF. Na základe</w:t>
      </w:r>
      <w:r w:rsidR="00465195">
        <w:t xml:space="preserve"> následných záverov</w:t>
      </w:r>
      <w:r w:rsidRPr="00A20EE9">
        <w:t xml:space="preserve"> </w:t>
      </w:r>
      <w:r w:rsidR="00465195">
        <w:t>a metodického usmernen</w:t>
      </w:r>
      <w:r w:rsidR="004F493E">
        <w:t>ia</w:t>
      </w:r>
      <w:r w:rsidR="004F493E">
        <w:rPr>
          <w:rStyle w:val="Odkaznapoznmkupodiarou"/>
        </w:rPr>
        <w:footnoteReference w:id="7"/>
      </w:r>
      <w:r w:rsidR="004F493E">
        <w:t xml:space="preserve"> o štatistickom zaznamenaní odložených úrokov z pôžičiek EFSF poskytnutých Grécku </w:t>
      </w:r>
      <w:r w:rsidRPr="00A20EE9">
        <w:t xml:space="preserve">bol dlh </w:t>
      </w:r>
      <w:r w:rsidR="00465195">
        <w:t xml:space="preserve">členských krajín </w:t>
      </w:r>
      <w:r w:rsidRPr="00A20EE9">
        <w:t xml:space="preserve">z EFSF zvýšený </w:t>
      </w:r>
      <w:r w:rsidR="00042D3D">
        <w:t>v intenciách tohto usmernenia.</w:t>
      </w:r>
      <w:r>
        <w:t xml:space="preserve"> Táto metodická </w:t>
      </w:r>
      <w:r>
        <w:lastRenderedPageBreak/>
        <w:t xml:space="preserve">zmena mala vplyv na výšku štátneho dlhu </w:t>
      </w:r>
      <w:r w:rsidRPr="00A20EE9">
        <w:t>v</w:t>
      </w:r>
      <w:r w:rsidR="00042D3D">
        <w:t> </w:t>
      </w:r>
      <w:r w:rsidRPr="00A20EE9">
        <w:t>celom</w:t>
      </w:r>
      <w:r>
        <w:t xml:space="preserve"> časovom rade počnúc rokom 2012</w:t>
      </w:r>
      <w:r w:rsidRPr="00A20EE9">
        <w:t>.</w:t>
      </w:r>
      <w:r w:rsidR="006E79C0">
        <w:t xml:space="preserve"> Vplyv na</w:t>
      </w:r>
      <w:r w:rsidR="0003723C">
        <w:t> </w:t>
      </w:r>
      <w:r w:rsidR="006E79C0">
        <w:t>saldo bud</w:t>
      </w:r>
      <w:r w:rsidR="00F462DC">
        <w:t>ú</w:t>
      </w:r>
      <w:r w:rsidR="006E79C0">
        <w:t xml:space="preserve"> členské krajiny zaznamenávať v rámci jarnej notifikácie výsledkov za</w:t>
      </w:r>
      <w:r w:rsidR="00627A8D">
        <w:t> </w:t>
      </w:r>
      <w:r w:rsidR="006E79C0">
        <w:t>rok 2024.</w:t>
      </w:r>
    </w:p>
    <w:p w14:paraId="2CDD5E00" w14:textId="4A167104" w:rsidR="007018F7" w:rsidRPr="00A521A9" w:rsidRDefault="007018F7" w:rsidP="007018F7">
      <w:pPr>
        <w:pStyle w:val="Odsekzoznamu"/>
        <w:numPr>
          <w:ilvl w:val="0"/>
          <w:numId w:val="24"/>
        </w:numPr>
        <w:spacing w:before="120" w:after="120"/>
        <w:ind w:left="709" w:hanging="425"/>
        <w:contextualSpacing w:val="0"/>
        <w:jc w:val="both"/>
      </w:pPr>
      <w:r w:rsidRPr="00A521A9">
        <w:rPr>
          <w:b/>
        </w:rPr>
        <w:t>Preradenie SZRB</w:t>
      </w:r>
      <w:r>
        <w:t xml:space="preserve"> do </w:t>
      </w:r>
      <w:r w:rsidRPr="00A521A9">
        <w:t>sektora verejnej správ</w:t>
      </w:r>
      <w:r>
        <w:t>y. Dlh SZRB vo výške 241 768 tis. </w:t>
      </w:r>
      <w:r w:rsidRPr="00A521A9">
        <w:t xml:space="preserve">eur </w:t>
      </w:r>
      <w:r>
        <w:t>negatívne</w:t>
      </w:r>
      <w:r w:rsidRPr="00A521A9">
        <w:t xml:space="preserve"> </w:t>
      </w:r>
      <w:r>
        <w:t>ovplyvnil</w:t>
      </w:r>
      <w:r w:rsidRPr="00A521A9">
        <w:t xml:space="preserve"> výšku </w:t>
      </w:r>
      <w:r>
        <w:t>dlhu</w:t>
      </w:r>
      <w:r w:rsidRPr="00A521A9">
        <w:t xml:space="preserve"> verejnej správy. </w:t>
      </w:r>
      <w:r>
        <w:t xml:space="preserve">Avšak vzhľadom na </w:t>
      </w:r>
      <w:r w:rsidR="00DF0248">
        <w:t xml:space="preserve">existenciu pôžičiek subjektom verejnej správy a naopak, existenciu vkladov iných subjektov verejnej správy v SZRB, tieto položky podliehajú konsolidácii v rámci celej verejnej správy </w:t>
      </w:r>
      <w:r>
        <w:t>(v</w:t>
      </w:r>
      <w:r w:rsidR="0003723C">
        <w:t> </w:t>
      </w:r>
      <w:r>
        <w:t>sumárnej výške 316 322 tis. eur)</w:t>
      </w:r>
      <w:r w:rsidR="00DF0248">
        <w:t>.</w:t>
      </w:r>
      <w:r>
        <w:t xml:space="preserve"> </w:t>
      </w:r>
      <w:r w:rsidR="00DF0248">
        <w:t>V</w:t>
      </w:r>
      <w:r>
        <w:t>ýsledný vplyv</w:t>
      </w:r>
      <w:r w:rsidR="00CD44AB">
        <w:t xml:space="preserve"> </w:t>
      </w:r>
      <w:r>
        <w:t>zaradenia SZRB</w:t>
      </w:r>
      <w:r w:rsidR="00DF0248">
        <w:t xml:space="preserve"> </w:t>
      </w:r>
      <w:r>
        <w:t>do</w:t>
      </w:r>
      <w:r w:rsidR="00627A8D">
        <w:t> </w:t>
      </w:r>
      <w:r>
        <w:t xml:space="preserve">sektora </w:t>
      </w:r>
      <w:r w:rsidR="00DF0248">
        <w:t xml:space="preserve">na dlh VS </w:t>
      </w:r>
      <w:r>
        <w:t xml:space="preserve">je </w:t>
      </w:r>
      <w:r w:rsidR="00DF0248">
        <w:t xml:space="preserve">preto </w:t>
      </w:r>
      <w:r>
        <w:t>pozitívny</w:t>
      </w:r>
      <w:r w:rsidR="00CD44AB">
        <w:t xml:space="preserve"> (pokles dlhu),</w:t>
      </w:r>
      <w:r w:rsidR="00DF0248">
        <w:t xml:space="preserve"> v</w:t>
      </w:r>
      <w:r w:rsidR="00053376">
        <w:t> </w:t>
      </w:r>
      <w:r w:rsidR="00DF0248">
        <w:t>hodnote</w:t>
      </w:r>
      <w:r>
        <w:t> 74 554 tis. eur.</w:t>
      </w:r>
    </w:p>
    <w:p w14:paraId="436BE47E" w14:textId="77777777" w:rsidR="007018F7" w:rsidRPr="0001193D" w:rsidRDefault="007018F7" w:rsidP="007018F7">
      <w:pPr>
        <w:spacing w:after="120" w:line="240" w:lineRule="auto"/>
        <w:jc w:val="both"/>
        <w:rPr>
          <w:b/>
          <w:color w:val="548DD4" w:themeColor="text2" w:themeTint="99"/>
          <w:sz w:val="24"/>
          <w:szCs w:val="24"/>
        </w:rPr>
      </w:pPr>
      <w:r w:rsidRPr="0001193D">
        <w:rPr>
          <w:b/>
          <w:color w:val="548DD4" w:themeColor="text2" w:themeTint="99"/>
          <w:sz w:val="24"/>
          <w:szCs w:val="24"/>
        </w:rPr>
        <w:t>Aktualizácie dlhu verejnej správy pri jesennej notifikácii</w:t>
      </w:r>
    </w:p>
    <w:p w14:paraId="1D297BFC" w14:textId="5E55263C" w:rsidR="007018F7" w:rsidRPr="008542DC" w:rsidRDefault="007018F7" w:rsidP="007018F7">
      <w:pPr>
        <w:pStyle w:val="Odsekzoznamu"/>
        <w:numPr>
          <w:ilvl w:val="0"/>
          <w:numId w:val="24"/>
        </w:numPr>
        <w:spacing w:before="120" w:after="120"/>
        <w:ind w:left="709" w:hanging="425"/>
        <w:contextualSpacing w:val="0"/>
        <w:jc w:val="both"/>
        <w:rPr>
          <w:rFonts w:cs="Times New Roman"/>
        </w:rPr>
      </w:pPr>
      <w:r w:rsidRPr="008542DC">
        <w:rPr>
          <w:b/>
        </w:rPr>
        <w:t>Aktualizácia údajov za obce a ich rozpočtové organizácie</w:t>
      </w:r>
      <w:r w:rsidR="00A94716">
        <w:rPr>
          <w:b/>
        </w:rPr>
        <w:t xml:space="preserve"> </w:t>
      </w:r>
      <w:r w:rsidR="00A94716" w:rsidRPr="0048253F">
        <w:rPr>
          <w:bCs/>
        </w:rPr>
        <w:t>(RO)</w:t>
      </w:r>
      <w:r w:rsidRPr="00847AF7">
        <w:rPr>
          <w:bCs/>
        </w:rPr>
        <w:t>.</w:t>
      </w:r>
      <w:r>
        <w:t xml:space="preserve"> </w:t>
      </w:r>
      <w:r w:rsidRPr="008542DC">
        <w:t>Na základe informácií o poskytnutých pôžičkách z</w:t>
      </w:r>
      <w:r w:rsidR="00010514">
        <w:t> </w:t>
      </w:r>
      <w:r w:rsidRPr="008542DC">
        <w:t>N</w:t>
      </w:r>
      <w:r w:rsidR="00010514">
        <w:t xml:space="preserve">ational </w:t>
      </w:r>
      <w:r w:rsidRPr="008542DC">
        <w:t>D</w:t>
      </w:r>
      <w:r w:rsidR="00010514">
        <w:t xml:space="preserve">evelopment </w:t>
      </w:r>
      <w:r w:rsidRPr="008542DC">
        <w:t>F</w:t>
      </w:r>
      <w:r w:rsidR="00010514">
        <w:t>und</w:t>
      </w:r>
      <w:r w:rsidRPr="008542DC">
        <w:t xml:space="preserve"> II.</w:t>
      </w:r>
      <w:r w:rsidR="00010514">
        <w:t>, a. s. (NDF II)</w:t>
      </w:r>
      <w:r w:rsidRPr="008542DC">
        <w:t xml:space="preserve"> bola skonsolidovaná pôžička </w:t>
      </w:r>
      <w:r w:rsidR="001119F3">
        <w:t>M</w:t>
      </w:r>
      <w:r w:rsidRPr="008542DC">
        <w:t>agistrátu hlavného mesta Bratislava vo výške 13 300 tis. eur, ktorá bola v</w:t>
      </w:r>
      <w:r w:rsidR="00847AF7">
        <w:t>o</w:t>
      </w:r>
      <w:r w:rsidRPr="008542DC">
        <w:t> výkazoch po</w:t>
      </w:r>
      <w:r w:rsidR="00847AF7">
        <w:t>u</w:t>
      </w:r>
      <w:r w:rsidRPr="008542DC">
        <w:t>žitých pri jarnej notifikácii vykázaná medzi bankovými úvermi.</w:t>
      </w:r>
    </w:p>
    <w:p w14:paraId="5B862D97" w14:textId="6B72BF85" w:rsidR="007018F7" w:rsidRPr="008542DC" w:rsidRDefault="007018F7" w:rsidP="007018F7">
      <w:pPr>
        <w:pStyle w:val="Odsekzoznamu"/>
        <w:numPr>
          <w:ilvl w:val="0"/>
          <w:numId w:val="24"/>
        </w:numPr>
        <w:spacing w:before="120" w:after="120"/>
        <w:ind w:left="709" w:hanging="425"/>
        <w:contextualSpacing w:val="0"/>
        <w:jc w:val="both"/>
        <w:rPr>
          <w:rFonts w:cs="Times New Roman"/>
        </w:rPr>
      </w:pPr>
      <w:r w:rsidRPr="008542DC">
        <w:rPr>
          <w:b/>
        </w:rPr>
        <w:t xml:space="preserve">Aktualizácia </w:t>
      </w:r>
      <w:r>
        <w:rPr>
          <w:b/>
        </w:rPr>
        <w:t>dlhu</w:t>
      </w:r>
      <w:r w:rsidRPr="008542DC">
        <w:rPr>
          <w:b/>
        </w:rPr>
        <w:t xml:space="preserve"> za ostatné malé jednotky miestne</w:t>
      </w:r>
      <w:r>
        <w:t xml:space="preserve"> na základe účtovných závierok k 31.12.2023.</w:t>
      </w:r>
    </w:p>
    <w:p w14:paraId="458FD8CA" w14:textId="1245D9FB" w:rsidR="007018F7" w:rsidRPr="008542DC" w:rsidRDefault="007018F7" w:rsidP="007018F7">
      <w:pPr>
        <w:pStyle w:val="Odsekzoznamu"/>
        <w:numPr>
          <w:ilvl w:val="0"/>
          <w:numId w:val="24"/>
        </w:numPr>
        <w:spacing w:before="120" w:after="120"/>
        <w:ind w:left="709" w:hanging="425"/>
        <w:contextualSpacing w:val="0"/>
        <w:jc w:val="both"/>
        <w:rPr>
          <w:rFonts w:cs="Times New Roman"/>
        </w:rPr>
      </w:pPr>
      <w:r w:rsidRPr="008542DC">
        <w:rPr>
          <w:b/>
        </w:rPr>
        <w:t xml:space="preserve">Aktualizácia </w:t>
      </w:r>
      <w:r>
        <w:rPr>
          <w:b/>
        </w:rPr>
        <w:t>dlhu</w:t>
      </w:r>
      <w:r w:rsidRPr="008542DC">
        <w:rPr>
          <w:b/>
        </w:rPr>
        <w:t xml:space="preserve"> za </w:t>
      </w:r>
      <w:r>
        <w:rPr>
          <w:b/>
        </w:rPr>
        <w:t>zdravotnícke zariadenia ústrednej správy</w:t>
      </w:r>
      <w:r>
        <w:t xml:space="preserve"> na základe definitívnych výkazov. Dlh sa zvýšil o záväzky po zmene veriteľa vo výške 11 327 tis. eur, ktoré boli v pôvodných výkazoch vykázané medzi záväzkami, ktoré </w:t>
      </w:r>
      <w:r w:rsidR="001119F3">
        <w:t>neovplyvňujú</w:t>
      </w:r>
      <w:r>
        <w:t xml:space="preserve"> dlh.</w:t>
      </w:r>
    </w:p>
    <w:p w14:paraId="768677D8" w14:textId="77777777" w:rsidR="00536917" w:rsidRPr="00847AF7" w:rsidRDefault="00536917" w:rsidP="002D19D1">
      <w:pPr>
        <w:pStyle w:val="Popis"/>
        <w:framePr w:wrap="around" w:x="892" w:y="906"/>
      </w:pPr>
      <w:r w:rsidRPr="00847AF7">
        <w:t xml:space="preserve">Tabuľka </w:t>
      </w:r>
      <w:r w:rsidR="001F05DE">
        <w:fldChar w:fldCharType="begin"/>
      </w:r>
      <w:r w:rsidR="001F05DE">
        <w:instrText xml:space="preserve"> SEQ Tabuľka \* ARABIC </w:instrText>
      </w:r>
      <w:r w:rsidR="001F05DE">
        <w:fldChar w:fldCharType="separate"/>
      </w:r>
      <w:r w:rsidRPr="00847AF7">
        <w:rPr>
          <w:noProof/>
        </w:rPr>
        <w:t>3</w:t>
      </w:r>
      <w:r w:rsidR="001F05DE">
        <w:rPr>
          <w:noProof/>
        </w:rPr>
        <w:fldChar w:fldCharType="end"/>
      </w:r>
      <w:r w:rsidRPr="00847AF7">
        <w:t xml:space="preserve"> - Vývoj schodku a dlhu sektora verejnej správy v období 10 rokov</w:t>
      </w:r>
    </w:p>
    <w:p w14:paraId="3A7C9C8B" w14:textId="3A8E106C" w:rsidR="007018F7" w:rsidRPr="00487006" w:rsidRDefault="007018F7" w:rsidP="00847AF7">
      <w:pPr>
        <w:pStyle w:val="Obyajntext"/>
        <w:numPr>
          <w:ilvl w:val="0"/>
          <w:numId w:val="24"/>
        </w:numPr>
        <w:spacing w:before="120"/>
        <w:ind w:left="709" w:hanging="425"/>
        <w:jc w:val="both"/>
      </w:pPr>
      <w:r w:rsidRPr="00487006">
        <w:rPr>
          <w:b/>
        </w:rPr>
        <w:t xml:space="preserve">Aktualizácia </w:t>
      </w:r>
      <w:r>
        <w:rPr>
          <w:b/>
        </w:rPr>
        <w:t>výšky dlhu na základe výkazov z tzv. 5. zberu</w:t>
      </w:r>
      <w:r w:rsidR="00B80447">
        <w:rPr>
          <w:b/>
        </w:rPr>
        <w:t xml:space="preserve"> finančných výkazov</w:t>
      </w:r>
      <w:r>
        <w:rPr>
          <w:b/>
        </w:rPr>
        <w:t xml:space="preserve">. </w:t>
      </w:r>
      <w:r>
        <w:t>Dlh spoločnosti JAVYS klesol o 433 tis. eur z dôvodu zníženia výšky záväzkov z obchodného styku a dlh MH Invest-u sa znížil o 251 tis. eur z dôvodu zníženia výšky zábezpek.</w:t>
      </w:r>
    </w:p>
    <w:tbl>
      <w:tblPr>
        <w:tblW w:w="5000" w:type="pct"/>
        <w:tblCellMar>
          <w:left w:w="70" w:type="dxa"/>
          <w:right w:w="70" w:type="dxa"/>
        </w:tblCellMar>
        <w:tblLook w:val="04A0" w:firstRow="1" w:lastRow="0" w:firstColumn="1" w:lastColumn="0" w:noHBand="0" w:noVBand="1"/>
      </w:tblPr>
      <w:tblGrid>
        <w:gridCol w:w="1430"/>
        <w:gridCol w:w="944"/>
        <w:gridCol w:w="658"/>
        <w:gridCol w:w="659"/>
        <w:gridCol w:w="659"/>
        <w:gridCol w:w="659"/>
        <w:gridCol w:w="664"/>
        <w:gridCol w:w="685"/>
        <w:gridCol w:w="659"/>
        <w:gridCol w:w="726"/>
        <w:gridCol w:w="741"/>
        <w:gridCol w:w="870"/>
      </w:tblGrid>
      <w:tr w:rsidR="00CF4FFE" w:rsidRPr="008650B0" w14:paraId="45058F6A" w14:textId="77777777" w:rsidTr="00FC747C">
        <w:trPr>
          <w:trHeight w:val="201"/>
          <w:tblHeader/>
        </w:trPr>
        <w:tc>
          <w:tcPr>
            <w:tcW w:w="765" w:type="pct"/>
            <w:vMerge w:val="restart"/>
            <w:tcBorders>
              <w:top w:val="single" w:sz="4" w:space="0" w:color="auto"/>
              <w:left w:val="nil"/>
              <w:bottom w:val="single" w:sz="4" w:space="0" w:color="000000"/>
              <w:right w:val="nil"/>
            </w:tcBorders>
            <w:shd w:val="clear" w:color="auto" w:fill="auto"/>
            <w:noWrap/>
            <w:vAlign w:val="bottom"/>
            <w:hideMark/>
          </w:tcPr>
          <w:p w14:paraId="2010FC93" w14:textId="77777777" w:rsidR="00CF4FFE" w:rsidRPr="008650B0" w:rsidRDefault="00CF4FFE" w:rsidP="00CF4FFE">
            <w:pPr>
              <w:spacing w:after="0" w:line="240" w:lineRule="auto"/>
              <w:jc w:val="center"/>
              <w:rPr>
                <w:b/>
                <w:bCs/>
                <w:color w:val="000000"/>
                <w:sz w:val="18"/>
                <w:szCs w:val="18"/>
                <w:lang w:eastAsia="sk-SK"/>
              </w:rPr>
            </w:pPr>
            <w:r w:rsidRPr="008650B0">
              <w:rPr>
                <w:b/>
                <w:bCs/>
                <w:color w:val="000000"/>
                <w:sz w:val="18"/>
                <w:szCs w:val="18"/>
                <w:lang w:eastAsia="sk-SK"/>
              </w:rPr>
              <w:t>Ukazovateľ</w:t>
            </w:r>
          </w:p>
        </w:tc>
        <w:tc>
          <w:tcPr>
            <w:tcW w:w="505" w:type="pct"/>
            <w:tcBorders>
              <w:top w:val="single" w:sz="4" w:space="0" w:color="auto"/>
              <w:left w:val="nil"/>
              <w:bottom w:val="nil"/>
              <w:right w:val="nil"/>
            </w:tcBorders>
            <w:shd w:val="clear" w:color="auto" w:fill="auto"/>
            <w:noWrap/>
            <w:vAlign w:val="bottom"/>
            <w:hideMark/>
          </w:tcPr>
          <w:p w14:paraId="46B667EC" w14:textId="77777777" w:rsidR="00CF4FFE" w:rsidRPr="008650B0" w:rsidRDefault="00CF4FFE" w:rsidP="00CF4FFE">
            <w:pPr>
              <w:spacing w:after="0" w:line="240" w:lineRule="auto"/>
              <w:rPr>
                <w:rFonts w:ascii="Calibri" w:hAnsi="Calibri"/>
                <w:color w:val="000000"/>
                <w:sz w:val="18"/>
                <w:szCs w:val="18"/>
                <w:lang w:eastAsia="sk-SK"/>
              </w:rPr>
            </w:pPr>
            <w:r w:rsidRPr="008650B0">
              <w:rPr>
                <w:rFonts w:ascii="Calibri" w:hAnsi="Calibri"/>
                <w:color w:val="000000"/>
                <w:sz w:val="18"/>
                <w:szCs w:val="18"/>
                <w:lang w:eastAsia="sk-SK"/>
              </w:rPr>
              <w:t> </w:t>
            </w:r>
          </w:p>
        </w:tc>
        <w:tc>
          <w:tcPr>
            <w:tcW w:w="3730" w:type="pct"/>
            <w:gridSpan w:val="10"/>
            <w:tcBorders>
              <w:top w:val="single" w:sz="4" w:space="0" w:color="auto"/>
              <w:left w:val="nil"/>
              <w:bottom w:val="nil"/>
              <w:right w:val="nil"/>
            </w:tcBorders>
            <w:shd w:val="clear" w:color="auto" w:fill="auto"/>
            <w:noWrap/>
            <w:vAlign w:val="bottom"/>
            <w:hideMark/>
          </w:tcPr>
          <w:p w14:paraId="2B71BA51" w14:textId="462D29CE" w:rsidR="00CF4FFE" w:rsidRPr="008650B0" w:rsidRDefault="00775AA9" w:rsidP="00775AA9">
            <w:pPr>
              <w:spacing w:after="0" w:line="240" w:lineRule="auto"/>
              <w:jc w:val="center"/>
              <w:rPr>
                <w:b/>
                <w:bCs/>
                <w:color w:val="000000"/>
                <w:sz w:val="18"/>
                <w:szCs w:val="18"/>
                <w:lang w:eastAsia="sk-SK"/>
              </w:rPr>
            </w:pPr>
            <w:r w:rsidRPr="008650B0">
              <w:rPr>
                <w:b/>
                <w:bCs/>
                <w:color w:val="000000"/>
                <w:sz w:val="18"/>
                <w:szCs w:val="18"/>
                <w:lang w:eastAsia="sk-SK"/>
              </w:rPr>
              <w:t xml:space="preserve">Rok / </w:t>
            </w:r>
            <w:r w:rsidR="00CF4FFE" w:rsidRPr="008650B0">
              <w:rPr>
                <w:b/>
                <w:bCs/>
                <w:color w:val="000000"/>
                <w:sz w:val="18"/>
                <w:szCs w:val="18"/>
                <w:lang w:eastAsia="sk-SK"/>
              </w:rPr>
              <w:t>Skutočnosť</w:t>
            </w:r>
          </w:p>
        </w:tc>
      </w:tr>
      <w:tr w:rsidR="007018F7" w:rsidRPr="008650B0" w14:paraId="77823F8C" w14:textId="77777777" w:rsidTr="00FC747C">
        <w:trPr>
          <w:trHeight w:val="357"/>
          <w:tblHeader/>
        </w:trPr>
        <w:tc>
          <w:tcPr>
            <w:tcW w:w="765" w:type="pct"/>
            <w:vMerge/>
            <w:tcBorders>
              <w:top w:val="nil"/>
              <w:left w:val="nil"/>
              <w:bottom w:val="single" w:sz="4" w:space="0" w:color="000000"/>
              <w:right w:val="nil"/>
            </w:tcBorders>
            <w:vAlign w:val="center"/>
            <w:hideMark/>
          </w:tcPr>
          <w:p w14:paraId="015BB51F" w14:textId="77777777" w:rsidR="007018F7" w:rsidRPr="008650B0" w:rsidRDefault="007018F7" w:rsidP="007018F7">
            <w:pPr>
              <w:spacing w:after="0" w:line="240" w:lineRule="auto"/>
              <w:rPr>
                <w:b/>
                <w:bCs/>
                <w:color w:val="000000"/>
                <w:sz w:val="18"/>
                <w:szCs w:val="18"/>
                <w:lang w:eastAsia="sk-SK"/>
              </w:rPr>
            </w:pPr>
          </w:p>
        </w:tc>
        <w:tc>
          <w:tcPr>
            <w:tcW w:w="505" w:type="pct"/>
            <w:tcBorders>
              <w:top w:val="nil"/>
              <w:left w:val="nil"/>
              <w:bottom w:val="single" w:sz="4" w:space="0" w:color="auto"/>
              <w:right w:val="nil"/>
            </w:tcBorders>
            <w:shd w:val="clear" w:color="auto" w:fill="auto"/>
            <w:vAlign w:val="bottom"/>
            <w:hideMark/>
          </w:tcPr>
          <w:p w14:paraId="3640110C" w14:textId="77777777" w:rsidR="007018F7" w:rsidRPr="008650B0" w:rsidRDefault="007018F7" w:rsidP="007018F7">
            <w:pPr>
              <w:spacing w:after="0" w:line="240" w:lineRule="auto"/>
              <w:jc w:val="center"/>
              <w:rPr>
                <w:color w:val="000000"/>
                <w:sz w:val="18"/>
                <w:szCs w:val="18"/>
                <w:lang w:eastAsia="sk-SK"/>
              </w:rPr>
            </w:pPr>
            <w:r w:rsidRPr="008650B0">
              <w:rPr>
                <w:color w:val="000000"/>
                <w:sz w:val="18"/>
                <w:szCs w:val="18"/>
                <w:lang w:eastAsia="sk-SK"/>
              </w:rPr>
              <w:t> </w:t>
            </w:r>
          </w:p>
        </w:tc>
        <w:tc>
          <w:tcPr>
            <w:tcW w:w="352" w:type="pct"/>
            <w:tcBorders>
              <w:top w:val="nil"/>
              <w:left w:val="nil"/>
              <w:bottom w:val="single" w:sz="4" w:space="0" w:color="auto"/>
              <w:right w:val="nil"/>
            </w:tcBorders>
            <w:shd w:val="clear" w:color="auto" w:fill="auto"/>
            <w:vAlign w:val="bottom"/>
            <w:hideMark/>
          </w:tcPr>
          <w:p w14:paraId="2E445B6B" w14:textId="065FE755" w:rsidR="007018F7" w:rsidRPr="008650B0" w:rsidRDefault="007018F7" w:rsidP="007018F7">
            <w:pPr>
              <w:spacing w:after="0" w:line="240" w:lineRule="auto"/>
              <w:jc w:val="center"/>
              <w:rPr>
                <w:b/>
                <w:bCs/>
                <w:color w:val="000000"/>
                <w:sz w:val="18"/>
                <w:szCs w:val="18"/>
                <w:lang w:eastAsia="sk-SK"/>
              </w:rPr>
            </w:pPr>
            <w:r w:rsidRPr="008650B0">
              <w:rPr>
                <w:b/>
                <w:bCs/>
                <w:color w:val="000000"/>
                <w:sz w:val="20"/>
                <w:szCs w:val="20"/>
              </w:rPr>
              <w:t>2014</w:t>
            </w:r>
          </w:p>
        </w:tc>
        <w:tc>
          <w:tcPr>
            <w:tcW w:w="352" w:type="pct"/>
            <w:tcBorders>
              <w:top w:val="nil"/>
              <w:left w:val="nil"/>
              <w:bottom w:val="single" w:sz="4" w:space="0" w:color="auto"/>
              <w:right w:val="nil"/>
            </w:tcBorders>
            <w:shd w:val="clear" w:color="auto" w:fill="auto"/>
            <w:vAlign w:val="bottom"/>
            <w:hideMark/>
          </w:tcPr>
          <w:p w14:paraId="0F73D8FD" w14:textId="61A465AB" w:rsidR="007018F7" w:rsidRPr="008650B0" w:rsidRDefault="007018F7" w:rsidP="007018F7">
            <w:pPr>
              <w:spacing w:after="0" w:line="240" w:lineRule="auto"/>
              <w:jc w:val="center"/>
              <w:rPr>
                <w:b/>
                <w:bCs/>
                <w:color w:val="000000"/>
                <w:sz w:val="18"/>
                <w:szCs w:val="18"/>
                <w:lang w:eastAsia="sk-SK"/>
              </w:rPr>
            </w:pPr>
            <w:r w:rsidRPr="008650B0">
              <w:rPr>
                <w:b/>
                <w:bCs/>
                <w:color w:val="000000"/>
                <w:sz w:val="20"/>
                <w:szCs w:val="20"/>
              </w:rPr>
              <w:t>2015</w:t>
            </w:r>
          </w:p>
        </w:tc>
        <w:tc>
          <w:tcPr>
            <w:tcW w:w="352" w:type="pct"/>
            <w:tcBorders>
              <w:top w:val="nil"/>
              <w:left w:val="nil"/>
              <w:bottom w:val="single" w:sz="4" w:space="0" w:color="auto"/>
              <w:right w:val="nil"/>
            </w:tcBorders>
            <w:shd w:val="clear" w:color="auto" w:fill="auto"/>
            <w:vAlign w:val="bottom"/>
            <w:hideMark/>
          </w:tcPr>
          <w:p w14:paraId="6A580F77" w14:textId="15386957" w:rsidR="007018F7" w:rsidRPr="008650B0" w:rsidRDefault="007018F7" w:rsidP="007018F7">
            <w:pPr>
              <w:spacing w:after="0" w:line="240" w:lineRule="auto"/>
              <w:jc w:val="center"/>
              <w:rPr>
                <w:b/>
                <w:bCs/>
                <w:color w:val="000000"/>
                <w:sz w:val="18"/>
                <w:szCs w:val="18"/>
                <w:lang w:eastAsia="sk-SK"/>
              </w:rPr>
            </w:pPr>
            <w:r w:rsidRPr="008650B0">
              <w:rPr>
                <w:b/>
                <w:bCs/>
                <w:color w:val="000000"/>
                <w:sz w:val="20"/>
                <w:szCs w:val="20"/>
              </w:rPr>
              <w:t>2016</w:t>
            </w:r>
          </w:p>
        </w:tc>
        <w:tc>
          <w:tcPr>
            <w:tcW w:w="352" w:type="pct"/>
            <w:tcBorders>
              <w:top w:val="nil"/>
              <w:left w:val="nil"/>
              <w:bottom w:val="single" w:sz="4" w:space="0" w:color="auto"/>
              <w:right w:val="nil"/>
            </w:tcBorders>
            <w:shd w:val="clear" w:color="auto" w:fill="auto"/>
            <w:vAlign w:val="bottom"/>
            <w:hideMark/>
          </w:tcPr>
          <w:p w14:paraId="4F5632DA" w14:textId="6B585086" w:rsidR="007018F7" w:rsidRPr="008650B0" w:rsidRDefault="007018F7" w:rsidP="007018F7">
            <w:pPr>
              <w:spacing w:after="0" w:line="240" w:lineRule="auto"/>
              <w:jc w:val="center"/>
              <w:rPr>
                <w:b/>
                <w:bCs/>
                <w:color w:val="000000"/>
                <w:sz w:val="18"/>
                <w:szCs w:val="18"/>
                <w:lang w:eastAsia="sk-SK"/>
              </w:rPr>
            </w:pPr>
            <w:r w:rsidRPr="008650B0">
              <w:rPr>
                <w:b/>
                <w:bCs/>
                <w:color w:val="000000"/>
                <w:sz w:val="20"/>
                <w:szCs w:val="20"/>
              </w:rPr>
              <w:t>2017</w:t>
            </w:r>
          </w:p>
        </w:tc>
        <w:tc>
          <w:tcPr>
            <w:tcW w:w="355" w:type="pct"/>
            <w:tcBorders>
              <w:top w:val="nil"/>
              <w:left w:val="nil"/>
              <w:bottom w:val="single" w:sz="4" w:space="0" w:color="auto"/>
              <w:right w:val="nil"/>
            </w:tcBorders>
            <w:shd w:val="clear" w:color="auto" w:fill="auto"/>
            <w:vAlign w:val="bottom"/>
            <w:hideMark/>
          </w:tcPr>
          <w:p w14:paraId="38E9C13E" w14:textId="06CBEF4E" w:rsidR="007018F7" w:rsidRPr="008650B0" w:rsidRDefault="007018F7" w:rsidP="007018F7">
            <w:pPr>
              <w:spacing w:after="0" w:line="240" w:lineRule="auto"/>
              <w:jc w:val="center"/>
              <w:rPr>
                <w:b/>
                <w:bCs/>
                <w:color w:val="000000"/>
                <w:sz w:val="18"/>
                <w:szCs w:val="18"/>
                <w:lang w:eastAsia="sk-SK"/>
              </w:rPr>
            </w:pPr>
            <w:r w:rsidRPr="008650B0">
              <w:rPr>
                <w:b/>
                <w:bCs/>
                <w:color w:val="000000"/>
                <w:sz w:val="20"/>
                <w:szCs w:val="20"/>
              </w:rPr>
              <w:t>2018</w:t>
            </w:r>
          </w:p>
        </w:tc>
        <w:tc>
          <w:tcPr>
            <w:tcW w:w="366" w:type="pct"/>
            <w:tcBorders>
              <w:top w:val="nil"/>
              <w:left w:val="nil"/>
              <w:bottom w:val="single" w:sz="4" w:space="0" w:color="auto"/>
              <w:right w:val="nil"/>
            </w:tcBorders>
            <w:shd w:val="clear" w:color="auto" w:fill="auto"/>
            <w:noWrap/>
            <w:vAlign w:val="bottom"/>
            <w:hideMark/>
          </w:tcPr>
          <w:p w14:paraId="7AA73E83" w14:textId="49CFA9C6" w:rsidR="007018F7" w:rsidRPr="008650B0" w:rsidRDefault="007018F7" w:rsidP="007018F7">
            <w:pPr>
              <w:spacing w:after="0" w:line="240" w:lineRule="auto"/>
              <w:jc w:val="center"/>
              <w:rPr>
                <w:b/>
                <w:bCs/>
                <w:color w:val="000000"/>
                <w:sz w:val="18"/>
                <w:szCs w:val="18"/>
                <w:lang w:eastAsia="sk-SK"/>
              </w:rPr>
            </w:pPr>
            <w:r w:rsidRPr="008650B0">
              <w:rPr>
                <w:b/>
                <w:bCs/>
                <w:color w:val="000000"/>
                <w:sz w:val="20"/>
                <w:szCs w:val="20"/>
              </w:rPr>
              <w:t>2019</w:t>
            </w:r>
          </w:p>
        </w:tc>
        <w:tc>
          <w:tcPr>
            <w:tcW w:w="352" w:type="pct"/>
            <w:tcBorders>
              <w:top w:val="nil"/>
              <w:left w:val="nil"/>
              <w:bottom w:val="single" w:sz="4" w:space="0" w:color="auto"/>
              <w:right w:val="nil"/>
            </w:tcBorders>
            <w:shd w:val="clear" w:color="auto" w:fill="auto"/>
            <w:noWrap/>
            <w:vAlign w:val="bottom"/>
            <w:hideMark/>
          </w:tcPr>
          <w:p w14:paraId="7D16235E" w14:textId="26F7190A" w:rsidR="007018F7" w:rsidRPr="008650B0" w:rsidRDefault="007018F7" w:rsidP="007018F7">
            <w:pPr>
              <w:spacing w:after="0" w:line="240" w:lineRule="auto"/>
              <w:jc w:val="center"/>
              <w:rPr>
                <w:b/>
                <w:bCs/>
                <w:color w:val="000000"/>
                <w:sz w:val="18"/>
                <w:szCs w:val="18"/>
                <w:lang w:eastAsia="sk-SK"/>
              </w:rPr>
            </w:pPr>
            <w:r w:rsidRPr="008650B0">
              <w:rPr>
                <w:b/>
                <w:bCs/>
                <w:color w:val="000000"/>
                <w:sz w:val="20"/>
                <w:szCs w:val="20"/>
              </w:rPr>
              <w:t>2020</w:t>
            </w:r>
          </w:p>
        </w:tc>
        <w:tc>
          <w:tcPr>
            <w:tcW w:w="388" w:type="pct"/>
            <w:tcBorders>
              <w:top w:val="nil"/>
              <w:left w:val="nil"/>
              <w:bottom w:val="single" w:sz="4" w:space="0" w:color="auto"/>
              <w:right w:val="nil"/>
            </w:tcBorders>
            <w:shd w:val="clear" w:color="auto" w:fill="auto"/>
            <w:noWrap/>
            <w:vAlign w:val="bottom"/>
            <w:hideMark/>
          </w:tcPr>
          <w:p w14:paraId="5557D00C" w14:textId="38A4BBF0" w:rsidR="007018F7" w:rsidRPr="008650B0" w:rsidRDefault="007018F7" w:rsidP="007018F7">
            <w:pPr>
              <w:spacing w:after="0" w:line="240" w:lineRule="auto"/>
              <w:jc w:val="center"/>
              <w:rPr>
                <w:b/>
                <w:bCs/>
                <w:color w:val="000000"/>
                <w:sz w:val="18"/>
                <w:szCs w:val="18"/>
                <w:lang w:eastAsia="sk-SK"/>
              </w:rPr>
            </w:pPr>
            <w:r w:rsidRPr="008650B0">
              <w:rPr>
                <w:b/>
                <w:bCs/>
                <w:color w:val="000000"/>
                <w:sz w:val="20"/>
                <w:szCs w:val="20"/>
              </w:rPr>
              <w:t>2021</w:t>
            </w:r>
          </w:p>
        </w:tc>
        <w:tc>
          <w:tcPr>
            <w:tcW w:w="396" w:type="pct"/>
            <w:tcBorders>
              <w:top w:val="nil"/>
              <w:left w:val="nil"/>
              <w:bottom w:val="single" w:sz="4" w:space="0" w:color="auto"/>
              <w:right w:val="nil"/>
            </w:tcBorders>
            <w:shd w:val="clear" w:color="auto" w:fill="auto"/>
            <w:noWrap/>
            <w:vAlign w:val="bottom"/>
            <w:hideMark/>
          </w:tcPr>
          <w:p w14:paraId="24D542CA" w14:textId="55EDECF5" w:rsidR="007018F7" w:rsidRPr="008650B0" w:rsidRDefault="007018F7" w:rsidP="007018F7">
            <w:pPr>
              <w:spacing w:after="0" w:line="240" w:lineRule="auto"/>
              <w:jc w:val="center"/>
              <w:rPr>
                <w:b/>
                <w:bCs/>
                <w:color w:val="000000"/>
                <w:sz w:val="18"/>
                <w:szCs w:val="18"/>
                <w:lang w:eastAsia="sk-SK"/>
              </w:rPr>
            </w:pPr>
            <w:r w:rsidRPr="008650B0">
              <w:rPr>
                <w:b/>
                <w:bCs/>
                <w:color w:val="000000"/>
                <w:sz w:val="20"/>
                <w:szCs w:val="20"/>
              </w:rPr>
              <w:t>2022</w:t>
            </w:r>
          </w:p>
        </w:tc>
        <w:tc>
          <w:tcPr>
            <w:tcW w:w="465" w:type="pct"/>
            <w:tcBorders>
              <w:top w:val="nil"/>
              <w:left w:val="nil"/>
              <w:bottom w:val="single" w:sz="4" w:space="0" w:color="auto"/>
              <w:right w:val="nil"/>
            </w:tcBorders>
            <w:shd w:val="clear" w:color="auto" w:fill="auto"/>
            <w:noWrap/>
            <w:vAlign w:val="bottom"/>
            <w:hideMark/>
          </w:tcPr>
          <w:p w14:paraId="246FFE79" w14:textId="0BF1BCA0" w:rsidR="007018F7" w:rsidRPr="008650B0" w:rsidRDefault="007018F7" w:rsidP="007018F7">
            <w:pPr>
              <w:spacing w:after="0" w:line="240" w:lineRule="auto"/>
              <w:jc w:val="center"/>
              <w:rPr>
                <w:b/>
                <w:bCs/>
                <w:color w:val="000000"/>
                <w:sz w:val="18"/>
                <w:szCs w:val="18"/>
                <w:lang w:eastAsia="sk-SK"/>
              </w:rPr>
            </w:pPr>
            <w:r w:rsidRPr="008650B0">
              <w:rPr>
                <w:b/>
                <w:bCs/>
                <w:color w:val="000000"/>
                <w:sz w:val="20"/>
                <w:szCs w:val="20"/>
              </w:rPr>
              <w:t>2023</w:t>
            </w:r>
          </w:p>
        </w:tc>
      </w:tr>
      <w:tr w:rsidR="007018F7" w:rsidRPr="008650B0" w14:paraId="5BDD0ABF" w14:textId="77777777" w:rsidTr="00FC747C">
        <w:trPr>
          <w:trHeight w:val="340"/>
          <w:tblHeader/>
        </w:trPr>
        <w:tc>
          <w:tcPr>
            <w:tcW w:w="765" w:type="pct"/>
            <w:vMerge w:val="restart"/>
            <w:tcBorders>
              <w:top w:val="nil"/>
              <w:left w:val="nil"/>
              <w:bottom w:val="nil"/>
              <w:right w:val="nil"/>
            </w:tcBorders>
            <w:shd w:val="clear" w:color="auto" w:fill="auto"/>
            <w:noWrap/>
            <w:vAlign w:val="center"/>
            <w:hideMark/>
          </w:tcPr>
          <w:p w14:paraId="5ACCC4A9" w14:textId="77777777" w:rsidR="007018F7" w:rsidRPr="008650B0" w:rsidRDefault="007018F7" w:rsidP="007018F7">
            <w:pPr>
              <w:spacing w:after="0" w:line="240" w:lineRule="auto"/>
              <w:rPr>
                <w:b/>
                <w:bCs/>
                <w:color w:val="000000"/>
                <w:sz w:val="18"/>
                <w:szCs w:val="18"/>
                <w:lang w:eastAsia="sk-SK"/>
              </w:rPr>
            </w:pPr>
            <w:r w:rsidRPr="008650B0">
              <w:rPr>
                <w:b/>
                <w:bCs/>
                <w:color w:val="000000"/>
                <w:sz w:val="18"/>
                <w:szCs w:val="18"/>
                <w:lang w:eastAsia="sk-SK"/>
              </w:rPr>
              <w:t>ESA schodok</w:t>
            </w:r>
          </w:p>
        </w:tc>
        <w:tc>
          <w:tcPr>
            <w:tcW w:w="505" w:type="pct"/>
            <w:tcBorders>
              <w:top w:val="nil"/>
              <w:left w:val="nil"/>
              <w:bottom w:val="nil"/>
              <w:right w:val="nil"/>
            </w:tcBorders>
            <w:shd w:val="clear" w:color="auto" w:fill="auto"/>
            <w:noWrap/>
            <w:vAlign w:val="bottom"/>
            <w:hideMark/>
          </w:tcPr>
          <w:p w14:paraId="7CA16953" w14:textId="77777777" w:rsidR="007018F7" w:rsidRPr="008650B0" w:rsidRDefault="007018F7" w:rsidP="007018F7">
            <w:pPr>
              <w:spacing w:after="0" w:line="240" w:lineRule="auto"/>
              <w:jc w:val="center"/>
              <w:rPr>
                <w:color w:val="000000"/>
                <w:sz w:val="18"/>
                <w:szCs w:val="18"/>
                <w:lang w:eastAsia="sk-SK"/>
              </w:rPr>
            </w:pPr>
            <w:r w:rsidRPr="008650B0">
              <w:rPr>
                <w:color w:val="000000"/>
                <w:sz w:val="18"/>
                <w:szCs w:val="18"/>
                <w:lang w:eastAsia="sk-SK"/>
              </w:rPr>
              <w:t>mil. EUR</w:t>
            </w:r>
          </w:p>
        </w:tc>
        <w:tc>
          <w:tcPr>
            <w:tcW w:w="352" w:type="pct"/>
            <w:tcBorders>
              <w:top w:val="nil"/>
              <w:left w:val="nil"/>
              <w:bottom w:val="nil"/>
              <w:right w:val="nil"/>
            </w:tcBorders>
            <w:shd w:val="clear" w:color="auto" w:fill="auto"/>
            <w:noWrap/>
            <w:vAlign w:val="bottom"/>
            <w:hideMark/>
          </w:tcPr>
          <w:p w14:paraId="12CBDD54" w14:textId="0999D425" w:rsidR="007018F7" w:rsidRPr="008650B0" w:rsidRDefault="007018F7" w:rsidP="007018F7">
            <w:pPr>
              <w:spacing w:after="0" w:line="240" w:lineRule="auto"/>
              <w:jc w:val="right"/>
              <w:rPr>
                <w:color w:val="000000"/>
                <w:sz w:val="18"/>
                <w:szCs w:val="18"/>
                <w:lang w:eastAsia="sk-SK"/>
              </w:rPr>
            </w:pPr>
            <w:r w:rsidRPr="008650B0">
              <w:rPr>
                <w:color w:val="000000"/>
                <w:sz w:val="18"/>
                <w:szCs w:val="18"/>
              </w:rPr>
              <w:t>-2 485</w:t>
            </w:r>
          </w:p>
        </w:tc>
        <w:tc>
          <w:tcPr>
            <w:tcW w:w="352" w:type="pct"/>
            <w:tcBorders>
              <w:top w:val="nil"/>
              <w:left w:val="nil"/>
              <w:bottom w:val="nil"/>
              <w:right w:val="nil"/>
            </w:tcBorders>
            <w:shd w:val="clear" w:color="auto" w:fill="auto"/>
            <w:noWrap/>
            <w:vAlign w:val="bottom"/>
            <w:hideMark/>
          </w:tcPr>
          <w:p w14:paraId="31F6976A" w14:textId="6ED6F174" w:rsidR="007018F7" w:rsidRPr="008650B0" w:rsidRDefault="007018F7" w:rsidP="007018F7">
            <w:pPr>
              <w:spacing w:after="0" w:line="240" w:lineRule="auto"/>
              <w:jc w:val="right"/>
              <w:rPr>
                <w:color w:val="000000"/>
                <w:sz w:val="18"/>
                <w:szCs w:val="18"/>
                <w:lang w:eastAsia="sk-SK"/>
              </w:rPr>
            </w:pPr>
            <w:r w:rsidRPr="008650B0">
              <w:rPr>
                <w:color w:val="000000"/>
                <w:sz w:val="18"/>
                <w:szCs w:val="18"/>
              </w:rPr>
              <w:t>-2 236</w:t>
            </w:r>
          </w:p>
        </w:tc>
        <w:tc>
          <w:tcPr>
            <w:tcW w:w="352" w:type="pct"/>
            <w:tcBorders>
              <w:top w:val="nil"/>
              <w:left w:val="nil"/>
              <w:bottom w:val="nil"/>
              <w:right w:val="nil"/>
            </w:tcBorders>
            <w:shd w:val="clear" w:color="auto" w:fill="auto"/>
            <w:noWrap/>
            <w:vAlign w:val="bottom"/>
            <w:hideMark/>
          </w:tcPr>
          <w:p w14:paraId="5C1B8450" w14:textId="79D37D94" w:rsidR="007018F7" w:rsidRPr="008650B0" w:rsidRDefault="007018F7" w:rsidP="007018F7">
            <w:pPr>
              <w:spacing w:after="0" w:line="240" w:lineRule="auto"/>
              <w:jc w:val="right"/>
              <w:rPr>
                <w:color w:val="000000"/>
                <w:sz w:val="18"/>
                <w:szCs w:val="18"/>
                <w:lang w:eastAsia="sk-SK"/>
              </w:rPr>
            </w:pPr>
            <w:r w:rsidRPr="008650B0">
              <w:rPr>
                <w:color w:val="000000"/>
                <w:sz w:val="18"/>
                <w:szCs w:val="18"/>
              </w:rPr>
              <w:t>-2 117</w:t>
            </w:r>
          </w:p>
        </w:tc>
        <w:tc>
          <w:tcPr>
            <w:tcW w:w="352" w:type="pct"/>
            <w:tcBorders>
              <w:top w:val="nil"/>
              <w:left w:val="nil"/>
              <w:bottom w:val="nil"/>
              <w:right w:val="nil"/>
            </w:tcBorders>
            <w:shd w:val="clear" w:color="auto" w:fill="auto"/>
            <w:noWrap/>
            <w:vAlign w:val="bottom"/>
            <w:hideMark/>
          </w:tcPr>
          <w:p w14:paraId="26AFE3DB" w14:textId="3DA71249" w:rsidR="007018F7" w:rsidRPr="008650B0" w:rsidRDefault="007018F7" w:rsidP="007018F7">
            <w:pPr>
              <w:spacing w:after="0" w:line="240" w:lineRule="auto"/>
              <w:jc w:val="right"/>
              <w:rPr>
                <w:color w:val="000000"/>
                <w:sz w:val="18"/>
                <w:szCs w:val="18"/>
                <w:lang w:eastAsia="sk-SK"/>
              </w:rPr>
            </w:pPr>
            <w:r w:rsidRPr="008650B0">
              <w:rPr>
                <w:color w:val="000000"/>
                <w:sz w:val="18"/>
                <w:szCs w:val="18"/>
              </w:rPr>
              <w:t>-837</w:t>
            </w:r>
          </w:p>
        </w:tc>
        <w:tc>
          <w:tcPr>
            <w:tcW w:w="355" w:type="pct"/>
            <w:tcBorders>
              <w:top w:val="nil"/>
              <w:left w:val="nil"/>
              <w:bottom w:val="nil"/>
              <w:right w:val="nil"/>
            </w:tcBorders>
            <w:shd w:val="clear" w:color="auto" w:fill="auto"/>
            <w:noWrap/>
            <w:vAlign w:val="bottom"/>
            <w:hideMark/>
          </w:tcPr>
          <w:p w14:paraId="44C50686" w14:textId="29463E31" w:rsidR="007018F7" w:rsidRPr="008650B0" w:rsidRDefault="007018F7" w:rsidP="007018F7">
            <w:pPr>
              <w:spacing w:after="0" w:line="240" w:lineRule="auto"/>
              <w:jc w:val="right"/>
              <w:rPr>
                <w:color w:val="000000"/>
                <w:sz w:val="18"/>
                <w:szCs w:val="18"/>
                <w:lang w:eastAsia="sk-SK"/>
              </w:rPr>
            </w:pPr>
            <w:r w:rsidRPr="008650B0">
              <w:rPr>
                <w:color w:val="000000"/>
                <w:sz w:val="18"/>
                <w:szCs w:val="18"/>
              </w:rPr>
              <w:t>-908</w:t>
            </w:r>
          </w:p>
        </w:tc>
        <w:tc>
          <w:tcPr>
            <w:tcW w:w="366" w:type="pct"/>
            <w:tcBorders>
              <w:top w:val="nil"/>
              <w:left w:val="nil"/>
              <w:bottom w:val="nil"/>
              <w:right w:val="nil"/>
            </w:tcBorders>
            <w:shd w:val="clear" w:color="auto" w:fill="auto"/>
            <w:noWrap/>
            <w:vAlign w:val="bottom"/>
            <w:hideMark/>
          </w:tcPr>
          <w:p w14:paraId="559824D6" w14:textId="7249F2D0" w:rsidR="007018F7" w:rsidRPr="008650B0" w:rsidRDefault="007018F7" w:rsidP="007018F7">
            <w:pPr>
              <w:spacing w:after="0" w:line="240" w:lineRule="auto"/>
              <w:jc w:val="right"/>
              <w:rPr>
                <w:color w:val="000000"/>
                <w:sz w:val="18"/>
                <w:szCs w:val="18"/>
                <w:lang w:eastAsia="sk-SK"/>
              </w:rPr>
            </w:pPr>
            <w:r w:rsidRPr="008650B0">
              <w:rPr>
                <w:color w:val="000000"/>
                <w:sz w:val="18"/>
                <w:szCs w:val="18"/>
              </w:rPr>
              <w:t>-1 139</w:t>
            </w:r>
          </w:p>
        </w:tc>
        <w:tc>
          <w:tcPr>
            <w:tcW w:w="352" w:type="pct"/>
            <w:tcBorders>
              <w:top w:val="nil"/>
              <w:left w:val="nil"/>
              <w:bottom w:val="nil"/>
              <w:right w:val="nil"/>
            </w:tcBorders>
            <w:shd w:val="clear" w:color="auto" w:fill="auto"/>
            <w:noWrap/>
            <w:vAlign w:val="bottom"/>
            <w:hideMark/>
          </w:tcPr>
          <w:p w14:paraId="48C9FDA2" w14:textId="6A4272AB" w:rsidR="007018F7" w:rsidRPr="008650B0" w:rsidRDefault="007018F7" w:rsidP="007018F7">
            <w:pPr>
              <w:spacing w:after="0" w:line="240" w:lineRule="auto"/>
              <w:jc w:val="right"/>
              <w:rPr>
                <w:sz w:val="18"/>
                <w:szCs w:val="18"/>
                <w:lang w:eastAsia="sk-SK"/>
              </w:rPr>
            </w:pPr>
            <w:r w:rsidRPr="008650B0">
              <w:rPr>
                <w:color w:val="000000"/>
                <w:sz w:val="18"/>
                <w:szCs w:val="18"/>
              </w:rPr>
              <w:t>-4 995</w:t>
            </w:r>
          </w:p>
        </w:tc>
        <w:tc>
          <w:tcPr>
            <w:tcW w:w="388" w:type="pct"/>
            <w:tcBorders>
              <w:top w:val="nil"/>
              <w:left w:val="nil"/>
              <w:bottom w:val="nil"/>
              <w:right w:val="nil"/>
            </w:tcBorders>
            <w:shd w:val="clear" w:color="auto" w:fill="auto"/>
            <w:noWrap/>
            <w:vAlign w:val="bottom"/>
            <w:hideMark/>
          </w:tcPr>
          <w:p w14:paraId="08140C2B" w14:textId="3D930B32" w:rsidR="007018F7" w:rsidRPr="008650B0" w:rsidRDefault="007018F7" w:rsidP="007018F7">
            <w:pPr>
              <w:spacing w:after="0" w:line="240" w:lineRule="auto"/>
              <w:jc w:val="right"/>
              <w:rPr>
                <w:sz w:val="18"/>
                <w:szCs w:val="18"/>
                <w:lang w:eastAsia="sk-SK"/>
              </w:rPr>
            </w:pPr>
            <w:r w:rsidRPr="008650B0">
              <w:rPr>
                <w:color w:val="000000"/>
                <w:sz w:val="18"/>
                <w:szCs w:val="18"/>
              </w:rPr>
              <w:t>-5 187</w:t>
            </w:r>
          </w:p>
        </w:tc>
        <w:tc>
          <w:tcPr>
            <w:tcW w:w="396" w:type="pct"/>
            <w:tcBorders>
              <w:top w:val="nil"/>
              <w:left w:val="nil"/>
              <w:bottom w:val="nil"/>
              <w:right w:val="nil"/>
            </w:tcBorders>
            <w:shd w:val="clear" w:color="auto" w:fill="auto"/>
            <w:noWrap/>
            <w:vAlign w:val="bottom"/>
            <w:hideMark/>
          </w:tcPr>
          <w:p w14:paraId="042378B5" w14:textId="13B76BAB" w:rsidR="007018F7" w:rsidRPr="008650B0" w:rsidRDefault="007018F7" w:rsidP="007018F7">
            <w:pPr>
              <w:spacing w:after="0" w:line="240" w:lineRule="auto"/>
              <w:jc w:val="right"/>
              <w:rPr>
                <w:sz w:val="18"/>
                <w:szCs w:val="18"/>
                <w:lang w:eastAsia="sk-SK"/>
              </w:rPr>
            </w:pPr>
            <w:r w:rsidRPr="008650B0">
              <w:rPr>
                <w:color w:val="000000"/>
                <w:sz w:val="18"/>
                <w:szCs w:val="18"/>
              </w:rPr>
              <w:t>-1 838</w:t>
            </w:r>
          </w:p>
        </w:tc>
        <w:tc>
          <w:tcPr>
            <w:tcW w:w="465" w:type="pct"/>
            <w:tcBorders>
              <w:top w:val="nil"/>
              <w:left w:val="nil"/>
              <w:bottom w:val="nil"/>
              <w:right w:val="nil"/>
            </w:tcBorders>
            <w:shd w:val="clear" w:color="auto" w:fill="auto"/>
            <w:noWrap/>
            <w:vAlign w:val="bottom"/>
            <w:hideMark/>
          </w:tcPr>
          <w:p w14:paraId="5FDA7C3D" w14:textId="619D922D" w:rsidR="007018F7" w:rsidRPr="008650B0" w:rsidRDefault="007018F7" w:rsidP="007018F7">
            <w:pPr>
              <w:spacing w:after="0" w:line="240" w:lineRule="auto"/>
              <w:jc w:val="right"/>
              <w:rPr>
                <w:sz w:val="18"/>
                <w:szCs w:val="18"/>
                <w:lang w:eastAsia="sk-SK"/>
              </w:rPr>
            </w:pPr>
            <w:r w:rsidRPr="008650B0">
              <w:rPr>
                <w:color w:val="000000"/>
                <w:sz w:val="18"/>
                <w:szCs w:val="18"/>
              </w:rPr>
              <w:t>-6 399</w:t>
            </w:r>
          </w:p>
        </w:tc>
      </w:tr>
      <w:tr w:rsidR="007018F7" w:rsidRPr="008650B0" w14:paraId="7EB84D67" w14:textId="77777777" w:rsidTr="00FC747C">
        <w:trPr>
          <w:trHeight w:val="340"/>
          <w:tblHeader/>
        </w:trPr>
        <w:tc>
          <w:tcPr>
            <w:tcW w:w="765" w:type="pct"/>
            <w:vMerge/>
            <w:tcBorders>
              <w:top w:val="nil"/>
              <w:left w:val="nil"/>
              <w:bottom w:val="nil"/>
              <w:right w:val="nil"/>
            </w:tcBorders>
            <w:vAlign w:val="center"/>
            <w:hideMark/>
          </w:tcPr>
          <w:p w14:paraId="49F23261" w14:textId="77777777" w:rsidR="007018F7" w:rsidRPr="008650B0" w:rsidRDefault="007018F7" w:rsidP="007018F7">
            <w:pPr>
              <w:spacing w:after="0" w:line="240" w:lineRule="auto"/>
              <w:rPr>
                <w:b/>
                <w:bCs/>
                <w:color w:val="000000"/>
                <w:sz w:val="18"/>
                <w:szCs w:val="18"/>
                <w:lang w:eastAsia="sk-SK"/>
              </w:rPr>
            </w:pPr>
          </w:p>
        </w:tc>
        <w:tc>
          <w:tcPr>
            <w:tcW w:w="505" w:type="pct"/>
            <w:tcBorders>
              <w:top w:val="nil"/>
              <w:left w:val="nil"/>
              <w:bottom w:val="nil"/>
              <w:right w:val="nil"/>
            </w:tcBorders>
            <w:shd w:val="clear" w:color="auto" w:fill="auto"/>
            <w:noWrap/>
            <w:vAlign w:val="bottom"/>
            <w:hideMark/>
          </w:tcPr>
          <w:p w14:paraId="6B8389C7" w14:textId="77777777" w:rsidR="007018F7" w:rsidRPr="008650B0" w:rsidRDefault="007018F7" w:rsidP="007018F7">
            <w:pPr>
              <w:spacing w:after="0" w:line="240" w:lineRule="auto"/>
              <w:jc w:val="center"/>
              <w:rPr>
                <w:color w:val="000000"/>
                <w:sz w:val="18"/>
                <w:szCs w:val="18"/>
                <w:lang w:eastAsia="sk-SK"/>
              </w:rPr>
            </w:pPr>
            <w:r w:rsidRPr="008650B0">
              <w:rPr>
                <w:color w:val="000000"/>
                <w:sz w:val="18"/>
                <w:szCs w:val="18"/>
                <w:lang w:eastAsia="sk-SK"/>
              </w:rPr>
              <w:t>%HDP</w:t>
            </w:r>
          </w:p>
        </w:tc>
        <w:tc>
          <w:tcPr>
            <w:tcW w:w="352" w:type="pct"/>
            <w:tcBorders>
              <w:top w:val="nil"/>
              <w:left w:val="nil"/>
              <w:bottom w:val="nil"/>
              <w:right w:val="nil"/>
            </w:tcBorders>
            <w:shd w:val="clear" w:color="auto" w:fill="auto"/>
            <w:noWrap/>
            <w:vAlign w:val="bottom"/>
            <w:hideMark/>
          </w:tcPr>
          <w:p w14:paraId="1117E28A" w14:textId="43940278" w:rsidR="007018F7" w:rsidRPr="008650B0" w:rsidRDefault="007018F7" w:rsidP="007018F7">
            <w:pPr>
              <w:spacing w:after="0" w:line="240" w:lineRule="auto"/>
              <w:jc w:val="right"/>
              <w:rPr>
                <w:b/>
                <w:bCs/>
                <w:color w:val="000000"/>
                <w:sz w:val="18"/>
                <w:szCs w:val="18"/>
                <w:lang w:eastAsia="sk-SK"/>
              </w:rPr>
            </w:pPr>
            <w:r w:rsidRPr="008650B0">
              <w:rPr>
                <w:b/>
                <w:bCs/>
                <w:color w:val="000000"/>
                <w:sz w:val="18"/>
                <w:szCs w:val="18"/>
              </w:rPr>
              <w:t>-3,2</w:t>
            </w:r>
          </w:p>
        </w:tc>
        <w:tc>
          <w:tcPr>
            <w:tcW w:w="352" w:type="pct"/>
            <w:tcBorders>
              <w:top w:val="nil"/>
              <w:left w:val="nil"/>
              <w:bottom w:val="nil"/>
              <w:right w:val="nil"/>
            </w:tcBorders>
            <w:shd w:val="clear" w:color="auto" w:fill="auto"/>
            <w:noWrap/>
            <w:vAlign w:val="bottom"/>
            <w:hideMark/>
          </w:tcPr>
          <w:p w14:paraId="5C5A93CF" w14:textId="5ACF704E" w:rsidR="007018F7" w:rsidRPr="008650B0" w:rsidRDefault="007018F7" w:rsidP="007018F7">
            <w:pPr>
              <w:spacing w:after="0" w:line="240" w:lineRule="auto"/>
              <w:jc w:val="right"/>
              <w:rPr>
                <w:b/>
                <w:bCs/>
                <w:color w:val="000000"/>
                <w:sz w:val="18"/>
                <w:szCs w:val="18"/>
                <w:lang w:eastAsia="sk-SK"/>
              </w:rPr>
            </w:pPr>
            <w:r w:rsidRPr="008650B0">
              <w:rPr>
                <w:b/>
                <w:bCs/>
                <w:color w:val="000000"/>
                <w:sz w:val="18"/>
                <w:szCs w:val="18"/>
              </w:rPr>
              <w:t>-2,8</w:t>
            </w:r>
          </w:p>
        </w:tc>
        <w:tc>
          <w:tcPr>
            <w:tcW w:w="352" w:type="pct"/>
            <w:tcBorders>
              <w:top w:val="nil"/>
              <w:left w:val="nil"/>
              <w:bottom w:val="nil"/>
              <w:right w:val="nil"/>
            </w:tcBorders>
            <w:shd w:val="clear" w:color="auto" w:fill="auto"/>
            <w:noWrap/>
            <w:vAlign w:val="bottom"/>
            <w:hideMark/>
          </w:tcPr>
          <w:p w14:paraId="19E55793" w14:textId="1E30322C" w:rsidR="007018F7" w:rsidRPr="008650B0" w:rsidRDefault="007018F7" w:rsidP="007018F7">
            <w:pPr>
              <w:spacing w:after="0" w:line="240" w:lineRule="auto"/>
              <w:jc w:val="right"/>
              <w:rPr>
                <w:b/>
                <w:bCs/>
                <w:color w:val="000000"/>
                <w:sz w:val="18"/>
                <w:szCs w:val="18"/>
                <w:lang w:eastAsia="sk-SK"/>
              </w:rPr>
            </w:pPr>
            <w:r w:rsidRPr="008650B0">
              <w:rPr>
                <w:b/>
                <w:bCs/>
                <w:color w:val="000000"/>
                <w:sz w:val="18"/>
                <w:szCs w:val="18"/>
              </w:rPr>
              <w:t>-2,6</w:t>
            </w:r>
          </w:p>
        </w:tc>
        <w:tc>
          <w:tcPr>
            <w:tcW w:w="352" w:type="pct"/>
            <w:tcBorders>
              <w:top w:val="nil"/>
              <w:left w:val="nil"/>
              <w:bottom w:val="nil"/>
              <w:right w:val="nil"/>
            </w:tcBorders>
            <w:shd w:val="clear" w:color="auto" w:fill="auto"/>
            <w:noWrap/>
            <w:vAlign w:val="bottom"/>
            <w:hideMark/>
          </w:tcPr>
          <w:p w14:paraId="0E5D610C" w14:textId="66687180" w:rsidR="007018F7" w:rsidRPr="008650B0" w:rsidRDefault="007018F7" w:rsidP="007018F7">
            <w:pPr>
              <w:spacing w:after="0" w:line="240" w:lineRule="auto"/>
              <w:jc w:val="right"/>
              <w:rPr>
                <w:b/>
                <w:bCs/>
                <w:color w:val="000000"/>
                <w:sz w:val="18"/>
                <w:szCs w:val="18"/>
                <w:lang w:eastAsia="sk-SK"/>
              </w:rPr>
            </w:pPr>
            <w:r w:rsidRPr="008650B0">
              <w:rPr>
                <w:b/>
                <w:bCs/>
                <w:color w:val="000000"/>
                <w:sz w:val="18"/>
                <w:szCs w:val="18"/>
              </w:rPr>
              <w:t>-1,0</w:t>
            </w:r>
          </w:p>
        </w:tc>
        <w:tc>
          <w:tcPr>
            <w:tcW w:w="355" w:type="pct"/>
            <w:tcBorders>
              <w:top w:val="nil"/>
              <w:left w:val="nil"/>
              <w:bottom w:val="nil"/>
              <w:right w:val="nil"/>
            </w:tcBorders>
            <w:shd w:val="clear" w:color="auto" w:fill="auto"/>
            <w:noWrap/>
            <w:vAlign w:val="bottom"/>
            <w:hideMark/>
          </w:tcPr>
          <w:p w14:paraId="2F60B724" w14:textId="0D31900D" w:rsidR="007018F7" w:rsidRPr="008650B0" w:rsidRDefault="007018F7" w:rsidP="007018F7">
            <w:pPr>
              <w:spacing w:after="0" w:line="240" w:lineRule="auto"/>
              <w:jc w:val="right"/>
              <w:rPr>
                <w:b/>
                <w:bCs/>
                <w:color w:val="000000"/>
                <w:sz w:val="18"/>
                <w:szCs w:val="18"/>
                <w:lang w:eastAsia="sk-SK"/>
              </w:rPr>
            </w:pPr>
            <w:r w:rsidRPr="008650B0">
              <w:rPr>
                <w:b/>
                <w:bCs/>
                <w:color w:val="000000"/>
                <w:sz w:val="18"/>
                <w:szCs w:val="18"/>
              </w:rPr>
              <w:t>-1,0</w:t>
            </w:r>
          </w:p>
        </w:tc>
        <w:tc>
          <w:tcPr>
            <w:tcW w:w="366" w:type="pct"/>
            <w:tcBorders>
              <w:top w:val="nil"/>
              <w:left w:val="nil"/>
              <w:bottom w:val="nil"/>
              <w:right w:val="nil"/>
            </w:tcBorders>
            <w:shd w:val="clear" w:color="auto" w:fill="auto"/>
            <w:noWrap/>
            <w:vAlign w:val="bottom"/>
            <w:hideMark/>
          </w:tcPr>
          <w:p w14:paraId="2C5EB93F" w14:textId="00B4C3A6" w:rsidR="007018F7" w:rsidRPr="008650B0" w:rsidRDefault="007018F7" w:rsidP="007018F7">
            <w:pPr>
              <w:spacing w:after="0" w:line="240" w:lineRule="auto"/>
              <w:jc w:val="right"/>
              <w:rPr>
                <w:b/>
                <w:bCs/>
                <w:color w:val="000000"/>
                <w:sz w:val="18"/>
                <w:szCs w:val="18"/>
                <w:lang w:eastAsia="sk-SK"/>
              </w:rPr>
            </w:pPr>
            <w:r w:rsidRPr="008650B0">
              <w:rPr>
                <w:b/>
                <w:bCs/>
                <w:color w:val="000000"/>
                <w:sz w:val="18"/>
                <w:szCs w:val="18"/>
              </w:rPr>
              <w:t>-1,2</w:t>
            </w:r>
          </w:p>
        </w:tc>
        <w:tc>
          <w:tcPr>
            <w:tcW w:w="352" w:type="pct"/>
            <w:tcBorders>
              <w:top w:val="nil"/>
              <w:left w:val="nil"/>
              <w:bottom w:val="nil"/>
              <w:right w:val="nil"/>
            </w:tcBorders>
            <w:shd w:val="clear" w:color="auto" w:fill="auto"/>
            <w:noWrap/>
            <w:vAlign w:val="bottom"/>
            <w:hideMark/>
          </w:tcPr>
          <w:p w14:paraId="48F55F35" w14:textId="0BE5FC8E" w:rsidR="007018F7" w:rsidRPr="008650B0" w:rsidRDefault="007018F7" w:rsidP="007018F7">
            <w:pPr>
              <w:spacing w:after="0" w:line="240" w:lineRule="auto"/>
              <w:jc w:val="right"/>
              <w:rPr>
                <w:b/>
                <w:bCs/>
                <w:color w:val="000000"/>
                <w:sz w:val="18"/>
                <w:szCs w:val="18"/>
                <w:lang w:eastAsia="sk-SK"/>
              </w:rPr>
            </w:pPr>
            <w:r w:rsidRPr="008650B0">
              <w:rPr>
                <w:b/>
                <w:bCs/>
                <w:color w:val="000000"/>
                <w:sz w:val="18"/>
                <w:szCs w:val="18"/>
              </w:rPr>
              <w:t>-5,3</w:t>
            </w:r>
          </w:p>
        </w:tc>
        <w:tc>
          <w:tcPr>
            <w:tcW w:w="388" w:type="pct"/>
            <w:tcBorders>
              <w:top w:val="nil"/>
              <w:left w:val="nil"/>
              <w:bottom w:val="nil"/>
              <w:right w:val="nil"/>
            </w:tcBorders>
            <w:shd w:val="clear" w:color="auto" w:fill="auto"/>
            <w:noWrap/>
            <w:vAlign w:val="bottom"/>
            <w:hideMark/>
          </w:tcPr>
          <w:p w14:paraId="08524C60" w14:textId="29550665" w:rsidR="007018F7" w:rsidRPr="008650B0" w:rsidRDefault="007018F7" w:rsidP="007018F7">
            <w:pPr>
              <w:spacing w:after="0" w:line="240" w:lineRule="auto"/>
              <w:jc w:val="right"/>
              <w:rPr>
                <w:b/>
                <w:bCs/>
                <w:color w:val="000000"/>
                <w:sz w:val="18"/>
                <w:szCs w:val="18"/>
                <w:lang w:eastAsia="sk-SK"/>
              </w:rPr>
            </w:pPr>
            <w:r w:rsidRPr="008650B0">
              <w:rPr>
                <w:b/>
                <w:bCs/>
                <w:color w:val="000000"/>
                <w:sz w:val="18"/>
                <w:szCs w:val="18"/>
              </w:rPr>
              <w:t>-5,1</w:t>
            </w:r>
          </w:p>
        </w:tc>
        <w:tc>
          <w:tcPr>
            <w:tcW w:w="396" w:type="pct"/>
            <w:tcBorders>
              <w:top w:val="nil"/>
              <w:left w:val="nil"/>
              <w:bottom w:val="nil"/>
              <w:right w:val="nil"/>
            </w:tcBorders>
            <w:shd w:val="clear" w:color="auto" w:fill="auto"/>
            <w:noWrap/>
            <w:vAlign w:val="bottom"/>
            <w:hideMark/>
          </w:tcPr>
          <w:p w14:paraId="5848A35D" w14:textId="4BB1A9DF" w:rsidR="007018F7" w:rsidRPr="008650B0" w:rsidRDefault="007018F7" w:rsidP="007018F7">
            <w:pPr>
              <w:spacing w:after="0" w:line="240" w:lineRule="auto"/>
              <w:jc w:val="right"/>
              <w:rPr>
                <w:b/>
                <w:bCs/>
                <w:color w:val="000000"/>
                <w:sz w:val="18"/>
                <w:szCs w:val="18"/>
                <w:lang w:eastAsia="sk-SK"/>
              </w:rPr>
            </w:pPr>
            <w:r w:rsidRPr="008650B0">
              <w:rPr>
                <w:b/>
                <w:bCs/>
                <w:color w:val="000000"/>
                <w:sz w:val="18"/>
                <w:szCs w:val="18"/>
              </w:rPr>
              <w:t>-1,7</w:t>
            </w:r>
          </w:p>
        </w:tc>
        <w:tc>
          <w:tcPr>
            <w:tcW w:w="465" w:type="pct"/>
            <w:tcBorders>
              <w:top w:val="nil"/>
              <w:left w:val="nil"/>
              <w:bottom w:val="nil"/>
              <w:right w:val="nil"/>
            </w:tcBorders>
            <w:shd w:val="clear" w:color="auto" w:fill="auto"/>
            <w:noWrap/>
            <w:vAlign w:val="bottom"/>
            <w:hideMark/>
          </w:tcPr>
          <w:p w14:paraId="75B0123B" w14:textId="089EBEA3" w:rsidR="007018F7" w:rsidRPr="008650B0" w:rsidRDefault="007018F7" w:rsidP="007018F7">
            <w:pPr>
              <w:spacing w:after="0" w:line="240" w:lineRule="auto"/>
              <w:jc w:val="right"/>
              <w:rPr>
                <w:b/>
                <w:bCs/>
                <w:color w:val="000000"/>
                <w:sz w:val="18"/>
                <w:szCs w:val="18"/>
                <w:lang w:eastAsia="sk-SK"/>
              </w:rPr>
            </w:pPr>
            <w:r w:rsidRPr="008650B0">
              <w:rPr>
                <w:b/>
                <w:bCs/>
                <w:color w:val="000000"/>
                <w:sz w:val="18"/>
                <w:szCs w:val="18"/>
              </w:rPr>
              <w:t>-5,2</w:t>
            </w:r>
          </w:p>
        </w:tc>
      </w:tr>
      <w:tr w:rsidR="00101CDA" w:rsidRPr="008650B0" w14:paraId="723D90D4" w14:textId="77777777" w:rsidTr="00FC747C">
        <w:trPr>
          <w:trHeight w:val="340"/>
          <w:tblHeader/>
        </w:trPr>
        <w:tc>
          <w:tcPr>
            <w:tcW w:w="765" w:type="pct"/>
            <w:vMerge w:val="restart"/>
            <w:tcBorders>
              <w:top w:val="nil"/>
              <w:left w:val="nil"/>
              <w:bottom w:val="nil"/>
              <w:right w:val="nil"/>
            </w:tcBorders>
            <w:shd w:val="clear" w:color="auto" w:fill="auto"/>
            <w:vAlign w:val="center"/>
            <w:hideMark/>
          </w:tcPr>
          <w:p w14:paraId="7F7E5EE0" w14:textId="77777777" w:rsidR="00101CDA" w:rsidRPr="008650B0" w:rsidRDefault="00101CDA" w:rsidP="00101CDA">
            <w:pPr>
              <w:spacing w:after="0" w:line="240" w:lineRule="auto"/>
              <w:rPr>
                <w:b/>
                <w:bCs/>
                <w:color w:val="000000"/>
                <w:sz w:val="18"/>
                <w:szCs w:val="18"/>
                <w:lang w:eastAsia="sk-SK"/>
              </w:rPr>
            </w:pPr>
            <w:r w:rsidRPr="008650B0">
              <w:rPr>
                <w:b/>
                <w:bCs/>
                <w:color w:val="000000"/>
                <w:sz w:val="18"/>
                <w:szCs w:val="18"/>
                <w:lang w:eastAsia="sk-SK"/>
              </w:rPr>
              <w:t>Maastrichtský dlh</w:t>
            </w:r>
          </w:p>
        </w:tc>
        <w:tc>
          <w:tcPr>
            <w:tcW w:w="505" w:type="pct"/>
            <w:tcBorders>
              <w:top w:val="nil"/>
              <w:left w:val="nil"/>
              <w:bottom w:val="nil"/>
              <w:right w:val="nil"/>
            </w:tcBorders>
            <w:shd w:val="clear" w:color="auto" w:fill="auto"/>
            <w:noWrap/>
            <w:vAlign w:val="bottom"/>
            <w:hideMark/>
          </w:tcPr>
          <w:p w14:paraId="2E0ABE53" w14:textId="77777777" w:rsidR="00101CDA" w:rsidRPr="008650B0" w:rsidRDefault="00101CDA" w:rsidP="00101CDA">
            <w:pPr>
              <w:spacing w:after="0" w:line="240" w:lineRule="auto"/>
              <w:jc w:val="center"/>
              <w:rPr>
                <w:color w:val="000000"/>
                <w:sz w:val="18"/>
                <w:szCs w:val="18"/>
                <w:lang w:eastAsia="sk-SK"/>
              </w:rPr>
            </w:pPr>
            <w:r w:rsidRPr="008650B0">
              <w:rPr>
                <w:color w:val="000000"/>
                <w:sz w:val="18"/>
                <w:szCs w:val="18"/>
                <w:lang w:eastAsia="sk-SK"/>
              </w:rPr>
              <w:t>mil. EUR</w:t>
            </w:r>
          </w:p>
        </w:tc>
        <w:tc>
          <w:tcPr>
            <w:tcW w:w="352" w:type="pct"/>
            <w:tcBorders>
              <w:top w:val="nil"/>
              <w:left w:val="nil"/>
              <w:bottom w:val="nil"/>
              <w:right w:val="nil"/>
            </w:tcBorders>
            <w:shd w:val="clear" w:color="auto" w:fill="auto"/>
            <w:noWrap/>
            <w:vAlign w:val="bottom"/>
            <w:hideMark/>
          </w:tcPr>
          <w:p w14:paraId="05F70E1C" w14:textId="550AD76E" w:rsidR="00101CDA" w:rsidRPr="008650B0" w:rsidRDefault="00101CDA" w:rsidP="00101CDA">
            <w:pPr>
              <w:spacing w:after="0" w:line="240" w:lineRule="auto"/>
              <w:jc w:val="right"/>
              <w:rPr>
                <w:color w:val="000000"/>
                <w:sz w:val="18"/>
                <w:szCs w:val="18"/>
                <w:lang w:eastAsia="sk-SK"/>
              </w:rPr>
            </w:pPr>
            <w:r w:rsidRPr="008650B0">
              <w:rPr>
                <w:color w:val="000000"/>
                <w:sz w:val="18"/>
                <w:szCs w:val="18"/>
              </w:rPr>
              <w:t>40 878</w:t>
            </w:r>
          </w:p>
        </w:tc>
        <w:tc>
          <w:tcPr>
            <w:tcW w:w="352" w:type="pct"/>
            <w:tcBorders>
              <w:top w:val="nil"/>
              <w:left w:val="nil"/>
              <w:bottom w:val="nil"/>
              <w:right w:val="nil"/>
            </w:tcBorders>
            <w:shd w:val="clear" w:color="auto" w:fill="auto"/>
            <w:noWrap/>
            <w:vAlign w:val="bottom"/>
            <w:hideMark/>
          </w:tcPr>
          <w:p w14:paraId="71E50DA1" w14:textId="7ED1B897" w:rsidR="00101CDA" w:rsidRPr="008650B0" w:rsidRDefault="00101CDA" w:rsidP="00101CDA">
            <w:pPr>
              <w:spacing w:after="0" w:line="240" w:lineRule="auto"/>
              <w:jc w:val="right"/>
              <w:rPr>
                <w:color w:val="000000"/>
                <w:sz w:val="18"/>
                <w:szCs w:val="18"/>
                <w:lang w:eastAsia="sk-SK"/>
              </w:rPr>
            </w:pPr>
            <w:r w:rsidRPr="008650B0">
              <w:rPr>
                <w:color w:val="000000"/>
                <w:sz w:val="18"/>
                <w:szCs w:val="18"/>
              </w:rPr>
              <w:t>41 474</w:t>
            </w:r>
          </w:p>
        </w:tc>
        <w:tc>
          <w:tcPr>
            <w:tcW w:w="352" w:type="pct"/>
            <w:tcBorders>
              <w:top w:val="nil"/>
              <w:left w:val="nil"/>
              <w:bottom w:val="nil"/>
              <w:right w:val="nil"/>
            </w:tcBorders>
            <w:shd w:val="clear" w:color="auto" w:fill="auto"/>
            <w:noWrap/>
            <w:vAlign w:val="bottom"/>
            <w:hideMark/>
          </w:tcPr>
          <w:p w14:paraId="7B48C1EF" w14:textId="6EAD5A1C" w:rsidR="00101CDA" w:rsidRPr="008650B0" w:rsidRDefault="00101CDA" w:rsidP="00101CDA">
            <w:pPr>
              <w:spacing w:after="0" w:line="240" w:lineRule="auto"/>
              <w:jc w:val="right"/>
              <w:rPr>
                <w:color w:val="000000"/>
                <w:sz w:val="18"/>
                <w:szCs w:val="18"/>
                <w:lang w:eastAsia="sk-SK"/>
              </w:rPr>
            </w:pPr>
            <w:r w:rsidRPr="008650B0">
              <w:rPr>
                <w:color w:val="000000"/>
                <w:sz w:val="18"/>
                <w:szCs w:val="18"/>
              </w:rPr>
              <w:t>42 554</w:t>
            </w:r>
          </w:p>
        </w:tc>
        <w:tc>
          <w:tcPr>
            <w:tcW w:w="352" w:type="pct"/>
            <w:tcBorders>
              <w:top w:val="nil"/>
              <w:left w:val="nil"/>
              <w:bottom w:val="nil"/>
              <w:right w:val="nil"/>
            </w:tcBorders>
            <w:shd w:val="clear" w:color="auto" w:fill="auto"/>
            <w:noWrap/>
            <w:vAlign w:val="bottom"/>
            <w:hideMark/>
          </w:tcPr>
          <w:p w14:paraId="3144F61F" w14:textId="03AD7B90" w:rsidR="00101CDA" w:rsidRPr="008650B0" w:rsidRDefault="00101CDA" w:rsidP="00101CDA">
            <w:pPr>
              <w:spacing w:after="0" w:line="240" w:lineRule="auto"/>
              <w:jc w:val="right"/>
              <w:rPr>
                <w:color w:val="000000"/>
                <w:sz w:val="18"/>
                <w:szCs w:val="18"/>
                <w:lang w:eastAsia="sk-SK"/>
              </w:rPr>
            </w:pPr>
            <w:r w:rsidRPr="008650B0">
              <w:rPr>
                <w:color w:val="000000"/>
                <w:sz w:val="18"/>
                <w:szCs w:val="18"/>
              </w:rPr>
              <w:t>43 654</w:t>
            </w:r>
          </w:p>
        </w:tc>
        <w:tc>
          <w:tcPr>
            <w:tcW w:w="355" w:type="pct"/>
            <w:tcBorders>
              <w:top w:val="nil"/>
              <w:left w:val="nil"/>
              <w:bottom w:val="nil"/>
              <w:right w:val="nil"/>
            </w:tcBorders>
            <w:shd w:val="clear" w:color="auto" w:fill="auto"/>
            <w:noWrap/>
            <w:vAlign w:val="bottom"/>
            <w:hideMark/>
          </w:tcPr>
          <w:p w14:paraId="3DA2C653" w14:textId="47E8A3AB" w:rsidR="00101CDA" w:rsidRPr="008650B0" w:rsidRDefault="00101CDA" w:rsidP="00101CDA">
            <w:pPr>
              <w:spacing w:after="0" w:line="240" w:lineRule="auto"/>
              <w:jc w:val="right"/>
              <w:rPr>
                <w:color w:val="000000"/>
                <w:sz w:val="18"/>
                <w:szCs w:val="18"/>
                <w:lang w:eastAsia="sk-SK"/>
              </w:rPr>
            </w:pPr>
            <w:r w:rsidRPr="008650B0">
              <w:rPr>
                <w:color w:val="000000"/>
                <w:sz w:val="18"/>
                <w:szCs w:val="18"/>
              </w:rPr>
              <w:t>44 479</w:t>
            </w:r>
          </w:p>
        </w:tc>
        <w:tc>
          <w:tcPr>
            <w:tcW w:w="366" w:type="pct"/>
            <w:tcBorders>
              <w:top w:val="nil"/>
              <w:left w:val="nil"/>
              <w:bottom w:val="nil"/>
              <w:right w:val="nil"/>
            </w:tcBorders>
            <w:shd w:val="clear" w:color="auto" w:fill="auto"/>
            <w:noWrap/>
            <w:vAlign w:val="bottom"/>
            <w:hideMark/>
          </w:tcPr>
          <w:p w14:paraId="289F276F" w14:textId="01DB76A3" w:rsidR="00101CDA" w:rsidRPr="008650B0" w:rsidRDefault="00101CDA" w:rsidP="00101CDA">
            <w:pPr>
              <w:spacing w:after="0" w:line="240" w:lineRule="auto"/>
              <w:jc w:val="right"/>
              <w:rPr>
                <w:sz w:val="18"/>
                <w:szCs w:val="18"/>
                <w:lang w:eastAsia="sk-SK"/>
              </w:rPr>
            </w:pPr>
            <w:r w:rsidRPr="008650B0">
              <w:rPr>
                <w:color w:val="000000"/>
                <w:sz w:val="18"/>
                <w:szCs w:val="18"/>
              </w:rPr>
              <w:t>45 392</w:t>
            </w:r>
          </w:p>
        </w:tc>
        <w:tc>
          <w:tcPr>
            <w:tcW w:w="352" w:type="pct"/>
            <w:tcBorders>
              <w:top w:val="nil"/>
              <w:left w:val="nil"/>
              <w:bottom w:val="nil"/>
              <w:right w:val="nil"/>
            </w:tcBorders>
            <w:shd w:val="clear" w:color="auto" w:fill="auto"/>
            <w:noWrap/>
            <w:vAlign w:val="bottom"/>
            <w:hideMark/>
          </w:tcPr>
          <w:p w14:paraId="7CB89986" w14:textId="7FDA3D95" w:rsidR="00101CDA" w:rsidRPr="008650B0" w:rsidRDefault="00101CDA" w:rsidP="00101CDA">
            <w:pPr>
              <w:spacing w:after="0" w:line="240" w:lineRule="auto"/>
              <w:jc w:val="right"/>
              <w:rPr>
                <w:sz w:val="18"/>
                <w:szCs w:val="18"/>
                <w:lang w:eastAsia="sk-SK"/>
              </w:rPr>
            </w:pPr>
            <w:r w:rsidRPr="008650B0">
              <w:rPr>
                <w:color w:val="000000"/>
                <w:sz w:val="18"/>
                <w:szCs w:val="18"/>
              </w:rPr>
              <w:t>55 091</w:t>
            </w:r>
          </w:p>
        </w:tc>
        <w:tc>
          <w:tcPr>
            <w:tcW w:w="388" w:type="pct"/>
            <w:tcBorders>
              <w:top w:val="nil"/>
              <w:left w:val="nil"/>
              <w:bottom w:val="nil"/>
              <w:right w:val="nil"/>
            </w:tcBorders>
            <w:shd w:val="clear" w:color="auto" w:fill="auto"/>
            <w:noWrap/>
            <w:vAlign w:val="bottom"/>
            <w:hideMark/>
          </w:tcPr>
          <w:p w14:paraId="50E69F77" w14:textId="3B50E60A" w:rsidR="00101CDA" w:rsidRPr="008650B0" w:rsidRDefault="00101CDA" w:rsidP="00101CDA">
            <w:pPr>
              <w:spacing w:after="0" w:line="240" w:lineRule="auto"/>
              <w:jc w:val="right"/>
              <w:rPr>
                <w:sz w:val="18"/>
                <w:szCs w:val="18"/>
                <w:lang w:eastAsia="sk-SK"/>
              </w:rPr>
            </w:pPr>
            <w:r w:rsidRPr="008650B0">
              <w:rPr>
                <w:color w:val="000000"/>
                <w:sz w:val="18"/>
                <w:szCs w:val="18"/>
              </w:rPr>
              <w:t>61 346</w:t>
            </w:r>
          </w:p>
        </w:tc>
        <w:tc>
          <w:tcPr>
            <w:tcW w:w="396" w:type="pct"/>
            <w:tcBorders>
              <w:top w:val="nil"/>
              <w:left w:val="nil"/>
              <w:bottom w:val="nil"/>
              <w:right w:val="nil"/>
            </w:tcBorders>
            <w:shd w:val="clear" w:color="auto" w:fill="auto"/>
            <w:noWrap/>
            <w:vAlign w:val="bottom"/>
            <w:hideMark/>
          </w:tcPr>
          <w:p w14:paraId="3A8086C0" w14:textId="7459FB98" w:rsidR="00101CDA" w:rsidRPr="008650B0" w:rsidRDefault="00101CDA" w:rsidP="00101CDA">
            <w:pPr>
              <w:spacing w:after="0" w:line="240" w:lineRule="auto"/>
              <w:jc w:val="right"/>
              <w:rPr>
                <w:sz w:val="18"/>
                <w:szCs w:val="18"/>
                <w:lang w:eastAsia="sk-SK"/>
              </w:rPr>
            </w:pPr>
            <w:r w:rsidRPr="008650B0">
              <w:rPr>
                <w:color w:val="000000"/>
                <w:sz w:val="18"/>
                <w:szCs w:val="18"/>
              </w:rPr>
              <w:t>63 499</w:t>
            </w:r>
          </w:p>
        </w:tc>
        <w:tc>
          <w:tcPr>
            <w:tcW w:w="465" w:type="pct"/>
            <w:tcBorders>
              <w:top w:val="nil"/>
              <w:left w:val="nil"/>
              <w:bottom w:val="nil"/>
              <w:right w:val="nil"/>
            </w:tcBorders>
            <w:shd w:val="clear" w:color="auto" w:fill="auto"/>
            <w:noWrap/>
            <w:vAlign w:val="bottom"/>
            <w:hideMark/>
          </w:tcPr>
          <w:p w14:paraId="6FBE4A84" w14:textId="54E61B9E" w:rsidR="00101CDA" w:rsidRPr="008650B0" w:rsidRDefault="00101CDA" w:rsidP="00101CDA">
            <w:pPr>
              <w:spacing w:after="0" w:line="240" w:lineRule="auto"/>
              <w:jc w:val="right"/>
              <w:rPr>
                <w:sz w:val="18"/>
                <w:szCs w:val="18"/>
                <w:lang w:eastAsia="sk-SK"/>
              </w:rPr>
            </w:pPr>
            <w:r w:rsidRPr="008650B0">
              <w:rPr>
                <w:color w:val="000000"/>
                <w:sz w:val="18"/>
                <w:szCs w:val="18"/>
              </w:rPr>
              <w:t>68 898</w:t>
            </w:r>
          </w:p>
        </w:tc>
      </w:tr>
      <w:tr w:rsidR="00101CDA" w:rsidRPr="008650B0" w14:paraId="4207B026" w14:textId="77777777" w:rsidTr="00FC747C">
        <w:trPr>
          <w:trHeight w:val="340"/>
          <w:tblHeader/>
        </w:trPr>
        <w:tc>
          <w:tcPr>
            <w:tcW w:w="765" w:type="pct"/>
            <w:vMerge/>
            <w:tcBorders>
              <w:top w:val="nil"/>
              <w:left w:val="nil"/>
              <w:bottom w:val="nil"/>
              <w:right w:val="nil"/>
            </w:tcBorders>
            <w:vAlign w:val="center"/>
            <w:hideMark/>
          </w:tcPr>
          <w:p w14:paraId="3EE9FDFE" w14:textId="77777777" w:rsidR="00101CDA" w:rsidRPr="008650B0" w:rsidRDefault="00101CDA" w:rsidP="00101CDA">
            <w:pPr>
              <w:spacing w:after="0" w:line="240" w:lineRule="auto"/>
              <w:rPr>
                <w:b/>
                <w:bCs/>
                <w:color w:val="000000"/>
                <w:sz w:val="18"/>
                <w:szCs w:val="18"/>
                <w:lang w:eastAsia="sk-SK"/>
              </w:rPr>
            </w:pPr>
          </w:p>
        </w:tc>
        <w:tc>
          <w:tcPr>
            <w:tcW w:w="505" w:type="pct"/>
            <w:tcBorders>
              <w:top w:val="nil"/>
              <w:left w:val="nil"/>
              <w:bottom w:val="nil"/>
              <w:right w:val="nil"/>
            </w:tcBorders>
            <w:shd w:val="clear" w:color="auto" w:fill="auto"/>
            <w:noWrap/>
            <w:vAlign w:val="bottom"/>
            <w:hideMark/>
          </w:tcPr>
          <w:p w14:paraId="31C1BF2F" w14:textId="77777777" w:rsidR="00101CDA" w:rsidRPr="008650B0" w:rsidRDefault="00101CDA" w:rsidP="00101CDA">
            <w:pPr>
              <w:spacing w:after="0" w:line="240" w:lineRule="auto"/>
              <w:jc w:val="center"/>
              <w:rPr>
                <w:color w:val="000000"/>
                <w:sz w:val="18"/>
                <w:szCs w:val="18"/>
                <w:lang w:eastAsia="sk-SK"/>
              </w:rPr>
            </w:pPr>
            <w:r w:rsidRPr="008650B0">
              <w:rPr>
                <w:color w:val="000000"/>
                <w:sz w:val="18"/>
                <w:szCs w:val="18"/>
                <w:lang w:eastAsia="sk-SK"/>
              </w:rPr>
              <w:t>%HDP</w:t>
            </w:r>
          </w:p>
        </w:tc>
        <w:tc>
          <w:tcPr>
            <w:tcW w:w="352" w:type="pct"/>
            <w:tcBorders>
              <w:top w:val="nil"/>
              <w:left w:val="nil"/>
              <w:bottom w:val="nil"/>
              <w:right w:val="nil"/>
            </w:tcBorders>
            <w:shd w:val="clear" w:color="auto" w:fill="auto"/>
            <w:noWrap/>
            <w:vAlign w:val="bottom"/>
            <w:hideMark/>
          </w:tcPr>
          <w:p w14:paraId="7E58B0B9" w14:textId="1529FAE0" w:rsidR="00101CDA" w:rsidRPr="008650B0" w:rsidRDefault="00101CDA" w:rsidP="00101CDA">
            <w:pPr>
              <w:spacing w:after="0" w:line="240" w:lineRule="auto"/>
              <w:jc w:val="right"/>
              <w:rPr>
                <w:b/>
                <w:bCs/>
                <w:color w:val="000000"/>
                <w:sz w:val="18"/>
                <w:szCs w:val="18"/>
                <w:lang w:eastAsia="sk-SK"/>
              </w:rPr>
            </w:pPr>
            <w:r w:rsidRPr="008650B0">
              <w:rPr>
                <w:b/>
                <w:bCs/>
                <w:color w:val="000000"/>
                <w:sz w:val="18"/>
                <w:szCs w:val="18"/>
              </w:rPr>
              <w:t>53,4</w:t>
            </w:r>
          </w:p>
        </w:tc>
        <w:tc>
          <w:tcPr>
            <w:tcW w:w="352" w:type="pct"/>
            <w:tcBorders>
              <w:top w:val="nil"/>
              <w:left w:val="nil"/>
              <w:bottom w:val="nil"/>
              <w:right w:val="nil"/>
            </w:tcBorders>
            <w:shd w:val="clear" w:color="auto" w:fill="auto"/>
            <w:noWrap/>
            <w:vAlign w:val="bottom"/>
            <w:hideMark/>
          </w:tcPr>
          <w:p w14:paraId="2B80AD4F" w14:textId="7C1409EC" w:rsidR="00101CDA" w:rsidRPr="008650B0" w:rsidRDefault="00101CDA" w:rsidP="00101CDA">
            <w:pPr>
              <w:spacing w:after="0" w:line="240" w:lineRule="auto"/>
              <w:jc w:val="right"/>
              <w:rPr>
                <w:b/>
                <w:bCs/>
                <w:color w:val="000000"/>
                <w:sz w:val="18"/>
                <w:szCs w:val="18"/>
                <w:lang w:eastAsia="sk-SK"/>
              </w:rPr>
            </w:pPr>
            <w:r w:rsidRPr="008650B0">
              <w:rPr>
                <w:b/>
                <w:bCs/>
                <w:color w:val="000000"/>
                <w:sz w:val="18"/>
                <w:szCs w:val="18"/>
              </w:rPr>
              <w:t>51,6</w:t>
            </w:r>
          </w:p>
        </w:tc>
        <w:tc>
          <w:tcPr>
            <w:tcW w:w="352" w:type="pct"/>
            <w:tcBorders>
              <w:top w:val="nil"/>
              <w:left w:val="nil"/>
              <w:bottom w:val="nil"/>
              <w:right w:val="nil"/>
            </w:tcBorders>
            <w:shd w:val="clear" w:color="auto" w:fill="auto"/>
            <w:noWrap/>
            <w:vAlign w:val="bottom"/>
            <w:hideMark/>
          </w:tcPr>
          <w:p w14:paraId="02856C2C" w14:textId="1675086C" w:rsidR="00101CDA" w:rsidRPr="008650B0" w:rsidRDefault="00101CDA" w:rsidP="00101CDA">
            <w:pPr>
              <w:spacing w:after="0" w:line="240" w:lineRule="auto"/>
              <w:jc w:val="right"/>
              <w:rPr>
                <w:b/>
                <w:bCs/>
                <w:color w:val="000000"/>
                <w:sz w:val="18"/>
                <w:szCs w:val="18"/>
                <w:lang w:eastAsia="sk-SK"/>
              </w:rPr>
            </w:pPr>
            <w:r w:rsidRPr="008650B0">
              <w:rPr>
                <w:b/>
                <w:bCs/>
                <w:color w:val="000000"/>
                <w:sz w:val="18"/>
                <w:szCs w:val="18"/>
              </w:rPr>
              <w:t>52,1</w:t>
            </w:r>
          </w:p>
        </w:tc>
        <w:tc>
          <w:tcPr>
            <w:tcW w:w="352" w:type="pct"/>
            <w:tcBorders>
              <w:top w:val="nil"/>
              <w:left w:val="nil"/>
              <w:bottom w:val="nil"/>
              <w:right w:val="nil"/>
            </w:tcBorders>
            <w:shd w:val="clear" w:color="auto" w:fill="auto"/>
            <w:noWrap/>
            <w:vAlign w:val="bottom"/>
            <w:hideMark/>
          </w:tcPr>
          <w:p w14:paraId="53937780" w14:textId="427B7192" w:rsidR="00101CDA" w:rsidRPr="008650B0" w:rsidRDefault="00101CDA" w:rsidP="00101CDA">
            <w:pPr>
              <w:spacing w:after="0" w:line="240" w:lineRule="auto"/>
              <w:jc w:val="right"/>
              <w:rPr>
                <w:b/>
                <w:bCs/>
                <w:color w:val="000000"/>
                <w:sz w:val="18"/>
                <w:szCs w:val="18"/>
                <w:lang w:eastAsia="sk-SK"/>
              </w:rPr>
            </w:pPr>
            <w:r w:rsidRPr="008650B0">
              <w:rPr>
                <w:b/>
                <w:bCs/>
                <w:color w:val="000000"/>
                <w:sz w:val="18"/>
                <w:szCs w:val="18"/>
              </w:rPr>
              <w:t>51,4</w:t>
            </w:r>
          </w:p>
        </w:tc>
        <w:tc>
          <w:tcPr>
            <w:tcW w:w="355" w:type="pct"/>
            <w:tcBorders>
              <w:top w:val="nil"/>
              <w:left w:val="nil"/>
              <w:bottom w:val="nil"/>
              <w:right w:val="nil"/>
            </w:tcBorders>
            <w:shd w:val="clear" w:color="auto" w:fill="auto"/>
            <w:noWrap/>
            <w:vAlign w:val="bottom"/>
            <w:hideMark/>
          </w:tcPr>
          <w:p w14:paraId="5B5C4716" w14:textId="4056D037" w:rsidR="00101CDA" w:rsidRPr="008650B0" w:rsidRDefault="00101CDA" w:rsidP="00101CDA">
            <w:pPr>
              <w:spacing w:after="0" w:line="240" w:lineRule="auto"/>
              <w:jc w:val="right"/>
              <w:rPr>
                <w:b/>
                <w:bCs/>
                <w:color w:val="000000"/>
                <w:sz w:val="18"/>
                <w:szCs w:val="18"/>
                <w:lang w:eastAsia="sk-SK"/>
              </w:rPr>
            </w:pPr>
            <w:r w:rsidRPr="008650B0">
              <w:rPr>
                <w:b/>
                <w:bCs/>
                <w:color w:val="000000"/>
                <w:sz w:val="18"/>
                <w:szCs w:val="18"/>
              </w:rPr>
              <w:t>49,3</w:t>
            </w:r>
          </w:p>
        </w:tc>
        <w:tc>
          <w:tcPr>
            <w:tcW w:w="366" w:type="pct"/>
            <w:tcBorders>
              <w:top w:val="nil"/>
              <w:left w:val="nil"/>
              <w:bottom w:val="nil"/>
              <w:right w:val="nil"/>
            </w:tcBorders>
            <w:shd w:val="clear" w:color="auto" w:fill="auto"/>
            <w:noWrap/>
            <w:vAlign w:val="bottom"/>
            <w:hideMark/>
          </w:tcPr>
          <w:p w14:paraId="7E2002CF" w14:textId="5F748F66" w:rsidR="00101CDA" w:rsidRPr="008650B0" w:rsidRDefault="00101CDA" w:rsidP="00101CDA">
            <w:pPr>
              <w:spacing w:after="0" w:line="240" w:lineRule="auto"/>
              <w:jc w:val="right"/>
              <w:rPr>
                <w:b/>
                <w:bCs/>
                <w:color w:val="000000"/>
                <w:sz w:val="18"/>
                <w:szCs w:val="18"/>
                <w:lang w:eastAsia="sk-SK"/>
              </w:rPr>
            </w:pPr>
            <w:r w:rsidRPr="008650B0">
              <w:rPr>
                <w:b/>
                <w:bCs/>
                <w:color w:val="000000"/>
                <w:sz w:val="18"/>
                <w:szCs w:val="18"/>
              </w:rPr>
              <w:t>48,0</w:t>
            </w:r>
          </w:p>
        </w:tc>
        <w:tc>
          <w:tcPr>
            <w:tcW w:w="352" w:type="pct"/>
            <w:tcBorders>
              <w:top w:val="nil"/>
              <w:left w:val="nil"/>
              <w:bottom w:val="nil"/>
              <w:right w:val="nil"/>
            </w:tcBorders>
            <w:shd w:val="clear" w:color="auto" w:fill="auto"/>
            <w:noWrap/>
            <w:vAlign w:val="bottom"/>
            <w:hideMark/>
          </w:tcPr>
          <w:p w14:paraId="2D18CE04" w14:textId="54AA0B6B" w:rsidR="00101CDA" w:rsidRPr="008650B0" w:rsidRDefault="00101CDA" w:rsidP="00101CDA">
            <w:pPr>
              <w:spacing w:after="0" w:line="240" w:lineRule="auto"/>
              <w:jc w:val="right"/>
              <w:rPr>
                <w:b/>
                <w:bCs/>
                <w:color w:val="000000"/>
                <w:sz w:val="18"/>
                <w:szCs w:val="18"/>
                <w:lang w:eastAsia="sk-SK"/>
              </w:rPr>
            </w:pPr>
            <w:r w:rsidRPr="008650B0">
              <w:rPr>
                <w:b/>
                <w:bCs/>
                <w:color w:val="000000"/>
                <w:sz w:val="18"/>
                <w:szCs w:val="18"/>
              </w:rPr>
              <w:t>58,4</w:t>
            </w:r>
          </w:p>
        </w:tc>
        <w:tc>
          <w:tcPr>
            <w:tcW w:w="388" w:type="pct"/>
            <w:tcBorders>
              <w:top w:val="nil"/>
              <w:left w:val="nil"/>
              <w:bottom w:val="nil"/>
              <w:right w:val="nil"/>
            </w:tcBorders>
            <w:shd w:val="clear" w:color="auto" w:fill="auto"/>
            <w:noWrap/>
            <w:vAlign w:val="bottom"/>
            <w:hideMark/>
          </w:tcPr>
          <w:p w14:paraId="2BA42B06" w14:textId="7AC4C764" w:rsidR="00101CDA" w:rsidRPr="008650B0" w:rsidRDefault="00101CDA" w:rsidP="00101CDA">
            <w:pPr>
              <w:spacing w:after="0" w:line="240" w:lineRule="auto"/>
              <w:jc w:val="right"/>
              <w:rPr>
                <w:b/>
                <w:bCs/>
                <w:color w:val="000000"/>
                <w:sz w:val="18"/>
                <w:szCs w:val="18"/>
                <w:lang w:eastAsia="sk-SK"/>
              </w:rPr>
            </w:pPr>
            <w:r w:rsidRPr="008650B0">
              <w:rPr>
                <w:b/>
                <w:bCs/>
                <w:color w:val="000000"/>
                <w:sz w:val="18"/>
                <w:szCs w:val="18"/>
              </w:rPr>
              <w:t>60,2</w:t>
            </w:r>
          </w:p>
        </w:tc>
        <w:tc>
          <w:tcPr>
            <w:tcW w:w="396" w:type="pct"/>
            <w:tcBorders>
              <w:top w:val="nil"/>
              <w:left w:val="nil"/>
              <w:bottom w:val="nil"/>
              <w:right w:val="nil"/>
            </w:tcBorders>
            <w:shd w:val="clear" w:color="auto" w:fill="auto"/>
            <w:noWrap/>
            <w:vAlign w:val="bottom"/>
            <w:hideMark/>
          </w:tcPr>
          <w:p w14:paraId="5413482A" w14:textId="41BFCB53" w:rsidR="00101CDA" w:rsidRPr="008650B0" w:rsidRDefault="00101CDA" w:rsidP="00101CDA">
            <w:pPr>
              <w:spacing w:after="0" w:line="240" w:lineRule="auto"/>
              <w:jc w:val="right"/>
              <w:rPr>
                <w:b/>
                <w:bCs/>
                <w:color w:val="000000"/>
                <w:sz w:val="18"/>
                <w:szCs w:val="18"/>
                <w:lang w:eastAsia="sk-SK"/>
              </w:rPr>
            </w:pPr>
            <w:r w:rsidRPr="008650B0">
              <w:rPr>
                <w:b/>
                <w:bCs/>
                <w:color w:val="000000"/>
                <w:sz w:val="18"/>
                <w:szCs w:val="18"/>
              </w:rPr>
              <w:t>57,7</w:t>
            </w:r>
          </w:p>
        </w:tc>
        <w:tc>
          <w:tcPr>
            <w:tcW w:w="465" w:type="pct"/>
            <w:tcBorders>
              <w:top w:val="nil"/>
              <w:left w:val="nil"/>
              <w:bottom w:val="nil"/>
              <w:right w:val="nil"/>
            </w:tcBorders>
            <w:shd w:val="clear" w:color="auto" w:fill="auto"/>
            <w:noWrap/>
            <w:vAlign w:val="bottom"/>
            <w:hideMark/>
          </w:tcPr>
          <w:p w14:paraId="02C45BF0" w14:textId="640C4EA8" w:rsidR="00101CDA" w:rsidRPr="008650B0" w:rsidRDefault="00101CDA" w:rsidP="00101CDA">
            <w:pPr>
              <w:spacing w:after="0" w:line="240" w:lineRule="auto"/>
              <w:jc w:val="right"/>
              <w:rPr>
                <w:b/>
                <w:bCs/>
                <w:color w:val="000000"/>
                <w:sz w:val="18"/>
                <w:szCs w:val="18"/>
                <w:lang w:eastAsia="sk-SK"/>
              </w:rPr>
            </w:pPr>
            <w:r w:rsidRPr="008650B0">
              <w:rPr>
                <w:b/>
                <w:bCs/>
                <w:color w:val="000000"/>
                <w:sz w:val="18"/>
                <w:szCs w:val="18"/>
              </w:rPr>
              <w:t>56,1</w:t>
            </w:r>
          </w:p>
        </w:tc>
      </w:tr>
      <w:tr w:rsidR="00101CDA" w:rsidRPr="008650B0" w14:paraId="1152D235" w14:textId="77777777" w:rsidTr="00FC747C">
        <w:trPr>
          <w:trHeight w:val="369"/>
          <w:tblHeader/>
        </w:trPr>
        <w:tc>
          <w:tcPr>
            <w:tcW w:w="765" w:type="pct"/>
            <w:tcBorders>
              <w:top w:val="nil"/>
              <w:left w:val="nil"/>
              <w:bottom w:val="nil"/>
              <w:right w:val="nil"/>
            </w:tcBorders>
            <w:shd w:val="clear" w:color="auto" w:fill="auto"/>
            <w:noWrap/>
            <w:vAlign w:val="bottom"/>
            <w:hideMark/>
          </w:tcPr>
          <w:p w14:paraId="3BFD70DB" w14:textId="6CB1300C" w:rsidR="00101CDA" w:rsidRPr="008650B0" w:rsidRDefault="00101CDA" w:rsidP="00101CDA">
            <w:pPr>
              <w:spacing w:after="0" w:line="240" w:lineRule="auto"/>
              <w:rPr>
                <w:b/>
                <w:bCs/>
                <w:color w:val="000000"/>
                <w:sz w:val="18"/>
                <w:szCs w:val="18"/>
                <w:lang w:eastAsia="sk-SK"/>
              </w:rPr>
            </w:pPr>
            <w:r w:rsidRPr="008650B0">
              <w:rPr>
                <w:b/>
                <w:bCs/>
                <w:color w:val="000000"/>
                <w:sz w:val="18"/>
                <w:szCs w:val="18"/>
                <w:lang w:eastAsia="sk-SK"/>
              </w:rPr>
              <w:t>HDP v b. c.</w:t>
            </w:r>
          </w:p>
        </w:tc>
        <w:tc>
          <w:tcPr>
            <w:tcW w:w="505" w:type="pct"/>
            <w:tcBorders>
              <w:top w:val="nil"/>
              <w:left w:val="nil"/>
              <w:bottom w:val="nil"/>
              <w:right w:val="nil"/>
            </w:tcBorders>
            <w:shd w:val="clear" w:color="auto" w:fill="auto"/>
            <w:noWrap/>
            <w:vAlign w:val="bottom"/>
            <w:hideMark/>
          </w:tcPr>
          <w:p w14:paraId="04DF643E" w14:textId="77777777" w:rsidR="00101CDA" w:rsidRPr="008650B0" w:rsidRDefault="00101CDA" w:rsidP="00101CDA">
            <w:pPr>
              <w:spacing w:after="0" w:line="240" w:lineRule="auto"/>
              <w:jc w:val="center"/>
              <w:rPr>
                <w:color w:val="000000"/>
                <w:sz w:val="18"/>
                <w:szCs w:val="18"/>
                <w:lang w:eastAsia="sk-SK"/>
              </w:rPr>
            </w:pPr>
            <w:r w:rsidRPr="008650B0">
              <w:rPr>
                <w:color w:val="000000"/>
                <w:sz w:val="18"/>
                <w:szCs w:val="18"/>
                <w:lang w:eastAsia="sk-SK"/>
              </w:rPr>
              <w:t>mil. EUR</w:t>
            </w:r>
          </w:p>
        </w:tc>
        <w:tc>
          <w:tcPr>
            <w:tcW w:w="352" w:type="pct"/>
            <w:tcBorders>
              <w:top w:val="nil"/>
              <w:left w:val="nil"/>
              <w:bottom w:val="nil"/>
              <w:right w:val="nil"/>
            </w:tcBorders>
            <w:shd w:val="clear" w:color="auto" w:fill="auto"/>
            <w:noWrap/>
            <w:vAlign w:val="bottom"/>
            <w:hideMark/>
          </w:tcPr>
          <w:p w14:paraId="133C6D10" w14:textId="709203A8" w:rsidR="00101CDA" w:rsidRPr="008650B0" w:rsidRDefault="00101CDA" w:rsidP="00101CDA">
            <w:pPr>
              <w:spacing w:after="0" w:line="240" w:lineRule="auto"/>
              <w:jc w:val="right"/>
              <w:rPr>
                <w:sz w:val="18"/>
                <w:szCs w:val="18"/>
                <w:lang w:eastAsia="sk-SK"/>
              </w:rPr>
            </w:pPr>
            <w:r w:rsidRPr="008650B0">
              <w:rPr>
                <w:color w:val="000000"/>
                <w:sz w:val="18"/>
                <w:szCs w:val="18"/>
              </w:rPr>
              <w:t>76 562</w:t>
            </w:r>
          </w:p>
        </w:tc>
        <w:tc>
          <w:tcPr>
            <w:tcW w:w="352" w:type="pct"/>
            <w:tcBorders>
              <w:top w:val="nil"/>
              <w:left w:val="nil"/>
              <w:bottom w:val="nil"/>
              <w:right w:val="nil"/>
            </w:tcBorders>
            <w:shd w:val="clear" w:color="auto" w:fill="auto"/>
            <w:noWrap/>
            <w:vAlign w:val="bottom"/>
            <w:hideMark/>
          </w:tcPr>
          <w:p w14:paraId="1030AC86" w14:textId="0CB757FB" w:rsidR="00101CDA" w:rsidRPr="008650B0" w:rsidRDefault="00101CDA" w:rsidP="00101CDA">
            <w:pPr>
              <w:spacing w:after="0" w:line="240" w:lineRule="auto"/>
              <w:jc w:val="right"/>
              <w:rPr>
                <w:sz w:val="18"/>
                <w:szCs w:val="18"/>
                <w:lang w:eastAsia="sk-SK"/>
              </w:rPr>
            </w:pPr>
            <w:r w:rsidRPr="008650B0">
              <w:rPr>
                <w:color w:val="000000"/>
                <w:sz w:val="18"/>
                <w:szCs w:val="18"/>
              </w:rPr>
              <w:t>80 376</w:t>
            </w:r>
          </w:p>
        </w:tc>
        <w:tc>
          <w:tcPr>
            <w:tcW w:w="352" w:type="pct"/>
            <w:tcBorders>
              <w:top w:val="nil"/>
              <w:left w:val="nil"/>
              <w:bottom w:val="nil"/>
              <w:right w:val="nil"/>
            </w:tcBorders>
            <w:shd w:val="clear" w:color="auto" w:fill="auto"/>
            <w:noWrap/>
            <w:vAlign w:val="bottom"/>
            <w:hideMark/>
          </w:tcPr>
          <w:p w14:paraId="36573C83" w14:textId="354D5AA0" w:rsidR="00101CDA" w:rsidRPr="008650B0" w:rsidRDefault="00101CDA" w:rsidP="00101CDA">
            <w:pPr>
              <w:spacing w:after="0" w:line="240" w:lineRule="auto"/>
              <w:jc w:val="right"/>
              <w:rPr>
                <w:sz w:val="18"/>
                <w:szCs w:val="18"/>
                <w:lang w:eastAsia="sk-SK"/>
              </w:rPr>
            </w:pPr>
            <w:r w:rsidRPr="008650B0">
              <w:rPr>
                <w:color w:val="000000"/>
                <w:sz w:val="18"/>
                <w:szCs w:val="18"/>
              </w:rPr>
              <w:t>81 622</w:t>
            </w:r>
          </w:p>
        </w:tc>
        <w:tc>
          <w:tcPr>
            <w:tcW w:w="352" w:type="pct"/>
            <w:tcBorders>
              <w:top w:val="nil"/>
              <w:left w:val="nil"/>
              <w:bottom w:val="nil"/>
              <w:right w:val="nil"/>
            </w:tcBorders>
            <w:shd w:val="clear" w:color="auto" w:fill="auto"/>
            <w:noWrap/>
            <w:vAlign w:val="bottom"/>
            <w:hideMark/>
          </w:tcPr>
          <w:p w14:paraId="4BB95165" w14:textId="0AEC9C94" w:rsidR="00101CDA" w:rsidRPr="008650B0" w:rsidRDefault="00101CDA" w:rsidP="00101CDA">
            <w:pPr>
              <w:spacing w:after="0" w:line="240" w:lineRule="auto"/>
              <w:jc w:val="right"/>
              <w:rPr>
                <w:sz w:val="18"/>
                <w:szCs w:val="18"/>
                <w:lang w:eastAsia="sk-SK"/>
              </w:rPr>
            </w:pPr>
            <w:r w:rsidRPr="008650B0">
              <w:rPr>
                <w:color w:val="000000"/>
                <w:sz w:val="18"/>
                <w:szCs w:val="18"/>
              </w:rPr>
              <w:t>84 960</w:t>
            </w:r>
          </w:p>
        </w:tc>
        <w:tc>
          <w:tcPr>
            <w:tcW w:w="355" w:type="pct"/>
            <w:tcBorders>
              <w:top w:val="nil"/>
              <w:left w:val="nil"/>
              <w:bottom w:val="nil"/>
              <w:right w:val="nil"/>
            </w:tcBorders>
            <w:shd w:val="clear" w:color="auto" w:fill="auto"/>
            <w:noWrap/>
            <w:vAlign w:val="bottom"/>
            <w:hideMark/>
          </w:tcPr>
          <w:p w14:paraId="1F74676F" w14:textId="4A1D6093" w:rsidR="00101CDA" w:rsidRPr="008650B0" w:rsidRDefault="00101CDA" w:rsidP="00101CDA">
            <w:pPr>
              <w:spacing w:after="0" w:line="240" w:lineRule="auto"/>
              <w:jc w:val="right"/>
              <w:rPr>
                <w:sz w:val="18"/>
                <w:szCs w:val="18"/>
                <w:lang w:eastAsia="sk-SK"/>
              </w:rPr>
            </w:pPr>
            <w:r w:rsidRPr="008650B0">
              <w:rPr>
                <w:color w:val="000000"/>
                <w:sz w:val="18"/>
                <w:szCs w:val="18"/>
              </w:rPr>
              <w:t>90 276</w:t>
            </w:r>
          </w:p>
        </w:tc>
        <w:tc>
          <w:tcPr>
            <w:tcW w:w="366" w:type="pct"/>
            <w:tcBorders>
              <w:top w:val="nil"/>
              <w:left w:val="nil"/>
              <w:bottom w:val="nil"/>
              <w:right w:val="nil"/>
            </w:tcBorders>
            <w:shd w:val="clear" w:color="auto" w:fill="auto"/>
            <w:noWrap/>
            <w:vAlign w:val="bottom"/>
            <w:hideMark/>
          </w:tcPr>
          <w:p w14:paraId="4FB0DBB3" w14:textId="27A1DBF8" w:rsidR="00101CDA" w:rsidRPr="008650B0" w:rsidRDefault="00101CDA" w:rsidP="00101CDA">
            <w:pPr>
              <w:spacing w:after="0" w:line="240" w:lineRule="auto"/>
              <w:jc w:val="right"/>
              <w:rPr>
                <w:sz w:val="18"/>
                <w:szCs w:val="18"/>
                <w:lang w:eastAsia="sk-SK"/>
              </w:rPr>
            </w:pPr>
            <w:r w:rsidRPr="008650B0">
              <w:rPr>
                <w:color w:val="000000"/>
                <w:sz w:val="18"/>
                <w:szCs w:val="18"/>
              </w:rPr>
              <w:t>94 547</w:t>
            </w:r>
          </w:p>
        </w:tc>
        <w:tc>
          <w:tcPr>
            <w:tcW w:w="352" w:type="pct"/>
            <w:tcBorders>
              <w:top w:val="nil"/>
              <w:left w:val="nil"/>
              <w:bottom w:val="nil"/>
              <w:right w:val="nil"/>
            </w:tcBorders>
            <w:shd w:val="clear" w:color="auto" w:fill="auto"/>
            <w:noWrap/>
            <w:vAlign w:val="bottom"/>
            <w:hideMark/>
          </w:tcPr>
          <w:p w14:paraId="4EE93BB7" w14:textId="68E83FA2" w:rsidR="00101CDA" w:rsidRPr="008650B0" w:rsidRDefault="00101CDA" w:rsidP="00101CDA">
            <w:pPr>
              <w:spacing w:after="0" w:line="240" w:lineRule="auto"/>
              <w:jc w:val="right"/>
              <w:rPr>
                <w:sz w:val="18"/>
                <w:szCs w:val="18"/>
                <w:lang w:eastAsia="sk-SK"/>
              </w:rPr>
            </w:pPr>
            <w:r w:rsidRPr="008650B0">
              <w:rPr>
                <w:color w:val="000000"/>
                <w:sz w:val="18"/>
                <w:szCs w:val="18"/>
              </w:rPr>
              <w:t>94 321</w:t>
            </w:r>
          </w:p>
        </w:tc>
        <w:tc>
          <w:tcPr>
            <w:tcW w:w="388" w:type="pct"/>
            <w:tcBorders>
              <w:top w:val="nil"/>
              <w:left w:val="nil"/>
              <w:bottom w:val="nil"/>
              <w:right w:val="nil"/>
            </w:tcBorders>
            <w:shd w:val="clear" w:color="auto" w:fill="auto"/>
            <w:noWrap/>
            <w:vAlign w:val="bottom"/>
            <w:hideMark/>
          </w:tcPr>
          <w:p w14:paraId="64A4C594" w14:textId="55597442" w:rsidR="00101CDA" w:rsidRPr="008650B0" w:rsidRDefault="00101CDA" w:rsidP="00101CDA">
            <w:pPr>
              <w:spacing w:after="0" w:line="240" w:lineRule="auto"/>
              <w:jc w:val="right"/>
              <w:rPr>
                <w:sz w:val="18"/>
                <w:szCs w:val="18"/>
                <w:lang w:eastAsia="sk-SK"/>
              </w:rPr>
            </w:pPr>
            <w:r w:rsidRPr="008650B0">
              <w:rPr>
                <w:color w:val="000000"/>
                <w:sz w:val="18"/>
                <w:szCs w:val="18"/>
              </w:rPr>
              <w:t>101 960</w:t>
            </w:r>
          </w:p>
        </w:tc>
        <w:tc>
          <w:tcPr>
            <w:tcW w:w="396" w:type="pct"/>
            <w:tcBorders>
              <w:top w:val="nil"/>
              <w:left w:val="nil"/>
              <w:bottom w:val="nil"/>
              <w:right w:val="nil"/>
            </w:tcBorders>
            <w:shd w:val="clear" w:color="auto" w:fill="auto"/>
            <w:noWrap/>
            <w:vAlign w:val="bottom"/>
            <w:hideMark/>
          </w:tcPr>
          <w:p w14:paraId="203CA066" w14:textId="6D9ED21C" w:rsidR="00101CDA" w:rsidRPr="008650B0" w:rsidRDefault="00101CDA" w:rsidP="00101CDA">
            <w:pPr>
              <w:spacing w:after="0" w:line="240" w:lineRule="auto"/>
              <w:jc w:val="right"/>
              <w:rPr>
                <w:sz w:val="18"/>
                <w:szCs w:val="18"/>
                <w:lang w:eastAsia="sk-SK"/>
              </w:rPr>
            </w:pPr>
            <w:r w:rsidRPr="008650B0">
              <w:rPr>
                <w:color w:val="000000"/>
                <w:sz w:val="18"/>
                <w:szCs w:val="18"/>
              </w:rPr>
              <w:t>110 089</w:t>
            </w:r>
          </w:p>
        </w:tc>
        <w:tc>
          <w:tcPr>
            <w:tcW w:w="465" w:type="pct"/>
            <w:tcBorders>
              <w:top w:val="nil"/>
              <w:left w:val="nil"/>
              <w:bottom w:val="nil"/>
              <w:right w:val="nil"/>
            </w:tcBorders>
            <w:shd w:val="clear" w:color="auto" w:fill="auto"/>
            <w:noWrap/>
            <w:vAlign w:val="bottom"/>
            <w:hideMark/>
          </w:tcPr>
          <w:p w14:paraId="50E23688" w14:textId="7E440377" w:rsidR="00101CDA" w:rsidRPr="008650B0" w:rsidRDefault="00101CDA" w:rsidP="00101CDA">
            <w:pPr>
              <w:spacing w:after="0" w:line="240" w:lineRule="auto"/>
              <w:jc w:val="right"/>
              <w:rPr>
                <w:sz w:val="18"/>
                <w:szCs w:val="18"/>
                <w:lang w:eastAsia="sk-SK"/>
              </w:rPr>
            </w:pPr>
            <w:r w:rsidRPr="008650B0">
              <w:rPr>
                <w:color w:val="000000"/>
                <w:sz w:val="18"/>
                <w:szCs w:val="18"/>
              </w:rPr>
              <w:t>122 919</w:t>
            </w:r>
          </w:p>
        </w:tc>
      </w:tr>
      <w:tr w:rsidR="007E2AA4" w:rsidRPr="008650B0" w14:paraId="179FB203" w14:textId="77777777" w:rsidTr="00FC747C">
        <w:trPr>
          <w:trHeight w:val="416"/>
          <w:tblHeader/>
        </w:trPr>
        <w:tc>
          <w:tcPr>
            <w:tcW w:w="765" w:type="pct"/>
            <w:tcBorders>
              <w:top w:val="nil"/>
              <w:left w:val="nil"/>
              <w:bottom w:val="single" w:sz="4" w:space="0" w:color="auto"/>
              <w:right w:val="nil"/>
            </w:tcBorders>
            <w:shd w:val="clear" w:color="auto" w:fill="auto"/>
            <w:noWrap/>
            <w:vAlign w:val="center"/>
            <w:hideMark/>
          </w:tcPr>
          <w:p w14:paraId="068DEC59" w14:textId="77777777" w:rsidR="007E2AA4" w:rsidRPr="008650B0" w:rsidRDefault="007E2AA4" w:rsidP="007E2AA4">
            <w:pPr>
              <w:spacing w:after="0" w:line="240" w:lineRule="auto"/>
              <w:rPr>
                <w:b/>
                <w:bCs/>
                <w:color w:val="000000"/>
                <w:sz w:val="18"/>
                <w:szCs w:val="18"/>
                <w:lang w:eastAsia="sk-SK"/>
              </w:rPr>
            </w:pPr>
            <w:r w:rsidRPr="008650B0">
              <w:rPr>
                <w:b/>
                <w:bCs/>
                <w:color w:val="000000"/>
                <w:sz w:val="18"/>
                <w:szCs w:val="18"/>
                <w:lang w:eastAsia="sk-SK"/>
              </w:rPr>
              <w:t>HDP v s.c.</w:t>
            </w:r>
            <w:r w:rsidRPr="008650B0">
              <w:rPr>
                <w:b/>
                <w:bCs/>
                <w:color w:val="000000"/>
                <w:sz w:val="18"/>
                <w:szCs w:val="18"/>
                <w:vertAlign w:val="superscript"/>
                <w:lang w:eastAsia="sk-SK"/>
              </w:rPr>
              <w:t>1)</w:t>
            </w:r>
          </w:p>
        </w:tc>
        <w:tc>
          <w:tcPr>
            <w:tcW w:w="505" w:type="pct"/>
            <w:tcBorders>
              <w:top w:val="nil"/>
              <w:left w:val="nil"/>
              <w:bottom w:val="single" w:sz="4" w:space="0" w:color="auto"/>
              <w:right w:val="nil"/>
            </w:tcBorders>
            <w:shd w:val="clear" w:color="auto" w:fill="auto"/>
            <w:noWrap/>
            <w:vAlign w:val="center"/>
            <w:hideMark/>
          </w:tcPr>
          <w:p w14:paraId="0DB0C177" w14:textId="77777777" w:rsidR="007E2AA4" w:rsidRPr="008650B0" w:rsidRDefault="007E2AA4" w:rsidP="007E2AA4">
            <w:pPr>
              <w:spacing w:after="0" w:line="240" w:lineRule="auto"/>
              <w:jc w:val="center"/>
              <w:rPr>
                <w:color w:val="000000"/>
                <w:sz w:val="18"/>
                <w:szCs w:val="18"/>
                <w:lang w:eastAsia="sk-SK"/>
              </w:rPr>
            </w:pPr>
            <w:r w:rsidRPr="008650B0">
              <w:rPr>
                <w:color w:val="000000"/>
                <w:sz w:val="18"/>
                <w:szCs w:val="18"/>
                <w:lang w:eastAsia="sk-SK"/>
              </w:rPr>
              <w:t>%</w:t>
            </w:r>
          </w:p>
        </w:tc>
        <w:tc>
          <w:tcPr>
            <w:tcW w:w="352" w:type="pct"/>
            <w:tcBorders>
              <w:top w:val="nil"/>
              <w:left w:val="nil"/>
              <w:bottom w:val="single" w:sz="4" w:space="0" w:color="auto"/>
              <w:right w:val="nil"/>
            </w:tcBorders>
            <w:shd w:val="clear" w:color="auto" w:fill="auto"/>
            <w:noWrap/>
            <w:vAlign w:val="center"/>
            <w:hideMark/>
          </w:tcPr>
          <w:p w14:paraId="3C26B1BE" w14:textId="326789D4" w:rsidR="007E2AA4" w:rsidRPr="008650B0" w:rsidRDefault="007E2AA4" w:rsidP="007E2AA4">
            <w:pPr>
              <w:spacing w:after="0" w:line="240" w:lineRule="auto"/>
              <w:jc w:val="right"/>
              <w:rPr>
                <w:b/>
                <w:bCs/>
                <w:color w:val="000000"/>
                <w:sz w:val="18"/>
                <w:szCs w:val="18"/>
                <w:lang w:eastAsia="sk-SK"/>
              </w:rPr>
            </w:pPr>
            <w:r w:rsidRPr="008650B0">
              <w:rPr>
                <w:b/>
                <w:bCs/>
                <w:color w:val="000000"/>
                <w:sz w:val="20"/>
                <w:szCs w:val="20"/>
              </w:rPr>
              <w:t>2,7</w:t>
            </w:r>
          </w:p>
        </w:tc>
        <w:tc>
          <w:tcPr>
            <w:tcW w:w="352" w:type="pct"/>
            <w:tcBorders>
              <w:top w:val="nil"/>
              <w:left w:val="nil"/>
              <w:bottom w:val="single" w:sz="4" w:space="0" w:color="auto"/>
              <w:right w:val="nil"/>
            </w:tcBorders>
            <w:shd w:val="clear" w:color="auto" w:fill="auto"/>
            <w:noWrap/>
            <w:vAlign w:val="center"/>
            <w:hideMark/>
          </w:tcPr>
          <w:p w14:paraId="337DA4E2" w14:textId="52AE6C98" w:rsidR="007E2AA4" w:rsidRPr="008650B0" w:rsidRDefault="007E2AA4" w:rsidP="007E2AA4">
            <w:pPr>
              <w:spacing w:after="0" w:line="240" w:lineRule="auto"/>
              <w:jc w:val="right"/>
              <w:rPr>
                <w:b/>
                <w:bCs/>
                <w:color w:val="000000"/>
                <w:sz w:val="18"/>
                <w:szCs w:val="18"/>
                <w:lang w:eastAsia="sk-SK"/>
              </w:rPr>
            </w:pPr>
            <w:r w:rsidRPr="008650B0">
              <w:rPr>
                <w:b/>
                <w:bCs/>
                <w:color w:val="000000"/>
                <w:sz w:val="20"/>
                <w:szCs w:val="20"/>
              </w:rPr>
              <w:t>5,2</w:t>
            </w:r>
          </w:p>
        </w:tc>
        <w:tc>
          <w:tcPr>
            <w:tcW w:w="352" w:type="pct"/>
            <w:tcBorders>
              <w:top w:val="nil"/>
              <w:left w:val="nil"/>
              <w:bottom w:val="single" w:sz="4" w:space="0" w:color="auto"/>
              <w:right w:val="nil"/>
            </w:tcBorders>
            <w:shd w:val="clear" w:color="auto" w:fill="auto"/>
            <w:noWrap/>
            <w:vAlign w:val="center"/>
            <w:hideMark/>
          </w:tcPr>
          <w:p w14:paraId="762B4A4A" w14:textId="06F9CA17" w:rsidR="007E2AA4" w:rsidRPr="008650B0" w:rsidRDefault="007E2AA4" w:rsidP="007E2AA4">
            <w:pPr>
              <w:spacing w:after="0" w:line="240" w:lineRule="auto"/>
              <w:jc w:val="right"/>
              <w:rPr>
                <w:b/>
                <w:bCs/>
                <w:color w:val="000000"/>
                <w:sz w:val="18"/>
                <w:szCs w:val="18"/>
                <w:lang w:eastAsia="sk-SK"/>
              </w:rPr>
            </w:pPr>
            <w:r w:rsidRPr="008650B0">
              <w:rPr>
                <w:b/>
                <w:bCs/>
                <w:color w:val="000000"/>
                <w:sz w:val="20"/>
                <w:szCs w:val="20"/>
              </w:rPr>
              <w:t>1,9</w:t>
            </w:r>
          </w:p>
        </w:tc>
        <w:tc>
          <w:tcPr>
            <w:tcW w:w="352" w:type="pct"/>
            <w:tcBorders>
              <w:top w:val="nil"/>
              <w:left w:val="nil"/>
              <w:bottom w:val="single" w:sz="4" w:space="0" w:color="auto"/>
              <w:right w:val="nil"/>
            </w:tcBorders>
            <w:shd w:val="clear" w:color="auto" w:fill="auto"/>
            <w:noWrap/>
            <w:vAlign w:val="center"/>
            <w:hideMark/>
          </w:tcPr>
          <w:p w14:paraId="75CDF111" w14:textId="6DE11E09" w:rsidR="007E2AA4" w:rsidRPr="008650B0" w:rsidRDefault="007E2AA4" w:rsidP="007E2AA4">
            <w:pPr>
              <w:spacing w:after="0" w:line="240" w:lineRule="auto"/>
              <w:jc w:val="right"/>
              <w:rPr>
                <w:b/>
                <w:bCs/>
                <w:color w:val="000000"/>
                <w:sz w:val="18"/>
                <w:szCs w:val="18"/>
                <w:lang w:eastAsia="sk-SK"/>
              </w:rPr>
            </w:pPr>
            <w:r w:rsidRPr="008650B0">
              <w:rPr>
                <w:b/>
                <w:bCs/>
                <w:color w:val="000000"/>
                <w:sz w:val="20"/>
                <w:szCs w:val="20"/>
              </w:rPr>
              <w:t>2,9</w:t>
            </w:r>
          </w:p>
        </w:tc>
        <w:tc>
          <w:tcPr>
            <w:tcW w:w="355" w:type="pct"/>
            <w:tcBorders>
              <w:top w:val="nil"/>
              <w:left w:val="nil"/>
              <w:bottom w:val="single" w:sz="4" w:space="0" w:color="auto"/>
              <w:right w:val="nil"/>
            </w:tcBorders>
            <w:shd w:val="clear" w:color="auto" w:fill="auto"/>
            <w:noWrap/>
            <w:vAlign w:val="center"/>
            <w:hideMark/>
          </w:tcPr>
          <w:p w14:paraId="78A60080" w14:textId="6722085D" w:rsidR="007E2AA4" w:rsidRPr="008650B0" w:rsidRDefault="007E2AA4" w:rsidP="007E2AA4">
            <w:pPr>
              <w:spacing w:after="0" w:line="240" w:lineRule="auto"/>
              <w:jc w:val="right"/>
              <w:rPr>
                <w:b/>
                <w:bCs/>
                <w:color w:val="000000"/>
                <w:sz w:val="18"/>
                <w:szCs w:val="18"/>
                <w:lang w:eastAsia="sk-SK"/>
              </w:rPr>
            </w:pPr>
            <w:r w:rsidRPr="008650B0">
              <w:rPr>
                <w:b/>
                <w:bCs/>
                <w:color w:val="000000"/>
                <w:sz w:val="20"/>
                <w:szCs w:val="20"/>
              </w:rPr>
              <w:t>4,1</w:t>
            </w:r>
          </w:p>
        </w:tc>
        <w:tc>
          <w:tcPr>
            <w:tcW w:w="366" w:type="pct"/>
            <w:tcBorders>
              <w:top w:val="nil"/>
              <w:left w:val="nil"/>
              <w:bottom w:val="single" w:sz="4" w:space="0" w:color="auto"/>
              <w:right w:val="nil"/>
            </w:tcBorders>
            <w:shd w:val="clear" w:color="auto" w:fill="auto"/>
            <w:noWrap/>
            <w:vAlign w:val="center"/>
            <w:hideMark/>
          </w:tcPr>
          <w:p w14:paraId="136E1AED" w14:textId="01C2FCDE" w:rsidR="007E2AA4" w:rsidRPr="008650B0" w:rsidRDefault="007E2AA4" w:rsidP="007E2AA4">
            <w:pPr>
              <w:spacing w:after="0" w:line="240" w:lineRule="auto"/>
              <w:jc w:val="right"/>
              <w:rPr>
                <w:b/>
                <w:bCs/>
                <w:color w:val="000000"/>
                <w:sz w:val="18"/>
                <w:szCs w:val="18"/>
                <w:lang w:eastAsia="sk-SK"/>
              </w:rPr>
            </w:pPr>
            <w:r w:rsidRPr="008650B0">
              <w:rPr>
                <w:b/>
                <w:bCs/>
                <w:color w:val="000000"/>
                <w:sz w:val="20"/>
                <w:szCs w:val="20"/>
              </w:rPr>
              <w:t>2,3</w:t>
            </w:r>
          </w:p>
        </w:tc>
        <w:tc>
          <w:tcPr>
            <w:tcW w:w="352" w:type="pct"/>
            <w:tcBorders>
              <w:top w:val="nil"/>
              <w:left w:val="nil"/>
              <w:bottom w:val="single" w:sz="4" w:space="0" w:color="auto"/>
              <w:right w:val="nil"/>
            </w:tcBorders>
            <w:shd w:val="clear" w:color="auto" w:fill="auto"/>
            <w:noWrap/>
            <w:vAlign w:val="center"/>
            <w:hideMark/>
          </w:tcPr>
          <w:p w14:paraId="020BA349" w14:textId="267C5F87" w:rsidR="007E2AA4" w:rsidRPr="008650B0" w:rsidRDefault="007E2AA4" w:rsidP="007E2AA4">
            <w:pPr>
              <w:spacing w:after="0" w:line="240" w:lineRule="auto"/>
              <w:jc w:val="right"/>
              <w:rPr>
                <w:b/>
                <w:bCs/>
                <w:color w:val="000000"/>
                <w:sz w:val="18"/>
                <w:szCs w:val="18"/>
                <w:lang w:eastAsia="sk-SK"/>
              </w:rPr>
            </w:pPr>
            <w:r w:rsidRPr="008650B0">
              <w:rPr>
                <w:b/>
                <w:bCs/>
                <w:color w:val="000000"/>
                <w:sz w:val="20"/>
                <w:szCs w:val="20"/>
              </w:rPr>
              <w:t>-2,6</w:t>
            </w:r>
          </w:p>
        </w:tc>
        <w:tc>
          <w:tcPr>
            <w:tcW w:w="388" w:type="pct"/>
            <w:tcBorders>
              <w:top w:val="nil"/>
              <w:left w:val="nil"/>
              <w:bottom w:val="single" w:sz="4" w:space="0" w:color="auto"/>
              <w:right w:val="nil"/>
            </w:tcBorders>
            <w:shd w:val="clear" w:color="auto" w:fill="auto"/>
            <w:noWrap/>
            <w:vAlign w:val="center"/>
            <w:hideMark/>
          </w:tcPr>
          <w:p w14:paraId="1383C8F1" w14:textId="4687D238" w:rsidR="007E2AA4" w:rsidRPr="008650B0" w:rsidRDefault="007E2AA4" w:rsidP="007E2AA4">
            <w:pPr>
              <w:spacing w:after="0" w:line="240" w:lineRule="auto"/>
              <w:jc w:val="right"/>
              <w:rPr>
                <w:b/>
                <w:bCs/>
                <w:color w:val="000000"/>
                <w:sz w:val="18"/>
                <w:szCs w:val="18"/>
                <w:lang w:eastAsia="sk-SK"/>
              </w:rPr>
            </w:pPr>
            <w:r w:rsidRPr="008650B0">
              <w:rPr>
                <w:b/>
                <w:bCs/>
                <w:color w:val="000000"/>
                <w:sz w:val="20"/>
                <w:szCs w:val="20"/>
              </w:rPr>
              <w:t>5,7</w:t>
            </w:r>
          </w:p>
        </w:tc>
        <w:tc>
          <w:tcPr>
            <w:tcW w:w="396" w:type="pct"/>
            <w:tcBorders>
              <w:top w:val="nil"/>
              <w:left w:val="nil"/>
              <w:bottom w:val="single" w:sz="4" w:space="0" w:color="auto"/>
              <w:right w:val="nil"/>
            </w:tcBorders>
            <w:shd w:val="clear" w:color="auto" w:fill="auto"/>
            <w:noWrap/>
            <w:vAlign w:val="center"/>
            <w:hideMark/>
          </w:tcPr>
          <w:p w14:paraId="41C0797B" w14:textId="6C40352B" w:rsidR="007E2AA4" w:rsidRPr="008650B0" w:rsidRDefault="007E2AA4" w:rsidP="007E2AA4">
            <w:pPr>
              <w:spacing w:after="0" w:line="240" w:lineRule="auto"/>
              <w:jc w:val="right"/>
              <w:rPr>
                <w:b/>
                <w:bCs/>
                <w:color w:val="000000"/>
                <w:sz w:val="18"/>
                <w:szCs w:val="18"/>
                <w:lang w:eastAsia="sk-SK"/>
              </w:rPr>
            </w:pPr>
            <w:r w:rsidRPr="008650B0">
              <w:rPr>
                <w:b/>
                <w:bCs/>
                <w:color w:val="000000"/>
                <w:sz w:val="20"/>
                <w:szCs w:val="20"/>
              </w:rPr>
              <w:t>0,4</w:t>
            </w:r>
          </w:p>
        </w:tc>
        <w:tc>
          <w:tcPr>
            <w:tcW w:w="465" w:type="pct"/>
            <w:tcBorders>
              <w:top w:val="nil"/>
              <w:left w:val="nil"/>
              <w:bottom w:val="single" w:sz="4" w:space="0" w:color="auto"/>
              <w:right w:val="nil"/>
            </w:tcBorders>
            <w:shd w:val="clear" w:color="auto" w:fill="auto"/>
            <w:noWrap/>
            <w:vAlign w:val="center"/>
            <w:hideMark/>
          </w:tcPr>
          <w:p w14:paraId="10012972" w14:textId="426DD2EB" w:rsidR="007E2AA4" w:rsidRPr="008650B0" w:rsidRDefault="007E2AA4" w:rsidP="007E2AA4">
            <w:pPr>
              <w:spacing w:after="0" w:line="240" w:lineRule="auto"/>
              <w:jc w:val="right"/>
              <w:rPr>
                <w:b/>
                <w:bCs/>
                <w:color w:val="000000"/>
                <w:sz w:val="18"/>
                <w:szCs w:val="18"/>
                <w:lang w:eastAsia="sk-SK"/>
              </w:rPr>
            </w:pPr>
            <w:r w:rsidRPr="008650B0">
              <w:rPr>
                <w:b/>
                <w:bCs/>
                <w:color w:val="000000"/>
                <w:sz w:val="20"/>
                <w:szCs w:val="20"/>
              </w:rPr>
              <w:t>1,4</w:t>
            </w:r>
          </w:p>
        </w:tc>
      </w:tr>
    </w:tbl>
    <w:p w14:paraId="070F22A8" w14:textId="39CBECD4" w:rsidR="005D6D25" w:rsidRPr="002D2371" w:rsidRDefault="005D6D25" w:rsidP="005D6D25">
      <w:pPr>
        <w:ind w:right="-427"/>
        <w:rPr>
          <w:color w:val="000000"/>
          <w:sz w:val="16"/>
          <w:szCs w:val="16"/>
          <w:lang w:eastAsia="sk-SK"/>
        </w:rPr>
      </w:pPr>
      <w:r w:rsidRPr="008650B0">
        <w:rPr>
          <w:color w:val="000000"/>
          <w:sz w:val="16"/>
          <w:szCs w:val="16"/>
          <w:vertAlign w:val="superscript"/>
          <w:lang w:eastAsia="sk-SK"/>
        </w:rPr>
        <w:t xml:space="preserve">1) </w:t>
      </w:r>
      <w:r w:rsidRPr="008650B0">
        <w:rPr>
          <w:color w:val="000000"/>
          <w:sz w:val="16"/>
          <w:szCs w:val="16"/>
          <w:lang w:eastAsia="sk-SK"/>
        </w:rPr>
        <w:t xml:space="preserve">Údaje sú v stálych cenách vypočítaných reťazením objemov s </w:t>
      </w:r>
      <w:r w:rsidR="00F05C16">
        <w:rPr>
          <w:color w:val="000000"/>
          <w:sz w:val="16"/>
          <w:szCs w:val="16"/>
          <w:lang w:eastAsia="sk-SK"/>
        </w:rPr>
        <w:t>použitím referenčného roka 2020</w:t>
      </w:r>
      <w:r w:rsidRPr="008650B0">
        <w:rPr>
          <w:color w:val="000000"/>
          <w:sz w:val="16"/>
          <w:szCs w:val="16"/>
          <w:lang w:eastAsia="sk-SK"/>
        </w:rPr>
        <w:t>.</w:t>
      </w:r>
      <w:r w:rsidRPr="002D2371">
        <w:rPr>
          <w:color w:val="000000"/>
          <w:sz w:val="16"/>
          <w:szCs w:val="16"/>
          <w:lang w:eastAsia="sk-SK"/>
        </w:rPr>
        <w:tab/>
        <w:t xml:space="preserve">                                     Zdroj: Eurostat, ŠÚ SR</w:t>
      </w:r>
    </w:p>
    <w:p w14:paraId="1E8D5572" w14:textId="67626FB0" w:rsidR="003D050C" w:rsidRPr="006972E2" w:rsidRDefault="00B051D3" w:rsidP="00AA46C8">
      <w:pPr>
        <w:pStyle w:val="Nadpis2"/>
        <w:numPr>
          <w:ilvl w:val="0"/>
          <w:numId w:val="0"/>
        </w:numPr>
        <w:ind w:left="896"/>
      </w:pPr>
      <w:bookmarkStart w:id="18" w:name="_Toc181095960"/>
      <w:r w:rsidRPr="006972E2">
        <w:t>1.</w:t>
      </w:r>
      <w:r w:rsidR="008E7556" w:rsidRPr="006972E2">
        <w:t>2</w:t>
      </w:r>
      <w:r w:rsidRPr="006972E2">
        <w:t xml:space="preserve">. </w:t>
      </w:r>
      <w:bookmarkStart w:id="19" w:name="_Toc496786974"/>
      <w:r w:rsidR="00C102B8" w:rsidRPr="006972E2">
        <w:tab/>
      </w:r>
      <w:r w:rsidR="003D050C" w:rsidRPr="006972E2">
        <w:t>Saldo verejnej správy</w:t>
      </w:r>
      <w:bookmarkEnd w:id="19"/>
      <w:bookmarkEnd w:id="18"/>
    </w:p>
    <w:p w14:paraId="38E60C56" w14:textId="77777777" w:rsidR="002D19D1" w:rsidRPr="00847AF7" w:rsidRDefault="002D19D1" w:rsidP="002D19D1">
      <w:pPr>
        <w:pStyle w:val="Popis"/>
        <w:framePr w:wrap="around" w:x="868" w:y="867"/>
      </w:pPr>
      <w:r w:rsidRPr="00847AF7">
        <w:t xml:space="preserve">Tabuľka </w:t>
      </w:r>
      <w:r w:rsidR="001F05DE">
        <w:fldChar w:fldCharType="begin"/>
      </w:r>
      <w:r w:rsidR="001F05DE">
        <w:instrText xml:space="preserve"> SEQ Tabuľka \* ARABIC </w:instrText>
      </w:r>
      <w:r w:rsidR="001F05DE">
        <w:fldChar w:fldCharType="separate"/>
      </w:r>
      <w:r w:rsidRPr="00847AF7">
        <w:rPr>
          <w:noProof/>
        </w:rPr>
        <w:t>4</w:t>
      </w:r>
      <w:r w:rsidR="001F05DE">
        <w:rPr>
          <w:noProof/>
        </w:rPr>
        <w:fldChar w:fldCharType="end"/>
      </w:r>
      <w:r w:rsidRPr="00847AF7">
        <w:t xml:space="preserve"> - Saldo verejnej správy podľa subsektorov (ESA 2010)</w:t>
      </w:r>
    </w:p>
    <w:p w14:paraId="5B5FCD99" w14:textId="2500D485" w:rsidR="00DF51DE" w:rsidRPr="00DF51DE" w:rsidRDefault="00992DD8" w:rsidP="00B61920">
      <w:pPr>
        <w:spacing w:after="0" w:line="240" w:lineRule="auto"/>
        <w:jc w:val="both"/>
        <w:rPr>
          <w:szCs w:val="22"/>
        </w:rPr>
      </w:pPr>
      <w:r w:rsidRPr="00C37C5F">
        <w:rPr>
          <w:b/>
          <w:szCs w:val="22"/>
        </w:rPr>
        <w:t>Verejná správa SR na základe výsledkov jesennej notifikácie hospodárila v roku 202</w:t>
      </w:r>
      <w:r>
        <w:rPr>
          <w:b/>
          <w:szCs w:val="22"/>
        </w:rPr>
        <w:t>3</w:t>
      </w:r>
      <w:r w:rsidR="00D418E2">
        <w:rPr>
          <w:b/>
          <w:szCs w:val="22"/>
        </w:rPr>
        <w:t xml:space="preserve"> so </w:t>
      </w:r>
      <w:r w:rsidRPr="00C37C5F">
        <w:rPr>
          <w:b/>
          <w:szCs w:val="22"/>
        </w:rPr>
        <w:t xml:space="preserve">schodkom </w:t>
      </w:r>
      <w:r w:rsidRPr="006E2F21">
        <w:rPr>
          <w:b/>
          <w:szCs w:val="22"/>
        </w:rPr>
        <w:t>6 399 439 tis. eur (5,2 % HDP).</w:t>
      </w:r>
      <w:r w:rsidRPr="00C37C5F">
        <w:rPr>
          <w:szCs w:val="22"/>
        </w:rPr>
        <w:t xml:space="preserve"> </w:t>
      </w:r>
      <w:r w:rsidRPr="00456B04">
        <w:rPr>
          <w:szCs w:val="22"/>
        </w:rPr>
        <w:t>Schodok</w:t>
      </w:r>
      <w:r w:rsidR="00D418E2">
        <w:rPr>
          <w:szCs w:val="22"/>
        </w:rPr>
        <w:t xml:space="preserve"> v pomere k HDP za </w:t>
      </w:r>
      <w:r w:rsidRPr="006972E2">
        <w:rPr>
          <w:szCs w:val="22"/>
        </w:rPr>
        <w:t>rok 202</w:t>
      </w:r>
      <w:r>
        <w:rPr>
          <w:szCs w:val="22"/>
        </w:rPr>
        <w:t>3</w:t>
      </w:r>
      <w:r w:rsidRPr="006972E2">
        <w:rPr>
          <w:szCs w:val="22"/>
        </w:rPr>
        <w:t xml:space="preserve"> </w:t>
      </w:r>
      <w:r w:rsidRPr="006E2F21">
        <w:rPr>
          <w:szCs w:val="22"/>
        </w:rPr>
        <w:t>vzrást</w:t>
      </w:r>
      <w:r w:rsidR="00544797">
        <w:rPr>
          <w:szCs w:val="22"/>
        </w:rPr>
        <w:t>ol oproti roku 2022 o 3,5 p. b.</w:t>
      </w:r>
    </w:p>
    <w:tbl>
      <w:tblPr>
        <w:tblW w:w="5000" w:type="pct"/>
        <w:tblCellMar>
          <w:left w:w="70" w:type="dxa"/>
          <w:right w:w="70" w:type="dxa"/>
        </w:tblCellMar>
        <w:tblLook w:val="04A0" w:firstRow="1" w:lastRow="0" w:firstColumn="1" w:lastColumn="0" w:noHBand="0" w:noVBand="1"/>
      </w:tblPr>
      <w:tblGrid>
        <w:gridCol w:w="2952"/>
        <w:gridCol w:w="975"/>
        <w:gridCol w:w="1446"/>
        <w:gridCol w:w="1446"/>
        <w:gridCol w:w="1283"/>
        <w:gridCol w:w="1252"/>
      </w:tblGrid>
      <w:tr w:rsidR="00992DD8" w:rsidRPr="006E2F21" w14:paraId="48EB2BB2" w14:textId="77777777" w:rsidTr="00B61920">
        <w:trPr>
          <w:trHeight w:val="269"/>
          <w:tblHeader/>
        </w:trPr>
        <w:tc>
          <w:tcPr>
            <w:tcW w:w="1578" w:type="pct"/>
            <w:tcBorders>
              <w:top w:val="single" w:sz="4" w:space="0" w:color="auto"/>
              <w:left w:val="nil"/>
              <w:right w:val="nil"/>
            </w:tcBorders>
            <w:shd w:val="clear" w:color="auto" w:fill="auto"/>
            <w:hideMark/>
          </w:tcPr>
          <w:p w14:paraId="0DD390E5" w14:textId="77777777" w:rsidR="00992DD8" w:rsidRPr="006E2F21" w:rsidRDefault="00992DD8" w:rsidP="0019064B">
            <w:pPr>
              <w:spacing w:after="0" w:line="240" w:lineRule="auto"/>
              <w:rPr>
                <w:sz w:val="24"/>
                <w:szCs w:val="20"/>
                <w:lang w:eastAsia="sk-SK"/>
              </w:rPr>
            </w:pPr>
          </w:p>
        </w:tc>
        <w:tc>
          <w:tcPr>
            <w:tcW w:w="521" w:type="pct"/>
            <w:vMerge w:val="restart"/>
            <w:tcBorders>
              <w:top w:val="single" w:sz="4" w:space="0" w:color="auto"/>
              <w:left w:val="nil"/>
              <w:right w:val="nil"/>
            </w:tcBorders>
            <w:shd w:val="clear" w:color="auto" w:fill="auto"/>
            <w:hideMark/>
          </w:tcPr>
          <w:p w14:paraId="086A6AB3" w14:textId="77777777" w:rsidR="00992DD8" w:rsidRPr="006E2F21" w:rsidRDefault="00992DD8" w:rsidP="0019064B">
            <w:pPr>
              <w:spacing w:after="0" w:line="240" w:lineRule="auto"/>
              <w:jc w:val="center"/>
              <w:rPr>
                <w:b/>
                <w:bCs/>
                <w:sz w:val="20"/>
                <w:szCs w:val="20"/>
                <w:lang w:eastAsia="sk-SK"/>
              </w:rPr>
            </w:pPr>
            <w:r w:rsidRPr="006E2F21">
              <w:rPr>
                <w:b/>
                <w:bCs/>
                <w:sz w:val="20"/>
                <w:szCs w:val="20"/>
                <w:lang w:eastAsia="sk-SK"/>
              </w:rPr>
              <w:t>ESA kód</w:t>
            </w:r>
          </w:p>
        </w:tc>
        <w:tc>
          <w:tcPr>
            <w:tcW w:w="773" w:type="pct"/>
            <w:tcBorders>
              <w:top w:val="single" w:sz="4" w:space="0" w:color="auto"/>
              <w:left w:val="nil"/>
              <w:right w:val="nil"/>
            </w:tcBorders>
            <w:shd w:val="clear" w:color="auto" w:fill="auto"/>
            <w:noWrap/>
            <w:hideMark/>
          </w:tcPr>
          <w:p w14:paraId="758C0FC5" w14:textId="77777777" w:rsidR="00992DD8" w:rsidRPr="006E2F21" w:rsidRDefault="00992DD8" w:rsidP="0019064B">
            <w:pPr>
              <w:spacing w:after="0" w:line="240" w:lineRule="auto"/>
              <w:jc w:val="center"/>
              <w:rPr>
                <w:b/>
                <w:bCs/>
                <w:sz w:val="20"/>
                <w:szCs w:val="20"/>
                <w:lang w:eastAsia="sk-SK"/>
              </w:rPr>
            </w:pPr>
            <w:r w:rsidRPr="006E2F21">
              <w:rPr>
                <w:b/>
                <w:bCs/>
                <w:sz w:val="20"/>
                <w:szCs w:val="20"/>
              </w:rPr>
              <w:t>% HDP</w:t>
            </w:r>
          </w:p>
        </w:tc>
        <w:tc>
          <w:tcPr>
            <w:tcW w:w="773" w:type="pct"/>
            <w:tcBorders>
              <w:top w:val="single" w:sz="4" w:space="0" w:color="auto"/>
              <w:left w:val="nil"/>
              <w:right w:val="nil"/>
            </w:tcBorders>
            <w:shd w:val="clear" w:color="auto" w:fill="auto"/>
            <w:noWrap/>
            <w:hideMark/>
          </w:tcPr>
          <w:p w14:paraId="1945E1FE" w14:textId="77777777" w:rsidR="00992DD8" w:rsidRPr="006E2F21" w:rsidRDefault="00992DD8" w:rsidP="0019064B">
            <w:pPr>
              <w:spacing w:after="0" w:line="240" w:lineRule="auto"/>
              <w:jc w:val="center"/>
              <w:rPr>
                <w:b/>
                <w:bCs/>
                <w:sz w:val="20"/>
                <w:szCs w:val="20"/>
                <w:lang w:eastAsia="sk-SK"/>
              </w:rPr>
            </w:pPr>
            <w:r w:rsidRPr="006E2F21">
              <w:rPr>
                <w:b/>
                <w:bCs/>
                <w:sz w:val="20"/>
                <w:szCs w:val="20"/>
              </w:rPr>
              <w:t>% HDP</w:t>
            </w:r>
          </w:p>
        </w:tc>
        <w:tc>
          <w:tcPr>
            <w:tcW w:w="686" w:type="pct"/>
            <w:tcBorders>
              <w:top w:val="single" w:sz="4" w:space="0" w:color="auto"/>
              <w:left w:val="nil"/>
              <w:right w:val="nil"/>
            </w:tcBorders>
            <w:shd w:val="clear" w:color="auto" w:fill="auto"/>
            <w:noWrap/>
            <w:hideMark/>
          </w:tcPr>
          <w:p w14:paraId="28FB96A1" w14:textId="77777777" w:rsidR="00992DD8" w:rsidRPr="006E2F21" w:rsidRDefault="00992DD8" w:rsidP="0019064B">
            <w:pPr>
              <w:spacing w:after="0" w:line="240" w:lineRule="auto"/>
              <w:jc w:val="center"/>
              <w:rPr>
                <w:b/>
                <w:bCs/>
                <w:sz w:val="20"/>
                <w:szCs w:val="20"/>
                <w:lang w:eastAsia="sk-SK"/>
              </w:rPr>
            </w:pPr>
            <w:r w:rsidRPr="006E2F21">
              <w:rPr>
                <w:b/>
                <w:bCs/>
                <w:sz w:val="20"/>
                <w:szCs w:val="20"/>
              </w:rPr>
              <w:t>% HDP</w:t>
            </w:r>
          </w:p>
        </w:tc>
        <w:tc>
          <w:tcPr>
            <w:tcW w:w="669" w:type="pct"/>
            <w:tcBorders>
              <w:top w:val="single" w:sz="4" w:space="0" w:color="auto"/>
              <w:left w:val="nil"/>
              <w:right w:val="nil"/>
            </w:tcBorders>
            <w:shd w:val="clear" w:color="auto" w:fill="auto"/>
            <w:hideMark/>
          </w:tcPr>
          <w:p w14:paraId="56CE71A8" w14:textId="77777777" w:rsidR="00992DD8" w:rsidRPr="006E2F21" w:rsidRDefault="00992DD8" w:rsidP="0019064B">
            <w:pPr>
              <w:spacing w:after="0" w:line="240" w:lineRule="auto"/>
              <w:jc w:val="center"/>
              <w:rPr>
                <w:b/>
                <w:bCs/>
                <w:sz w:val="20"/>
                <w:szCs w:val="20"/>
                <w:lang w:eastAsia="sk-SK"/>
              </w:rPr>
            </w:pPr>
            <w:r w:rsidRPr="006E2F21">
              <w:rPr>
                <w:b/>
                <w:bCs/>
                <w:sz w:val="20"/>
                <w:szCs w:val="20"/>
              </w:rPr>
              <w:t>tis. eur</w:t>
            </w:r>
          </w:p>
        </w:tc>
      </w:tr>
      <w:tr w:rsidR="00992DD8" w:rsidRPr="006E2F21" w14:paraId="3CEF5C45" w14:textId="77777777" w:rsidTr="00B61920">
        <w:trPr>
          <w:trHeight w:val="269"/>
          <w:tblHeader/>
        </w:trPr>
        <w:tc>
          <w:tcPr>
            <w:tcW w:w="1578" w:type="pct"/>
            <w:tcBorders>
              <w:left w:val="nil"/>
              <w:bottom w:val="single" w:sz="4" w:space="0" w:color="auto"/>
              <w:right w:val="nil"/>
            </w:tcBorders>
            <w:shd w:val="clear" w:color="auto" w:fill="auto"/>
            <w:hideMark/>
          </w:tcPr>
          <w:p w14:paraId="00F83A90" w14:textId="77777777" w:rsidR="00992DD8" w:rsidRPr="006E2F21" w:rsidRDefault="00992DD8" w:rsidP="0019064B">
            <w:pPr>
              <w:spacing w:after="0" w:line="240" w:lineRule="auto"/>
              <w:rPr>
                <w:sz w:val="20"/>
                <w:szCs w:val="20"/>
                <w:lang w:eastAsia="sk-SK"/>
              </w:rPr>
            </w:pPr>
            <w:r w:rsidRPr="006E2F21">
              <w:rPr>
                <w:sz w:val="20"/>
                <w:szCs w:val="20"/>
                <w:lang w:eastAsia="sk-SK"/>
              </w:rPr>
              <w:t> </w:t>
            </w:r>
          </w:p>
        </w:tc>
        <w:tc>
          <w:tcPr>
            <w:tcW w:w="521" w:type="pct"/>
            <w:vMerge/>
            <w:tcBorders>
              <w:left w:val="nil"/>
              <w:bottom w:val="single" w:sz="4" w:space="0" w:color="auto"/>
              <w:right w:val="nil"/>
            </w:tcBorders>
            <w:vAlign w:val="center"/>
            <w:hideMark/>
          </w:tcPr>
          <w:p w14:paraId="4DEB5332" w14:textId="77777777" w:rsidR="00992DD8" w:rsidRPr="006E2F21" w:rsidRDefault="00992DD8" w:rsidP="0019064B">
            <w:pPr>
              <w:spacing w:after="0" w:line="240" w:lineRule="auto"/>
              <w:rPr>
                <w:b/>
                <w:bCs/>
                <w:sz w:val="20"/>
                <w:szCs w:val="20"/>
                <w:lang w:eastAsia="sk-SK"/>
              </w:rPr>
            </w:pPr>
          </w:p>
        </w:tc>
        <w:tc>
          <w:tcPr>
            <w:tcW w:w="773" w:type="pct"/>
            <w:tcBorders>
              <w:left w:val="nil"/>
              <w:bottom w:val="single" w:sz="4" w:space="0" w:color="auto"/>
              <w:right w:val="nil"/>
            </w:tcBorders>
            <w:shd w:val="clear" w:color="auto" w:fill="auto"/>
            <w:hideMark/>
          </w:tcPr>
          <w:p w14:paraId="57E3776F" w14:textId="77777777" w:rsidR="00992DD8" w:rsidRPr="006E2F21" w:rsidRDefault="00992DD8" w:rsidP="0019064B">
            <w:pPr>
              <w:spacing w:after="0" w:line="240" w:lineRule="auto"/>
              <w:jc w:val="center"/>
              <w:rPr>
                <w:b/>
                <w:bCs/>
                <w:sz w:val="20"/>
                <w:szCs w:val="20"/>
                <w:lang w:eastAsia="sk-SK"/>
              </w:rPr>
            </w:pPr>
            <w:r w:rsidRPr="006E2F21">
              <w:rPr>
                <w:b/>
                <w:bCs/>
                <w:sz w:val="20"/>
                <w:szCs w:val="20"/>
              </w:rPr>
              <w:t>2021 S</w:t>
            </w:r>
          </w:p>
        </w:tc>
        <w:tc>
          <w:tcPr>
            <w:tcW w:w="773" w:type="pct"/>
            <w:tcBorders>
              <w:left w:val="nil"/>
              <w:bottom w:val="single" w:sz="4" w:space="0" w:color="auto"/>
              <w:right w:val="nil"/>
            </w:tcBorders>
            <w:shd w:val="clear" w:color="auto" w:fill="auto"/>
            <w:hideMark/>
          </w:tcPr>
          <w:p w14:paraId="4C69D390" w14:textId="77777777" w:rsidR="00992DD8" w:rsidRPr="006E2F21" w:rsidRDefault="00992DD8" w:rsidP="0019064B">
            <w:pPr>
              <w:spacing w:after="0" w:line="240" w:lineRule="auto"/>
              <w:jc w:val="center"/>
              <w:rPr>
                <w:b/>
                <w:bCs/>
                <w:sz w:val="20"/>
                <w:szCs w:val="20"/>
                <w:lang w:eastAsia="sk-SK"/>
              </w:rPr>
            </w:pPr>
            <w:r w:rsidRPr="006E2F21">
              <w:rPr>
                <w:b/>
                <w:bCs/>
                <w:sz w:val="20"/>
                <w:szCs w:val="20"/>
              </w:rPr>
              <w:t>2022 S</w:t>
            </w:r>
          </w:p>
        </w:tc>
        <w:tc>
          <w:tcPr>
            <w:tcW w:w="686" w:type="pct"/>
            <w:tcBorders>
              <w:left w:val="nil"/>
              <w:bottom w:val="single" w:sz="4" w:space="0" w:color="auto"/>
              <w:right w:val="nil"/>
            </w:tcBorders>
            <w:shd w:val="clear" w:color="auto" w:fill="auto"/>
            <w:hideMark/>
          </w:tcPr>
          <w:p w14:paraId="12E606EB" w14:textId="77777777" w:rsidR="00992DD8" w:rsidRPr="006E2F21" w:rsidRDefault="00992DD8" w:rsidP="0019064B">
            <w:pPr>
              <w:spacing w:after="0" w:line="240" w:lineRule="auto"/>
              <w:jc w:val="center"/>
              <w:rPr>
                <w:b/>
                <w:bCs/>
                <w:sz w:val="20"/>
                <w:szCs w:val="20"/>
                <w:lang w:eastAsia="sk-SK"/>
              </w:rPr>
            </w:pPr>
            <w:r w:rsidRPr="006E2F21">
              <w:rPr>
                <w:b/>
                <w:bCs/>
                <w:sz w:val="20"/>
                <w:szCs w:val="20"/>
              </w:rPr>
              <w:t>2023 S</w:t>
            </w:r>
          </w:p>
        </w:tc>
        <w:tc>
          <w:tcPr>
            <w:tcW w:w="669" w:type="pct"/>
            <w:tcBorders>
              <w:left w:val="nil"/>
              <w:bottom w:val="single" w:sz="4" w:space="0" w:color="auto"/>
              <w:right w:val="nil"/>
            </w:tcBorders>
            <w:shd w:val="clear" w:color="auto" w:fill="auto"/>
            <w:hideMark/>
          </w:tcPr>
          <w:p w14:paraId="1DA4236A" w14:textId="77777777" w:rsidR="00992DD8" w:rsidRPr="006E2F21" w:rsidRDefault="00992DD8" w:rsidP="0019064B">
            <w:pPr>
              <w:spacing w:after="0" w:line="240" w:lineRule="auto"/>
              <w:jc w:val="center"/>
              <w:rPr>
                <w:b/>
                <w:bCs/>
                <w:sz w:val="20"/>
                <w:szCs w:val="20"/>
                <w:lang w:eastAsia="sk-SK"/>
              </w:rPr>
            </w:pPr>
            <w:r w:rsidRPr="006E2F21">
              <w:rPr>
                <w:b/>
                <w:bCs/>
                <w:sz w:val="20"/>
                <w:szCs w:val="20"/>
              </w:rPr>
              <w:t>2023 S</w:t>
            </w:r>
          </w:p>
        </w:tc>
      </w:tr>
      <w:tr w:rsidR="00992DD8" w:rsidRPr="006E2F21" w14:paraId="5CD10E64" w14:textId="77777777" w:rsidTr="00B61920">
        <w:trPr>
          <w:trHeight w:val="348"/>
        </w:trPr>
        <w:tc>
          <w:tcPr>
            <w:tcW w:w="1578" w:type="pct"/>
            <w:tcBorders>
              <w:top w:val="single" w:sz="4" w:space="0" w:color="auto"/>
              <w:left w:val="nil"/>
              <w:bottom w:val="nil"/>
              <w:right w:val="nil"/>
            </w:tcBorders>
            <w:shd w:val="clear" w:color="auto" w:fill="auto"/>
            <w:vAlign w:val="center"/>
            <w:hideMark/>
          </w:tcPr>
          <w:p w14:paraId="45B396D6" w14:textId="77777777" w:rsidR="00992DD8" w:rsidRPr="006E2F21" w:rsidRDefault="00992DD8" w:rsidP="0019064B">
            <w:pPr>
              <w:spacing w:after="0" w:line="240" w:lineRule="auto"/>
              <w:rPr>
                <w:sz w:val="20"/>
                <w:szCs w:val="20"/>
                <w:lang w:eastAsia="sk-SK"/>
              </w:rPr>
            </w:pPr>
            <w:r w:rsidRPr="006E2F21">
              <w:rPr>
                <w:sz w:val="20"/>
                <w:szCs w:val="20"/>
                <w:lang w:eastAsia="sk-SK"/>
              </w:rPr>
              <w:t>1. Verejná správa</w:t>
            </w:r>
          </w:p>
        </w:tc>
        <w:tc>
          <w:tcPr>
            <w:tcW w:w="521" w:type="pct"/>
            <w:tcBorders>
              <w:top w:val="single" w:sz="4" w:space="0" w:color="auto"/>
              <w:left w:val="nil"/>
              <w:bottom w:val="nil"/>
              <w:right w:val="nil"/>
            </w:tcBorders>
            <w:shd w:val="clear" w:color="auto" w:fill="auto"/>
            <w:vAlign w:val="center"/>
            <w:hideMark/>
          </w:tcPr>
          <w:p w14:paraId="15AE6C6E" w14:textId="77777777" w:rsidR="00992DD8" w:rsidRPr="006E2F21" w:rsidRDefault="00992DD8" w:rsidP="0019064B">
            <w:pPr>
              <w:spacing w:after="0" w:line="240" w:lineRule="auto"/>
              <w:jc w:val="center"/>
              <w:rPr>
                <w:sz w:val="20"/>
                <w:szCs w:val="20"/>
                <w:lang w:eastAsia="sk-SK"/>
              </w:rPr>
            </w:pPr>
            <w:r w:rsidRPr="006E2F21">
              <w:rPr>
                <w:sz w:val="20"/>
                <w:szCs w:val="20"/>
                <w:lang w:eastAsia="sk-SK"/>
              </w:rPr>
              <w:t>S.13</w:t>
            </w:r>
          </w:p>
        </w:tc>
        <w:tc>
          <w:tcPr>
            <w:tcW w:w="773" w:type="pct"/>
            <w:tcBorders>
              <w:top w:val="single" w:sz="4" w:space="0" w:color="auto"/>
              <w:left w:val="nil"/>
              <w:bottom w:val="nil"/>
              <w:right w:val="nil"/>
            </w:tcBorders>
            <w:shd w:val="clear" w:color="auto" w:fill="auto"/>
            <w:vAlign w:val="center"/>
            <w:hideMark/>
          </w:tcPr>
          <w:p w14:paraId="5F8285E2" w14:textId="77777777" w:rsidR="00992DD8" w:rsidRPr="006E2F21" w:rsidRDefault="00992DD8" w:rsidP="0019064B">
            <w:pPr>
              <w:spacing w:after="0" w:line="240" w:lineRule="auto"/>
              <w:jc w:val="center"/>
              <w:rPr>
                <w:sz w:val="20"/>
                <w:szCs w:val="20"/>
                <w:lang w:eastAsia="sk-SK"/>
              </w:rPr>
            </w:pPr>
            <w:r w:rsidRPr="006E2F21">
              <w:rPr>
                <w:sz w:val="20"/>
                <w:szCs w:val="20"/>
              </w:rPr>
              <w:t>-5,1</w:t>
            </w:r>
          </w:p>
        </w:tc>
        <w:tc>
          <w:tcPr>
            <w:tcW w:w="773" w:type="pct"/>
            <w:tcBorders>
              <w:top w:val="single" w:sz="4" w:space="0" w:color="auto"/>
              <w:left w:val="nil"/>
              <w:bottom w:val="nil"/>
              <w:right w:val="nil"/>
            </w:tcBorders>
            <w:shd w:val="clear" w:color="auto" w:fill="auto"/>
            <w:vAlign w:val="center"/>
            <w:hideMark/>
          </w:tcPr>
          <w:p w14:paraId="2D572BB5" w14:textId="77777777" w:rsidR="00992DD8" w:rsidRPr="006E2F21" w:rsidRDefault="00992DD8" w:rsidP="0019064B">
            <w:pPr>
              <w:spacing w:after="0" w:line="240" w:lineRule="auto"/>
              <w:jc w:val="center"/>
              <w:rPr>
                <w:sz w:val="20"/>
                <w:szCs w:val="20"/>
                <w:lang w:eastAsia="sk-SK"/>
              </w:rPr>
            </w:pPr>
            <w:r w:rsidRPr="006E2F21">
              <w:rPr>
                <w:sz w:val="20"/>
                <w:szCs w:val="20"/>
              </w:rPr>
              <w:t>-1,7</w:t>
            </w:r>
          </w:p>
        </w:tc>
        <w:tc>
          <w:tcPr>
            <w:tcW w:w="686" w:type="pct"/>
            <w:tcBorders>
              <w:top w:val="single" w:sz="4" w:space="0" w:color="auto"/>
              <w:left w:val="nil"/>
              <w:bottom w:val="nil"/>
              <w:right w:val="nil"/>
            </w:tcBorders>
            <w:shd w:val="clear" w:color="auto" w:fill="auto"/>
            <w:vAlign w:val="center"/>
            <w:hideMark/>
          </w:tcPr>
          <w:p w14:paraId="04349B38" w14:textId="77777777" w:rsidR="00992DD8" w:rsidRPr="006E2F21" w:rsidRDefault="00992DD8" w:rsidP="0019064B">
            <w:pPr>
              <w:spacing w:after="0" w:line="240" w:lineRule="auto"/>
              <w:jc w:val="center"/>
              <w:rPr>
                <w:sz w:val="20"/>
                <w:szCs w:val="20"/>
                <w:lang w:eastAsia="sk-SK"/>
              </w:rPr>
            </w:pPr>
            <w:r w:rsidRPr="006E2F21">
              <w:rPr>
                <w:sz w:val="20"/>
                <w:szCs w:val="20"/>
              </w:rPr>
              <w:t>-5,2</w:t>
            </w:r>
          </w:p>
        </w:tc>
        <w:tc>
          <w:tcPr>
            <w:tcW w:w="669" w:type="pct"/>
            <w:tcBorders>
              <w:top w:val="single" w:sz="4" w:space="0" w:color="auto"/>
              <w:left w:val="nil"/>
              <w:bottom w:val="nil"/>
              <w:right w:val="nil"/>
            </w:tcBorders>
            <w:shd w:val="clear" w:color="auto" w:fill="auto"/>
            <w:vAlign w:val="center"/>
            <w:hideMark/>
          </w:tcPr>
          <w:p w14:paraId="71336C5D" w14:textId="77777777" w:rsidR="00992DD8" w:rsidRPr="006E2F21" w:rsidRDefault="00992DD8" w:rsidP="0019064B">
            <w:pPr>
              <w:spacing w:after="0" w:line="240" w:lineRule="auto"/>
              <w:jc w:val="right"/>
              <w:rPr>
                <w:sz w:val="20"/>
                <w:szCs w:val="20"/>
                <w:lang w:eastAsia="sk-SK"/>
              </w:rPr>
            </w:pPr>
            <w:r w:rsidRPr="006E2F21">
              <w:rPr>
                <w:sz w:val="20"/>
                <w:szCs w:val="20"/>
              </w:rPr>
              <w:t>-6 399 439</w:t>
            </w:r>
          </w:p>
        </w:tc>
      </w:tr>
      <w:tr w:rsidR="00992DD8" w:rsidRPr="006E2F21" w14:paraId="35FC0B89" w14:textId="77777777" w:rsidTr="00B61920">
        <w:trPr>
          <w:trHeight w:val="348"/>
        </w:trPr>
        <w:tc>
          <w:tcPr>
            <w:tcW w:w="1578" w:type="pct"/>
            <w:tcBorders>
              <w:top w:val="nil"/>
              <w:left w:val="nil"/>
              <w:bottom w:val="nil"/>
              <w:right w:val="nil"/>
            </w:tcBorders>
            <w:shd w:val="clear" w:color="auto" w:fill="auto"/>
            <w:vAlign w:val="center"/>
            <w:hideMark/>
          </w:tcPr>
          <w:p w14:paraId="5B21EDAA" w14:textId="77777777" w:rsidR="00992DD8" w:rsidRPr="006E2F21" w:rsidRDefault="00992DD8" w:rsidP="0019064B">
            <w:pPr>
              <w:spacing w:after="0" w:line="240" w:lineRule="auto"/>
              <w:rPr>
                <w:sz w:val="20"/>
                <w:szCs w:val="20"/>
                <w:lang w:eastAsia="sk-SK"/>
              </w:rPr>
            </w:pPr>
            <w:r w:rsidRPr="006E2F21">
              <w:rPr>
                <w:sz w:val="20"/>
                <w:szCs w:val="20"/>
                <w:lang w:eastAsia="sk-SK"/>
              </w:rPr>
              <w:t>2. Ústredná štátna správa</w:t>
            </w:r>
          </w:p>
        </w:tc>
        <w:tc>
          <w:tcPr>
            <w:tcW w:w="521" w:type="pct"/>
            <w:tcBorders>
              <w:top w:val="nil"/>
              <w:left w:val="nil"/>
              <w:bottom w:val="nil"/>
              <w:right w:val="nil"/>
            </w:tcBorders>
            <w:shd w:val="clear" w:color="auto" w:fill="auto"/>
            <w:vAlign w:val="center"/>
            <w:hideMark/>
          </w:tcPr>
          <w:p w14:paraId="3FA77CB5" w14:textId="77777777" w:rsidR="00992DD8" w:rsidRPr="006E2F21" w:rsidRDefault="00992DD8" w:rsidP="0019064B">
            <w:pPr>
              <w:spacing w:after="0" w:line="240" w:lineRule="auto"/>
              <w:jc w:val="center"/>
              <w:rPr>
                <w:sz w:val="20"/>
                <w:szCs w:val="20"/>
                <w:lang w:eastAsia="sk-SK"/>
              </w:rPr>
            </w:pPr>
            <w:r w:rsidRPr="006E2F21">
              <w:rPr>
                <w:sz w:val="20"/>
                <w:szCs w:val="20"/>
                <w:lang w:eastAsia="sk-SK"/>
              </w:rPr>
              <w:t>S.1311</w:t>
            </w:r>
          </w:p>
        </w:tc>
        <w:tc>
          <w:tcPr>
            <w:tcW w:w="773" w:type="pct"/>
            <w:tcBorders>
              <w:top w:val="nil"/>
              <w:left w:val="nil"/>
              <w:bottom w:val="nil"/>
              <w:right w:val="nil"/>
            </w:tcBorders>
            <w:shd w:val="clear" w:color="auto" w:fill="auto"/>
            <w:vAlign w:val="center"/>
            <w:hideMark/>
          </w:tcPr>
          <w:p w14:paraId="1767FF74" w14:textId="32737549" w:rsidR="00992DD8" w:rsidRPr="006E2F21" w:rsidRDefault="00992DD8" w:rsidP="00911EC7">
            <w:pPr>
              <w:spacing w:after="0" w:line="240" w:lineRule="auto"/>
              <w:jc w:val="center"/>
              <w:rPr>
                <w:sz w:val="20"/>
                <w:szCs w:val="20"/>
                <w:lang w:eastAsia="sk-SK"/>
              </w:rPr>
            </w:pPr>
            <w:r w:rsidRPr="006E2F21">
              <w:rPr>
                <w:sz w:val="20"/>
                <w:szCs w:val="20"/>
              </w:rPr>
              <w:t>-5,</w:t>
            </w:r>
            <w:r w:rsidR="00911EC7">
              <w:rPr>
                <w:sz w:val="20"/>
                <w:szCs w:val="20"/>
              </w:rPr>
              <w:t>3</w:t>
            </w:r>
          </w:p>
        </w:tc>
        <w:tc>
          <w:tcPr>
            <w:tcW w:w="773" w:type="pct"/>
            <w:tcBorders>
              <w:top w:val="nil"/>
              <w:left w:val="nil"/>
              <w:bottom w:val="nil"/>
              <w:right w:val="nil"/>
            </w:tcBorders>
            <w:shd w:val="clear" w:color="auto" w:fill="auto"/>
            <w:vAlign w:val="center"/>
            <w:hideMark/>
          </w:tcPr>
          <w:p w14:paraId="0BBFB480" w14:textId="77777777" w:rsidR="00992DD8" w:rsidRPr="006E2F21" w:rsidRDefault="00992DD8" w:rsidP="0019064B">
            <w:pPr>
              <w:spacing w:after="0" w:line="240" w:lineRule="auto"/>
              <w:jc w:val="center"/>
              <w:rPr>
                <w:sz w:val="20"/>
                <w:szCs w:val="20"/>
                <w:lang w:eastAsia="sk-SK"/>
              </w:rPr>
            </w:pPr>
            <w:r w:rsidRPr="006E2F21">
              <w:rPr>
                <w:sz w:val="20"/>
                <w:szCs w:val="20"/>
              </w:rPr>
              <w:t>-1,5</w:t>
            </w:r>
          </w:p>
        </w:tc>
        <w:tc>
          <w:tcPr>
            <w:tcW w:w="686" w:type="pct"/>
            <w:tcBorders>
              <w:top w:val="nil"/>
              <w:left w:val="nil"/>
              <w:bottom w:val="nil"/>
              <w:right w:val="nil"/>
            </w:tcBorders>
            <w:shd w:val="clear" w:color="auto" w:fill="auto"/>
            <w:vAlign w:val="center"/>
            <w:hideMark/>
          </w:tcPr>
          <w:p w14:paraId="547C3E2F" w14:textId="77777777" w:rsidR="00992DD8" w:rsidRPr="006E2F21" w:rsidRDefault="00992DD8" w:rsidP="0019064B">
            <w:pPr>
              <w:spacing w:after="0" w:line="240" w:lineRule="auto"/>
              <w:jc w:val="center"/>
              <w:rPr>
                <w:sz w:val="20"/>
                <w:szCs w:val="20"/>
                <w:lang w:eastAsia="sk-SK"/>
              </w:rPr>
            </w:pPr>
            <w:r w:rsidRPr="006E2F21">
              <w:rPr>
                <w:sz w:val="20"/>
                <w:szCs w:val="20"/>
              </w:rPr>
              <w:t>-5,5</w:t>
            </w:r>
          </w:p>
        </w:tc>
        <w:tc>
          <w:tcPr>
            <w:tcW w:w="669" w:type="pct"/>
            <w:tcBorders>
              <w:top w:val="nil"/>
              <w:left w:val="nil"/>
              <w:bottom w:val="nil"/>
              <w:right w:val="nil"/>
            </w:tcBorders>
            <w:shd w:val="clear" w:color="auto" w:fill="auto"/>
            <w:vAlign w:val="center"/>
            <w:hideMark/>
          </w:tcPr>
          <w:p w14:paraId="3D6A66F1" w14:textId="77777777" w:rsidR="00992DD8" w:rsidRPr="006E2F21" w:rsidRDefault="00992DD8" w:rsidP="0019064B">
            <w:pPr>
              <w:spacing w:after="0" w:line="240" w:lineRule="auto"/>
              <w:jc w:val="right"/>
              <w:rPr>
                <w:sz w:val="20"/>
                <w:szCs w:val="20"/>
                <w:lang w:eastAsia="sk-SK"/>
              </w:rPr>
            </w:pPr>
            <w:r w:rsidRPr="006E2F21">
              <w:rPr>
                <w:sz w:val="20"/>
                <w:szCs w:val="20"/>
              </w:rPr>
              <w:t>-6 756 930</w:t>
            </w:r>
          </w:p>
        </w:tc>
      </w:tr>
      <w:tr w:rsidR="00992DD8" w:rsidRPr="006E2F21" w14:paraId="3C952811" w14:textId="77777777" w:rsidTr="00B61920">
        <w:trPr>
          <w:trHeight w:val="348"/>
        </w:trPr>
        <w:tc>
          <w:tcPr>
            <w:tcW w:w="1578" w:type="pct"/>
            <w:tcBorders>
              <w:top w:val="nil"/>
              <w:left w:val="nil"/>
              <w:bottom w:val="nil"/>
              <w:right w:val="nil"/>
            </w:tcBorders>
            <w:shd w:val="clear" w:color="auto" w:fill="auto"/>
            <w:vAlign w:val="center"/>
            <w:hideMark/>
          </w:tcPr>
          <w:p w14:paraId="21535466" w14:textId="77777777" w:rsidR="00992DD8" w:rsidRPr="006E2F21" w:rsidRDefault="00992DD8" w:rsidP="0019064B">
            <w:pPr>
              <w:spacing w:after="0" w:line="240" w:lineRule="auto"/>
              <w:rPr>
                <w:sz w:val="20"/>
                <w:szCs w:val="20"/>
                <w:lang w:eastAsia="sk-SK"/>
              </w:rPr>
            </w:pPr>
            <w:r w:rsidRPr="006E2F21">
              <w:rPr>
                <w:sz w:val="20"/>
                <w:szCs w:val="20"/>
                <w:lang w:eastAsia="sk-SK"/>
              </w:rPr>
              <w:t>3. Miestna samospráva</w:t>
            </w:r>
          </w:p>
        </w:tc>
        <w:tc>
          <w:tcPr>
            <w:tcW w:w="521" w:type="pct"/>
            <w:tcBorders>
              <w:top w:val="nil"/>
              <w:left w:val="nil"/>
              <w:bottom w:val="nil"/>
              <w:right w:val="nil"/>
            </w:tcBorders>
            <w:shd w:val="clear" w:color="auto" w:fill="auto"/>
            <w:vAlign w:val="center"/>
            <w:hideMark/>
          </w:tcPr>
          <w:p w14:paraId="14D9876D" w14:textId="77777777" w:rsidR="00992DD8" w:rsidRPr="006E2F21" w:rsidRDefault="00992DD8" w:rsidP="0019064B">
            <w:pPr>
              <w:spacing w:after="0" w:line="240" w:lineRule="auto"/>
              <w:jc w:val="center"/>
              <w:rPr>
                <w:sz w:val="20"/>
                <w:szCs w:val="20"/>
                <w:lang w:eastAsia="sk-SK"/>
              </w:rPr>
            </w:pPr>
            <w:r w:rsidRPr="006E2F21">
              <w:rPr>
                <w:sz w:val="20"/>
                <w:szCs w:val="20"/>
                <w:lang w:eastAsia="sk-SK"/>
              </w:rPr>
              <w:t>S.1313</w:t>
            </w:r>
          </w:p>
        </w:tc>
        <w:tc>
          <w:tcPr>
            <w:tcW w:w="773" w:type="pct"/>
            <w:tcBorders>
              <w:top w:val="nil"/>
              <w:left w:val="nil"/>
              <w:bottom w:val="nil"/>
              <w:right w:val="nil"/>
            </w:tcBorders>
            <w:shd w:val="clear" w:color="auto" w:fill="auto"/>
            <w:vAlign w:val="center"/>
            <w:hideMark/>
          </w:tcPr>
          <w:p w14:paraId="782D272D" w14:textId="77777777" w:rsidR="00992DD8" w:rsidRPr="006E2F21" w:rsidRDefault="00992DD8" w:rsidP="0019064B">
            <w:pPr>
              <w:spacing w:after="0" w:line="240" w:lineRule="auto"/>
              <w:jc w:val="center"/>
              <w:rPr>
                <w:sz w:val="20"/>
                <w:szCs w:val="20"/>
                <w:lang w:eastAsia="sk-SK"/>
              </w:rPr>
            </w:pPr>
            <w:r w:rsidRPr="006E2F21">
              <w:rPr>
                <w:sz w:val="20"/>
                <w:szCs w:val="20"/>
              </w:rPr>
              <w:t>0,0</w:t>
            </w:r>
          </w:p>
        </w:tc>
        <w:tc>
          <w:tcPr>
            <w:tcW w:w="773" w:type="pct"/>
            <w:tcBorders>
              <w:top w:val="nil"/>
              <w:left w:val="nil"/>
              <w:bottom w:val="nil"/>
              <w:right w:val="nil"/>
            </w:tcBorders>
            <w:shd w:val="clear" w:color="auto" w:fill="auto"/>
            <w:vAlign w:val="center"/>
            <w:hideMark/>
          </w:tcPr>
          <w:p w14:paraId="7744ED98" w14:textId="77777777" w:rsidR="00992DD8" w:rsidRPr="006E2F21" w:rsidRDefault="00992DD8" w:rsidP="0019064B">
            <w:pPr>
              <w:spacing w:after="0" w:line="240" w:lineRule="auto"/>
              <w:jc w:val="center"/>
              <w:rPr>
                <w:sz w:val="20"/>
                <w:szCs w:val="20"/>
                <w:lang w:eastAsia="sk-SK"/>
              </w:rPr>
            </w:pPr>
            <w:r w:rsidRPr="006E2F21">
              <w:rPr>
                <w:sz w:val="20"/>
                <w:szCs w:val="20"/>
              </w:rPr>
              <w:t>-0,4</w:t>
            </w:r>
          </w:p>
        </w:tc>
        <w:tc>
          <w:tcPr>
            <w:tcW w:w="686" w:type="pct"/>
            <w:tcBorders>
              <w:top w:val="nil"/>
              <w:left w:val="nil"/>
              <w:bottom w:val="nil"/>
              <w:right w:val="nil"/>
            </w:tcBorders>
            <w:shd w:val="clear" w:color="auto" w:fill="auto"/>
            <w:vAlign w:val="center"/>
            <w:hideMark/>
          </w:tcPr>
          <w:p w14:paraId="2A5BD0FD" w14:textId="77777777" w:rsidR="00992DD8" w:rsidRPr="006E2F21" w:rsidRDefault="00992DD8" w:rsidP="0019064B">
            <w:pPr>
              <w:spacing w:after="0" w:line="240" w:lineRule="auto"/>
              <w:jc w:val="center"/>
              <w:rPr>
                <w:sz w:val="20"/>
                <w:szCs w:val="20"/>
                <w:lang w:eastAsia="sk-SK"/>
              </w:rPr>
            </w:pPr>
            <w:r w:rsidRPr="006E2F21">
              <w:rPr>
                <w:sz w:val="20"/>
                <w:szCs w:val="20"/>
              </w:rPr>
              <w:t>0,1</w:t>
            </w:r>
          </w:p>
        </w:tc>
        <w:tc>
          <w:tcPr>
            <w:tcW w:w="669" w:type="pct"/>
            <w:tcBorders>
              <w:top w:val="nil"/>
              <w:left w:val="nil"/>
              <w:bottom w:val="nil"/>
              <w:right w:val="nil"/>
            </w:tcBorders>
            <w:shd w:val="clear" w:color="auto" w:fill="auto"/>
            <w:vAlign w:val="center"/>
            <w:hideMark/>
          </w:tcPr>
          <w:p w14:paraId="1F6D3BA0" w14:textId="77777777" w:rsidR="00992DD8" w:rsidRPr="006E2F21" w:rsidRDefault="00992DD8" w:rsidP="0019064B">
            <w:pPr>
              <w:spacing w:after="0" w:line="240" w:lineRule="auto"/>
              <w:jc w:val="right"/>
              <w:rPr>
                <w:sz w:val="20"/>
                <w:szCs w:val="20"/>
                <w:lang w:eastAsia="sk-SK"/>
              </w:rPr>
            </w:pPr>
            <w:r w:rsidRPr="006E2F21">
              <w:rPr>
                <w:sz w:val="20"/>
                <w:szCs w:val="20"/>
              </w:rPr>
              <w:t>81 255</w:t>
            </w:r>
          </w:p>
        </w:tc>
      </w:tr>
      <w:tr w:rsidR="00992DD8" w:rsidRPr="006E2F21" w14:paraId="295D6546" w14:textId="77777777" w:rsidTr="00B61920">
        <w:trPr>
          <w:trHeight w:val="348"/>
        </w:trPr>
        <w:tc>
          <w:tcPr>
            <w:tcW w:w="1578" w:type="pct"/>
            <w:tcBorders>
              <w:top w:val="nil"/>
              <w:left w:val="nil"/>
              <w:bottom w:val="single" w:sz="4" w:space="0" w:color="auto"/>
              <w:right w:val="nil"/>
            </w:tcBorders>
            <w:shd w:val="clear" w:color="auto" w:fill="auto"/>
            <w:vAlign w:val="center"/>
            <w:hideMark/>
          </w:tcPr>
          <w:p w14:paraId="412EDDD5" w14:textId="77777777" w:rsidR="00992DD8" w:rsidRPr="006E2F21" w:rsidRDefault="00992DD8" w:rsidP="0019064B">
            <w:pPr>
              <w:spacing w:after="0" w:line="240" w:lineRule="auto"/>
              <w:rPr>
                <w:sz w:val="20"/>
                <w:szCs w:val="20"/>
                <w:lang w:eastAsia="sk-SK"/>
              </w:rPr>
            </w:pPr>
            <w:r w:rsidRPr="006E2F21">
              <w:rPr>
                <w:sz w:val="20"/>
                <w:szCs w:val="20"/>
                <w:lang w:eastAsia="sk-SK"/>
              </w:rPr>
              <w:t>4. Fondy sociálneho zabezpečenia</w:t>
            </w:r>
          </w:p>
        </w:tc>
        <w:tc>
          <w:tcPr>
            <w:tcW w:w="521" w:type="pct"/>
            <w:tcBorders>
              <w:top w:val="nil"/>
              <w:left w:val="nil"/>
              <w:bottom w:val="single" w:sz="4" w:space="0" w:color="auto"/>
              <w:right w:val="nil"/>
            </w:tcBorders>
            <w:shd w:val="clear" w:color="auto" w:fill="auto"/>
            <w:vAlign w:val="center"/>
            <w:hideMark/>
          </w:tcPr>
          <w:p w14:paraId="3E00FD0F" w14:textId="77777777" w:rsidR="00992DD8" w:rsidRPr="006E2F21" w:rsidRDefault="00992DD8" w:rsidP="0019064B">
            <w:pPr>
              <w:spacing w:after="0" w:line="240" w:lineRule="auto"/>
              <w:jc w:val="center"/>
              <w:rPr>
                <w:sz w:val="20"/>
                <w:szCs w:val="20"/>
                <w:lang w:eastAsia="sk-SK"/>
              </w:rPr>
            </w:pPr>
            <w:r w:rsidRPr="006E2F21">
              <w:rPr>
                <w:sz w:val="20"/>
                <w:szCs w:val="20"/>
                <w:lang w:eastAsia="sk-SK"/>
              </w:rPr>
              <w:t>S.1314</w:t>
            </w:r>
          </w:p>
        </w:tc>
        <w:tc>
          <w:tcPr>
            <w:tcW w:w="773" w:type="pct"/>
            <w:tcBorders>
              <w:top w:val="nil"/>
              <w:left w:val="nil"/>
              <w:bottom w:val="single" w:sz="4" w:space="0" w:color="auto"/>
              <w:right w:val="nil"/>
            </w:tcBorders>
            <w:shd w:val="clear" w:color="auto" w:fill="auto"/>
            <w:vAlign w:val="center"/>
            <w:hideMark/>
          </w:tcPr>
          <w:p w14:paraId="46F909A2" w14:textId="77777777" w:rsidR="00992DD8" w:rsidRPr="006E2F21" w:rsidRDefault="00992DD8" w:rsidP="0019064B">
            <w:pPr>
              <w:spacing w:after="0" w:line="240" w:lineRule="auto"/>
              <w:jc w:val="center"/>
              <w:rPr>
                <w:sz w:val="20"/>
                <w:szCs w:val="20"/>
                <w:lang w:eastAsia="sk-SK"/>
              </w:rPr>
            </w:pPr>
            <w:r w:rsidRPr="006E2F21">
              <w:rPr>
                <w:sz w:val="20"/>
                <w:szCs w:val="20"/>
              </w:rPr>
              <w:t>0,3</w:t>
            </w:r>
          </w:p>
        </w:tc>
        <w:tc>
          <w:tcPr>
            <w:tcW w:w="773" w:type="pct"/>
            <w:tcBorders>
              <w:top w:val="nil"/>
              <w:left w:val="nil"/>
              <w:bottom w:val="single" w:sz="4" w:space="0" w:color="auto"/>
              <w:right w:val="nil"/>
            </w:tcBorders>
            <w:shd w:val="clear" w:color="auto" w:fill="auto"/>
            <w:vAlign w:val="center"/>
            <w:hideMark/>
          </w:tcPr>
          <w:p w14:paraId="5AF355E1" w14:textId="77777777" w:rsidR="00992DD8" w:rsidRPr="006E2F21" w:rsidRDefault="00992DD8" w:rsidP="0019064B">
            <w:pPr>
              <w:spacing w:after="0" w:line="240" w:lineRule="auto"/>
              <w:jc w:val="center"/>
              <w:rPr>
                <w:sz w:val="20"/>
                <w:szCs w:val="20"/>
                <w:lang w:eastAsia="sk-SK"/>
              </w:rPr>
            </w:pPr>
            <w:r w:rsidRPr="006E2F21">
              <w:rPr>
                <w:sz w:val="20"/>
                <w:szCs w:val="20"/>
              </w:rPr>
              <w:t>0,2</w:t>
            </w:r>
          </w:p>
        </w:tc>
        <w:tc>
          <w:tcPr>
            <w:tcW w:w="686" w:type="pct"/>
            <w:tcBorders>
              <w:top w:val="nil"/>
              <w:left w:val="nil"/>
              <w:bottom w:val="single" w:sz="4" w:space="0" w:color="auto"/>
              <w:right w:val="nil"/>
            </w:tcBorders>
            <w:shd w:val="clear" w:color="auto" w:fill="auto"/>
            <w:vAlign w:val="center"/>
            <w:hideMark/>
          </w:tcPr>
          <w:p w14:paraId="44328443" w14:textId="77777777" w:rsidR="00992DD8" w:rsidRPr="006E2F21" w:rsidRDefault="00992DD8" w:rsidP="0019064B">
            <w:pPr>
              <w:spacing w:after="0" w:line="240" w:lineRule="auto"/>
              <w:jc w:val="center"/>
              <w:rPr>
                <w:sz w:val="20"/>
                <w:szCs w:val="20"/>
                <w:lang w:eastAsia="sk-SK"/>
              </w:rPr>
            </w:pPr>
            <w:r w:rsidRPr="006E2F21">
              <w:rPr>
                <w:sz w:val="20"/>
                <w:szCs w:val="20"/>
              </w:rPr>
              <w:t>0,2</w:t>
            </w:r>
          </w:p>
        </w:tc>
        <w:tc>
          <w:tcPr>
            <w:tcW w:w="669" w:type="pct"/>
            <w:tcBorders>
              <w:top w:val="nil"/>
              <w:left w:val="nil"/>
              <w:bottom w:val="single" w:sz="4" w:space="0" w:color="auto"/>
              <w:right w:val="nil"/>
            </w:tcBorders>
            <w:shd w:val="clear" w:color="auto" w:fill="auto"/>
            <w:vAlign w:val="center"/>
            <w:hideMark/>
          </w:tcPr>
          <w:p w14:paraId="6108CAEA" w14:textId="77777777" w:rsidR="00992DD8" w:rsidRPr="006E2F21" w:rsidRDefault="00992DD8" w:rsidP="0019064B">
            <w:pPr>
              <w:spacing w:after="0" w:line="240" w:lineRule="auto"/>
              <w:jc w:val="right"/>
              <w:rPr>
                <w:sz w:val="20"/>
                <w:szCs w:val="20"/>
                <w:lang w:eastAsia="sk-SK"/>
              </w:rPr>
            </w:pPr>
            <w:r w:rsidRPr="006E2F21">
              <w:rPr>
                <w:sz w:val="20"/>
                <w:szCs w:val="20"/>
              </w:rPr>
              <w:t>276 236</w:t>
            </w:r>
          </w:p>
        </w:tc>
      </w:tr>
    </w:tbl>
    <w:p w14:paraId="7F030857" w14:textId="77777777" w:rsidR="00992DD8" w:rsidRPr="006E2F21" w:rsidRDefault="00992DD8" w:rsidP="00992DD8">
      <w:pPr>
        <w:spacing w:after="0" w:line="240" w:lineRule="auto"/>
        <w:ind w:right="-143"/>
        <w:rPr>
          <w:iCs/>
          <w:sz w:val="16"/>
          <w:szCs w:val="16"/>
          <w:lang w:eastAsia="sk-SK"/>
        </w:rPr>
      </w:pPr>
      <w:r w:rsidRPr="006E2F21">
        <w:rPr>
          <w:iCs/>
          <w:sz w:val="16"/>
          <w:szCs w:val="16"/>
          <w:lang w:eastAsia="sk-SK"/>
        </w:rPr>
        <w:t>Hodnoty v tabuľke sú zaokrúhlené na jedno desatinné miesto.</w:t>
      </w:r>
      <w:r w:rsidRPr="006E2F21">
        <w:rPr>
          <w:iCs/>
          <w:sz w:val="16"/>
          <w:szCs w:val="16"/>
          <w:lang w:eastAsia="sk-SK"/>
        </w:rPr>
        <w:tab/>
      </w:r>
      <w:r w:rsidRPr="006E2F21">
        <w:rPr>
          <w:iCs/>
          <w:sz w:val="16"/>
          <w:szCs w:val="16"/>
          <w:lang w:eastAsia="sk-SK"/>
        </w:rPr>
        <w:tab/>
      </w:r>
      <w:r w:rsidRPr="006E2F21">
        <w:rPr>
          <w:iCs/>
          <w:sz w:val="16"/>
          <w:szCs w:val="16"/>
          <w:lang w:eastAsia="sk-SK"/>
        </w:rPr>
        <w:tab/>
      </w:r>
      <w:r w:rsidRPr="006E2F21">
        <w:rPr>
          <w:iCs/>
          <w:sz w:val="16"/>
          <w:szCs w:val="16"/>
          <w:lang w:eastAsia="sk-SK"/>
        </w:rPr>
        <w:tab/>
      </w:r>
      <w:r w:rsidRPr="006E2F21">
        <w:rPr>
          <w:iCs/>
          <w:sz w:val="16"/>
          <w:szCs w:val="16"/>
          <w:lang w:eastAsia="sk-SK"/>
        </w:rPr>
        <w:tab/>
        <w:t xml:space="preserve">                   Zdroj: Eurostat, ŠÚSR</w:t>
      </w:r>
    </w:p>
    <w:p w14:paraId="3263F09C" w14:textId="77777777" w:rsidR="00992DD8" w:rsidRPr="006E2F21" w:rsidRDefault="00992DD8" w:rsidP="00992DD8">
      <w:pPr>
        <w:spacing w:after="0" w:line="240" w:lineRule="auto"/>
        <w:rPr>
          <w:iCs/>
          <w:sz w:val="16"/>
          <w:szCs w:val="16"/>
          <w:lang w:eastAsia="sk-SK"/>
        </w:rPr>
      </w:pPr>
      <w:r w:rsidRPr="006E2F21">
        <w:rPr>
          <w:iCs/>
          <w:sz w:val="16"/>
          <w:szCs w:val="16"/>
          <w:lang w:eastAsia="sk-SK"/>
        </w:rPr>
        <w:t xml:space="preserve">Miestna samospráva je totožná v národnej legislatíve s pojmom územná samospráva. </w:t>
      </w:r>
    </w:p>
    <w:p w14:paraId="3F126604" w14:textId="77777777" w:rsidR="00992DD8" w:rsidRPr="000549F0" w:rsidRDefault="00992DD8" w:rsidP="00992DD8">
      <w:pPr>
        <w:spacing w:after="0" w:line="240" w:lineRule="auto"/>
        <w:jc w:val="both"/>
        <w:rPr>
          <w:szCs w:val="22"/>
          <w:highlight w:val="yellow"/>
        </w:rPr>
      </w:pPr>
    </w:p>
    <w:p w14:paraId="3FE07D06" w14:textId="342FE2D1" w:rsidR="00992DD8" w:rsidRDefault="00992DD8" w:rsidP="00881A9A">
      <w:pPr>
        <w:spacing w:after="120" w:line="240" w:lineRule="auto"/>
        <w:jc w:val="both"/>
        <w:rPr>
          <w:szCs w:val="22"/>
        </w:rPr>
      </w:pPr>
      <w:r w:rsidRPr="00AA7696">
        <w:rPr>
          <w:szCs w:val="22"/>
        </w:rPr>
        <w:lastRenderedPageBreak/>
        <w:t xml:space="preserve">Z pohľadu sektorového členenia sa na schodku </w:t>
      </w:r>
      <w:r w:rsidR="003A21DC" w:rsidRPr="00046BF3">
        <w:rPr>
          <w:szCs w:val="22"/>
          <w:u w:val="single"/>
        </w:rPr>
        <w:t>na nekonsolidovanej báze</w:t>
      </w:r>
      <w:r w:rsidR="003A21DC">
        <w:rPr>
          <w:szCs w:val="22"/>
        </w:rPr>
        <w:t xml:space="preserve"> </w:t>
      </w:r>
      <w:r w:rsidRPr="00AA7696">
        <w:rPr>
          <w:szCs w:val="22"/>
        </w:rPr>
        <w:t xml:space="preserve">najviac podieľala ústredná správa a v rámci nej štátny rozpočet </w:t>
      </w:r>
      <w:r w:rsidRPr="00B45401">
        <w:rPr>
          <w:szCs w:val="22"/>
        </w:rPr>
        <w:t xml:space="preserve">so schodkom </w:t>
      </w:r>
      <w:r w:rsidR="00D418E2">
        <w:rPr>
          <w:szCs w:val="22"/>
          <w:lang w:val="en-US"/>
        </w:rPr>
        <w:t>6 985 </w:t>
      </w:r>
      <w:r w:rsidRPr="00B45401">
        <w:rPr>
          <w:szCs w:val="22"/>
          <w:lang w:val="en-US"/>
        </w:rPr>
        <w:t>753</w:t>
      </w:r>
      <w:r w:rsidRPr="00B45401">
        <w:rPr>
          <w:szCs w:val="22"/>
        </w:rPr>
        <w:t> tis. eur, čo predstavuje opr</w:t>
      </w:r>
      <w:r w:rsidR="00D418E2">
        <w:rPr>
          <w:szCs w:val="22"/>
        </w:rPr>
        <w:t>oti roku 2022 zhoršenie o 4 563 </w:t>
      </w:r>
      <w:r w:rsidRPr="00B45401">
        <w:rPr>
          <w:szCs w:val="22"/>
        </w:rPr>
        <w:t>611 tis. eur</w:t>
      </w:r>
      <w:r w:rsidR="007B4CA0">
        <w:rPr>
          <w:szCs w:val="22"/>
        </w:rPr>
        <w:t>, napriek tomu, že oproti rozpočtu bol výsledok lepší o 519</w:t>
      </w:r>
      <w:r w:rsidR="00881A9A">
        <w:rPr>
          <w:szCs w:val="22"/>
        </w:rPr>
        <w:t> </w:t>
      </w:r>
      <w:r w:rsidR="007B4CA0">
        <w:rPr>
          <w:szCs w:val="22"/>
        </w:rPr>
        <w:t>333</w:t>
      </w:r>
      <w:r w:rsidR="00881A9A">
        <w:rPr>
          <w:szCs w:val="22"/>
        </w:rPr>
        <w:t> </w:t>
      </w:r>
      <w:r w:rsidR="007B4CA0">
        <w:rPr>
          <w:szCs w:val="22"/>
        </w:rPr>
        <w:t>tis.</w:t>
      </w:r>
      <w:r w:rsidR="00881A9A">
        <w:rPr>
          <w:szCs w:val="22"/>
        </w:rPr>
        <w:t> </w:t>
      </w:r>
      <w:r w:rsidR="007B4CA0">
        <w:rPr>
          <w:szCs w:val="22"/>
        </w:rPr>
        <w:t>eur</w:t>
      </w:r>
      <w:r w:rsidRPr="00B45401">
        <w:rPr>
          <w:szCs w:val="22"/>
        </w:rPr>
        <w:t>. Deficit ŠR bol negatívne ovplyvnený nárastom čerpania výdavkov určených na financovanie dočasných opatrení spoje</w:t>
      </w:r>
      <w:r w:rsidR="00C4360B">
        <w:rPr>
          <w:szCs w:val="22"/>
        </w:rPr>
        <w:t xml:space="preserve">ných s konfliktom na Ukrajine, </w:t>
      </w:r>
      <w:r w:rsidRPr="00B45401">
        <w:rPr>
          <w:szCs w:val="22"/>
        </w:rPr>
        <w:t>s kompenzáciou vysokého rastu cien</w:t>
      </w:r>
      <w:r w:rsidR="007B4CA0">
        <w:rPr>
          <w:szCs w:val="22"/>
        </w:rPr>
        <w:t xml:space="preserve"> energií</w:t>
      </w:r>
      <w:r w:rsidR="00C4360B">
        <w:rPr>
          <w:szCs w:val="22"/>
        </w:rPr>
        <w:t>, oneskorenou valorizáciou sociálnych výdavkov a miezd z titulu inflácie v roku 2022, dvakrát</w:t>
      </w:r>
      <w:r w:rsidR="00F80F51">
        <w:rPr>
          <w:rStyle w:val="Odkaznapoznmkupodiarou"/>
          <w:szCs w:val="22"/>
        </w:rPr>
        <w:footnoteReference w:id="8"/>
      </w:r>
      <w:r w:rsidR="00C4360B">
        <w:rPr>
          <w:szCs w:val="22"/>
        </w:rPr>
        <w:t xml:space="preserve"> vyplatených 13. dôchodkov, zavedeného rodičovského príspevku a medziročného rastu úrokových nákladov.</w:t>
      </w:r>
      <w:r>
        <w:rPr>
          <w:szCs w:val="22"/>
        </w:rPr>
        <w:t xml:space="preserve"> Tieto negatívne vplyvy boli čiastočne kompenzo</w:t>
      </w:r>
      <w:r w:rsidR="00881A9A">
        <w:rPr>
          <w:szCs w:val="22"/>
        </w:rPr>
        <w:t>vané vyššími daňovými príjmami.</w:t>
      </w:r>
    </w:p>
    <w:p w14:paraId="2229134B" w14:textId="715C16B9" w:rsidR="00992DD8" w:rsidRDefault="00992DD8" w:rsidP="00881A9A">
      <w:pPr>
        <w:spacing w:after="120" w:line="240" w:lineRule="auto"/>
        <w:jc w:val="both"/>
        <w:rPr>
          <w:szCs w:val="22"/>
        </w:rPr>
      </w:pPr>
      <w:r w:rsidRPr="00854085">
        <w:rPr>
          <w:szCs w:val="22"/>
        </w:rPr>
        <w:t>So schodkom hospodárili aj ďalšie subjekty verejnej správy napríklad zdravotnícke zariadenia ústrednej správy</w:t>
      </w:r>
      <w:r>
        <w:rPr>
          <w:szCs w:val="22"/>
        </w:rPr>
        <w:t xml:space="preserve"> a územnej samosprávy</w:t>
      </w:r>
      <w:r w:rsidRPr="00854085">
        <w:rPr>
          <w:szCs w:val="22"/>
        </w:rPr>
        <w:t xml:space="preserve"> </w:t>
      </w:r>
      <w:r w:rsidR="007B4CA0">
        <w:rPr>
          <w:szCs w:val="22"/>
        </w:rPr>
        <w:t xml:space="preserve">spolu </w:t>
      </w:r>
      <w:r w:rsidRPr="00854085">
        <w:rPr>
          <w:szCs w:val="22"/>
        </w:rPr>
        <w:t>vo výške 2</w:t>
      </w:r>
      <w:r>
        <w:rPr>
          <w:szCs w:val="22"/>
        </w:rPr>
        <w:t>90</w:t>
      </w:r>
      <w:r w:rsidRPr="00854085">
        <w:rPr>
          <w:szCs w:val="22"/>
        </w:rPr>
        <w:t> </w:t>
      </w:r>
      <w:r>
        <w:rPr>
          <w:szCs w:val="22"/>
        </w:rPr>
        <w:t>262</w:t>
      </w:r>
      <w:r w:rsidRPr="00854085">
        <w:rPr>
          <w:szCs w:val="22"/>
        </w:rPr>
        <w:t> tis. eur, vyššie územné celky</w:t>
      </w:r>
      <w:r w:rsidR="000177FD">
        <w:rPr>
          <w:szCs w:val="22"/>
        </w:rPr>
        <w:t xml:space="preserve"> a ich rozpočtové organizácie (VÚC a ich RO)</w:t>
      </w:r>
      <w:r w:rsidRPr="00854085">
        <w:rPr>
          <w:szCs w:val="22"/>
        </w:rPr>
        <w:t xml:space="preserve"> vo</w:t>
      </w:r>
      <w:r w:rsidR="00627A8D">
        <w:rPr>
          <w:szCs w:val="22"/>
        </w:rPr>
        <w:t> </w:t>
      </w:r>
      <w:r w:rsidRPr="00854085">
        <w:rPr>
          <w:szCs w:val="22"/>
        </w:rPr>
        <w:t>výške 89 995 tis. eur</w:t>
      </w:r>
      <w:r>
        <w:rPr>
          <w:szCs w:val="22"/>
        </w:rPr>
        <w:t>, Železnice Slovenskej republiky</w:t>
      </w:r>
      <w:r w:rsidR="00B6008D">
        <w:rPr>
          <w:szCs w:val="22"/>
        </w:rPr>
        <w:t xml:space="preserve"> (ŽSR)</w:t>
      </w:r>
      <w:r w:rsidR="00C765EA">
        <w:rPr>
          <w:szCs w:val="22"/>
        </w:rPr>
        <w:t xml:space="preserve"> vo </w:t>
      </w:r>
      <w:r>
        <w:rPr>
          <w:szCs w:val="22"/>
        </w:rPr>
        <w:t>výške 32 137 tis.</w:t>
      </w:r>
      <w:r w:rsidR="00D418E2">
        <w:rPr>
          <w:szCs w:val="22"/>
        </w:rPr>
        <w:t> </w:t>
      </w:r>
      <w:r>
        <w:rPr>
          <w:szCs w:val="22"/>
        </w:rPr>
        <w:t xml:space="preserve">eur a ostatné subjekty územnej </w:t>
      </w:r>
      <w:r w:rsidR="00D418E2">
        <w:rPr>
          <w:szCs w:val="22"/>
        </w:rPr>
        <w:t>samosprávy vo výške 24 817 tis. </w:t>
      </w:r>
      <w:r>
        <w:rPr>
          <w:szCs w:val="22"/>
        </w:rPr>
        <w:t>eur.</w:t>
      </w:r>
    </w:p>
    <w:p w14:paraId="1F707A0D" w14:textId="77777777" w:rsidR="00DB10E8" w:rsidRDefault="00DB10E8" w:rsidP="00DB10E8">
      <w:pPr>
        <w:pStyle w:val="Popis"/>
        <w:framePr w:wrap="around" w:y="1275"/>
      </w:pPr>
      <w:r>
        <w:t xml:space="preserve">Tabuľka </w:t>
      </w:r>
      <w:r w:rsidR="001F05DE">
        <w:fldChar w:fldCharType="begin"/>
      </w:r>
      <w:r w:rsidR="001F05DE">
        <w:instrText xml:space="preserve"> SEQ Tabuľka \* ARABIC </w:instrText>
      </w:r>
      <w:r w:rsidR="001F05DE">
        <w:fldChar w:fldCharType="separate"/>
      </w:r>
      <w:r>
        <w:rPr>
          <w:noProof/>
        </w:rPr>
        <w:t>5</w:t>
      </w:r>
      <w:r w:rsidR="001F05DE">
        <w:rPr>
          <w:noProof/>
        </w:rPr>
        <w:fldChar w:fldCharType="end"/>
      </w:r>
      <w:r>
        <w:t xml:space="preserve"> - </w:t>
      </w:r>
      <w:r w:rsidRPr="00265C7C">
        <w:t>Schodok verejnej správy podľa jednotlivých subjektov/ zložiek</w:t>
      </w:r>
      <w:r>
        <w:t xml:space="preserve"> </w:t>
      </w:r>
      <w:r>
        <w:tab/>
      </w:r>
      <w:r>
        <w:tab/>
        <w:t xml:space="preserve">    </w:t>
      </w:r>
      <w:r>
        <w:tab/>
        <w:t>v tis. eur</w:t>
      </w:r>
    </w:p>
    <w:p w14:paraId="049394CC" w14:textId="638E6077" w:rsidR="004C2429" w:rsidRDefault="00992DD8" w:rsidP="00992DD8">
      <w:pPr>
        <w:spacing w:after="120" w:line="240" w:lineRule="auto"/>
        <w:jc w:val="both"/>
        <w:rPr>
          <w:szCs w:val="22"/>
        </w:rPr>
      </w:pPr>
      <w:r w:rsidRPr="00CD0BCD">
        <w:rPr>
          <w:szCs w:val="22"/>
        </w:rPr>
        <w:t xml:space="preserve">Najvyššie prebytky v roku 2023 dosiahli </w:t>
      </w:r>
      <w:r>
        <w:rPr>
          <w:szCs w:val="22"/>
        </w:rPr>
        <w:t>fondy sociá</w:t>
      </w:r>
      <w:r w:rsidR="00D418E2">
        <w:rPr>
          <w:szCs w:val="22"/>
        </w:rPr>
        <w:t>lneho zabezpečenia 276 236 tis. </w:t>
      </w:r>
      <w:r>
        <w:rPr>
          <w:szCs w:val="22"/>
        </w:rPr>
        <w:t>eur (z toho verejné zdravotné poistenie tvorilo prebytok vo výš</w:t>
      </w:r>
      <w:r w:rsidR="00D418E2">
        <w:rPr>
          <w:szCs w:val="22"/>
        </w:rPr>
        <w:t>ke 224 675 tis. </w:t>
      </w:r>
      <w:r>
        <w:rPr>
          <w:szCs w:val="22"/>
        </w:rPr>
        <w:t xml:space="preserve">eur), </w:t>
      </w:r>
      <w:r w:rsidRPr="00CD0BCD">
        <w:rPr>
          <w:szCs w:val="22"/>
        </w:rPr>
        <w:t>štátne fondy vo výške 2</w:t>
      </w:r>
      <w:r>
        <w:rPr>
          <w:szCs w:val="22"/>
        </w:rPr>
        <w:t>63 121</w:t>
      </w:r>
      <w:r w:rsidRPr="00CD0BCD">
        <w:rPr>
          <w:szCs w:val="22"/>
        </w:rPr>
        <w:t xml:space="preserve"> tis. eur, </w:t>
      </w:r>
      <w:r w:rsidR="00D418E2">
        <w:rPr>
          <w:szCs w:val="22"/>
        </w:rPr>
        <w:t xml:space="preserve">obce </w:t>
      </w:r>
      <w:r w:rsidR="00A94716">
        <w:rPr>
          <w:szCs w:val="22"/>
        </w:rPr>
        <w:t xml:space="preserve">a ich RO </w:t>
      </w:r>
      <w:r w:rsidR="00D418E2">
        <w:rPr>
          <w:szCs w:val="22"/>
        </w:rPr>
        <w:t>vo výške 124 779 tis. </w:t>
      </w:r>
      <w:r>
        <w:rPr>
          <w:szCs w:val="22"/>
        </w:rPr>
        <w:t xml:space="preserve">eur, </w:t>
      </w:r>
      <w:r w:rsidRPr="00042E2F">
        <w:rPr>
          <w:szCs w:val="22"/>
        </w:rPr>
        <w:t>ostatné subjekty ústrednej správy vo výške 101 717 tis. eur</w:t>
      </w:r>
      <w:r>
        <w:rPr>
          <w:szCs w:val="22"/>
        </w:rPr>
        <w:t xml:space="preserve"> a</w:t>
      </w:r>
      <w:r w:rsidR="00627A8D">
        <w:rPr>
          <w:szCs w:val="22"/>
        </w:rPr>
        <w:t> </w:t>
      </w:r>
      <w:r w:rsidR="00105EF9">
        <w:rPr>
          <w:szCs w:val="22"/>
        </w:rPr>
        <w:t>SIH (vrátane investičných</w:t>
      </w:r>
      <w:r>
        <w:rPr>
          <w:szCs w:val="22"/>
        </w:rPr>
        <w:t xml:space="preserve"> f</w:t>
      </w:r>
      <w:r w:rsidR="00105EF9">
        <w:rPr>
          <w:szCs w:val="22"/>
        </w:rPr>
        <w:t>ondov</w:t>
      </w:r>
      <w:r w:rsidR="00D418E2">
        <w:rPr>
          <w:szCs w:val="22"/>
        </w:rPr>
        <w:t xml:space="preserve"> SIH-u</w:t>
      </w:r>
      <w:r w:rsidR="00105EF9">
        <w:rPr>
          <w:szCs w:val="22"/>
        </w:rPr>
        <w:t>)</w:t>
      </w:r>
      <w:r w:rsidR="00D418E2">
        <w:rPr>
          <w:szCs w:val="22"/>
        </w:rPr>
        <w:t xml:space="preserve"> vo výške 89 458 tis. </w:t>
      </w:r>
      <w:r>
        <w:rPr>
          <w:szCs w:val="22"/>
        </w:rPr>
        <w:t>eur</w:t>
      </w:r>
      <w:r w:rsidRPr="00042E2F">
        <w:rPr>
          <w:szCs w:val="22"/>
        </w:rPr>
        <w:t>.</w:t>
      </w:r>
    </w:p>
    <w:tbl>
      <w:tblPr>
        <w:tblW w:w="4995" w:type="pct"/>
        <w:tblCellMar>
          <w:left w:w="70" w:type="dxa"/>
          <w:right w:w="70" w:type="dxa"/>
        </w:tblCellMar>
        <w:tblLook w:val="04A0" w:firstRow="1" w:lastRow="0" w:firstColumn="1" w:lastColumn="0" w:noHBand="0" w:noVBand="1"/>
      </w:tblPr>
      <w:tblGrid>
        <w:gridCol w:w="186"/>
        <w:gridCol w:w="221"/>
        <w:gridCol w:w="3223"/>
        <w:gridCol w:w="116"/>
        <w:gridCol w:w="71"/>
        <w:gridCol w:w="779"/>
        <w:gridCol w:w="78"/>
        <w:gridCol w:w="62"/>
        <w:gridCol w:w="690"/>
        <w:gridCol w:w="168"/>
        <w:gridCol w:w="62"/>
        <w:gridCol w:w="83"/>
        <w:gridCol w:w="721"/>
        <w:gridCol w:w="56"/>
        <w:gridCol w:w="62"/>
        <w:gridCol w:w="80"/>
        <w:gridCol w:w="779"/>
        <w:gridCol w:w="43"/>
        <w:gridCol w:w="193"/>
        <w:gridCol w:w="757"/>
        <w:gridCol w:w="68"/>
        <w:gridCol w:w="798"/>
        <w:gridCol w:w="49"/>
      </w:tblGrid>
      <w:tr w:rsidR="00992DD8" w:rsidRPr="004A1D24" w14:paraId="04FCA11B" w14:textId="77777777" w:rsidTr="00420255">
        <w:trPr>
          <w:trHeight w:val="257"/>
          <w:tblHeader/>
        </w:trPr>
        <w:tc>
          <w:tcPr>
            <w:tcW w:w="100" w:type="pct"/>
            <w:tcBorders>
              <w:top w:val="single" w:sz="4" w:space="0" w:color="auto"/>
              <w:left w:val="nil"/>
              <w:bottom w:val="nil"/>
              <w:right w:val="nil"/>
            </w:tcBorders>
            <w:shd w:val="clear" w:color="auto" w:fill="auto"/>
            <w:noWrap/>
            <w:vAlign w:val="center"/>
            <w:hideMark/>
          </w:tcPr>
          <w:p w14:paraId="68FE8740" w14:textId="77777777" w:rsidR="00992DD8" w:rsidRPr="004A1D24" w:rsidRDefault="00992DD8" w:rsidP="0019064B">
            <w:pPr>
              <w:spacing w:after="0" w:line="240" w:lineRule="auto"/>
              <w:jc w:val="center"/>
              <w:rPr>
                <w:b/>
                <w:bCs/>
                <w:sz w:val="18"/>
                <w:szCs w:val="18"/>
                <w:lang w:eastAsia="sk-SK"/>
              </w:rPr>
            </w:pPr>
            <w:r w:rsidRPr="004A1D24">
              <w:rPr>
                <w:b/>
                <w:bCs/>
                <w:sz w:val="18"/>
                <w:szCs w:val="18"/>
                <w:lang w:eastAsia="sk-SK"/>
              </w:rPr>
              <w:t> </w:t>
            </w:r>
          </w:p>
        </w:tc>
        <w:tc>
          <w:tcPr>
            <w:tcW w:w="1843" w:type="pct"/>
            <w:gridSpan w:val="2"/>
            <w:tcBorders>
              <w:top w:val="single" w:sz="4" w:space="0" w:color="auto"/>
              <w:left w:val="nil"/>
              <w:bottom w:val="nil"/>
              <w:right w:val="nil"/>
            </w:tcBorders>
            <w:shd w:val="clear" w:color="auto" w:fill="auto"/>
            <w:noWrap/>
            <w:vAlign w:val="center"/>
            <w:hideMark/>
          </w:tcPr>
          <w:p w14:paraId="0797926C" w14:textId="77777777" w:rsidR="00992DD8" w:rsidRPr="004A1D24" w:rsidRDefault="00992DD8" w:rsidP="0019064B">
            <w:pPr>
              <w:spacing w:after="0" w:line="240" w:lineRule="auto"/>
              <w:jc w:val="center"/>
              <w:rPr>
                <w:b/>
                <w:bCs/>
                <w:sz w:val="18"/>
                <w:szCs w:val="18"/>
                <w:lang w:eastAsia="sk-SK"/>
              </w:rPr>
            </w:pPr>
            <w:r w:rsidRPr="004A1D24">
              <w:rPr>
                <w:b/>
                <w:bCs/>
                <w:sz w:val="18"/>
                <w:szCs w:val="18"/>
                <w:lang w:eastAsia="sk-SK"/>
              </w:rPr>
              <w:t> </w:t>
            </w:r>
          </w:p>
        </w:tc>
        <w:tc>
          <w:tcPr>
            <w:tcW w:w="100" w:type="pct"/>
            <w:gridSpan w:val="2"/>
            <w:tcBorders>
              <w:top w:val="single" w:sz="4" w:space="0" w:color="auto"/>
              <w:left w:val="nil"/>
              <w:bottom w:val="nil"/>
              <w:right w:val="nil"/>
            </w:tcBorders>
            <w:shd w:val="clear" w:color="auto" w:fill="auto"/>
            <w:noWrap/>
            <w:vAlign w:val="center"/>
            <w:hideMark/>
          </w:tcPr>
          <w:p w14:paraId="5CD8E97D" w14:textId="77777777" w:rsidR="00992DD8" w:rsidRPr="004A1D24" w:rsidRDefault="00992DD8" w:rsidP="0019064B">
            <w:pPr>
              <w:spacing w:after="0" w:line="240" w:lineRule="auto"/>
              <w:jc w:val="center"/>
              <w:rPr>
                <w:b/>
                <w:bCs/>
                <w:sz w:val="18"/>
                <w:szCs w:val="18"/>
                <w:lang w:eastAsia="sk-SK"/>
              </w:rPr>
            </w:pPr>
            <w:r w:rsidRPr="004A1D24">
              <w:rPr>
                <w:b/>
                <w:bCs/>
                <w:sz w:val="18"/>
                <w:szCs w:val="18"/>
                <w:lang w:eastAsia="sk-SK"/>
              </w:rPr>
              <w:t> </w:t>
            </w:r>
          </w:p>
        </w:tc>
        <w:tc>
          <w:tcPr>
            <w:tcW w:w="492" w:type="pct"/>
            <w:gridSpan w:val="3"/>
            <w:tcBorders>
              <w:top w:val="single" w:sz="4" w:space="0" w:color="auto"/>
              <w:left w:val="nil"/>
              <w:bottom w:val="nil"/>
              <w:right w:val="nil"/>
            </w:tcBorders>
            <w:shd w:val="clear" w:color="auto" w:fill="auto"/>
            <w:noWrap/>
            <w:vAlign w:val="center"/>
            <w:hideMark/>
          </w:tcPr>
          <w:p w14:paraId="0882395B" w14:textId="77777777" w:rsidR="00992DD8" w:rsidRPr="004A1D24" w:rsidRDefault="00992DD8" w:rsidP="0019064B">
            <w:pPr>
              <w:spacing w:after="0" w:line="240" w:lineRule="auto"/>
              <w:jc w:val="center"/>
              <w:rPr>
                <w:b/>
                <w:bCs/>
                <w:sz w:val="18"/>
                <w:szCs w:val="18"/>
                <w:lang w:eastAsia="sk-SK"/>
              </w:rPr>
            </w:pPr>
            <w:r w:rsidRPr="004A1D24">
              <w:rPr>
                <w:b/>
                <w:bCs/>
                <w:sz w:val="18"/>
                <w:szCs w:val="18"/>
              </w:rPr>
              <w:t>2021 S</w:t>
            </w:r>
          </w:p>
        </w:tc>
        <w:tc>
          <w:tcPr>
            <w:tcW w:w="492" w:type="pct"/>
            <w:gridSpan w:val="3"/>
            <w:tcBorders>
              <w:top w:val="single" w:sz="4" w:space="0" w:color="auto"/>
              <w:left w:val="nil"/>
              <w:bottom w:val="nil"/>
              <w:right w:val="nil"/>
            </w:tcBorders>
            <w:shd w:val="clear" w:color="auto" w:fill="auto"/>
            <w:noWrap/>
            <w:vAlign w:val="center"/>
            <w:hideMark/>
          </w:tcPr>
          <w:p w14:paraId="06DEFC7A" w14:textId="77777777" w:rsidR="00992DD8" w:rsidRPr="004A1D24" w:rsidRDefault="00992DD8" w:rsidP="0019064B">
            <w:pPr>
              <w:spacing w:after="0" w:line="240" w:lineRule="auto"/>
              <w:jc w:val="center"/>
              <w:rPr>
                <w:b/>
                <w:bCs/>
                <w:sz w:val="18"/>
                <w:szCs w:val="18"/>
                <w:lang w:eastAsia="sk-SK"/>
              </w:rPr>
            </w:pPr>
            <w:r w:rsidRPr="004A1D24">
              <w:rPr>
                <w:b/>
                <w:bCs/>
                <w:sz w:val="18"/>
                <w:szCs w:val="18"/>
              </w:rPr>
              <w:t>2022 S</w:t>
            </w:r>
          </w:p>
        </w:tc>
        <w:tc>
          <w:tcPr>
            <w:tcW w:w="493" w:type="pct"/>
            <w:gridSpan w:val="4"/>
            <w:tcBorders>
              <w:top w:val="single" w:sz="4" w:space="0" w:color="auto"/>
              <w:left w:val="nil"/>
              <w:bottom w:val="nil"/>
              <w:right w:val="nil"/>
            </w:tcBorders>
            <w:shd w:val="clear" w:color="auto" w:fill="auto"/>
            <w:noWrap/>
            <w:vAlign w:val="center"/>
            <w:hideMark/>
          </w:tcPr>
          <w:p w14:paraId="33889270" w14:textId="77777777" w:rsidR="00992DD8" w:rsidRPr="004A1D24" w:rsidRDefault="00992DD8" w:rsidP="0019064B">
            <w:pPr>
              <w:spacing w:after="0" w:line="240" w:lineRule="auto"/>
              <w:jc w:val="center"/>
              <w:rPr>
                <w:b/>
                <w:bCs/>
                <w:sz w:val="18"/>
                <w:szCs w:val="18"/>
                <w:lang w:eastAsia="sk-SK"/>
              </w:rPr>
            </w:pPr>
            <w:r w:rsidRPr="004A1D24">
              <w:rPr>
                <w:b/>
                <w:bCs/>
                <w:sz w:val="18"/>
                <w:szCs w:val="18"/>
              </w:rPr>
              <w:t>2023 S</w:t>
            </w:r>
          </w:p>
        </w:tc>
        <w:tc>
          <w:tcPr>
            <w:tcW w:w="483" w:type="pct"/>
            <w:gridSpan w:val="3"/>
            <w:tcBorders>
              <w:top w:val="single" w:sz="4" w:space="0" w:color="auto"/>
              <w:left w:val="nil"/>
              <w:bottom w:val="nil"/>
              <w:right w:val="nil"/>
            </w:tcBorders>
            <w:shd w:val="clear" w:color="auto" w:fill="auto"/>
            <w:noWrap/>
            <w:vAlign w:val="center"/>
            <w:hideMark/>
          </w:tcPr>
          <w:p w14:paraId="19669C6B" w14:textId="77777777" w:rsidR="00992DD8" w:rsidRPr="004A1D24" w:rsidRDefault="00992DD8" w:rsidP="0019064B">
            <w:pPr>
              <w:spacing w:after="0" w:line="240" w:lineRule="auto"/>
              <w:jc w:val="center"/>
              <w:rPr>
                <w:b/>
                <w:bCs/>
                <w:sz w:val="18"/>
                <w:szCs w:val="18"/>
                <w:lang w:eastAsia="sk-SK"/>
              </w:rPr>
            </w:pPr>
            <w:r w:rsidRPr="004A1D24">
              <w:rPr>
                <w:b/>
                <w:bCs/>
                <w:sz w:val="18"/>
                <w:szCs w:val="18"/>
              </w:rPr>
              <w:t>2023 R</w:t>
            </w:r>
          </w:p>
        </w:tc>
        <w:tc>
          <w:tcPr>
            <w:tcW w:w="544" w:type="pct"/>
            <w:gridSpan w:val="3"/>
            <w:tcBorders>
              <w:top w:val="single" w:sz="4" w:space="0" w:color="auto"/>
              <w:left w:val="nil"/>
              <w:bottom w:val="nil"/>
              <w:right w:val="nil"/>
            </w:tcBorders>
            <w:shd w:val="clear" w:color="auto" w:fill="auto"/>
            <w:noWrap/>
            <w:vAlign w:val="center"/>
            <w:hideMark/>
          </w:tcPr>
          <w:p w14:paraId="108B8486" w14:textId="77777777" w:rsidR="00992DD8" w:rsidRPr="004A1D24" w:rsidRDefault="00992DD8" w:rsidP="0019064B">
            <w:pPr>
              <w:spacing w:after="0" w:line="240" w:lineRule="auto"/>
              <w:jc w:val="center"/>
              <w:rPr>
                <w:b/>
                <w:bCs/>
                <w:sz w:val="17"/>
                <w:szCs w:val="17"/>
              </w:rPr>
            </w:pPr>
            <w:r w:rsidRPr="004A1D24">
              <w:rPr>
                <w:b/>
                <w:bCs/>
                <w:sz w:val="17"/>
                <w:szCs w:val="17"/>
              </w:rPr>
              <w:t>Medziročný</w:t>
            </w:r>
          </w:p>
          <w:p w14:paraId="5367BF60" w14:textId="77777777" w:rsidR="00992DD8" w:rsidRPr="004A1D24" w:rsidRDefault="00992DD8" w:rsidP="0019064B">
            <w:pPr>
              <w:spacing w:after="0" w:line="240" w:lineRule="auto"/>
              <w:jc w:val="center"/>
              <w:rPr>
                <w:b/>
                <w:bCs/>
                <w:sz w:val="17"/>
                <w:szCs w:val="17"/>
                <w:lang w:eastAsia="sk-SK"/>
              </w:rPr>
            </w:pPr>
            <w:r w:rsidRPr="004A1D24">
              <w:rPr>
                <w:b/>
                <w:bCs/>
                <w:sz w:val="17"/>
                <w:szCs w:val="17"/>
              </w:rPr>
              <w:t xml:space="preserve">rozdiel </w:t>
            </w:r>
          </w:p>
        </w:tc>
        <w:tc>
          <w:tcPr>
            <w:tcW w:w="454" w:type="pct"/>
            <w:gridSpan w:val="2"/>
            <w:tcBorders>
              <w:top w:val="single" w:sz="4" w:space="0" w:color="auto"/>
              <w:left w:val="nil"/>
              <w:bottom w:val="nil"/>
              <w:right w:val="nil"/>
            </w:tcBorders>
            <w:shd w:val="clear" w:color="auto" w:fill="auto"/>
            <w:noWrap/>
            <w:vAlign w:val="center"/>
            <w:hideMark/>
          </w:tcPr>
          <w:p w14:paraId="4E25B6A4" w14:textId="77777777" w:rsidR="00992DD8" w:rsidRPr="004A1D24" w:rsidRDefault="00992DD8" w:rsidP="0019064B">
            <w:pPr>
              <w:spacing w:after="0" w:line="240" w:lineRule="auto"/>
              <w:jc w:val="center"/>
              <w:rPr>
                <w:b/>
                <w:bCs/>
                <w:sz w:val="18"/>
                <w:szCs w:val="18"/>
              </w:rPr>
            </w:pPr>
            <w:r w:rsidRPr="004A1D24">
              <w:rPr>
                <w:b/>
                <w:bCs/>
                <w:sz w:val="18"/>
                <w:szCs w:val="18"/>
              </w:rPr>
              <w:t xml:space="preserve">Rozdiel </w:t>
            </w:r>
          </w:p>
          <w:p w14:paraId="17DC9995" w14:textId="77777777" w:rsidR="00992DD8" w:rsidRPr="004A1D24" w:rsidRDefault="00992DD8" w:rsidP="0019064B">
            <w:pPr>
              <w:spacing w:after="0" w:line="240" w:lineRule="auto"/>
              <w:jc w:val="center"/>
              <w:rPr>
                <w:b/>
                <w:bCs/>
                <w:sz w:val="18"/>
                <w:szCs w:val="18"/>
                <w:lang w:eastAsia="sk-SK"/>
              </w:rPr>
            </w:pPr>
            <w:r w:rsidRPr="004A1D24">
              <w:rPr>
                <w:b/>
                <w:bCs/>
                <w:sz w:val="18"/>
                <w:szCs w:val="18"/>
              </w:rPr>
              <w:t>S-R</w:t>
            </w:r>
          </w:p>
        </w:tc>
      </w:tr>
      <w:tr w:rsidR="00992DD8" w:rsidRPr="000549F0" w14:paraId="29FA63A7" w14:textId="77777777" w:rsidTr="00420255">
        <w:trPr>
          <w:trHeight w:val="257"/>
          <w:tblHeader/>
        </w:trPr>
        <w:tc>
          <w:tcPr>
            <w:tcW w:w="100" w:type="pct"/>
            <w:tcBorders>
              <w:top w:val="nil"/>
              <w:left w:val="nil"/>
              <w:bottom w:val="single" w:sz="4" w:space="0" w:color="auto"/>
              <w:right w:val="nil"/>
            </w:tcBorders>
            <w:shd w:val="clear" w:color="auto" w:fill="auto"/>
            <w:noWrap/>
            <w:vAlign w:val="center"/>
            <w:hideMark/>
          </w:tcPr>
          <w:p w14:paraId="6ABD3038" w14:textId="77777777" w:rsidR="00992DD8" w:rsidRPr="004A1D24" w:rsidRDefault="00992DD8" w:rsidP="0019064B">
            <w:pPr>
              <w:spacing w:after="0" w:line="240" w:lineRule="auto"/>
              <w:jc w:val="center"/>
              <w:rPr>
                <w:b/>
                <w:bCs/>
                <w:sz w:val="18"/>
                <w:szCs w:val="18"/>
                <w:lang w:eastAsia="sk-SK"/>
              </w:rPr>
            </w:pPr>
            <w:r w:rsidRPr="004A1D24">
              <w:rPr>
                <w:b/>
                <w:bCs/>
                <w:sz w:val="18"/>
                <w:szCs w:val="18"/>
                <w:lang w:eastAsia="sk-SK"/>
              </w:rPr>
              <w:t> </w:t>
            </w:r>
          </w:p>
        </w:tc>
        <w:tc>
          <w:tcPr>
            <w:tcW w:w="1843" w:type="pct"/>
            <w:gridSpan w:val="2"/>
            <w:tcBorders>
              <w:top w:val="nil"/>
              <w:left w:val="nil"/>
              <w:bottom w:val="single" w:sz="4" w:space="0" w:color="auto"/>
              <w:right w:val="nil"/>
            </w:tcBorders>
            <w:shd w:val="clear" w:color="auto" w:fill="auto"/>
            <w:noWrap/>
            <w:vAlign w:val="center"/>
            <w:hideMark/>
          </w:tcPr>
          <w:p w14:paraId="76EFC303" w14:textId="77777777" w:rsidR="00992DD8" w:rsidRPr="004A1D24" w:rsidRDefault="00992DD8" w:rsidP="0019064B">
            <w:pPr>
              <w:spacing w:after="0" w:line="240" w:lineRule="auto"/>
              <w:jc w:val="center"/>
              <w:rPr>
                <w:b/>
                <w:bCs/>
                <w:sz w:val="18"/>
                <w:szCs w:val="18"/>
                <w:lang w:eastAsia="sk-SK"/>
              </w:rPr>
            </w:pPr>
            <w:r w:rsidRPr="004A1D24">
              <w:rPr>
                <w:b/>
                <w:bCs/>
                <w:sz w:val="18"/>
                <w:szCs w:val="18"/>
                <w:lang w:eastAsia="sk-SK"/>
              </w:rPr>
              <w:t> </w:t>
            </w:r>
          </w:p>
        </w:tc>
        <w:tc>
          <w:tcPr>
            <w:tcW w:w="100" w:type="pct"/>
            <w:gridSpan w:val="2"/>
            <w:tcBorders>
              <w:top w:val="nil"/>
              <w:left w:val="nil"/>
              <w:bottom w:val="single" w:sz="4" w:space="0" w:color="auto"/>
              <w:right w:val="nil"/>
            </w:tcBorders>
            <w:shd w:val="clear" w:color="auto" w:fill="auto"/>
            <w:noWrap/>
            <w:vAlign w:val="center"/>
            <w:hideMark/>
          </w:tcPr>
          <w:p w14:paraId="67192ECB" w14:textId="77777777" w:rsidR="00992DD8" w:rsidRPr="004A1D24" w:rsidRDefault="00992DD8" w:rsidP="0019064B">
            <w:pPr>
              <w:spacing w:after="0" w:line="240" w:lineRule="auto"/>
              <w:jc w:val="center"/>
              <w:rPr>
                <w:b/>
                <w:bCs/>
                <w:sz w:val="18"/>
                <w:szCs w:val="18"/>
                <w:lang w:eastAsia="sk-SK"/>
              </w:rPr>
            </w:pPr>
            <w:r w:rsidRPr="004A1D24">
              <w:rPr>
                <w:b/>
                <w:bCs/>
                <w:sz w:val="18"/>
                <w:szCs w:val="18"/>
                <w:lang w:eastAsia="sk-SK"/>
              </w:rPr>
              <w:t> </w:t>
            </w:r>
          </w:p>
        </w:tc>
        <w:tc>
          <w:tcPr>
            <w:tcW w:w="492" w:type="pct"/>
            <w:gridSpan w:val="3"/>
            <w:tcBorders>
              <w:top w:val="nil"/>
              <w:left w:val="nil"/>
              <w:bottom w:val="single" w:sz="4" w:space="0" w:color="auto"/>
              <w:right w:val="nil"/>
            </w:tcBorders>
            <w:shd w:val="clear" w:color="auto" w:fill="auto"/>
            <w:noWrap/>
            <w:vAlign w:val="center"/>
            <w:hideMark/>
          </w:tcPr>
          <w:p w14:paraId="4C250061" w14:textId="77777777" w:rsidR="00992DD8" w:rsidRPr="004A1D24" w:rsidRDefault="00992DD8" w:rsidP="0019064B">
            <w:pPr>
              <w:spacing w:after="0" w:line="240" w:lineRule="auto"/>
              <w:jc w:val="center"/>
              <w:rPr>
                <w:b/>
                <w:bCs/>
                <w:sz w:val="18"/>
                <w:szCs w:val="18"/>
                <w:lang w:eastAsia="sk-SK"/>
              </w:rPr>
            </w:pPr>
            <w:r w:rsidRPr="004A1D24">
              <w:rPr>
                <w:b/>
                <w:bCs/>
                <w:sz w:val="18"/>
                <w:szCs w:val="18"/>
              </w:rPr>
              <w:t>1</w:t>
            </w:r>
          </w:p>
        </w:tc>
        <w:tc>
          <w:tcPr>
            <w:tcW w:w="492" w:type="pct"/>
            <w:gridSpan w:val="3"/>
            <w:tcBorders>
              <w:top w:val="nil"/>
              <w:left w:val="nil"/>
              <w:bottom w:val="single" w:sz="4" w:space="0" w:color="auto"/>
              <w:right w:val="nil"/>
            </w:tcBorders>
            <w:shd w:val="clear" w:color="auto" w:fill="auto"/>
            <w:noWrap/>
            <w:vAlign w:val="center"/>
            <w:hideMark/>
          </w:tcPr>
          <w:p w14:paraId="428C72E3" w14:textId="77777777" w:rsidR="00992DD8" w:rsidRPr="004A1D24" w:rsidRDefault="00992DD8" w:rsidP="0019064B">
            <w:pPr>
              <w:spacing w:after="0" w:line="240" w:lineRule="auto"/>
              <w:jc w:val="center"/>
              <w:rPr>
                <w:b/>
                <w:bCs/>
                <w:sz w:val="18"/>
                <w:szCs w:val="18"/>
                <w:lang w:eastAsia="sk-SK"/>
              </w:rPr>
            </w:pPr>
            <w:r w:rsidRPr="004A1D24">
              <w:rPr>
                <w:b/>
                <w:bCs/>
                <w:sz w:val="18"/>
                <w:szCs w:val="18"/>
              </w:rPr>
              <w:t>2</w:t>
            </w:r>
          </w:p>
        </w:tc>
        <w:tc>
          <w:tcPr>
            <w:tcW w:w="493" w:type="pct"/>
            <w:gridSpan w:val="4"/>
            <w:tcBorders>
              <w:top w:val="nil"/>
              <w:left w:val="nil"/>
              <w:bottom w:val="single" w:sz="4" w:space="0" w:color="auto"/>
              <w:right w:val="nil"/>
            </w:tcBorders>
            <w:shd w:val="clear" w:color="auto" w:fill="auto"/>
            <w:noWrap/>
            <w:vAlign w:val="center"/>
            <w:hideMark/>
          </w:tcPr>
          <w:p w14:paraId="21204CA7" w14:textId="77777777" w:rsidR="00992DD8" w:rsidRPr="004A1D24" w:rsidRDefault="00992DD8" w:rsidP="0019064B">
            <w:pPr>
              <w:spacing w:after="0" w:line="240" w:lineRule="auto"/>
              <w:jc w:val="center"/>
              <w:rPr>
                <w:b/>
                <w:bCs/>
                <w:sz w:val="18"/>
                <w:szCs w:val="18"/>
                <w:lang w:eastAsia="sk-SK"/>
              </w:rPr>
            </w:pPr>
            <w:r w:rsidRPr="004A1D24">
              <w:rPr>
                <w:b/>
                <w:bCs/>
                <w:sz w:val="18"/>
                <w:szCs w:val="18"/>
              </w:rPr>
              <w:t>3</w:t>
            </w:r>
          </w:p>
        </w:tc>
        <w:tc>
          <w:tcPr>
            <w:tcW w:w="483" w:type="pct"/>
            <w:gridSpan w:val="3"/>
            <w:tcBorders>
              <w:top w:val="nil"/>
              <w:left w:val="nil"/>
              <w:bottom w:val="single" w:sz="4" w:space="0" w:color="auto"/>
              <w:right w:val="nil"/>
            </w:tcBorders>
            <w:shd w:val="clear" w:color="auto" w:fill="auto"/>
            <w:noWrap/>
            <w:vAlign w:val="center"/>
            <w:hideMark/>
          </w:tcPr>
          <w:p w14:paraId="6F296281" w14:textId="77777777" w:rsidR="00992DD8" w:rsidRPr="004A1D24" w:rsidRDefault="00992DD8" w:rsidP="0019064B">
            <w:pPr>
              <w:spacing w:after="0" w:line="240" w:lineRule="auto"/>
              <w:jc w:val="center"/>
              <w:rPr>
                <w:b/>
                <w:bCs/>
                <w:sz w:val="18"/>
                <w:szCs w:val="18"/>
                <w:lang w:eastAsia="sk-SK"/>
              </w:rPr>
            </w:pPr>
            <w:r w:rsidRPr="004A1D24">
              <w:rPr>
                <w:b/>
                <w:bCs/>
                <w:sz w:val="18"/>
                <w:szCs w:val="18"/>
              </w:rPr>
              <w:t>4</w:t>
            </w:r>
          </w:p>
        </w:tc>
        <w:tc>
          <w:tcPr>
            <w:tcW w:w="544" w:type="pct"/>
            <w:gridSpan w:val="3"/>
            <w:tcBorders>
              <w:top w:val="nil"/>
              <w:left w:val="nil"/>
              <w:bottom w:val="single" w:sz="4" w:space="0" w:color="auto"/>
              <w:right w:val="nil"/>
            </w:tcBorders>
            <w:shd w:val="clear" w:color="auto" w:fill="auto"/>
            <w:noWrap/>
            <w:vAlign w:val="center"/>
            <w:hideMark/>
          </w:tcPr>
          <w:p w14:paraId="21B4E5C7" w14:textId="77777777" w:rsidR="00992DD8" w:rsidRPr="004A1D24" w:rsidRDefault="00992DD8" w:rsidP="0019064B">
            <w:pPr>
              <w:spacing w:after="0" w:line="240" w:lineRule="auto"/>
              <w:jc w:val="center"/>
              <w:rPr>
                <w:b/>
                <w:bCs/>
                <w:sz w:val="18"/>
                <w:szCs w:val="18"/>
                <w:lang w:eastAsia="sk-SK"/>
              </w:rPr>
            </w:pPr>
            <w:r w:rsidRPr="004A1D24">
              <w:rPr>
                <w:b/>
                <w:bCs/>
                <w:sz w:val="18"/>
                <w:szCs w:val="18"/>
              </w:rPr>
              <w:t>5=3-2</w:t>
            </w:r>
          </w:p>
        </w:tc>
        <w:tc>
          <w:tcPr>
            <w:tcW w:w="454" w:type="pct"/>
            <w:gridSpan w:val="2"/>
            <w:tcBorders>
              <w:top w:val="nil"/>
              <w:left w:val="nil"/>
              <w:bottom w:val="single" w:sz="4" w:space="0" w:color="auto"/>
              <w:right w:val="nil"/>
            </w:tcBorders>
            <w:shd w:val="clear" w:color="auto" w:fill="auto"/>
            <w:noWrap/>
            <w:vAlign w:val="center"/>
            <w:hideMark/>
          </w:tcPr>
          <w:p w14:paraId="33DFC0F6" w14:textId="77777777" w:rsidR="00992DD8" w:rsidRPr="004A1D24" w:rsidRDefault="00992DD8" w:rsidP="0019064B">
            <w:pPr>
              <w:spacing w:after="0" w:line="240" w:lineRule="auto"/>
              <w:jc w:val="center"/>
              <w:rPr>
                <w:b/>
                <w:bCs/>
                <w:sz w:val="18"/>
                <w:szCs w:val="18"/>
                <w:lang w:eastAsia="sk-SK"/>
              </w:rPr>
            </w:pPr>
            <w:r w:rsidRPr="004A1D24">
              <w:rPr>
                <w:b/>
                <w:bCs/>
                <w:sz w:val="18"/>
                <w:szCs w:val="18"/>
              </w:rPr>
              <w:t>6=3-4</w:t>
            </w:r>
          </w:p>
        </w:tc>
      </w:tr>
      <w:tr w:rsidR="0055115F" w:rsidRPr="000549F0" w14:paraId="2EDB2B99" w14:textId="77777777" w:rsidTr="00420255">
        <w:trPr>
          <w:gridAfter w:val="1"/>
          <w:wAfter w:w="27" w:type="pct"/>
          <w:trHeight w:val="257"/>
        </w:trPr>
        <w:tc>
          <w:tcPr>
            <w:tcW w:w="2004" w:type="pct"/>
            <w:gridSpan w:val="4"/>
            <w:tcBorders>
              <w:top w:val="nil"/>
              <w:left w:val="nil"/>
              <w:bottom w:val="nil"/>
              <w:right w:val="nil"/>
            </w:tcBorders>
            <w:shd w:val="clear" w:color="000000" w:fill="FFFFFF"/>
            <w:noWrap/>
            <w:vAlign w:val="center"/>
            <w:hideMark/>
          </w:tcPr>
          <w:p w14:paraId="05CDBFAF" w14:textId="77777777" w:rsidR="0055115F" w:rsidRPr="004A1D24" w:rsidRDefault="0055115F" w:rsidP="0055115F">
            <w:pPr>
              <w:spacing w:after="0" w:line="240" w:lineRule="auto"/>
              <w:rPr>
                <w:b/>
                <w:bCs/>
                <w:color w:val="000000"/>
                <w:sz w:val="18"/>
                <w:szCs w:val="18"/>
                <w:lang w:eastAsia="sk-SK"/>
              </w:rPr>
            </w:pPr>
            <w:r w:rsidRPr="004A1D24">
              <w:rPr>
                <w:b/>
                <w:bCs/>
                <w:color w:val="000000"/>
                <w:sz w:val="18"/>
                <w:szCs w:val="18"/>
                <w:lang w:eastAsia="sk-SK"/>
              </w:rPr>
              <w:t>Ústredná správa, z toho</w:t>
            </w:r>
          </w:p>
        </w:tc>
        <w:tc>
          <w:tcPr>
            <w:tcW w:w="497" w:type="pct"/>
            <w:gridSpan w:val="3"/>
            <w:tcBorders>
              <w:top w:val="nil"/>
              <w:left w:val="nil"/>
              <w:bottom w:val="nil"/>
              <w:right w:val="nil"/>
            </w:tcBorders>
            <w:shd w:val="clear" w:color="000000" w:fill="FFFFFF"/>
            <w:noWrap/>
            <w:vAlign w:val="center"/>
            <w:hideMark/>
          </w:tcPr>
          <w:p w14:paraId="413F5106" w14:textId="2672A0A1" w:rsidR="0055115F" w:rsidRPr="000549F0" w:rsidRDefault="0055115F" w:rsidP="00420255">
            <w:pPr>
              <w:spacing w:after="0" w:line="240" w:lineRule="auto"/>
              <w:jc w:val="right"/>
              <w:rPr>
                <w:b/>
                <w:bCs/>
                <w:sz w:val="18"/>
                <w:szCs w:val="18"/>
                <w:highlight w:val="yellow"/>
                <w:lang w:eastAsia="sk-SK"/>
              </w:rPr>
            </w:pPr>
            <w:r>
              <w:rPr>
                <w:b/>
                <w:bCs/>
                <w:sz w:val="18"/>
                <w:szCs w:val="18"/>
              </w:rPr>
              <w:t>-5 452 058</w:t>
            </w:r>
          </w:p>
        </w:tc>
        <w:tc>
          <w:tcPr>
            <w:tcW w:w="492" w:type="pct"/>
            <w:gridSpan w:val="3"/>
            <w:tcBorders>
              <w:top w:val="nil"/>
              <w:left w:val="nil"/>
              <w:bottom w:val="nil"/>
              <w:right w:val="nil"/>
            </w:tcBorders>
            <w:shd w:val="clear" w:color="000000" w:fill="FFFFFF"/>
            <w:noWrap/>
            <w:vAlign w:val="center"/>
            <w:hideMark/>
          </w:tcPr>
          <w:p w14:paraId="351432B7" w14:textId="77777777" w:rsidR="0055115F" w:rsidRPr="000549F0" w:rsidRDefault="0055115F" w:rsidP="00420255">
            <w:pPr>
              <w:spacing w:after="0" w:line="240" w:lineRule="auto"/>
              <w:jc w:val="right"/>
              <w:rPr>
                <w:b/>
                <w:bCs/>
                <w:sz w:val="18"/>
                <w:szCs w:val="18"/>
                <w:highlight w:val="yellow"/>
                <w:lang w:eastAsia="sk-SK"/>
              </w:rPr>
            </w:pPr>
            <w:r>
              <w:rPr>
                <w:b/>
                <w:bCs/>
                <w:sz w:val="18"/>
                <w:szCs w:val="18"/>
              </w:rPr>
              <w:t>-1 618 902</w:t>
            </w:r>
          </w:p>
        </w:tc>
        <w:tc>
          <w:tcPr>
            <w:tcW w:w="493" w:type="pct"/>
            <w:gridSpan w:val="4"/>
            <w:tcBorders>
              <w:top w:val="nil"/>
              <w:left w:val="nil"/>
              <w:bottom w:val="nil"/>
              <w:right w:val="nil"/>
            </w:tcBorders>
            <w:shd w:val="clear" w:color="000000" w:fill="FFFFFF"/>
            <w:noWrap/>
            <w:vAlign w:val="center"/>
            <w:hideMark/>
          </w:tcPr>
          <w:p w14:paraId="62EA60A8" w14:textId="77777777" w:rsidR="0055115F" w:rsidRPr="000549F0" w:rsidRDefault="0055115F" w:rsidP="00420255">
            <w:pPr>
              <w:spacing w:after="0" w:line="240" w:lineRule="auto"/>
              <w:jc w:val="right"/>
              <w:rPr>
                <w:b/>
                <w:bCs/>
                <w:sz w:val="18"/>
                <w:szCs w:val="18"/>
                <w:highlight w:val="yellow"/>
                <w:lang w:eastAsia="sk-SK"/>
              </w:rPr>
            </w:pPr>
            <w:r>
              <w:rPr>
                <w:b/>
                <w:bCs/>
                <w:sz w:val="18"/>
                <w:szCs w:val="18"/>
              </w:rPr>
              <w:t>-6 756 930</w:t>
            </w:r>
          </w:p>
        </w:tc>
        <w:tc>
          <w:tcPr>
            <w:tcW w:w="493" w:type="pct"/>
            <w:gridSpan w:val="3"/>
            <w:tcBorders>
              <w:top w:val="nil"/>
              <w:left w:val="nil"/>
              <w:bottom w:val="nil"/>
              <w:right w:val="nil"/>
            </w:tcBorders>
            <w:shd w:val="clear" w:color="000000" w:fill="FFFFFF"/>
            <w:noWrap/>
            <w:vAlign w:val="center"/>
            <w:hideMark/>
          </w:tcPr>
          <w:p w14:paraId="548B067D" w14:textId="77777777" w:rsidR="0055115F" w:rsidRPr="000549F0" w:rsidRDefault="0055115F" w:rsidP="00420255">
            <w:pPr>
              <w:spacing w:after="0" w:line="240" w:lineRule="auto"/>
              <w:jc w:val="right"/>
              <w:rPr>
                <w:b/>
                <w:bCs/>
                <w:sz w:val="18"/>
                <w:szCs w:val="18"/>
                <w:highlight w:val="yellow"/>
                <w:lang w:eastAsia="sk-SK"/>
              </w:rPr>
            </w:pPr>
            <w:r>
              <w:rPr>
                <w:b/>
                <w:bCs/>
                <w:sz w:val="18"/>
                <w:szCs w:val="18"/>
              </w:rPr>
              <w:t>-7 366 827</w:t>
            </w:r>
          </w:p>
        </w:tc>
        <w:tc>
          <w:tcPr>
            <w:tcW w:w="531" w:type="pct"/>
            <w:gridSpan w:val="3"/>
            <w:tcBorders>
              <w:top w:val="nil"/>
              <w:left w:val="nil"/>
              <w:bottom w:val="nil"/>
              <w:right w:val="nil"/>
            </w:tcBorders>
            <w:shd w:val="clear" w:color="000000" w:fill="FFFFFF"/>
            <w:noWrap/>
            <w:vAlign w:val="center"/>
            <w:hideMark/>
          </w:tcPr>
          <w:p w14:paraId="7484D41B" w14:textId="21CB0E61" w:rsidR="0055115F" w:rsidRPr="000549F0" w:rsidRDefault="0055115F" w:rsidP="00420255">
            <w:pPr>
              <w:spacing w:after="0" w:line="240" w:lineRule="auto"/>
              <w:jc w:val="right"/>
              <w:rPr>
                <w:b/>
                <w:bCs/>
                <w:sz w:val="18"/>
                <w:szCs w:val="18"/>
                <w:highlight w:val="yellow"/>
                <w:lang w:eastAsia="sk-SK"/>
              </w:rPr>
            </w:pPr>
            <w:r>
              <w:rPr>
                <w:b/>
                <w:bCs/>
                <w:sz w:val="18"/>
                <w:szCs w:val="18"/>
              </w:rPr>
              <w:t>-5 138 028</w:t>
            </w:r>
          </w:p>
        </w:tc>
        <w:tc>
          <w:tcPr>
            <w:tcW w:w="463" w:type="pct"/>
            <w:gridSpan w:val="2"/>
            <w:tcBorders>
              <w:top w:val="nil"/>
              <w:left w:val="nil"/>
              <w:bottom w:val="nil"/>
              <w:right w:val="nil"/>
            </w:tcBorders>
            <w:shd w:val="clear" w:color="000000" w:fill="FFFFFF"/>
            <w:noWrap/>
            <w:vAlign w:val="center"/>
            <w:hideMark/>
          </w:tcPr>
          <w:p w14:paraId="26CA02D3" w14:textId="1CD0E800" w:rsidR="0055115F" w:rsidRPr="000549F0" w:rsidRDefault="0055115F" w:rsidP="00420255">
            <w:pPr>
              <w:spacing w:after="0" w:line="240" w:lineRule="auto"/>
              <w:jc w:val="right"/>
              <w:rPr>
                <w:b/>
                <w:bCs/>
                <w:sz w:val="18"/>
                <w:szCs w:val="18"/>
                <w:highlight w:val="yellow"/>
                <w:lang w:eastAsia="sk-SK"/>
              </w:rPr>
            </w:pPr>
            <w:r>
              <w:rPr>
                <w:b/>
                <w:bCs/>
                <w:sz w:val="18"/>
                <w:szCs w:val="18"/>
              </w:rPr>
              <w:t>609 897</w:t>
            </w:r>
          </w:p>
        </w:tc>
      </w:tr>
      <w:tr w:rsidR="00420255" w:rsidRPr="000549F0" w14:paraId="6D7FC8C2" w14:textId="77777777" w:rsidTr="00420255">
        <w:trPr>
          <w:gridAfter w:val="1"/>
          <w:wAfter w:w="27" w:type="pct"/>
          <w:trHeight w:val="273"/>
        </w:trPr>
        <w:tc>
          <w:tcPr>
            <w:tcW w:w="100" w:type="pct"/>
            <w:tcBorders>
              <w:top w:val="nil"/>
              <w:left w:val="nil"/>
              <w:bottom w:val="nil"/>
              <w:right w:val="nil"/>
            </w:tcBorders>
            <w:shd w:val="clear" w:color="000000" w:fill="FFFFFF"/>
            <w:noWrap/>
            <w:vAlign w:val="center"/>
            <w:hideMark/>
          </w:tcPr>
          <w:p w14:paraId="29246958" w14:textId="77777777" w:rsidR="00420255" w:rsidRPr="004A1D24" w:rsidRDefault="00420255" w:rsidP="00420255">
            <w:pPr>
              <w:spacing w:after="0" w:line="240" w:lineRule="auto"/>
              <w:jc w:val="right"/>
              <w:rPr>
                <w:sz w:val="18"/>
                <w:szCs w:val="18"/>
                <w:lang w:eastAsia="sk-SK"/>
              </w:rPr>
            </w:pPr>
            <w:r w:rsidRPr="004A1D24">
              <w:rPr>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74EA29DC" w14:textId="77777777" w:rsidR="00420255" w:rsidRPr="004A1D24" w:rsidRDefault="00420255" w:rsidP="00420255">
            <w:pPr>
              <w:spacing w:after="0" w:line="240" w:lineRule="auto"/>
              <w:rPr>
                <w:sz w:val="18"/>
                <w:szCs w:val="18"/>
                <w:lang w:eastAsia="sk-SK"/>
              </w:rPr>
            </w:pPr>
            <w:r w:rsidRPr="004A1D24">
              <w:rPr>
                <w:sz w:val="18"/>
                <w:szCs w:val="18"/>
                <w:lang w:eastAsia="sk-SK"/>
              </w:rPr>
              <w:t>Štátny rozpočet</w:t>
            </w:r>
            <w:r w:rsidRPr="004A1D24">
              <w:rPr>
                <w:sz w:val="18"/>
                <w:szCs w:val="18"/>
                <w:vertAlign w:val="superscript"/>
                <w:lang w:eastAsia="sk-SK"/>
              </w:rPr>
              <w:t>1)</w:t>
            </w:r>
          </w:p>
        </w:tc>
        <w:tc>
          <w:tcPr>
            <w:tcW w:w="497" w:type="pct"/>
            <w:gridSpan w:val="3"/>
            <w:tcBorders>
              <w:top w:val="nil"/>
              <w:left w:val="nil"/>
              <w:bottom w:val="nil"/>
              <w:right w:val="nil"/>
            </w:tcBorders>
            <w:shd w:val="clear" w:color="000000" w:fill="FFFFFF"/>
            <w:noWrap/>
            <w:vAlign w:val="center"/>
            <w:hideMark/>
          </w:tcPr>
          <w:p w14:paraId="5654D568" w14:textId="6D6CA8D1" w:rsidR="00420255" w:rsidRPr="000549F0" w:rsidRDefault="00420255" w:rsidP="00420255">
            <w:pPr>
              <w:spacing w:after="0" w:line="240" w:lineRule="auto"/>
              <w:jc w:val="right"/>
              <w:rPr>
                <w:sz w:val="18"/>
                <w:szCs w:val="18"/>
                <w:highlight w:val="yellow"/>
                <w:lang w:eastAsia="sk-SK"/>
              </w:rPr>
            </w:pPr>
            <w:r>
              <w:rPr>
                <w:sz w:val="18"/>
                <w:szCs w:val="18"/>
              </w:rPr>
              <w:t>-6 174 800</w:t>
            </w:r>
          </w:p>
        </w:tc>
        <w:tc>
          <w:tcPr>
            <w:tcW w:w="492" w:type="pct"/>
            <w:gridSpan w:val="3"/>
            <w:tcBorders>
              <w:top w:val="nil"/>
              <w:left w:val="nil"/>
              <w:bottom w:val="nil"/>
              <w:right w:val="nil"/>
            </w:tcBorders>
            <w:shd w:val="clear" w:color="000000" w:fill="FFFFFF"/>
            <w:noWrap/>
            <w:vAlign w:val="center"/>
            <w:hideMark/>
          </w:tcPr>
          <w:p w14:paraId="0F8BD39F" w14:textId="77777777" w:rsidR="00420255" w:rsidRPr="000549F0" w:rsidRDefault="00420255" w:rsidP="00420255">
            <w:pPr>
              <w:spacing w:after="0" w:line="240" w:lineRule="auto"/>
              <w:jc w:val="right"/>
              <w:rPr>
                <w:sz w:val="18"/>
                <w:szCs w:val="18"/>
                <w:highlight w:val="yellow"/>
                <w:lang w:eastAsia="sk-SK"/>
              </w:rPr>
            </w:pPr>
            <w:r>
              <w:rPr>
                <w:sz w:val="18"/>
                <w:szCs w:val="18"/>
              </w:rPr>
              <w:t>-2 422 142</w:t>
            </w:r>
          </w:p>
        </w:tc>
        <w:tc>
          <w:tcPr>
            <w:tcW w:w="493" w:type="pct"/>
            <w:gridSpan w:val="4"/>
            <w:tcBorders>
              <w:top w:val="nil"/>
              <w:left w:val="nil"/>
              <w:bottom w:val="nil"/>
              <w:right w:val="nil"/>
            </w:tcBorders>
            <w:shd w:val="clear" w:color="000000" w:fill="FFFFFF"/>
            <w:noWrap/>
            <w:vAlign w:val="center"/>
            <w:hideMark/>
          </w:tcPr>
          <w:p w14:paraId="02423044" w14:textId="77777777" w:rsidR="00420255" w:rsidRPr="000549F0" w:rsidRDefault="00420255" w:rsidP="00420255">
            <w:pPr>
              <w:spacing w:after="0" w:line="240" w:lineRule="auto"/>
              <w:jc w:val="right"/>
              <w:rPr>
                <w:sz w:val="18"/>
                <w:szCs w:val="18"/>
                <w:highlight w:val="yellow"/>
                <w:lang w:eastAsia="sk-SK"/>
              </w:rPr>
            </w:pPr>
            <w:r>
              <w:rPr>
                <w:sz w:val="18"/>
                <w:szCs w:val="18"/>
              </w:rPr>
              <w:t>-6 985 753</w:t>
            </w:r>
          </w:p>
        </w:tc>
        <w:tc>
          <w:tcPr>
            <w:tcW w:w="493" w:type="pct"/>
            <w:gridSpan w:val="3"/>
            <w:tcBorders>
              <w:top w:val="nil"/>
              <w:left w:val="nil"/>
              <w:bottom w:val="nil"/>
              <w:right w:val="nil"/>
            </w:tcBorders>
            <w:shd w:val="clear" w:color="000000" w:fill="FFFFFF"/>
            <w:noWrap/>
            <w:vAlign w:val="center"/>
            <w:hideMark/>
          </w:tcPr>
          <w:p w14:paraId="40424857" w14:textId="15D59C99" w:rsidR="00420255" w:rsidRPr="000549F0" w:rsidRDefault="00420255" w:rsidP="00420255">
            <w:pPr>
              <w:spacing w:after="0" w:line="240" w:lineRule="auto"/>
              <w:jc w:val="right"/>
              <w:rPr>
                <w:sz w:val="18"/>
                <w:szCs w:val="18"/>
                <w:highlight w:val="yellow"/>
                <w:lang w:eastAsia="sk-SK"/>
              </w:rPr>
            </w:pPr>
            <w:r>
              <w:rPr>
                <w:sz w:val="18"/>
                <w:szCs w:val="18"/>
              </w:rPr>
              <w:t>-7 505 086</w:t>
            </w:r>
          </w:p>
        </w:tc>
        <w:tc>
          <w:tcPr>
            <w:tcW w:w="531" w:type="pct"/>
            <w:gridSpan w:val="3"/>
            <w:tcBorders>
              <w:top w:val="nil"/>
              <w:left w:val="nil"/>
              <w:bottom w:val="nil"/>
              <w:right w:val="nil"/>
            </w:tcBorders>
            <w:shd w:val="clear" w:color="000000" w:fill="FFFFFF"/>
            <w:noWrap/>
            <w:vAlign w:val="center"/>
            <w:hideMark/>
          </w:tcPr>
          <w:p w14:paraId="49DE0ED1" w14:textId="77777777" w:rsidR="00420255" w:rsidRPr="000549F0" w:rsidRDefault="00420255" w:rsidP="00420255">
            <w:pPr>
              <w:spacing w:after="0" w:line="240" w:lineRule="auto"/>
              <w:jc w:val="right"/>
              <w:rPr>
                <w:sz w:val="18"/>
                <w:szCs w:val="18"/>
                <w:highlight w:val="yellow"/>
                <w:lang w:eastAsia="sk-SK"/>
              </w:rPr>
            </w:pPr>
            <w:r>
              <w:rPr>
                <w:sz w:val="18"/>
                <w:szCs w:val="18"/>
              </w:rPr>
              <w:t>-4 563 611</w:t>
            </w:r>
          </w:p>
        </w:tc>
        <w:tc>
          <w:tcPr>
            <w:tcW w:w="463" w:type="pct"/>
            <w:gridSpan w:val="2"/>
            <w:tcBorders>
              <w:top w:val="nil"/>
              <w:left w:val="nil"/>
              <w:bottom w:val="nil"/>
              <w:right w:val="nil"/>
            </w:tcBorders>
            <w:shd w:val="clear" w:color="000000" w:fill="FFFFFF"/>
            <w:noWrap/>
            <w:vAlign w:val="center"/>
            <w:hideMark/>
          </w:tcPr>
          <w:p w14:paraId="66EB5744" w14:textId="77777777" w:rsidR="00420255" w:rsidRPr="000549F0" w:rsidRDefault="00420255" w:rsidP="00420255">
            <w:pPr>
              <w:spacing w:after="0" w:line="240" w:lineRule="auto"/>
              <w:jc w:val="right"/>
              <w:rPr>
                <w:sz w:val="18"/>
                <w:szCs w:val="18"/>
                <w:highlight w:val="yellow"/>
                <w:lang w:eastAsia="sk-SK"/>
              </w:rPr>
            </w:pPr>
            <w:r>
              <w:rPr>
                <w:sz w:val="18"/>
                <w:szCs w:val="18"/>
              </w:rPr>
              <w:t>519 333</w:t>
            </w:r>
          </w:p>
        </w:tc>
      </w:tr>
      <w:tr w:rsidR="00420255" w:rsidRPr="000549F0" w14:paraId="7D7F18FD"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5A459A62" w14:textId="77777777" w:rsidR="00420255" w:rsidRPr="004A1D24" w:rsidRDefault="00420255" w:rsidP="00420255">
            <w:pPr>
              <w:spacing w:after="0" w:line="240" w:lineRule="auto"/>
              <w:jc w:val="right"/>
              <w:rPr>
                <w:sz w:val="18"/>
                <w:szCs w:val="18"/>
                <w:lang w:eastAsia="sk-SK"/>
              </w:rPr>
            </w:pPr>
            <w:r w:rsidRPr="004A1D24">
              <w:rPr>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3B408E9F" w14:textId="77777777" w:rsidR="00420255" w:rsidRPr="004A1D24" w:rsidRDefault="00420255" w:rsidP="00420255">
            <w:pPr>
              <w:spacing w:after="0" w:line="240" w:lineRule="auto"/>
              <w:rPr>
                <w:sz w:val="18"/>
                <w:szCs w:val="18"/>
                <w:lang w:eastAsia="sk-SK"/>
              </w:rPr>
            </w:pPr>
            <w:r w:rsidRPr="004A1D24">
              <w:rPr>
                <w:sz w:val="18"/>
                <w:szCs w:val="18"/>
                <w:lang w:eastAsia="sk-SK"/>
              </w:rPr>
              <w:t>Príspevkové organizácie ústrednej správy</w:t>
            </w:r>
          </w:p>
        </w:tc>
        <w:tc>
          <w:tcPr>
            <w:tcW w:w="497" w:type="pct"/>
            <w:gridSpan w:val="3"/>
            <w:tcBorders>
              <w:top w:val="nil"/>
              <w:left w:val="nil"/>
              <w:bottom w:val="nil"/>
              <w:right w:val="nil"/>
            </w:tcBorders>
            <w:shd w:val="clear" w:color="000000" w:fill="FFFFFF"/>
            <w:noWrap/>
            <w:vAlign w:val="center"/>
            <w:hideMark/>
          </w:tcPr>
          <w:p w14:paraId="36AC4E9E" w14:textId="77777777" w:rsidR="00420255" w:rsidRPr="000549F0" w:rsidRDefault="00420255" w:rsidP="00420255">
            <w:pPr>
              <w:spacing w:after="0" w:line="240" w:lineRule="auto"/>
              <w:jc w:val="right"/>
              <w:rPr>
                <w:sz w:val="18"/>
                <w:szCs w:val="18"/>
                <w:highlight w:val="yellow"/>
                <w:lang w:eastAsia="sk-SK"/>
              </w:rPr>
            </w:pPr>
            <w:r>
              <w:rPr>
                <w:sz w:val="18"/>
                <w:szCs w:val="18"/>
              </w:rPr>
              <w:t>-838</w:t>
            </w:r>
          </w:p>
        </w:tc>
        <w:tc>
          <w:tcPr>
            <w:tcW w:w="492" w:type="pct"/>
            <w:gridSpan w:val="3"/>
            <w:tcBorders>
              <w:top w:val="nil"/>
              <w:left w:val="nil"/>
              <w:bottom w:val="nil"/>
              <w:right w:val="nil"/>
            </w:tcBorders>
            <w:shd w:val="clear" w:color="000000" w:fill="FFFFFF"/>
            <w:noWrap/>
            <w:vAlign w:val="center"/>
            <w:hideMark/>
          </w:tcPr>
          <w:p w14:paraId="0B50C99C" w14:textId="77777777" w:rsidR="00420255" w:rsidRPr="000549F0" w:rsidRDefault="00420255" w:rsidP="00420255">
            <w:pPr>
              <w:spacing w:after="0" w:line="240" w:lineRule="auto"/>
              <w:jc w:val="right"/>
              <w:rPr>
                <w:sz w:val="18"/>
                <w:szCs w:val="18"/>
                <w:highlight w:val="yellow"/>
                <w:lang w:eastAsia="sk-SK"/>
              </w:rPr>
            </w:pPr>
            <w:r>
              <w:rPr>
                <w:sz w:val="18"/>
                <w:szCs w:val="18"/>
              </w:rPr>
              <w:t>44 011</w:t>
            </w:r>
          </w:p>
        </w:tc>
        <w:tc>
          <w:tcPr>
            <w:tcW w:w="493" w:type="pct"/>
            <w:gridSpan w:val="4"/>
            <w:tcBorders>
              <w:top w:val="nil"/>
              <w:left w:val="nil"/>
              <w:bottom w:val="nil"/>
              <w:right w:val="nil"/>
            </w:tcBorders>
            <w:shd w:val="clear" w:color="000000" w:fill="FFFFFF"/>
            <w:noWrap/>
            <w:vAlign w:val="center"/>
            <w:hideMark/>
          </w:tcPr>
          <w:p w14:paraId="355320B7" w14:textId="77777777" w:rsidR="00420255" w:rsidRPr="000549F0" w:rsidRDefault="00420255" w:rsidP="00420255">
            <w:pPr>
              <w:spacing w:after="0" w:line="240" w:lineRule="auto"/>
              <w:jc w:val="right"/>
              <w:rPr>
                <w:sz w:val="18"/>
                <w:szCs w:val="18"/>
                <w:highlight w:val="yellow"/>
                <w:lang w:eastAsia="sk-SK"/>
              </w:rPr>
            </w:pPr>
            <w:r>
              <w:rPr>
                <w:sz w:val="18"/>
                <w:szCs w:val="18"/>
              </w:rPr>
              <w:t>-2 013</w:t>
            </w:r>
          </w:p>
        </w:tc>
        <w:tc>
          <w:tcPr>
            <w:tcW w:w="493" w:type="pct"/>
            <w:gridSpan w:val="3"/>
            <w:tcBorders>
              <w:top w:val="nil"/>
              <w:left w:val="nil"/>
              <w:bottom w:val="nil"/>
              <w:right w:val="nil"/>
            </w:tcBorders>
            <w:shd w:val="clear" w:color="000000" w:fill="FFFFFF"/>
            <w:noWrap/>
            <w:vAlign w:val="center"/>
            <w:hideMark/>
          </w:tcPr>
          <w:p w14:paraId="511AEB6A" w14:textId="7FE671CE" w:rsidR="00420255" w:rsidRPr="000549F0" w:rsidRDefault="00420255" w:rsidP="00420255">
            <w:pPr>
              <w:spacing w:after="0" w:line="240" w:lineRule="auto"/>
              <w:jc w:val="right"/>
              <w:rPr>
                <w:sz w:val="18"/>
                <w:szCs w:val="18"/>
                <w:highlight w:val="yellow"/>
                <w:lang w:eastAsia="sk-SK"/>
              </w:rPr>
            </w:pPr>
            <w:r>
              <w:rPr>
                <w:sz w:val="18"/>
                <w:szCs w:val="18"/>
              </w:rPr>
              <w:t>-4 439</w:t>
            </w:r>
          </w:p>
        </w:tc>
        <w:tc>
          <w:tcPr>
            <w:tcW w:w="531" w:type="pct"/>
            <w:gridSpan w:val="3"/>
            <w:tcBorders>
              <w:top w:val="nil"/>
              <w:left w:val="nil"/>
              <w:bottom w:val="nil"/>
              <w:right w:val="nil"/>
            </w:tcBorders>
            <w:shd w:val="clear" w:color="000000" w:fill="FFFFFF"/>
            <w:noWrap/>
            <w:vAlign w:val="center"/>
            <w:hideMark/>
          </w:tcPr>
          <w:p w14:paraId="10C620AC" w14:textId="77777777" w:rsidR="00420255" w:rsidRPr="000549F0" w:rsidRDefault="00420255" w:rsidP="00420255">
            <w:pPr>
              <w:spacing w:after="0" w:line="240" w:lineRule="auto"/>
              <w:jc w:val="right"/>
              <w:rPr>
                <w:sz w:val="18"/>
                <w:szCs w:val="18"/>
                <w:highlight w:val="yellow"/>
                <w:lang w:eastAsia="sk-SK"/>
              </w:rPr>
            </w:pPr>
            <w:r>
              <w:rPr>
                <w:sz w:val="18"/>
                <w:szCs w:val="18"/>
              </w:rPr>
              <w:t>-46 024</w:t>
            </w:r>
          </w:p>
        </w:tc>
        <w:tc>
          <w:tcPr>
            <w:tcW w:w="463" w:type="pct"/>
            <w:gridSpan w:val="2"/>
            <w:tcBorders>
              <w:top w:val="nil"/>
              <w:left w:val="nil"/>
              <w:bottom w:val="nil"/>
              <w:right w:val="nil"/>
            </w:tcBorders>
            <w:shd w:val="clear" w:color="000000" w:fill="FFFFFF"/>
            <w:noWrap/>
            <w:vAlign w:val="center"/>
            <w:hideMark/>
          </w:tcPr>
          <w:p w14:paraId="1BE00DD3" w14:textId="77777777" w:rsidR="00420255" w:rsidRPr="000549F0" w:rsidRDefault="00420255" w:rsidP="00420255">
            <w:pPr>
              <w:spacing w:after="0" w:line="240" w:lineRule="auto"/>
              <w:jc w:val="right"/>
              <w:rPr>
                <w:sz w:val="18"/>
                <w:szCs w:val="18"/>
                <w:highlight w:val="yellow"/>
                <w:lang w:eastAsia="sk-SK"/>
              </w:rPr>
            </w:pPr>
            <w:r>
              <w:rPr>
                <w:sz w:val="18"/>
                <w:szCs w:val="18"/>
              </w:rPr>
              <w:t>2 426</w:t>
            </w:r>
          </w:p>
        </w:tc>
      </w:tr>
      <w:tr w:rsidR="00420255" w:rsidRPr="000549F0" w14:paraId="44D3CCAA"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0FEE8ABD" w14:textId="77777777" w:rsidR="00420255" w:rsidRPr="004A1D24" w:rsidRDefault="00420255" w:rsidP="00420255">
            <w:pPr>
              <w:spacing w:after="0" w:line="240" w:lineRule="auto"/>
              <w:jc w:val="right"/>
              <w:rPr>
                <w:sz w:val="18"/>
                <w:szCs w:val="18"/>
                <w:lang w:eastAsia="sk-SK"/>
              </w:rPr>
            </w:pPr>
            <w:r w:rsidRPr="004A1D24">
              <w:rPr>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4D4D2CA2" w14:textId="77777777" w:rsidR="00420255" w:rsidRPr="004A1D24" w:rsidRDefault="00420255" w:rsidP="00420255">
            <w:pPr>
              <w:spacing w:after="0" w:line="240" w:lineRule="auto"/>
              <w:rPr>
                <w:sz w:val="18"/>
                <w:szCs w:val="18"/>
                <w:lang w:eastAsia="sk-SK"/>
              </w:rPr>
            </w:pPr>
            <w:r w:rsidRPr="004A1D24">
              <w:rPr>
                <w:sz w:val="18"/>
                <w:szCs w:val="18"/>
                <w:lang w:eastAsia="sk-SK"/>
              </w:rPr>
              <w:t>Štátne fondy</w:t>
            </w:r>
          </w:p>
        </w:tc>
        <w:tc>
          <w:tcPr>
            <w:tcW w:w="497" w:type="pct"/>
            <w:gridSpan w:val="3"/>
            <w:tcBorders>
              <w:top w:val="nil"/>
              <w:left w:val="nil"/>
              <w:bottom w:val="nil"/>
              <w:right w:val="nil"/>
            </w:tcBorders>
            <w:shd w:val="clear" w:color="000000" w:fill="FFFFFF"/>
            <w:noWrap/>
            <w:vAlign w:val="center"/>
            <w:hideMark/>
          </w:tcPr>
          <w:p w14:paraId="24B610A1" w14:textId="77777777" w:rsidR="00420255" w:rsidRPr="000549F0" w:rsidRDefault="00420255" w:rsidP="00420255">
            <w:pPr>
              <w:spacing w:after="0" w:line="240" w:lineRule="auto"/>
              <w:jc w:val="right"/>
              <w:rPr>
                <w:sz w:val="18"/>
                <w:szCs w:val="18"/>
                <w:highlight w:val="yellow"/>
                <w:lang w:eastAsia="sk-SK"/>
              </w:rPr>
            </w:pPr>
            <w:r>
              <w:rPr>
                <w:sz w:val="18"/>
                <w:szCs w:val="18"/>
              </w:rPr>
              <w:t>252 755</w:t>
            </w:r>
          </w:p>
        </w:tc>
        <w:tc>
          <w:tcPr>
            <w:tcW w:w="492" w:type="pct"/>
            <w:gridSpan w:val="3"/>
            <w:tcBorders>
              <w:top w:val="nil"/>
              <w:left w:val="nil"/>
              <w:bottom w:val="nil"/>
              <w:right w:val="nil"/>
            </w:tcBorders>
            <w:shd w:val="clear" w:color="000000" w:fill="FFFFFF"/>
            <w:noWrap/>
            <w:vAlign w:val="center"/>
            <w:hideMark/>
          </w:tcPr>
          <w:p w14:paraId="77A8B8CA" w14:textId="77777777" w:rsidR="00420255" w:rsidRPr="000549F0" w:rsidRDefault="00420255" w:rsidP="00420255">
            <w:pPr>
              <w:spacing w:after="0" w:line="240" w:lineRule="auto"/>
              <w:jc w:val="right"/>
              <w:rPr>
                <w:sz w:val="18"/>
                <w:szCs w:val="18"/>
                <w:highlight w:val="yellow"/>
                <w:lang w:eastAsia="sk-SK"/>
              </w:rPr>
            </w:pPr>
            <w:r>
              <w:rPr>
                <w:sz w:val="18"/>
                <w:szCs w:val="18"/>
              </w:rPr>
              <w:t>239 386</w:t>
            </w:r>
          </w:p>
        </w:tc>
        <w:tc>
          <w:tcPr>
            <w:tcW w:w="493" w:type="pct"/>
            <w:gridSpan w:val="4"/>
            <w:tcBorders>
              <w:top w:val="nil"/>
              <w:left w:val="nil"/>
              <w:bottom w:val="nil"/>
              <w:right w:val="nil"/>
            </w:tcBorders>
            <w:shd w:val="clear" w:color="000000" w:fill="FFFFFF"/>
            <w:noWrap/>
            <w:vAlign w:val="center"/>
            <w:hideMark/>
          </w:tcPr>
          <w:p w14:paraId="1EC62874" w14:textId="77777777" w:rsidR="00420255" w:rsidRPr="000549F0" w:rsidRDefault="00420255" w:rsidP="00420255">
            <w:pPr>
              <w:spacing w:after="0" w:line="240" w:lineRule="auto"/>
              <w:jc w:val="right"/>
              <w:rPr>
                <w:sz w:val="18"/>
                <w:szCs w:val="18"/>
                <w:highlight w:val="yellow"/>
                <w:lang w:eastAsia="sk-SK"/>
              </w:rPr>
            </w:pPr>
            <w:r>
              <w:rPr>
                <w:sz w:val="18"/>
                <w:szCs w:val="18"/>
              </w:rPr>
              <w:t>263 121</w:t>
            </w:r>
          </w:p>
        </w:tc>
        <w:tc>
          <w:tcPr>
            <w:tcW w:w="493" w:type="pct"/>
            <w:gridSpan w:val="3"/>
            <w:tcBorders>
              <w:top w:val="nil"/>
              <w:left w:val="nil"/>
              <w:bottom w:val="nil"/>
              <w:right w:val="nil"/>
            </w:tcBorders>
            <w:shd w:val="clear" w:color="000000" w:fill="FFFFFF"/>
            <w:noWrap/>
            <w:vAlign w:val="center"/>
            <w:hideMark/>
          </w:tcPr>
          <w:p w14:paraId="330AA26A" w14:textId="58435B16" w:rsidR="00420255" w:rsidRPr="000549F0" w:rsidRDefault="00420255" w:rsidP="00420255">
            <w:pPr>
              <w:spacing w:after="0" w:line="240" w:lineRule="auto"/>
              <w:jc w:val="right"/>
              <w:rPr>
                <w:sz w:val="18"/>
                <w:szCs w:val="18"/>
                <w:highlight w:val="yellow"/>
                <w:lang w:eastAsia="sk-SK"/>
              </w:rPr>
            </w:pPr>
            <w:r>
              <w:rPr>
                <w:sz w:val="18"/>
                <w:szCs w:val="18"/>
              </w:rPr>
              <w:t>254 253</w:t>
            </w:r>
          </w:p>
        </w:tc>
        <w:tc>
          <w:tcPr>
            <w:tcW w:w="531" w:type="pct"/>
            <w:gridSpan w:val="3"/>
            <w:tcBorders>
              <w:top w:val="nil"/>
              <w:left w:val="nil"/>
              <w:bottom w:val="nil"/>
              <w:right w:val="nil"/>
            </w:tcBorders>
            <w:shd w:val="clear" w:color="000000" w:fill="FFFFFF"/>
            <w:noWrap/>
            <w:vAlign w:val="center"/>
            <w:hideMark/>
          </w:tcPr>
          <w:p w14:paraId="3A057FCB" w14:textId="77777777" w:rsidR="00420255" w:rsidRPr="000549F0" w:rsidRDefault="00420255" w:rsidP="00420255">
            <w:pPr>
              <w:spacing w:after="0" w:line="240" w:lineRule="auto"/>
              <w:jc w:val="right"/>
              <w:rPr>
                <w:sz w:val="18"/>
                <w:szCs w:val="18"/>
                <w:highlight w:val="yellow"/>
                <w:lang w:eastAsia="sk-SK"/>
              </w:rPr>
            </w:pPr>
            <w:r>
              <w:rPr>
                <w:sz w:val="18"/>
                <w:szCs w:val="18"/>
              </w:rPr>
              <w:t>23 735</w:t>
            </w:r>
          </w:p>
        </w:tc>
        <w:tc>
          <w:tcPr>
            <w:tcW w:w="463" w:type="pct"/>
            <w:gridSpan w:val="2"/>
            <w:tcBorders>
              <w:top w:val="nil"/>
              <w:left w:val="nil"/>
              <w:bottom w:val="nil"/>
              <w:right w:val="nil"/>
            </w:tcBorders>
            <w:shd w:val="clear" w:color="000000" w:fill="FFFFFF"/>
            <w:noWrap/>
            <w:vAlign w:val="center"/>
            <w:hideMark/>
          </w:tcPr>
          <w:p w14:paraId="00046CEF" w14:textId="77777777" w:rsidR="00420255" w:rsidRPr="000549F0" w:rsidRDefault="00420255" w:rsidP="00420255">
            <w:pPr>
              <w:spacing w:after="0" w:line="240" w:lineRule="auto"/>
              <w:jc w:val="right"/>
              <w:rPr>
                <w:sz w:val="18"/>
                <w:szCs w:val="18"/>
                <w:highlight w:val="yellow"/>
                <w:lang w:eastAsia="sk-SK"/>
              </w:rPr>
            </w:pPr>
            <w:r>
              <w:rPr>
                <w:sz w:val="18"/>
                <w:szCs w:val="18"/>
              </w:rPr>
              <w:t>8 868</w:t>
            </w:r>
          </w:p>
        </w:tc>
      </w:tr>
      <w:tr w:rsidR="00420255" w:rsidRPr="000549F0" w14:paraId="00BEB37F"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0C5F6650" w14:textId="77777777" w:rsidR="00420255" w:rsidRPr="004A1D24" w:rsidRDefault="00420255" w:rsidP="00420255">
            <w:pPr>
              <w:spacing w:after="0" w:line="240" w:lineRule="auto"/>
              <w:jc w:val="right"/>
              <w:rPr>
                <w:sz w:val="18"/>
                <w:szCs w:val="18"/>
                <w:lang w:eastAsia="sk-SK"/>
              </w:rPr>
            </w:pPr>
            <w:r w:rsidRPr="004A1D24">
              <w:rPr>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42E4B027" w14:textId="77777777" w:rsidR="00420255" w:rsidRPr="004A1D24" w:rsidRDefault="00420255" w:rsidP="00420255">
            <w:pPr>
              <w:spacing w:after="0" w:line="240" w:lineRule="auto"/>
              <w:rPr>
                <w:sz w:val="18"/>
                <w:szCs w:val="18"/>
                <w:lang w:eastAsia="sk-SK"/>
              </w:rPr>
            </w:pPr>
            <w:r w:rsidRPr="004A1D24">
              <w:rPr>
                <w:sz w:val="18"/>
                <w:szCs w:val="18"/>
                <w:lang w:eastAsia="sk-SK"/>
              </w:rPr>
              <w:t>Obchodné spoločnosti štátu</w:t>
            </w:r>
          </w:p>
        </w:tc>
        <w:tc>
          <w:tcPr>
            <w:tcW w:w="497" w:type="pct"/>
            <w:gridSpan w:val="3"/>
            <w:tcBorders>
              <w:top w:val="nil"/>
              <w:left w:val="nil"/>
              <w:bottom w:val="nil"/>
              <w:right w:val="nil"/>
            </w:tcBorders>
            <w:shd w:val="clear" w:color="000000" w:fill="FFFFFF"/>
            <w:noWrap/>
            <w:vAlign w:val="center"/>
            <w:hideMark/>
          </w:tcPr>
          <w:p w14:paraId="5A469EA2" w14:textId="77777777" w:rsidR="00420255" w:rsidRPr="000549F0" w:rsidRDefault="00420255" w:rsidP="00420255">
            <w:pPr>
              <w:spacing w:after="0" w:line="240" w:lineRule="auto"/>
              <w:jc w:val="right"/>
              <w:rPr>
                <w:sz w:val="18"/>
                <w:szCs w:val="18"/>
                <w:highlight w:val="yellow"/>
                <w:lang w:eastAsia="sk-SK"/>
              </w:rPr>
            </w:pPr>
            <w:r>
              <w:rPr>
                <w:sz w:val="18"/>
                <w:szCs w:val="18"/>
              </w:rPr>
              <w:t>333 569</w:t>
            </w:r>
          </w:p>
        </w:tc>
        <w:tc>
          <w:tcPr>
            <w:tcW w:w="492" w:type="pct"/>
            <w:gridSpan w:val="3"/>
            <w:tcBorders>
              <w:top w:val="nil"/>
              <w:left w:val="nil"/>
              <w:bottom w:val="nil"/>
              <w:right w:val="nil"/>
            </w:tcBorders>
            <w:shd w:val="clear" w:color="000000" w:fill="FFFFFF"/>
            <w:noWrap/>
            <w:vAlign w:val="center"/>
            <w:hideMark/>
          </w:tcPr>
          <w:p w14:paraId="62409E37" w14:textId="77777777" w:rsidR="00420255" w:rsidRPr="000549F0" w:rsidRDefault="00420255" w:rsidP="00420255">
            <w:pPr>
              <w:spacing w:after="0" w:line="240" w:lineRule="auto"/>
              <w:jc w:val="right"/>
              <w:rPr>
                <w:sz w:val="18"/>
                <w:szCs w:val="18"/>
                <w:highlight w:val="yellow"/>
                <w:lang w:eastAsia="sk-SK"/>
              </w:rPr>
            </w:pPr>
            <w:r>
              <w:rPr>
                <w:sz w:val="18"/>
                <w:szCs w:val="18"/>
              </w:rPr>
              <w:t>110 414</w:t>
            </w:r>
          </w:p>
        </w:tc>
        <w:tc>
          <w:tcPr>
            <w:tcW w:w="493" w:type="pct"/>
            <w:gridSpan w:val="4"/>
            <w:tcBorders>
              <w:top w:val="nil"/>
              <w:left w:val="nil"/>
              <w:bottom w:val="nil"/>
              <w:right w:val="nil"/>
            </w:tcBorders>
            <w:shd w:val="clear" w:color="000000" w:fill="FFFFFF"/>
            <w:noWrap/>
            <w:vAlign w:val="center"/>
            <w:hideMark/>
          </w:tcPr>
          <w:p w14:paraId="64029D5D" w14:textId="77777777" w:rsidR="00420255" w:rsidRPr="000549F0" w:rsidRDefault="00420255" w:rsidP="00420255">
            <w:pPr>
              <w:spacing w:after="0" w:line="240" w:lineRule="auto"/>
              <w:jc w:val="right"/>
              <w:rPr>
                <w:sz w:val="18"/>
                <w:szCs w:val="18"/>
                <w:highlight w:val="yellow"/>
                <w:lang w:eastAsia="sk-SK"/>
              </w:rPr>
            </w:pPr>
            <w:r>
              <w:rPr>
                <w:sz w:val="18"/>
                <w:szCs w:val="18"/>
              </w:rPr>
              <w:t>114 507</w:t>
            </w:r>
          </w:p>
        </w:tc>
        <w:tc>
          <w:tcPr>
            <w:tcW w:w="493" w:type="pct"/>
            <w:gridSpan w:val="3"/>
            <w:tcBorders>
              <w:top w:val="nil"/>
              <w:left w:val="nil"/>
              <w:bottom w:val="nil"/>
              <w:right w:val="nil"/>
            </w:tcBorders>
            <w:shd w:val="clear" w:color="000000" w:fill="FFFFFF"/>
            <w:noWrap/>
            <w:vAlign w:val="center"/>
            <w:hideMark/>
          </w:tcPr>
          <w:p w14:paraId="535BDC84" w14:textId="44CCDC31" w:rsidR="00420255" w:rsidRPr="000549F0" w:rsidRDefault="00420255" w:rsidP="00420255">
            <w:pPr>
              <w:spacing w:after="0" w:line="240" w:lineRule="auto"/>
              <w:jc w:val="right"/>
              <w:rPr>
                <w:sz w:val="18"/>
                <w:szCs w:val="18"/>
                <w:highlight w:val="yellow"/>
                <w:lang w:eastAsia="sk-SK"/>
              </w:rPr>
            </w:pPr>
            <w:r>
              <w:rPr>
                <w:sz w:val="18"/>
                <w:szCs w:val="18"/>
              </w:rPr>
              <w:t>-29 588</w:t>
            </w:r>
          </w:p>
        </w:tc>
        <w:tc>
          <w:tcPr>
            <w:tcW w:w="531" w:type="pct"/>
            <w:gridSpan w:val="3"/>
            <w:tcBorders>
              <w:top w:val="nil"/>
              <w:left w:val="nil"/>
              <w:bottom w:val="nil"/>
              <w:right w:val="nil"/>
            </w:tcBorders>
            <w:shd w:val="clear" w:color="000000" w:fill="FFFFFF"/>
            <w:noWrap/>
            <w:vAlign w:val="center"/>
            <w:hideMark/>
          </w:tcPr>
          <w:p w14:paraId="062784BB" w14:textId="77777777" w:rsidR="00420255" w:rsidRPr="000549F0" w:rsidRDefault="00420255" w:rsidP="00420255">
            <w:pPr>
              <w:spacing w:after="0" w:line="240" w:lineRule="auto"/>
              <w:jc w:val="right"/>
              <w:rPr>
                <w:sz w:val="18"/>
                <w:szCs w:val="18"/>
                <w:highlight w:val="yellow"/>
                <w:lang w:eastAsia="sk-SK"/>
              </w:rPr>
            </w:pPr>
            <w:r>
              <w:rPr>
                <w:sz w:val="18"/>
                <w:szCs w:val="18"/>
              </w:rPr>
              <w:t>4 093</w:t>
            </w:r>
          </w:p>
        </w:tc>
        <w:tc>
          <w:tcPr>
            <w:tcW w:w="463" w:type="pct"/>
            <w:gridSpan w:val="2"/>
            <w:tcBorders>
              <w:top w:val="nil"/>
              <w:left w:val="nil"/>
              <w:bottom w:val="nil"/>
              <w:right w:val="nil"/>
            </w:tcBorders>
            <w:shd w:val="clear" w:color="000000" w:fill="FFFFFF"/>
            <w:noWrap/>
            <w:vAlign w:val="center"/>
            <w:hideMark/>
          </w:tcPr>
          <w:p w14:paraId="351BA611" w14:textId="77777777" w:rsidR="00420255" w:rsidRPr="000549F0" w:rsidRDefault="00420255" w:rsidP="00420255">
            <w:pPr>
              <w:spacing w:after="0" w:line="240" w:lineRule="auto"/>
              <w:jc w:val="right"/>
              <w:rPr>
                <w:sz w:val="18"/>
                <w:szCs w:val="18"/>
                <w:highlight w:val="yellow"/>
                <w:lang w:eastAsia="sk-SK"/>
              </w:rPr>
            </w:pPr>
            <w:r>
              <w:rPr>
                <w:sz w:val="18"/>
                <w:szCs w:val="18"/>
              </w:rPr>
              <w:t>144 095</w:t>
            </w:r>
          </w:p>
        </w:tc>
      </w:tr>
      <w:tr w:rsidR="00992DD8" w:rsidRPr="000549F0" w14:paraId="79668BAD" w14:textId="77777777" w:rsidTr="00420255">
        <w:trPr>
          <w:gridAfter w:val="2"/>
          <w:wAfter w:w="454" w:type="pct"/>
          <w:trHeight w:val="257"/>
        </w:trPr>
        <w:tc>
          <w:tcPr>
            <w:tcW w:w="100" w:type="pct"/>
            <w:tcBorders>
              <w:top w:val="nil"/>
              <w:left w:val="nil"/>
              <w:bottom w:val="nil"/>
              <w:right w:val="nil"/>
            </w:tcBorders>
            <w:shd w:val="clear" w:color="000000" w:fill="FFFFFF"/>
            <w:noWrap/>
            <w:vAlign w:val="center"/>
            <w:hideMark/>
          </w:tcPr>
          <w:p w14:paraId="2EF8B008" w14:textId="77777777" w:rsidR="00992DD8" w:rsidRPr="004A1D24" w:rsidRDefault="00992DD8" w:rsidP="0019064B">
            <w:pPr>
              <w:spacing w:after="0" w:line="240" w:lineRule="auto"/>
              <w:jc w:val="right"/>
              <w:rPr>
                <w:sz w:val="18"/>
                <w:szCs w:val="18"/>
                <w:lang w:eastAsia="sk-SK"/>
              </w:rPr>
            </w:pPr>
            <w:r w:rsidRPr="004A1D24">
              <w:rPr>
                <w:sz w:val="18"/>
                <w:szCs w:val="18"/>
                <w:lang w:eastAsia="sk-SK"/>
              </w:rPr>
              <w:t> </w:t>
            </w:r>
          </w:p>
        </w:tc>
        <w:tc>
          <w:tcPr>
            <w:tcW w:w="118" w:type="pct"/>
            <w:tcBorders>
              <w:top w:val="nil"/>
              <w:left w:val="nil"/>
              <w:bottom w:val="nil"/>
              <w:right w:val="nil"/>
            </w:tcBorders>
            <w:shd w:val="clear" w:color="auto" w:fill="auto"/>
            <w:noWrap/>
            <w:vAlign w:val="bottom"/>
            <w:hideMark/>
          </w:tcPr>
          <w:p w14:paraId="1585F2C9" w14:textId="77777777" w:rsidR="00992DD8" w:rsidRPr="004A1D24" w:rsidRDefault="00992DD8" w:rsidP="0019064B">
            <w:pPr>
              <w:spacing w:after="0" w:line="240" w:lineRule="auto"/>
              <w:jc w:val="right"/>
              <w:rPr>
                <w:sz w:val="18"/>
                <w:szCs w:val="18"/>
                <w:lang w:eastAsia="sk-SK"/>
              </w:rPr>
            </w:pPr>
          </w:p>
        </w:tc>
        <w:tc>
          <w:tcPr>
            <w:tcW w:w="1787" w:type="pct"/>
            <w:gridSpan w:val="2"/>
            <w:tcBorders>
              <w:top w:val="nil"/>
              <w:left w:val="nil"/>
              <w:bottom w:val="nil"/>
              <w:right w:val="nil"/>
            </w:tcBorders>
            <w:shd w:val="clear" w:color="000000" w:fill="FFFFFF"/>
            <w:noWrap/>
            <w:vAlign w:val="center"/>
            <w:hideMark/>
          </w:tcPr>
          <w:p w14:paraId="4EBFB9C3" w14:textId="77777777" w:rsidR="00992DD8" w:rsidRPr="004A1D24" w:rsidRDefault="00992DD8" w:rsidP="0019064B">
            <w:pPr>
              <w:spacing w:after="0" w:line="240" w:lineRule="auto"/>
              <w:rPr>
                <w:sz w:val="18"/>
                <w:szCs w:val="18"/>
                <w:lang w:eastAsia="sk-SK"/>
              </w:rPr>
            </w:pPr>
            <w:r w:rsidRPr="004A1D24">
              <w:rPr>
                <w:sz w:val="18"/>
                <w:szCs w:val="18"/>
                <w:lang w:eastAsia="sk-SK"/>
              </w:rPr>
              <w:t>z toho:</w:t>
            </w:r>
          </w:p>
        </w:tc>
        <w:tc>
          <w:tcPr>
            <w:tcW w:w="455" w:type="pct"/>
            <w:gridSpan w:val="2"/>
            <w:tcBorders>
              <w:top w:val="nil"/>
              <w:left w:val="nil"/>
              <w:bottom w:val="nil"/>
              <w:right w:val="nil"/>
            </w:tcBorders>
            <w:shd w:val="clear" w:color="000000" w:fill="FFFFFF"/>
            <w:noWrap/>
            <w:vAlign w:val="center"/>
          </w:tcPr>
          <w:p w14:paraId="2C463A88" w14:textId="77777777" w:rsidR="00992DD8" w:rsidRPr="000549F0" w:rsidRDefault="00992DD8" w:rsidP="00420255">
            <w:pPr>
              <w:spacing w:after="0" w:line="240" w:lineRule="auto"/>
              <w:ind w:left="-1" w:firstLine="102"/>
              <w:jc w:val="right"/>
              <w:rPr>
                <w:b/>
                <w:bCs/>
                <w:sz w:val="18"/>
                <w:szCs w:val="18"/>
                <w:highlight w:val="yellow"/>
                <w:lang w:eastAsia="sk-SK"/>
              </w:rPr>
            </w:pPr>
          </w:p>
        </w:tc>
        <w:tc>
          <w:tcPr>
            <w:tcW w:w="444" w:type="pct"/>
            <w:gridSpan w:val="3"/>
            <w:tcBorders>
              <w:top w:val="nil"/>
              <w:left w:val="nil"/>
              <w:bottom w:val="nil"/>
              <w:right w:val="nil"/>
            </w:tcBorders>
            <w:shd w:val="clear" w:color="000000" w:fill="FFFFFF"/>
            <w:noWrap/>
            <w:vAlign w:val="center"/>
          </w:tcPr>
          <w:p w14:paraId="1D40368B" w14:textId="77777777" w:rsidR="00992DD8" w:rsidRPr="000549F0" w:rsidRDefault="00992DD8" w:rsidP="00420255">
            <w:pPr>
              <w:spacing w:after="0" w:line="240" w:lineRule="auto"/>
              <w:ind w:left="-1" w:firstLine="102"/>
              <w:jc w:val="right"/>
              <w:rPr>
                <w:b/>
                <w:bCs/>
                <w:sz w:val="18"/>
                <w:szCs w:val="18"/>
                <w:highlight w:val="yellow"/>
                <w:lang w:eastAsia="sk-SK"/>
              </w:rPr>
            </w:pPr>
          </w:p>
        </w:tc>
        <w:tc>
          <w:tcPr>
            <w:tcW w:w="167" w:type="pct"/>
            <w:gridSpan w:val="3"/>
            <w:tcBorders>
              <w:top w:val="nil"/>
              <w:left w:val="nil"/>
              <w:bottom w:val="nil"/>
              <w:right w:val="nil"/>
            </w:tcBorders>
            <w:shd w:val="clear" w:color="000000" w:fill="FFFFFF"/>
            <w:noWrap/>
            <w:vAlign w:val="center"/>
          </w:tcPr>
          <w:p w14:paraId="437942BF" w14:textId="77777777" w:rsidR="00992DD8" w:rsidRPr="000549F0" w:rsidRDefault="00992DD8" w:rsidP="00420255">
            <w:pPr>
              <w:spacing w:after="0" w:line="240" w:lineRule="auto"/>
              <w:ind w:left="-1" w:firstLine="102"/>
              <w:jc w:val="right"/>
              <w:rPr>
                <w:b/>
                <w:bCs/>
                <w:sz w:val="18"/>
                <w:szCs w:val="18"/>
                <w:highlight w:val="yellow"/>
                <w:lang w:eastAsia="sk-SK"/>
              </w:rPr>
            </w:pPr>
          </w:p>
        </w:tc>
        <w:tc>
          <w:tcPr>
            <w:tcW w:w="492" w:type="pct"/>
            <w:gridSpan w:val="4"/>
            <w:tcBorders>
              <w:top w:val="nil"/>
              <w:left w:val="nil"/>
              <w:bottom w:val="nil"/>
              <w:right w:val="nil"/>
            </w:tcBorders>
            <w:shd w:val="clear" w:color="000000" w:fill="FFFFFF"/>
            <w:noWrap/>
            <w:vAlign w:val="center"/>
          </w:tcPr>
          <w:p w14:paraId="1E026178" w14:textId="77777777" w:rsidR="00992DD8" w:rsidRPr="000549F0" w:rsidRDefault="00992DD8" w:rsidP="00420255">
            <w:pPr>
              <w:spacing w:after="0" w:line="240" w:lineRule="auto"/>
              <w:ind w:left="-1" w:firstLine="102"/>
              <w:jc w:val="right"/>
              <w:rPr>
                <w:sz w:val="18"/>
                <w:szCs w:val="18"/>
                <w:highlight w:val="yellow"/>
                <w:lang w:eastAsia="sk-SK"/>
              </w:rPr>
            </w:pPr>
          </w:p>
        </w:tc>
        <w:tc>
          <w:tcPr>
            <w:tcW w:w="543" w:type="pct"/>
            <w:gridSpan w:val="3"/>
            <w:tcBorders>
              <w:top w:val="nil"/>
              <w:left w:val="nil"/>
              <w:bottom w:val="nil"/>
              <w:right w:val="nil"/>
            </w:tcBorders>
            <w:shd w:val="clear" w:color="000000" w:fill="FFFFFF"/>
            <w:noWrap/>
            <w:vAlign w:val="center"/>
          </w:tcPr>
          <w:p w14:paraId="5C620864" w14:textId="77777777" w:rsidR="00992DD8" w:rsidRPr="000549F0" w:rsidRDefault="00992DD8" w:rsidP="00420255">
            <w:pPr>
              <w:spacing w:after="0" w:line="240" w:lineRule="auto"/>
              <w:ind w:left="-1" w:firstLine="102"/>
              <w:jc w:val="right"/>
              <w:rPr>
                <w:sz w:val="18"/>
                <w:szCs w:val="18"/>
                <w:highlight w:val="yellow"/>
                <w:lang w:eastAsia="sk-SK"/>
              </w:rPr>
            </w:pPr>
          </w:p>
        </w:tc>
        <w:tc>
          <w:tcPr>
            <w:tcW w:w="441" w:type="pct"/>
            <w:gridSpan w:val="2"/>
            <w:tcBorders>
              <w:top w:val="nil"/>
              <w:left w:val="nil"/>
              <w:bottom w:val="nil"/>
              <w:right w:val="nil"/>
            </w:tcBorders>
            <w:shd w:val="clear" w:color="000000" w:fill="FFFFFF"/>
            <w:noWrap/>
            <w:vAlign w:val="center"/>
          </w:tcPr>
          <w:p w14:paraId="37E8CF54" w14:textId="77777777" w:rsidR="00992DD8" w:rsidRPr="000549F0" w:rsidRDefault="00992DD8" w:rsidP="00420255">
            <w:pPr>
              <w:spacing w:after="0" w:line="240" w:lineRule="auto"/>
              <w:ind w:left="-1" w:firstLine="102"/>
              <w:jc w:val="right"/>
              <w:rPr>
                <w:sz w:val="18"/>
                <w:szCs w:val="18"/>
                <w:highlight w:val="yellow"/>
                <w:lang w:eastAsia="sk-SK"/>
              </w:rPr>
            </w:pPr>
          </w:p>
        </w:tc>
      </w:tr>
      <w:tr w:rsidR="00992DD8" w:rsidRPr="00723436" w14:paraId="335006E5"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6E095498"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18" w:type="pct"/>
            <w:tcBorders>
              <w:top w:val="nil"/>
              <w:left w:val="nil"/>
              <w:bottom w:val="nil"/>
              <w:right w:val="nil"/>
            </w:tcBorders>
            <w:shd w:val="clear" w:color="auto" w:fill="auto"/>
            <w:noWrap/>
            <w:vAlign w:val="bottom"/>
            <w:hideMark/>
          </w:tcPr>
          <w:p w14:paraId="76FF4905" w14:textId="77777777" w:rsidR="00992DD8" w:rsidRPr="00723436" w:rsidRDefault="00992DD8" w:rsidP="0019064B">
            <w:pPr>
              <w:spacing w:after="0" w:line="240" w:lineRule="auto"/>
              <w:jc w:val="right"/>
              <w:rPr>
                <w:sz w:val="18"/>
                <w:szCs w:val="18"/>
                <w:lang w:eastAsia="sk-SK"/>
              </w:rPr>
            </w:pPr>
          </w:p>
        </w:tc>
        <w:tc>
          <w:tcPr>
            <w:tcW w:w="1787" w:type="pct"/>
            <w:gridSpan w:val="2"/>
            <w:tcBorders>
              <w:top w:val="nil"/>
              <w:left w:val="nil"/>
              <w:bottom w:val="nil"/>
              <w:right w:val="nil"/>
            </w:tcBorders>
            <w:shd w:val="clear" w:color="000000" w:fill="FFFFFF"/>
            <w:noWrap/>
            <w:vAlign w:val="center"/>
            <w:hideMark/>
          </w:tcPr>
          <w:p w14:paraId="3AA1441F" w14:textId="514AE3AC" w:rsidR="00992DD8" w:rsidRPr="00723436" w:rsidRDefault="00992DD8" w:rsidP="0019064B">
            <w:pPr>
              <w:spacing w:after="0" w:line="240" w:lineRule="auto"/>
              <w:rPr>
                <w:sz w:val="18"/>
                <w:szCs w:val="18"/>
                <w:lang w:eastAsia="sk-SK"/>
              </w:rPr>
            </w:pPr>
            <w:r w:rsidRPr="00723436">
              <w:rPr>
                <w:sz w:val="18"/>
                <w:szCs w:val="18"/>
                <w:lang w:eastAsia="sk-SK"/>
              </w:rPr>
              <w:t>Železničná spoločnosť Slovensko,</w:t>
            </w:r>
            <w:r w:rsidR="009C14C9">
              <w:rPr>
                <w:sz w:val="18"/>
                <w:szCs w:val="18"/>
                <w:lang w:eastAsia="sk-SK"/>
              </w:rPr>
              <w:t xml:space="preserve"> </w:t>
            </w:r>
            <w:r w:rsidRPr="00723436">
              <w:rPr>
                <w:sz w:val="18"/>
                <w:szCs w:val="18"/>
                <w:lang w:eastAsia="sk-SK"/>
              </w:rPr>
              <w:t>a.</w:t>
            </w:r>
            <w:r w:rsidR="004D4F58">
              <w:rPr>
                <w:sz w:val="18"/>
                <w:szCs w:val="18"/>
                <w:lang w:eastAsia="sk-SK"/>
              </w:rPr>
              <w:t> </w:t>
            </w:r>
            <w:r w:rsidRPr="00723436">
              <w:rPr>
                <w:sz w:val="18"/>
                <w:szCs w:val="18"/>
                <w:lang w:eastAsia="sk-SK"/>
              </w:rPr>
              <w:t>s.</w:t>
            </w:r>
          </w:p>
        </w:tc>
        <w:tc>
          <w:tcPr>
            <w:tcW w:w="455" w:type="pct"/>
            <w:gridSpan w:val="2"/>
            <w:tcBorders>
              <w:top w:val="nil"/>
              <w:left w:val="nil"/>
              <w:bottom w:val="nil"/>
              <w:right w:val="nil"/>
            </w:tcBorders>
            <w:shd w:val="clear" w:color="000000" w:fill="FFFFFF"/>
            <w:noWrap/>
            <w:vAlign w:val="center"/>
            <w:hideMark/>
          </w:tcPr>
          <w:p w14:paraId="57BF241D" w14:textId="77777777" w:rsidR="00992DD8" w:rsidRPr="00723436" w:rsidRDefault="00992DD8" w:rsidP="00420255">
            <w:pPr>
              <w:spacing w:after="0" w:line="240" w:lineRule="auto"/>
              <w:ind w:right="-70"/>
              <w:jc w:val="right"/>
              <w:rPr>
                <w:sz w:val="18"/>
                <w:szCs w:val="18"/>
                <w:lang w:eastAsia="sk-SK"/>
              </w:rPr>
            </w:pPr>
            <w:r w:rsidRPr="00723436">
              <w:rPr>
                <w:sz w:val="18"/>
                <w:szCs w:val="18"/>
              </w:rPr>
              <w:t>187 769</w:t>
            </w:r>
          </w:p>
        </w:tc>
        <w:tc>
          <w:tcPr>
            <w:tcW w:w="534" w:type="pct"/>
            <w:gridSpan w:val="4"/>
            <w:tcBorders>
              <w:top w:val="nil"/>
              <w:left w:val="nil"/>
              <w:bottom w:val="nil"/>
              <w:right w:val="nil"/>
            </w:tcBorders>
            <w:shd w:val="clear" w:color="000000" w:fill="FFFFFF"/>
            <w:noWrap/>
            <w:vAlign w:val="center"/>
            <w:hideMark/>
          </w:tcPr>
          <w:p w14:paraId="5AD957FB" w14:textId="77777777" w:rsidR="00992DD8" w:rsidRPr="00723436" w:rsidRDefault="00992DD8" w:rsidP="00420255">
            <w:pPr>
              <w:spacing w:after="0" w:line="240" w:lineRule="auto"/>
              <w:ind w:firstLine="74"/>
              <w:jc w:val="right"/>
              <w:rPr>
                <w:sz w:val="18"/>
                <w:szCs w:val="18"/>
                <w:lang w:eastAsia="sk-SK"/>
              </w:rPr>
            </w:pPr>
            <w:r w:rsidRPr="00723436">
              <w:rPr>
                <w:sz w:val="18"/>
                <w:szCs w:val="18"/>
              </w:rPr>
              <w:t>-4 029</w:t>
            </w:r>
          </w:p>
        </w:tc>
        <w:tc>
          <w:tcPr>
            <w:tcW w:w="463" w:type="pct"/>
            <w:gridSpan w:val="3"/>
            <w:tcBorders>
              <w:top w:val="nil"/>
              <w:left w:val="nil"/>
              <w:bottom w:val="nil"/>
              <w:right w:val="nil"/>
            </w:tcBorders>
            <w:shd w:val="clear" w:color="000000" w:fill="FFFFFF"/>
            <w:noWrap/>
            <w:vAlign w:val="center"/>
            <w:hideMark/>
          </w:tcPr>
          <w:p w14:paraId="5F112427" w14:textId="77777777" w:rsidR="00992DD8" w:rsidRPr="00723436" w:rsidRDefault="00992DD8" w:rsidP="00420255">
            <w:pPr>
              <w:spacing w:after="0" w:line="240" w:lineRule="auto"/>
              <w:ind w:left="137" w:right="-72" w:hanging="283"/>
              <w:jc w:val="right"/>
              <w:rPr>
                <w:sz w:val="18"/>
                <w:szCs w:val="18"/>
                <w:lang w:eastAsia="sk-SK"/>
              </w:rPr>
            </w:pPr>
            <w:r w:rsidRPr="00723436">
              <w:rPr>
                <w:sz w:val="18"/>
                <w:szCs w:val="18"/>
              </w:rPr>
              <w:t>-10 787</w:t>
            </w:r>
          </w:p>
        </w:tc>
        <w:tc>
          <w:tcPr>
            <w:tcW w:w="523" w:type="pct"/>
            <w:gridSpan w:val="4"/>
            <w:tcBorders>
              <w:top w:val="nil"/>
              <w:left w:val="nil"/>
              <w:bottom w:val="nil"/>
              <w:right w:val="nil"/>
            </w:tcBorders>
            <w:shd w:val="clear" w:color="000000" w:fill="FFFFFF"/>
            <w:noWrap/>
            <w:vAlign w:val="center"/>
            <w:hideMark/>
          </w:tcPr>
          <w:p w14:paraId="2FA4E28E" w14:textId="77777777" w:rsidR="00992DD8" w:rsidRPr="00723436" w:rsidRDefault="00992DD8" w:rsidP="00420255">
            <w:pPr>
              <w:spacing w:after="0" w:line="240" w:lineRule="auto"/>
              <w:ind w:left="137" w:right="15" w:hanging="283"/>
              <w:jc w:val="right"/>
              <w:rPr>
                <w:sz w:val="18"/>
                <w:szCs w:val="18"/>
                <w:lang w:eastAsia="sk-SK"/>
              </w:rPr>
            </w:pPr>
            <w:r w:rsidRPr="00723436">
              <w:rPr>
                <w:sz w:val="18"/>
                <w:szCs w:val="18"/>
              </w:rPr>
              <w:t>13 544</w:t>
            </w:r>
          </w:p>
        </w:tc>
        <w:tc>
          <w:tcPr>
            <w:tcW w:w="531" w:type="pct"/>
            <w:gridSpan w:val="3"/>
            <w:tcBorders>
              <w:top w:val="nil"/>
              <w:left w:val="nil"/>
              <w:bottom w:val="nil"/>
              <w:right w:val="nil"/>
            </w:tcBorders>
            <w:shd w:val="clear" w:color="000000" w:fill="FFFFFF"/>
            <w:noWrap/>
            <w:vAlign w:val="center"/>
            <w:hideMark/>
          </w:tcPr>
          <w:p w14:paraId="63943B20"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-6 758</w:t>
            </w:r>
          </w:p>
        </w:tc>
        <w:tc>
          <w:tcPr>
            <w:tcW w:w="463" w:type="pct"/>
            <w:gridSpan w:val="2"/>
            <w:tcBorders>
              <w:top w:val="nil"/>
              <w:left w:val="nil"/>
              <w:bottom w:val="nil"/>
              <w:right w:val="nil"/>
            </w:tcBorders>
            <w:shd w:val="clear" w:color="000000" w:fill="FFFFFF"/>
            <w:noWrap/>
            <w:vAlign w:val="center"/>
            <w:hideMark/>
          </w:tcPr>
          <w:p w14:paraId="48AD16C9" w14:textId="77777777" w:rsidR="00992DD8" w:rsidRPr="00723436" w:rsidRDefault="00992DD8" w:rsidP="00420255">
            <w:pPr>
              <w:spacing w:after="0" w:line="240" w:lineRule="auto"/>
              <w:jc w:val="right"/>
              <w:rPr>
                <w:sz w:val="18"/>
                <w:szCs w:val="18"/>
                <w:lang w:eastAsia="sk-SK"/>
              </w:rPr>
            </w:pPr>
            <w:r w:rsidRPr="00723436">
              <w:rPr>
                <w:sz w:val="18"/>
                <w:szCs w:val="18"/>
              </w:rPr>
              <w:t>-24 331</w:t>
            </w:r>
          </w:p>
        </w:tc>
      </w:tr>
      <w:tr w:rsidR="00992DD8" w:rsidRPr="00723436" w14:paraId="6B4EC662"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20254BEC"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18" w:type="pct"/>
            <w:tcBorders>
              <w:top w:val="nil"/>
              <w:left w:val="nil"/>
              <w:bottom w:val="nil"/>
              <w:right w:val="nil"/>
            </w:tcBorders>
            <w:shd w:val="clear" w:color="000000" w:fill="FFFFFF"/>
            <w:noWrap/>
            <w:vAlign w:val="center"/>
            <w:hideMark/>
          </w:tcPr>
          <w:p w14:paraId="51DE5036" w14:textId="77777777" w:rsidR="00992DD8" w:rsidRPr="00723436" w:rsidRDefault="00992DD8" w:rsidP="0019064B">
            <w:pPr>
              <w:spacing w:after="0" w:line="240" w:lineRule="auto"/>
              <w:rPr>
                <w:color w:val="000000"/>
                <w:sz w:val="18"/>
                <w:szCs w:val="18"/>
                <w:lang w:eastAsia="sk-SK"/>
              </w:rPr>
            </w:pPr>
            <w:r w:rsidRPr="00723436">
              <w:rPr>
                <w:color w:val="000000"/>
                <w:sz w:val="18"/>
                <w:szCs w:val="18"/>
                <w:lang w:eastAsia="sk-SK"/>
              </w:rPr>
              <w:t> </w:t>
            </w:r>
          </w:p>
        </w:tc>
        <w:tc>
          <w:tcPr>
            <w:tcW w:w="1787" w:type="pct"/>
            <w:gridSpan w:val="2"/>
            <w:tcBorders>
              <w:top w:val="nil"/>
              <w:left w:val="nil"/>
              <w:bottom w:val="nil"/>
              <w:right w:val="nil"/>
            </w:tcBorders>
            <w:shd w:val="clear" w:color="000000" w:fill="FFFFFF"/>
            <w:noWrap/>
            <w:vAlign w:val="center"/>
            <w:hideMark/>
          </w:tcPr>
          <w:p w14:paraId="58B7F94A" w14:textId="49503EF8" w:rsidR="00992DD8" w:rsidRPr="00723436" w:rsidRDefault="00992DD8" w:rsidP="0019064B">
            <w:pPr>
              <w:spacing w:after="0" w:line="240" w:lineRule="auto"/>
              <w:rPr>
                <w:sz w:val="18"/>
                <w:szCs w:val="18"/>
                <w:lang w:eastAsia="sk-SK"/>
              </w:rPr>
            </w:pPr>
            <w:r w:rsidRPr="00723436">
              <w:rPr>
                <w:sz w:val="18"/>
                <w:szCs w:val="18"/>
                <w:lang w:eastAsia="sk-SK"/>
              </w:rPr>
              <w:t>MH Invest, s.</w:t>
            </w:r>
            <w:r w:rsidR="004D4F58">
              <w:rPr>
                <w:sz w:val="18"/>
                <w:szCs w:val="18"/>
                <w:lang w:eastAsia="sk-SK"/>
              </w:rPr>
              <w:t> </w:t>
            </w:r>
            <w:r w:rsidRPr="00723436">
              <w:rPr>
                <w:sz w:val="18"/>
                <w:szCs w:val="18"/>
                <w:lang w:eastAsia="sk-SK"/>
              </w:rPr>
              <w:t>r.</w:t>
            </w:r>
            <w:r w:rsidR="004D4F58">
              <w:rPr>
                <w:sz w:val="18"/>
                <w:szCs w:val="18"/>
                <w:lang w:eastAsia="sk-SK"/>
              </w:rPr>
              <w:t> </w:t>
            </w:r>
            <w:r w:rsidRPr="00723436">
              <w:rPr>
                <w:sz w:val="18"/>
                <w:szCs w:val="18"/>
                <w:lang w:eastAsia="sk-SK"/>
              </w:rPr>
              <w:t>o.</w:t>
            </w:r>
          </w:p>
        </w:tc>
        <w:tc>
          <w:tcPr>
            <w:tcW w:w="455" w:type="pct"/>
            <w:gridSpan w:val="2"/>
            <w:tcBorders>
              <w:top w:val="nil"/>
              <w:left w:val="nil"/>
              <w:bottom w:val="nil"/>
              <w:right w:val="nil"/>
            </w:tcBorders>
            <w:shd w:val="clear" w:color="000000" w:fill="FFFFFF"/>
            <w:noWrap/>
            <w:vAlign w:val="center"/>
            <w:hideMark/>
          </w:tcPr>
          <w:p w14:paraId="24E36546" w14:textId="77777777" w:rsidR="00992DD8" w:rsidRPr="00723436" w:rsidRDefault="00992DD8" w:rsidP="00420255">
            <w:pPr>
              <w:spacing w:after="0" w:line="240" w:lineRule="auto"/>
              <w:ind w:right="-70"/>
              <w:jc w:val="right"/>
              <w:rPr>
                <w:sz w:val="18"/>
                <w:szCs w:val="18"/>
                <w:lang w:eastAsia="sk-SK"/>
              </w:rPr>
            </w:pPr>
            <w:r w:rsidRPr="00723436">
              <w:rPr>
                <w:sz w:val="18"/>
                <w:szCs w:val="18"/>
              </w:rPr>
              <w:t>128 464</w:t>
            </w:r>
          </w:p>
        </w:tc>
        <w:tc>
          <w:tcPr>
            <w:tcW w:w="534" w:type="pct"/>
            <w:gridSpan w:val="4"/>
            <w:tcBorders>
              <w:top w:val="nil"/>
              <w:left w:val="nil"/>
              <w:bottom w:val="nil"/>
              <w:right w:val="nil"/>
            </w:tcBorders>
            <w:shd w:val="clear" w:color="000000" w:fill="FFFFFF"/>
            <w:noWrap/>
            <w:vAlign w:val="center"/>
            <w:hideMark/>
          </w:tcPr>
          <w:p w14:paraId="42B0FCA8" w14:textId="77777777" w:rsidR="00992DD8" w:rsidRPr="00723436" w:rsidRDefault="00992DD8" w:rsidP="00420255">
            <w:pPr>
              <w:spacing w:after="0" w:line="240" w:lineRule="auto"/>
              <w:ind w:firstLine="74"/>
              <w:jc w:val="right"/>
              <w:rPr>
                <w:sz w:val="18"/>
                <w:szCs w:val="18"/>
                <w:lang w:eastAsia="sk-SK"/>
              </w:rPr>
            </w:pPr>
            <w:r w:rsidRPr="00723436">
              <w:rPr>
                <w:sz w:val="18"/>
                <w:szCs w:val="18"/>
              </w:rPr>
              <w:t>-3 138</w:t>
            </w:r>
          </w:p>
        </w:tc>
        <w:tc>
          <w:tcPr>
            <w:tcW w:w="463" w:type="pct"/>
            <w:gridSpan w:val="3"/>
            <w:tcBorders>
              <w:top w:val="nil"/>
              <w:left w:val="nil"/>
              <w:bottom w:val="nil"/>
              <w:right w:val="nil"/>
            </w:tcBorders>
            <w:shd w:val="clear" w:color="000000" w:fill="FFFFFF"/>
            <w:noWrap/>
            <w:vAlign w:val="center"/>
            <w:hideMark/>
          </w:tcPr>
          <w:p w14:paraId="1AD984C9" w14:textId="77777777" w:rsidR="00992DD8" w:rsidRPr="00723436" w:rsidRDefault="00992DD8" w:rsidP="00420255">
            <w:pPr>
              <w:spacing w:after="0" w:line="240" w:lineRule="auto"/>
              <w:ind w:left="137" w:right="-72" w:hanging="283"/>
              <w:jc w:val="right"/>
              <w:rPr>
                <w:sz w:val="18"/>
                <w:szCs w:val="18"/>
                <w:lang w:eastAsia="sk-SK"/>
              </w:rPr>
            </w:pPr>
            <w:r w:rsidRPr="00723436">
              <w:rPr>
                <w:sz w:val="18"/>
                <w:szCs w:val="18"/>
              </w:rPr>
              <w:t>-3 868</w:t>
            </w:r>
          </w:p>
        </w:tc>
        <w:tc>
          <w:tcPr>
            <w:tcW w:w="523" w:type="pct"/>
            <w:gridSpan w:val="4"/>
            <w:tcBorders>
              <w:top w:val="nil"/>
              <w:left w:val="nil"/>
              <w:bottom w:val="nil"/>
              <w:right w:val="nil"/>
            </w:tcBorders>
            <w:shd w:val="clear" w:color="000000" w:fill="FFFFFF"/>
            <w:noWrap/>
            <w:vAlign w:val="center"/>
            <w:hideMark/>
          </w:tcPr>
          <w:p w14:paraId="25C7DF00" w14:textId="77777777" w:rsidR="00992DD8" w:rsidRPr="00723436" w:rsidRDefault="00992DD8" w:rsidP="00420255">
            <w:pPr>
              <w:spacing w:after="0" w:line="240" w:lineRule="auto"/>
              <w:ind w:left="137" w:right="15" w:hanging="283"/>
              <w:jc w:val="right"/>
              <w:rPr>
                <w:sz w:val="18"/>
                <w:szCs w:val="18"/>
                <w:lang w:eastAsia="sk-SK"/>
              </w:rPr>
            </w:pPr>
            <w:r w:rsidRPr="00723436">
              <w:rPr>
                <w:sz w:val="18"/>
                <w:szCs w:val="18"/>
              </w:rPr>
              <w:t>-25 255</w:t>
            </w:r>
          </w:p>
        </w:tc>
        <w:tc>
          <w:tcPr>
            <w:tcW w:w="531" w:type="pct"/>
            <w:gridSpan w:val="3"/>
            <w:tcBorders>
              <w:top w:val="nil"/>
              <w:left w:val="nil"/>
              <w:bottom w:val="nil"/>
              <w:right w:val="nil"/>
            </w:tcBorders>
            <w:shd w:val="clear" w:color="000000" w:fill="FFFFFF"/>
            <w:noWrap/>
            <w:vAlign w:val="center"/>
            <w:hideMark/>
          </w:tcPr>
          <w:p w14:paraId="7FC2BD84"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-730</w:t>
            </w:r>
          </w:p>
        </w:tc>
        <w:tc>
          <w:tcPr>
            <w:tcW w:w="463" w:type="pct"/>
            <w:gridSpan w:val="2"/>
            <w:tcBorders>
              <w:top w:val="nil"/>
              <w:left w:val="nil"/>
              <w:bottom w:val="nil"/>
              <w:right w:val="nil"/>
            </w:tcBorders>
            <w:shd w:val="clear" w:color="000000" w:fill="FFFFFF"/>
            <w:noWrap/>
            <w:vAlign w:val="center"/>
            <w:hideMark/>
          </w:tcPr>
          <w:p w14:paraId="6CED6BD5" w14:textId="77777777" w:rsidR="00992DD8" w:rsidRPr="00723436" w:rsidRDefault="00992DD8" w:rsidP="00420255">
            <w:pPr>
              <w:spacing w:after="0" w:line="240" w:lineRule="auto"/>
              <w:jc w:val="right"/>
              <w:rPr>
                <w:sz w:val="18"/>
                <w:szCs w:val="18"/>
                <w:lang w:eastAsia="sk-SK"/>
              </w:rPr>
            </w:pPr>
            <w:r w:rsidRPr="00723436">
              <w:rPr>
                <w:sz w:val="18"/>
                <w:szCs w:val="18"/>
              </w:rPr>
              <w:t>21 387</w:t>
            </w:r>
          </w:p>
        </w:tc>
      </w:tr>
      <w:tr w:rsidR="00992DD8" w:rsidRPr="00723436" w14:paraId="13393922"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481D8F1E"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18" w:type="pct"/>
            <w:tcBorders>
              <w:top w:val="nil"/>
              <w:left w:val="nil"/>
              <w:bottom w:val="nil"/>
              <w:right w:val="nil"/>
            </w:tcBorders>
            <w:shd w:val="clear" w:color="000000" w:fill="FFFFFF"/>
            <w:noWrap/>
            <w:vAlign w:val="center"/>
            <w:hideMark/>
          </w:tcPr>
          <w:p w14:paraId="310852EF" w14:textId="77777777" w:rsidR="00992DD8" w:rsidRPr="00723436" w:rsidRDefault="00992DD8" w:rsidP="0019064B">
            <w:pPr>
              <w:spacing w:after="0" w:line="240" w:lineRule="auto"/>
              <w:rPr>
                <w:color w:val="000000"/>
                <w:sz w:val="18"/>
                <w:szCs w:val="18"/>
                <w:lang w:eastAsia="sk-SK"/>
              </w:rPr>
            </w:pPr>
            <w:r w:rsidRPr="00723436">
              <w:rPr>
                <w:color w:val="000000"/>
                <w:sz w:val="18"/>
                <w:szCs w:val="18"/>
                <w:lang w:eastAsia="sk-SK"/>
              </w:rPr>
              <w:t> </w:t>
            </w:r>
          </w:p>
        </w:tc>
        <w:tc>
          <w:tcPr>
            <w:tcW w:w="1787" w:type="pct"/>
            <w:gridSpan w:val="2"/>
            <w:tcBorders>
              <w:top w:val="nil"/>
              <w:left w:val="nil"/>
              <w:bottom w:val="nil"/>
              <w:right w:val="nil"/>
            </w:tcBorders>
            <w:shd w:val="clear" w:color="000000" w:fill="FFFFFF"/>
            <w:noWrap/>
            <w:vAlign w:val="center"/>
            <w:hideMark/>
          </w:tcPr>
          <w:p w14:paraId="276256EB" w14:textId="77777777" w:rsidR="00992DD8" w:rsidRPr="00723436" w:rsidRDefault="00992DD8" w:rsidP="0019064B">
            <w:pPr>
              <w:spacing w:after="0" w:line="240" w:lineRule="auto"/>
              <w:rPr>
                <w:sz w:val="18"/>
                <w:szCs w:val="18"/>
                <w:lang w:eastAsia="sk-SK"/>
              </w:rPr>
            </w:pPr>
            <w:r w:rsidRPr="00723436">
              <w:rPr>
                <w:sz w:val="18"/>
                <w:szCs w:val="18"/>
                <w:lang w:eastAsia="sk-SK"/>
              </w:rPr>
              <w:t xml:space="preserve">SIH a investičné fondy SIH-u </w:t>
            </w:r>
          </w:p>
        </w:tc>
        <w:tc>
          <w:tcPr>
            <w:tcW w:w="455" w:type="pct"/>
            <w:gridSpan w:val="2"/>
            <w:tcBorders>
              <w:top w:val="nil"/>
              <w:left w:val="nil"/>
              <w:bottom w:val="nil"/>
              <w:right w:val="nil"/>
            </w:tcBorders>
            <w:shd w:val="clear" w:color="000000" w:fill="FFFFFF"/>
            <w:noWrap/>
            <w:vAlign w:val="center"/>
            <w:hideMark/>
          </w:tcPr>
          <w:p w14:paraId="02AD42C7" w14:textId="77777777" w:rsidR="00992DD8" w:rsidRPr="00723436" w:rsidRDefault="00992DD8" w:rsidP="00420255">
            <w:pPr>
              <w:spacing w:after="0" w:line="240" w:lineRule="auto"/>
              <w:ind w:right="-70"/>
              <w:jc w:val="right"/>
              <w:rPr>
                <w:sz w:val="18"/>
                <w:szCs w:val="18"/>
                <w:lang w:eastAsia="sk-SK"/>
              </w:rPr>
            </w:pPr>
            <w:r w:rsidRPr="00723436">
              <w:rPr>
                <w:sz w:val="18"/>
                <w:szCs w:val="18"/>
              </w:rPr>
              <w:t>32 682</w:t>
            </w:r>
          </w:p>
        </w:tc>
        <w:tc>
          <w:tcPr>
            <w:tcW w:w="534" w:type="pct"/>
            <w:gridSpan w:val="4"/>
            <w:tcBorders>
              <w:top w:val="nil"/>
              <w:left w:val="nil"/>
              <w:bottom w:val="nil"/>
              <w:right w:val="nil"/>
            </w:tcBorders>
            <w:shd w:val="clear" w:color="000000" w:fill="FFFFFF"/>
            <w:noWrap/>
            <w:vAlign w:val="center"/>
            <w:hideMark/>
          </w:tcPr>
          <w:p w14:paraId="4BE771C2" w14:textId="77777777" w:rsidR="00992DD8" w:rsidRPr="00723436" w:rsidRDefault="00992DD8" w:rsidP="00420255">
            <w:pPr>
              <w:spacing w:after="0" w:line="240" w:lineRule="auto"/>
              <w:ind w:firstLine="74"/>
              <w:jc w:val="right"/>
              <w:rPr>
                <w:sz w:val="18"/>
                <w:szCs w:val="18"/>
                <w:lang w:eastAsia="sk-SK"/>
              </w:rPr>
            </w:pPr>
            <w:r w:rsidRPr="00723436">
              <w:rPr>
                <w:sz w:val="18"/>
                <w:szCs w:val="18"/>
              </w:rPr>
              <w:t>40 982</w:t>
            </w:r>
          </w:p>
        </w:tc>
        <w:tc>
          <w:tcPr>
            <w:tcW w:w="463" w:type="pct"/>
            <w:gridSpan w:val="3"/>
            <w:tcBorders>
              <w:top w:val="nil"/>
              <w:left w:val="nil"/>
              <w:bottom w:val="nil"/>
              <w:right w:val="nil"/>
            </w:tcBorders>
            <w:shd w:val="clear" w:color="000000" w:fill="FFFFFF"/>
            <w:noWrap/>
            <w:vAlign w:val="center"/>
            <w:hideMark/>
          </w:tcPr>
          <w:p w14:paraId="0903F26E" w14:textId="77777777" w:rsidR="00992DD8" w:rsidRPr="00723436" w:rsidRDefault="00992DD8" w:rsidP="00420255">
            <w:pPr>
              <w:spacing w:after="0" w:line="240" w:lineRule="auto"/>
              <w:ind w:left="137" w:right="-72" w:hanging="283"/>
              <w:jc w:val="right"/>
              <w:rPr>
                <w:sz w:val="18"/>
                <w:szCs w:val="18"/>
                <w:lang w:eastAsia="sk-SK"/>
              </w:rPr>
            </w:pPr>
            <w:r w:rsidRPr="00723436">
              <w:rPr>
                <w:sz w:val="18"/>
                <w:szCs w:val="18"/>
              </w:rPr>
              <w:t>89 458</w:t>
            </w:r>
          </w:p>
        </w:tc>
        <w:tc>
          <w:tcPr>
            <w:tcW w:w="523" w:type="pct"/>
            <w:gridSpan w:val="4"/>
            <w:tcBorders>
              <w:top w:val="nil"/>
              <w:left w:val="nil"/>
              <w:bottom w:val="nil"/>
              <w:right w:val="nil"/>
            </w:tcBorders>
            <w:shd w:val="clear" w:color="000000" w:fill="FFFFFF"/>
            <w:noWrap/>
            <w:vAlign w:val="center"/>
            <w:hideMark/>
          </w:tcPr>
          <w:p w14:paraId="77780CFF" w14:textId="77777777" w:rsidR="00992DD8" w:rsidRPr="00723436" w:rsidRDefault="00992DD8" w:rsidP="00420255">
            <w:pPr>
              <w:spacing w:after="0" w:line="240" w:lineRule="auto"/>
              <w:ind w:left="137" w:right="15" w:hanging="283"/>
              <w:jc w:val="right"/>
              <w:rPr>
                <w:sz w:val="18"/>
                <w:szCs w:val="18"/>
                <w:lang w:eastAsia="sk-SK"/>
              </w:rPr>
            </w:pPr>
            <w:r w:rsidRPr="00723436">
              <w:rPr>
                <w:sz w:val="18"/>
                <w:szCs w:val="18"/>
              </w:rPr>
              <w:t>0</w:t>
            </w:r>
          </w:p>
        </w:tc>
        <w:tc>
          <w:tcPr>
            <w:tcW w:w="531" w:type="pct"/>
            <w:gridSpan w:val="3"/>
            <w:tcBorders>
              <w:top w:val="nil"/>
              <w:left w:val="nil"/>
              <w:bottom w:val="nil"/>
              <w:right w:val="nil"/>
            </w:tcBorders>
            <w:shd w:val="clear" w:color="000000" w:fill="FFFFFF"/>
            <w:noWrap/>
            <w:vAlign w:val="center"/>
            <w:hideMark/>
          </w:tcPr>
          <w:p w14:paraId="539784D4"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48 476</w:t>
            </w:r>
          </w:p>
        </w:tc>
        <w:tc>
          <w:tcPr>
            <w:tcW w:w="463" w:type="pct"/>
            <w:gridSpan w:val="2"/>
            <w:tcBorders>
              <w:top w:val="nil"/>
              <w:left w:val="nil"/>
              <w:bottom w:val="nil"/>
              <w:right w:val="nil"/>
            </w:tcBorders>
            <w:shd w:val="clear" w:color="000000" w:fill="FFFFFF"/>
            <w:noWrap/>
            <w:vAlign w:val="center"/>
            <w:hideMark/>
          </w:tcPr>
          <w:p w14:paraId="76CF8BF5" w14:textId="77777777" w:rsidR="00992DD8" w:rsidRPr="00723436" w:rsidRDefault="00992DD8" w:rsidP="00420255">
            <w:pPr>
              <w:spacing w:after="0" w:line="240" w:lineRule="auto"/>
              <w:jc w:val="right"/>
              <w:rPr>
                <w:sz w:val="18"/>
                <w:szCs w:val="18"/>
                <w:lang w:eastAsia="sk-SK"/>
              </w:rPr>
            </w:pPr>
            <w:r w:rsidRPr="00723436">
              <w:rPr>
                <w:sz w:val="18"/>
                <w:szCs w:val="18"/>
              </w:rPr>
              <w:t>89 458</w:t>
            </w:r>
          </w:p>
        </w:tc>
      </w:tr>
      <w:tr w:rsidR="00992DD8" w:rsidRPr="00723436" w14:paraId="240C00D4"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tcPr>
          <w:p w14:paraId="15517C09" w14:textId="77777777" w:rsidR="00992DD8" w:rsidRPr="00723436" w:rsidRDefault="00992DD8" w:rsidP="0019064B">
            <w:pPr>
              <w:spacing w:after="0" w:line="240" w:lineRule="auto"/>
              <w:jc w:val="right"/>
              <w:rPr>
                <w:sz w:val="18"/>
                <w:szCs w:val="18"/>
                <w:lang w:eastAsia="sk-SK"/>
              </w:rPr>
            </w:pPr>
          </w:p>
        </w:tc>
        <w:tc>
          <w:tcPr>
            <w:tcW w:w="118" w:type="pct"/>
            <w:tcBorders>
              <w:top w:val="nil"/>
              <w:left w:val="nil"/>
              <w:bottom w:val="nil"/>
              <w:right w:val="nil"/>
            </w:tcBorders>
            <w:shd w:val="clear" w:color="auto" w:fill="auto"/>
            <w:noWrap/>
            <w:vAlign w:val="bottom"/>
          </w:tcPr>
          <w:p w14:paraId="72101EF6" w14:textId="77777777" w:rsidR="00992DD8" w:rsidRPr="00723436" w:rsidRDefault="00992DD8" w:rsidP="0019064B">
            <w:pPr>
              <w:spacing w:after="0" w:line="240" w:lineRule="auto"/>
              <w:jc w:val="right"/>
              <w:rPr>
                <w:sz w:val="18"/>
                <w:szCs w:val="18"/>
                <w:lang w:eastAsia="sk-SK"/>
              </w:rPr>
            </w:pPr>
          </w:p>
        </w:tc>
        <w:tc>
          <w:tcPr>
            <w:tcW w:w="1787" w:type="pct"/>
            <w:gridSpan w:val="2"/>
            <w:tcBorders>
              <w:top w:val="nil"/>
              <w:left w:val="nil"/>
              <w:bottom w:val="nil"/>
              <w:right w:val="nil"/>
            </w:tcBorders>
            <w:shd w:val="clear" w:color="000000" w:fill="FFFFFF"/>
            <w:noWrap/>
            <w:vAlign w:val="center"/>
          </w:tcPr>
          <w:p w14:paraId="6F80BE52" w14:textId="2B697D72" w:rsidR="00992DD8" w:rsidRPr="00723436" w:rsidRDefault="00992DD8" w:rsidP="004D4F58">
            <w:pPr>
              <w:spacing w:after="0" w:line="240" w:lineRule="auto"/>
              <w:rPr>
                <w:sz w:val="18"/>
                <w:szCs w:val="18"/>
                <w:lang w:eastAsia="sk-SK"/>
              </w:rPr>
            </w:pPr>
            <w:r w:rsidRPr="00723436">
              <w:rPr>
                <w:sz w:val="18"/>
                <w:szCs w:val="18"/>
                <w:lang w:eastAsia="sk-SK"/>
              </w:rPr>
              <w:t>Slovenská záručná a rozvojová banka, a.</w:t>
            </w:r>
            <w:r w:rsidR="004D4F58">
              <w:rPr>
                <w:sz w:val="18"/>
                <w:szCs w:val="18"/>
                <w:lang w:eastAsia="sk-SK"/>
              </w:rPr>
              <w:t> </w:t>
            </w:r>
            <w:r w:rsidRPr="00723436">
              <w:rPr>
                <w:sz w:val="18"/>
                <w:szCs w:val="18"/>
                <w:lang w:eastAsia="sk-SK"/>
              </w:rPr>
              <w:t>s.</w:t>
            </w:r>
          </w:p>
        </w:tc>
        <w:tc>
          <w:tcPr>
            <w:tcW w:w="455" w:type="pct"/>
            <w:gridSpan w:val="2"/>
            <w:tcBorders>
              <w:top w:val="nil"/>
              <w:left w:val="nil"/>
              <w:bottom w:val="nil"/>
              <w:right w:val="nil"/>
            </w:tcBorders>
            <w:shd w:val="clear" w:color="000000" w:fill="FFFFFF"/>
            <w:noWrap/>
            <w:vAlign w:val="center"/>
          </w:tcPr>
          <w:p w14:paraId="391252D7" w14:textId="77777777" w:rsidR="00992DD8" w:rsidRPr="00723436" w:rsidRDefault="00992DD8" w:rsidP="00420255">
            <w:pPr>
              <w:spacing w:after="0" w:line="240" w:lineRule="auto"/>
              <w:ind w:right="-70"/>
              <w:jc w:val="right"/>
              <w:rPr>
                <w:sz w:val="18"/>
                <w:szCs w:val="18"/>
                <w:lang w:eastAsia="sk-SK"/>
              </w:rPr>
            </w:pPr>
            <w:r w:rsidRPr="00723436">
              <w:rPr>
                <w:sz w:val="18"/>
                <w:szCs w:val="18"/>
              </w:rPr>
              <w:t>0</w:t>
            </w:r>
          </w:p>
        </w:tc>
        <w:tc>
          <w:tcPr>
            <w:tcW w:w="534" w:type="pct"/>
            <w:gridSpan w:val="4"/>
            <w:tcBorders>
              <w:top w:val="nil"/>
              <w:left w:val="nil"/>
              <w:bottom w:val="nil"/>
              <w:right w:val="nil"/>
            </w:tcBorders>
            <w:shd w:val="clear" w:color="000000" w:fill="FFFFFF"/>
            <w:noWrap/>
            <w:vAlign w:val="center"/>
          </w:tcPr>
          <w:p w14:paraId="0F00D01C" w14:textId="77777777" w:rsidR="00992DD8" w:rsidRPr="00723436" w:rsidRDefault="00992DD8" w:rsidP="00420255">
            <w:pPr>
              <w:spacing w:after="0" w:line="240" w:lineRule="auto"/>
              <w:ind w:firstLine="74"/>
              <w:jc w:val="right"/>
              <w:rPr>
                <w:sz w:val="18"/>
                <w:szCs w:val="18"/>
                <w:lang w:eastAsia="sk-SK"/>
              </w:rPr>
            </w:pPr>
            <w:r w:rsidRPr="00723436">
              <w:rPr>
                <w:sz w:val="18"/>
                <w:szCs w:val="18"/>
              </w:rPr>
              <w:t>0</w:t>
            </w:r>
          </w:p>
        </w:tc>
        <w:tc>
          <w:tcPr>
            <w:tcW w:w="463" w:type="pct"/>
            <w:gridSpan w:val="3"/>
            <w:tcBorders>
              <w:top w:val="nil"/>
              <w:left w:val="nil"/>
              <w:bottom w:val="nil"/>
              <w:right w:val="nil"/>
            </w:tcBorders>
            <w:shd w:val="clear" w:color="000000" w:fill="FFFFFF"/>
            <w:noWrap/>
            <w:vAlign w:val="center"/>
          </w:tcPr>
          <w:p w14:paraId="2D3C7905" w14:textId="77777777" w:rsidR="00992DD8" w:rsidRPr="00723436" w:rsidRDefault="00992DD8" w:rsidP="00420255">
            <w:pPr>
              <w:spacing w:after="0" w:line="240" w:lineRule="auto"/>
              <w:ind w:left="137" w:right="-72" w:hanging="283"/>
              <w:jc w:val="right"/>
              <w:rPr>
                <w:sz w:val="18"/>
                <w:szCs w:val="18"/>
                <w:lang w:eastAsia="sk-SK"/>
              </w:rPr>
            </w:pPr>
            <w:r w:rsidRPr="00723436">
              <w:rPr>
                <w:sz w:val="18"/>
                <w:szCs w:val="18"/>
              </w:rPr>
              <w:t>8 541</w:t>
            </w:r>
          </w:p>
        </w:tc>
        <w:tc>
          <w:tcPr>
            <w:tcW w:w="523" w:type="pct"/>
            <w:gridSpan w:val="4"/>
            <w:tcBorders>
              <w:top w:val="nil"/>
              <w:left w:val="nil"/>
              <w:bottom w:val="nil"/>
              <w:right w:val="nil"/>
            </w:tcBorders>
            <w:shd w:val="clear" w:color="000000" w:fill="FFFFFF"/>
            <w:noWrap/>
            <w:vAlign w:val="center"/>
          </w:tcPr>
          <w:p w14:paraId="03FB8D29" w14:textId="77777777" w:rsidR="00992DD8" w:rsidRPr="00723436" w:rsidRDefault="00992DD8" w:rsidP="00420255">
            <w:pPr>
              <w:spacing w:after="0" w:line="240" w:lineRule="auto"/>
              <w:ind w:left="137" w:right="15" w:hanging="283"/>
              <w:jc w:val="right"/>
              <w:rPr>
                <w:sz w:val="18"/>
                <w:szCs w:val="18"/>
                <w:lang w:eastAsia="sk-SK"/>
              </w:rPr>
            </w:pPr>
            <w:r w:rsidRPr="00723436">
              <w:rPr>
                <w:sz w:val="18"/>
                <w:szCs w:val="18"/>
              </w:rPr>
              <w:t>0</w:t>
            </w:r>
          </w:p>
        </w:tc>
        <w:tc>
          <w:tcPr>
            <w:tcW w:w="531" w:type="pct"/>
            <w:gridSpan w:val="3"/>
            <w:tcBorders>
              <w:top w:val="nil"/>
              <w:left w:val="nil"/>
              <w:bottom w:val="nil"/>
              <w:right w:val="nil"/>
            </w:tcBorders>
            <w:shd w:val="clear" w:color="000000" w:fill="FFFFFF"/>
            <w:noWrap/>
            <w:vAlign w:val="center"/>
          </w:tcPr>
          <w:p w14:paraId="6463174A"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8 541</w:t>
            </w:r>
          </w:p>
        </w:tc>
        <w:tc>
          <w:tcPr>
            <w:tcW w:w="463" w:type="pct"/>
            <w:gridSpan w:val="2"/>
            <w:tcBorders>
              <w:top w:val="nil"/>
              <w:left w:val="nil"/>
              <w:bottom w:val="nil"/>
              <w:right w:val="nil"/>
            </w:tcBorders>
            <w:shd w:val="clear" w:color="000000" w:fill="FFFFFF"/>
            <w:noWrap/>
            <w:vAlign w:val="center"/>
          </w:tcPr>
          <w:p w14:paraId="488150F7" w14:textId="77777777" w:rsidR="00992DD8" w:rsidRPr="00723436" w:rsidRDefault="00992DD8" w:rsidP="00420255">
            <w:pPr>
              <w:spacing w:after="0" w:line="240" w:lineRule="auto"/>
              <w:jc w:val="right"/>
              <w:rPr>
                <w:sz w:val="18"/>
                <w:szCs w:val="18"/>
                <w:lang w:eastAsia="sk-SK"/>
              </w:rPr>
            </w:pPr>
            <w:r w:rsidRPr="00723436">
              <w:rPr>
                <w:sz w:val="18"/>
                <w:szCs w:val="18"/>
              </w:rPr>
              <w:t>8 541</w:t>
            </w:r>
          </w:p>
        </w:tc>
      </w:tr>
      <w:tr w:rsidR="00992DD8" w:rsidRPr="00723436" w14:paraId="55650638"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7B888A79"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18" w:type="pct"/>
            <w:tcBorders>
              <w:top w:val="nil"/>
              <w:left w:val="nil"/>
              <w:bottom w:val="nil"/>
              <w:right w:val="nil"/>
            </w:tcBorders>
            <w:shd w:val="clear" w:color="auto" w:fill="auto"/>
            <w:noWrap/>
            <w:vAlign w:val="bottom"/>
            <w:hideMark/>
          </w:tcPr>
          <w:p w14:paraId="40352C68" w14:textId="77777777" w:rsidR="00992DD8" w:rsidRPr="00723436" w:rsidRDefault="00992DD8" w:rsidP="0019064B">
            <w:pPr>
              <w:spacing w:after="0" w:line="240" w:lineRule="auto"/>
              <w:jc w:val="right"/>
              <w:rPr>
                <w:sz w:val="18"/>
                <w:szCs w:val="18"/>
                <w:lang w:eastAsia="sk-SK"/>
              </w:rPr>
            </w:pPr>
          </w:p>
        </w:tc>
        <w:tc>
          <w:tcPr>
            <w:tcW w:w="1787" w:type="pct"/>
            <w:gridSpan w:val="2"/>
            <w:tcBorders>
              <w:top w:val="nil"/>
              <w:left w:val="nil"/>
              <w:bottom w:val="nil"/>
              <w:right w:val="nil"/>
            </w:tcBorders>
            <w:shd w:val="clear" w:color="000000" w:fill="FFFFFF"/>
            <w:noWrap/>
            <w:vAlign w:val="center"/>
            <w:hideMark/>
          </w:tcPr>
          <w:p w14:paraId="52F573B6" w14:textId="2C5299AB" w:rsidR="00992DD8" w:rsidRPr="00723436" w:rsidRDefault="00992DD8" w:rsidP="00AF3535">
            <w:pPr>
              <w:spacing w:after="0" w:line="240" w:lineRule="auto"/>
              <w:rPr>
                <w:sz w:val="18"/>
                <w:szCs w:val="18"/>
                <w:lang w:eastAsia="sk-SK"/>
              </w:rPr>
            </w:pPr>
            <w:r w:rsidRPr="00723436">
              <w:rPr>
                <w:sz w:val="18"/>
                <w:szCs w:val="18"/>
                <w:lang w:eastAsia="sk-SK"/>
              </w:rPr>
              <w:t>Ex</w:t>
            </w:r>
            <w:r w:rsidR="00AF3535">
              <w:rPr>
                <w:sz w:val="18"/>
                <w:szCs w:val="18"/>
                <w:lang w:eastAsia="sk-SK"/>
              </w:rPr>
              <w:t xml:space="preserve">portno-importná </w:t>
            </w:r>
            <w:r w:rsidRPr="00723436">
              <w:rPr>
                <w:sz w:val="18"/>
                <w:szCs w:val="18"/>
                <w:lang w:eastAsia="sk-SK"/>
              </w:rPr>
              <w:t>banka SR</w:t>
            </w:r>
          </w:p>
        </w:tc>
        <w:tc>
          <w:tcPr>
            <w:tcW w:w="455" w:type="pct"/>
            <w:gridSpan w:val="2"/>
            <w:tcBorders>
              <w:top w:val="nil"/>
              <w:left w:val="nil"/>
              <w:bottom w:val="nil"/>
              <w:right w:val="nil"/>
            </w:tcBorders>
            <w:shd w:val="clear" w:color="000000" w:fill="FFFFFF"/>
            <w:noWrap/>
            <w:vAlign w:val="center"/>
            <w:hideMark/>
          </w:tcPr>
          <w:p w14:paraId="2D64F678" w14:textId="77777777" w:rsidR="00992DD8" w:rsidRPr="00723436" w:rsidRDefault="00992DD8" w:rsidP="00420255">
            <w:pPr>
              <w:spacing w:after="0" w:line="240" w:lineRule="auto"/>
              <w:ind w:right="-70"/>
              <w:jc w:val="right"/>
              <w:rPr>
                <w:sz w:val="18"/>
                <w:szCs w:val="18"/>
                <w:lang w:eastAsia="sk-SK"/>
              </w:rPr>
            </w:pPr>
            <w:r w:rsidRPr="00723436">
              <w:rPr>
                <w:sz w:val="18"/>
                <w:szCs w:val="18"/>
              </w:rPr>
              <w:t>13 078</w:t>
            </w:r>
          </w:p>
        </w:tc>
        <w:tc>
          <w:tcPr>
            <w:tcW w:w="534" w:type="pct"/>
            <w:gridSpan w:val="4"/>
            <w:tcBorders>
              <w:top w:val="nil"/>
              <w:left w:val="nil"/>
              <w:bottom w:val="nil"/>
              <w:right w:val="nil"/>
            </w:tcBorders>
            <w:shd w:val="clear" w:color="000000" w:fill="FFFFFF"/>
            <w:noWrap/>
            <w:vAlign w:val="center"/>
            <w:hideMark/>
          </w:tcPr>
          <w:p w14:paraId="15501BE9" w14:textId="77777777" w:rsidR="00992DD8" w:rsidRPr="00723436" w:rsidRDefault="00992DD8" w:rsidP="00420255">
            <w:pPr>
              <w:spacing w:after="0" w:line="240" w:lineRule="auto"/>
              <w:ind w:firstLine="74"/>
              <w:jc w:val="right"/>
              <w:rPr>
                <w:sz w:val="18"/>
                <w:szCs w:val="18"/>
                <w:lang w:eastAsia="sk-SK"/>
              </w:rPr>
            </w:pPr>
            <w:r w:rsidRPr="00723436">
              <w:rPr>
                <w:sz w:val="18"/>
                <w:szCs w:val="18"/>
              </w:rPr>
              <w:t>2 961</w:t>
            </w:r>
          </w:p>
        </w:tc>
        <w:tc>
          <w:tcPr>
            <w:tcW w:w="463" w:type="pct"/>
            <w:gridSpan w:val="3"/>
            <w:tcBorders>
              <w:top w:val="nil"/>
              <w:left w:val="nil"/>
              <w:bottom w:val="nil"/>
              <w:right w:val="nil"/>
            </w:tcBorders>
            <w:shd w:val="clear" w:color="000000" w:fill="FFFFFF"/>
            <w:noWrap/>
            <w:vAlign w:val="center"/>
            <w:hideMark/>
          </w:tcPr>
          <w:p w14:paraId="3D4B639B" w14:textId="77777777" w:rsidR="00992DD8" w:rsidRPr="00723436" w:rsidRDefault="00992DD8" w:rsidP="00420255">
            <w:pPr>
              <w:spacing w:after="0" w:line="240" w:lineRule="auto"/>
              <w:ind w:left="137" w:right="-72" w:hanging="283"/>
              <w:jc w:val="right"/>
              <w:rPr>
                <w:sz w:val="18"/>
                <w:szCs w:val="18"/>
                <w:lang w:eastAsia="sk-SK"/>
              </w:rPr>
            </w:pPr>
            <w:r w:rsidRPr="00723436">
              <w:rPr>
                <w:sz w:val="18"/>
                <w:szCs w:val="18"/>
              </w:rPr>
              <w:t>11 882</w:t>
            </w:r>
          </w:p>
        </w:tc>
        <w:tc>
          <w:tcPr>
            <w:tcW w:w="523" w:type="pct"/>
            <w:gridSpan w:val="4"/>
            <w:tcBorders>
              <w:top w:val="nil"/>
              <w:left w:val="nil"/>
              <w:bottom w:val="nil"/>
              <w:right w:val="nil"/>
            </w:tcBorders>
            <w:shd w:val="clear" w:color="000000" w:fill="FFFFFF"/>
            <w:noWrap/>
            <w:vAlign w:val="center"/>
            <w:hideMark/>
          </w:tcPr>
          <w:p w14:paraId="1039005C" w14:textId="77777777" w:rsidR="00992DD8" w:rsidRPr="00723436" w:rsidRDefault="00992DD8" w:rsidP="00420255">
            <w:pPr>
              <w:spacing w:after="0" w:line="240" w:lineRule="auto"/>
              <w:ind w:left="137" w:right="15" w:hanging="283"/>
              <w:jc w:val="right"/>
              <w:rPr>
                <w:sz w:val="18"/>
                <w:szCs w:val="18"/>
                <w:lang w:eastAsia="sk-SK"/>
              </w:rPr>
            </w:pPr>
            <w:r w:rsidRPr="00723436">
              <w:rPr>
                <w:sz w:val="18"/>
                <w:szCs w:val="18"/>
              </w:rPr>
              <w:t>6 530</w:t>
            </w:r>
          </w:p>
        </w:tc>
        <w:tc>
          <w:tcPr>
            <w:tcW w:w="531" w:type="pct"/>
            <w:gridSpan w:val="3"/>
            <w:tcBorders>
              <w:top w:val="nil"/>
              <w:left w:val="nil"/>
              <w:bottom w:val="nil"/>
              <w:right w:val="nil"/>
            </w:tcBorders>
            <w:shd w:val="clear" w:color="000000" w:fill="FFFFFF"/>
            <w:noWrap/>
            <w:vAlign w:val="center"/>
            <w:hideMark/>
          </w:tcPr>
          <w:p w14:paraId="75CF9519"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8 921</w:t>
            </w:r>
          </w:p>
        </w:tc>
        <w:tc>
          <w:tcPr>
            <w:tcW w:w="463" w:type="pct"/>
            <w:gridSpan w:val="2"/>
            <w:tcBorders>
              <w:top w:val="nil"/>
              <w:left w:val="nil"/>
              <w:bottom w:val="nil"/>
              <w:right w:val="nil"/>
            </w:tcBorders>
            <w:shd w:val="clear" w:color="000000" w:fill="FFFFFF"/>
            <w:noWrap/>
            <w:vAlign w:val="center"/>
            <w:hideMark/>
          </w:tcPr>
          <w:p w14:paraId="3797CB75" w14:textId="77777777" w:rsidR="00992DD8" w:rsidRPr="00723436" w:rsidRDefault="00992DD8" w:rsidP="00420255">
            <w:pPr>
              <w:spacing w:after="0" w:line="240" w:lineRule="auto"/>
              <w:jc w:val="right"/>
              <w:rPr>
                <w:sz w:val="18"/>
                <w:szCs w:val="18"/>
                <w:lang w:eastAsia="sk-SK"/>
              </w:rPr>
            </w:pPr>
            <w:r w:rsidRPr="00723436">
              <w:rPr>
                <w:sz w:val="18"/>
                <w:szCs w:val="18"/>
              </w:rPr>
              <w:t>5 352</w:t>
            </w:r>
          </w:p>
        </w:tc>
      </w:tr>
      <w:tr w:rsidR="00992DD8" w:rsidRPr="00723436" w14:paraId="6FCEE69C"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1FAC6D75"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18" w:type="pct"/>
            <w:tcBorders>
              <w:top w:val="nil"/>
              <w:left w:val="nil"/>
              <w:bottom w:val="nil"/>
              <w:right w:val="nil"/>
            </w:tcBorders>
            <w:shd w:val="clear" w:color="000000" w:fill="FFFFFF"/>
            <w:noWrap/>
            <w:vAlign w:val="center"/>
            <w:hideMark/>
          </w:tcPr>
          <w:p w14:paraId="34EFF68C" w14:textId="77777777" w:rsidR="00992DD8" w:rsidRPr="00723436" w:rsidRDefault="00992DD8" w:rsidP="0019064B">
            <w:pPr>
              <w:spacing w:after="0" w:line="240" w:lineRule="auto"/>
              <w:rPr>
                <w:color w:val="000000"/>
                <w:sz w:val="18"/>
                <w:szCs w:val="18"/>
                <w:lang w:eastAsia="sk-SK"/>
              </w:rPr>
            </w:pPr>
            <w:r w:rsidRPr="00723436">
              <w:rPr>
                <w:color w:val="000000"/>
                <w:sz w:val="18"/>
                <w:szCs w:val="18"/>
                <w:lang w:eastAsia="sk-SK"/>
              </w:rPr>
              <w:t> </w:t>
            </w:r>
          </w:p>
        </w:tc>
        <w:tc>
          <w:tcPr>
            <w:tcW w:w="1787" w:type="pct"/>
            <w:gridSpan w:val="2"/>
            <w:tcBorders>
              <w:top w:val="nil"/>
              <w:left w:val="nil"/>
              <w:bottom w:val="nil"/>
              <w:right w:val="nil"/>
            </w:tcBorders>
            <w:shd w:val="clear" w:color="000000" w:fill="FFFFFF"/>
            <w:noWrap/>
            <w:vAlign w:val="center"/>
            <w:hideMark/>
          </w:tcPr>
          <w:p w14:paraId="74D238EA" w14:textId="3FC4DE3E" w:rsidR="00992DD8" w:rsidRPr="00723436" w:rsidRDefault="00992DD8" w:rsidP="00DD1FFC">
            <w:pPr>
              <w:spacing w:after="0" w:line="240" w:lineRule="auto"/>
              <w:rPr>
                <w:sz w:val="18"/>
                <w:szCs w:val="18"/>
                <w:lang w:eastAsia="sk-SK"/>
              </w:rPr>
            </w:pPr>
            <w:r w:rsidRPr="00723436">
              <w:rPr>
                <w:sz w:val="18"/>
                <w:szCs w:val="18"/>
                <w:lang w:eastAsia="sk-SK"/>
              </w:rPr>
              <w:t>JAVYS</w:t>
            </w:r>
          </w:p>
        </w:tc>
        <w:tc>
          <w:tcPr>
            <w:tcW w:w="455" w:type="pct"/>
            <w:gridSpan w:val="2"/>
            <w:tcBorders>
              <w:top w:val="nil"/>
              <w:left w:val="nil"/>
              <w:bottom w:val="nil"/>
              <w:right w:val="nil"/>
            </w:tcBorders>
            <w:shd w:val="clear" w:color="000000" w:fill="FFFFFF"/>
            <w:noWrap/>
            <w:vAlign w:val="center"/>
            <w:hideMark/>
          </w:tcPr>
          <w:p w14:paraId="3FDE63F7" w14:textId="77777777" w:rsidR="00992DD8" w:rsidRPr="00723436" w:rsidRDefault="00992DD8" w:rsidP="00420255">
            <w:pPr>
              <w:spacing w:after="0" w:line="240" w:lineRule="auto"/>
              <w:ind w:right="-70"/>
              <w:jc w:val="right"/>
              <w:rPr>
                <w:sz w:val="18"/>
                <w:szCs w:val="18"/>
                <w:lang w:eastAsia="sk-SK"/>
              </w:rPr>
            </w:pPr>
            <w:r w:rsidRPr="00723436">
              <w:rPr>
                <w:sz w:val="18"/>
                <w:szCs w:val="18"/>
              </w:rPr>
              <w:t>2 973</w:t>
            </w:r>
          </w:p>
        </w:tc>
        <w:tc>
          <w:tcPr>
            <w:tcW w:w="534" w:type="pct"/>
            <w:gridSpan w:val="4"/>
            <w:tcBorders>
              <w:top w:val="nil"/>
              <w:left w:val="nil"/>
              <w:bottom w:val="nil"/>
              <w:right w:val="nil"/>
            </w:tcBorders>
            <w:shd w:val="clear" w:color="000000" w:fill="FFFFFF"/>
            <w:noWrap/>
            <w:vAlign w:val="center"/>
            <w:hideMark/>
          </w:tcPr>
          <w:p w14:paraId="51ADD76A" w14:textId="77777777" w:rsidR="00992DD8" w:rsidRPr="00723436" w:rsidRDefault="00992DD8" w:rsidP="00420255">
            <w:pPr>
              <w:spacing w:after="0" w:line="240" w:lineRule="auto"/>
              <w:ind w:firstLine="74"/>
              <w:jc w:val="right"/>
              <w:rPr>
                <w:sz w:val="18"/>
                <w:szCs w:val="18"/>
                <w:lang w:eastAsia="sk-SK"/>
              </w:rPr>
            </w:pPr>
            <w:r w:rsidRPr="00723436">
              <w:rPr>
                <w:sz w:val="18"/>
                <w:szCs w:val="18"/>
              </w:rPr>
              <w:t>1 974</w:t>
            </w:r>
          </w:p>
        </w:tc>
        <w:tc>
          <w:tcPr>
            <w:tcW w:w="463" w:type="pct"/>
            <w:gridSpan w:val="3"/>
            <w:tcBorders>
              <w:top w:val="nil"/>
              <w:left w:val="nil"/>
              <w:bottom w:val="nil"/>
              <w:right w:val="nil"/>
            </w:tcBorders>
            <w:shd w:val="clear" w:color="000000" w:fill="FFFFFF"/>
            <w:noWrap/>
            <w:vAlign w:val="center"/>
            <w:hideMark/>
          </w:tcPr>
          <w:p w14:paraId="152DF1CD" w14:textId="77777777" w:rsidR="00992DD8" w:rsidRPr="00723436" w:rsidRDefault="00992DD8" w:rsidP="00420255">
            <w:pPr>
              <w:spacing w:after="0" w:line="240" w:lineRule="auto"/>
              <w:ind w:left="137" w:right="-72" w:hanging="283"/>
              <w:jc w:val="right"/>
              <w:rPr>
                <w:sz w:val="18"/>
                <w:szCs w:val="18"/>
                <w:lang w:eastAsia="sk-SK"/>
              </w:rPr>
            </w:pPr>
            <w:r w:rsidRPr="00723436">
              <w:rPr>
                <w:sz w:val="18"/>
                <w:szCs w:val="18"/>
              </w:rPr>
              <w:t>8 694</w:t>
            </w:r>
          </w:p>
        </w:tc>
        <w:tc>
          <w:tcPr>
            <w:tcW w:w="523" w:type="pct"/>
            <w:gridSpan w:val="4"/>
            <w:tcBorders>
              <w:top w:val="nil"/>
              <w:left w:val="nil"/>
              <w:bottom w:val="nil"/>
              <w:right w:val="nil"/>
            </w:tcBorders>
            <w:shd w:val="clear" w:color="000000" w:fill="FFFFFF"/>
            <w:noWrap/>
            <w:vAlign w:val="center"/>
            <w:hideMark/>
          </w:tcPr>
          <w:p w14:paraId="1EA1F55B" w14:textId="77777777" w:rsidR="00992DD8" w:rsidRPr="00723436" w:rsidRDefault="00992DD8" w:rsidP="00420255">
            <w:pPr>
              <w:spacing w:after="0" w:line="240" w:lineRule="auto"/>
              <w:ind w:left="137" w:right="15" w:hanging="283"/>
              <w:jc w:val="right"/>
              <w:rPr>
                <w:sz w:val="18"/>
                <w:szCs w:val="18"/>
                <w:lang w:eastAsia="sk-SK"/>
              </w:rPr>
            </w:pPr>
            <w:r w:rsidRPr="00723436">
              <w:rPr>
                <w:sz w:val="18"/>
                <w:szCs w:val="18"/>
              </w:rPr>
              <w:t>-30 981</w:t>
            </w:r>
          </w:p>
        </w:tc>
        <w:tc>
          <w:tcPr>
            <w:tcW w:w="531" w:type="pct"/>
            <w:gridSpan w:val="3"/>
            <w:tcBorders>
              <w:top w:val="nil"/>
              <w:left w:val="nil"/>
              <w:bottom w:val="nil"/>
              <w:right w:val="nil"/>
            </w:tcBorders>
            <w:shd w:val="clear" w:color="000000" w:fill="FFFFFF"/>
            <w:noWrap/>
            <w:vAlign w:val="center"/>
            <w:hideMark/>
          </w:tcPr>
          <w:p w14:paraId="464E5A28"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6 720</w:t>
            </w:r>
          </w:p>
        </w:tc>
        <w:tc>
          <w:tcPr>
            <w:tcW w:w="463" w:type="pct"/>
            <w:gridSpan w:val="2"/>
            <w:tcBorders>
              <w:top w:val="nil"/>
              <w:left w:val="nil"/>
              <w:bottom w:val="nil"/>
              <w:right w:val="nil"/>
            </w:tcBorders>
            <w:shd w:val="clear" w:color="000000" w:fill="FFFFFF"/>
            <w:noWrap/>
            <w:vAlign w:val="center"/>
            <w:hideMark/>
          </w:tcPr>
          <w:p w14:paraId="46E58FEA" w14:textId="77777777" w:rsidR="00992DD8" w:rsidRPr="00723436" w:rsidRDefault="00992DD8" w:rsidP="00420255">
            <w:pPr>
              <w:spacing w:after="0" w:line="240" w:lineRule="auto"/>
              <w:jc w:val="right"/>
              <w:rPr>
                <w:sz w:val="18"/>
                <w:szCs w:val="18"/>
                <w:lang w:eastAsia="sk-SK"/>
              </w:rPr>
            </w:pPr>
            <w:r w:rsidRPr="00723436">
              <w:rPr>
                <w:sz w:val="18"/>
                <w:szCs w:val="18"/>
              </w:rPr>
              <w:t>39 675</w:t>
            </w:r>
          </w:p>
        </w:tc>
      </w:tr>
      <w:tr w:rsidR="00992DD8" w:rsidRPr="00723436" w14:paraId="62787A51"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6F71F05F"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18" w:type="pct"/>
            <w:tcBorders>
              <w:top w:val="nil"/>
              <w:left w:val="nil"/>
              <w:bottom w:val="nil"/>
              <w:right w:val="nil"/>
            </w:tcBorders>
            <w:shd w:val="clear" w:color="000000" w:fill="FFFFFF"/>
            <w:noWrap/>
            <w:vAlign w:val="center"/>
            <w:hideMark/>
          </w:tcPr>
          <w:p w14:paraId="011F568A" w14:textId="77777777" w:rsidR="00992DD8" w:rsidRPr="00723436" w:rsidRDefault="00992DD8" w:rsidP="0019064B">
            <w:pPr>
              <w:spacing w:after="0" w:line="240" w:lineRule="auto"/>
              <w:rPr>
                <w:color w:val="000000"/>
                <w:sz w:val="18"/>
                <w:szCs w:val="18"/>
                <w:lang w:eastAsia="sk-SK"/>
              </w:rPr>
            </w:pPr>
            <w:r w:rsidRPr="00723436">
              <w:rPr>
                <w:color w:val="000000"/>
                <w:sz w:val="18"/>
                <w:szCs w:val="18"/>
                <w:lang w:eastAsia="sk-SK"/>
              </w:rPr>
              <w:t> </w:t>
            </w:r>
          </w:p>
        </w:tc>
        <w:tc>
          <w:tcPr>
            <w:tcW w:w="1787" w:type="pct"/>
            <w:gridSpan w:val="2"/>
            <w:tcBorders>
              <w:top w:val="nil"/>
              <w:left w:val="nil"/>
              <w:bottom w:val="nil"/>
              <w:right w:val="nil"/>
            </w:tcBorders>
            <w:shd w:val="clear" w:color="000000" w:fill="FFFFFF"/>
            <w:noWrap/>
            <w:vAlign w:val="center"/>
            <w:hideMark/>
          </w:tcPr>
          <w:p w14:paraId="2A47A082" w14:textId="29C09906" w:rsidR="00992DD8" w:rsidRPr="00723436" w:rsidRDefault="00992DD8" w:rsidP="0019064B">
            <w:pPr>
              <w:spacing w:after="0" w:line="240" w:lineRule="auto"/>
              <w:rPr>
                <w:sz w:val="18"/>
                <w:szCs w:val="18"/>
                <w:lang w:eastAsia="sk-SK"/>
              </w:rPr>
            </w:pPr>
            <w:r w:rsidRPr="00723436">
              <w:rPr>
                <w:sz w:val="18"/>
                <w:szCs w:val="18"/>
                <w:lang w:eastAsia="sk-SK"/>
              </w:rPr>
              <w:t>MH Invest II, s.</w:t>
            </w:r>
            <w:r w:rsidR="004D4F58">
              <w:rPr>
                <w:sz w:val="18"/>
                <w:szCs w:val="18"/>
                <w:lang w:eastAsia="sk-SK"/>
              </w:rPr>
              <w:t> </w:t>
            </w:r>
            <w:r w:rsidRPr="00723436">
              <w:rPr>
                <w:sz w:val="18"/>
                <w:szCs w:val="18"/>
                <w:lang w:eastAsia="sk-SK"/>
              </w:rPr>
              <w:t>r.</w:t>
            </w:r>
            <w:r w:rsidR="004D4F58">
              <w:rPr>
                <w:sz w:val="18"/>
                <w:szCs w:val="18"/>
                <w:lang w:eastAsia="sk-SK"/>
              </w:rPr>
              <w:t> </w:t>
            </w:r>
            <w:r w:rsidRPr="00723436">
              <w:rPr>
                <w:sz w:val="18"/>
                <w:szCs w:val="18"/>
                <w:lang w:eastAsia="sk-SK"/>
              </w:rPr>
              <w:t>o.</w:t>
            </w:r>
          </w:p>
        </w:tc>
        <w:tc>
          <w:tcPr>
            <w:tcW w:w="455" w:type="pct"/>
            <w:gridSpan w:val="2"/>
            <w:tcBorders>
              <w:top w:val="nil"/>
              <w:left w:val="nil"/>
              <w:bottom w:val="nil"/>
              <w:right w:val="nil"/>
            </w:tcBorders>
            <w:shd w:val="clear" w:color="000000" w:fill="FFFFFF"/>
            <w:noWrap/>
            <w:vAlign w:val="center"/>
            <w:hideMark/>
          </w:tcPr>
          <w:p w14:paraId="18E573CC" w14:textId="77777777" w:rsidR="00992DD8" w:rsidRPr="00723436" w:rsidRDefault="00992DD8" w:rsidP="00420255">
            <w:pPr>
              <w:spacing w:after="0" w:line="240" w:lineRule="auto"/>
              <w:ind w:right="-70"/>
              <w:jc w:val="right"/>
              <w:rPr>
                <w:sz w:val="18"/>
                <w:szCs w:val="18"/>
                <w:lang w:eastAsia="sk-SK"/>
              </w:rPr>
            </w:pPr>
            <w:r w:rsidRPr="00723436">
              <w:rPr>
                <w:sz w:val="18"/>
                <w:szCs w:val="18"/>
              </w:rPr>
              <w:t>1 292</w:t>
            </w:r>
          </w:p>
        </w:tc>
        <w:tc>
          <w:tcPr>
            <w:tcW w:w="534" w:type="pct"/>
            <w:gridSpan w:val="4"/>
            <w:tcBorders>
              <w:top w:val="nil"/>
              <w:left w:val="nil"/>
              <w:bottom w:val="nil"/>
              <w:right w:val="nil"/>
            </w:tcBorders>
            <w:shd w:val="clear" w:color="000000" w:fill="FFFFFF"/>
            <w:noWrap/>
            <w:vAlign w:val="center"/>
            <w:hideMark/>
          </w:tcPr>
          <w:p w14:paraId="35980C8C" w14:textId="77777777" w:rsidR="00992DD8" w:rsidRPr="00723436" w:rsidRDefault="00992DD8" w:rsidP="00420255">
            <w:pPr>
              <w:spacing w:after="0" w:line="240" w:lineRule="auto"/>
              <w:ind w:firstLine="74"/>
              <w:jc w:val="right"/>
              <w:rPr>
                <w:sz w:val="18"/>
                <w:szCs w:val="18"/>
                <w:lang w:eastAsia="sk-SK"/>
              </w:rPr>
            </w:pPr>
            <w:r w:rsidRPr="00723436">
              <w:rPr>
                <w:sz w:val="18"/>
                <w:szCs w:val="18"/>
              </w:rPr>
              <w:t>838</w:t>
            </w:r>
          </w:p>
        </w:tc>
        <w:tc>
          <w:tcPr>
            <w:tcW w:w="463" w:type="pct"/>
            <w:gridSpan w:val="3"/>
            <w:tcBorders>
              <w:top w:val="nil"/>
              <w:left w:val="nil"/>
              <w:bottom w:val="nil"/>
              <w:right w:val="nil"/>
            </w:tcBorders>
            <w:shd w:val="clear" w:color="000000" w:fill="FFFFFF"/>
            <w:noWrap/>
            <w:vAlign w:val="center"/>
            <w:hideMark/>
          </w:tcPr>
          <w:p w14:paraId="2526383B" w14:textId="77777777" w:rsidR="00992DD8" w:rsidRPr="00723436" w:rsidRDefault="00992DD8" w:rsidP="00420255">
            <w:pPr>
              <w:spacing w:after="0" w:line="240" w:lineRule="auto"/>
              <w:ind w:left="137" w:right="-72" w:hanging="283"/>
              <w:jc w:val="right"/>
              <w:rPr>
                <w:sz w:val="18"/>
                <w:szCs w:val="18"/>
                <w:lang w:eastAsia="sk-SK"/>
              </w:rPr>
            </w:pPr>
            <w:r w:rsidRPr="00723436">
              <w:rPr>
                <w:sz w:val="18"/>
                <w:szCs w:val="18"/>
              </w:rPr>
              <w:t>-983</w:t>
            </w:r>
          </w:p>
        </w:tc>
        <w:tc>
          <w:tcPr>
            <w:tcW w:w="523" w:type="pct"/>
            <w:gridSpan w:val="4"/>
            <w:tcBorders>
              <w:top w:val="nil"/>
              <w:left w:val="nil"/>
              <w:bottom w:val="nil"/>
              <w:right w:val="nil"/>
            </w:tcBorders>
            <w:shd w:val="clear" w:color="000000" w:fill="FFFFFF"/>
            <w:noWrap/>
            <w:vAlign w:val="center"/>
            <w:hideMark/>
          </w:tcPr>
          <w:p w14:paraId="4647F7AA" w14:textId="77777777" w:rsidR="00992DD8" w:rsidRPr="00723436" w:rsidRDefault="00992DD8" w:rsidP="00420255">
            <w:pPr>
              <w:spacing w:after="0" w:line="240" w:lineRule="auto"/>
              <w:ind w:left="137" w:right="15" w:hanging="283"/>
              <w:jc w:val="right"/>
              <w:rPr>
                <w:sz w:val="18"/>
                <w:szCs w:val="18"/>
                <w:lang w:eastAsia="sk-SK"/>
              </w:rPr>
            </w:pPr>
            <w:r w:rsidRPr="00723436">
              <w:rPr>
                <w:sz w:val="18"/>
                <w:szCs w:val="18"/>
              </w:rPr>
              <w:t>-331</w:t>
            </w:r>
          </w:p>
        </w:tc>
        <w:tc>
          <w:tcPr>
            <w:tcW w:w="531" w:type="pct"/>
            <w:gridSpan w:val="3"/>
            <w:tcBorders>
              <w:top w:val="nil"/>
              <w:left w:val="nil"/>
              <w:bottom w:val="nil"/>
              <w:right w:val="nil"/>
            </w:tcBorders>
            <w:shd w:val="clear" w:color="000000" w:fill="FFFFFF"/>
            <w:noWrap/>
            <w:vAlign w:val="center"/>
            <w:hideMark/>
          </w:tcPr>
          <w:p w14:paraId="51F5127E"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-1 821</w:t>
            </w:r>
          </w:p>
        </w:tc>
        <w:tc>
          <w:tcPr>
            <w:tcW w:w="463" w:type="pct"/>
            <w:gridSpan w:val="2"/>
            <w:tcBorders>
              <w:top w:val="nil"/>
              <w:left w:val="nil"/>
              <w:bottom w:val="nil"/>
              <w:right w:val="nil"/>
            </w:tcBorders>
            <w:shd w:val="clear" w:color="000000" w:fill="FFFFFF"/>
            <w:noWrap/>
            <w:vAlign w:val="center"/>
            <w:hideMark/>
          </w:tcPr>
          <w:p w14:paraId="41D34E87" w14:textId="77777777" w:rsidR="00992DD8" w:rsidRPr="00723436" w:rsidRDefault="00992DD8" w:rsidP="00420255">
            <w:pPr>
              <w:spacing w:after="0" w:line="240" w:lineRule="auto"/>
              <w:jc w:val="right"/>
              <w:rPr>
                <w:sz w:val="18"/>
                <w:szCs w:val="18"/>
                <w:lang w:eastAsia="sk-SK"/>
              </w:rPr>
            </w:pPr>
            <w:r w:rsidRPr="00723436">
              <w:rPr>
                <w:sz w:val="18"/>
                <w:szCs w:val="18"/>
              </w:rPr>
              <w:t>-652</w:t>
            </w:r>
          </w:p>
        </w:tc>
      </w:tr>
      <w:tr w:rsidR="00992DD8" w:rsidRPr="00723436" w14:paraId="1326C71C"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42F95722"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18" w:type="pct"/>
            <w:tcBorders>
              <w:top w:val="nil"/>
              <w:left w:val="nil"/>
              <w:bottom w:val="nil"/>
              <w:right w:val="nil"/>
            </w:tcBorders>
            <w:shd w:val="clear" w:color="000000" w:fill="FFFFFF"/>
            <w:noWrap/>
            <w:vAlign w:val="center"/>
            <w:hideMark/>
          </w:tcPr>
          <w:p w14:paraId="729087CB" w14:textId="77777777" w:rsidR="00992DD8" w:rsidRPr="00723436" w:rsidRDefault="00992DD8" w:rsidP="0019064B">
            <w:pPr>
              <w:spacing w:after="0" w:line="240" w:lineRule="auto"/>
              <w:rPr>
                <w:sz w:val="18"/>
                <w:szCs w:val="18"/>
                <w:lang w:eastAsia="sk-SK"/>
              </w:rPr>
            </w:pPr>
            <w:r w:rsidRPr="00723436">
              <w:rPr>
                <w:sz w:val="18"/>
                <w:szCs w:val="18"/>
                <w:lang w:eastAsia="sk-SK"/>
              </w:rPr>
              <w:t> </w:t>
            </w:r>
          </w:p>
        </w:tc>
        <w:tc>
          <w:tcPr>
            <w:tcW w:w="1787" w:type="pct"/>
            <w:gridSpan w:val="2"/>
            <w:tcBorders>
              <w:top w:val="nil"/>
              <w:left w:val="nil"/>
              <w:bottom w:val="nil"/>
              <w:right w:val="nil"/>
            </w:tcBorders>
            <w:shd w:val="clear" w:color="000000" w:fill="FFFFFF"/>
            <w:noWrap/>
            <w:hideMark/>
          </w:tcPr>
          <w:p w14:paraId="2DB66BC9" w14:textId="1E9B3E35" w:rsidR="00992DD8" w:rsidRPr="00723436" w:rsidRDefault="00992DD8" w:rsidP="004D4F58">
            <w:pPr>
              <w:spacing w:after="0" w:line="240" w:lineRule="auto"/>
              <w:rPr>
                <w:sz w:val="18"/>
                <w:szCs w:val="18"/>
                <w:lang w:eastAsia="sk-SK"/>
              </w:rPr>
            </w:pPr>
            <w:r w:rsidRPr="00723436">
              <w:rPr>
                <w:sz w:val="18"/>
                <w:szCs w:val="18"/>
                <w:lang w:eastAsia="sk-SK"/>
              </w:rPr>
              <w:t>Slovenská konsolidačná, a.</w:t>
            </w:r>
            <w:r w:rsidR="004D4F58">
              <w:rPr>
                <w:sz w:val="18"/>
                <w:szCs w:val="18"/>
                <w:lang w:eastAsia="sk-SK"/>
              </w:rPr>
              <w:t> </w:t>
            </w:r>
            <w:r w:rsidRPr="00723436">
              <w:rPr>
                <w:sz w:val="18"/>
                <w:szCs w:val="18"/>
                <w:lang w:eastAsia="sk-SK"/>
              </w:rPr>
              <w:t>s.</w:t>
            </w:r>
          </w:p>
        </w:tc>
        <w:tc>
          <w:tcPr>
            <w:tcW w:w="455" w:type="pct"/>
            <w:gridSpan w:val="2"/>
            <w:tcBorders>
              <w:top w:val="nil"/>
              <w:left w:val="nil"/>
              <w:bottom w:val="nil"/>
              <w:right w:val="nil"/>
            </w:tcBorders>
            <w:shd w:val="clear" w:color="000000" w:fill="FFFFFF"/>
            <w:noWrap/>
            <w:vAlign w:val="center"/>
            <w:hideMark/>
          </w:tcPr>
          <w:p w14:paraId="4A51CD5E" w14:textId="77777777" w:rsidR="00992DD8" w:rsidRPr="00723436" w:rsidRDefault="00992DD8" w:rsidP="00420255">
            <w:pPr>
              <w:spacing w:after="0" w:line="240" w:lineRule="auto"/>
              <w:ind w:right="-70"/>
              <w:jc w:val="right"/>
              <w:rPr>
                <w:sz w:val="18"/>
                <w:szCs w:val="18"/>
                <w:lang w:eastAsia="sk-SK"/>
              </w:rPr>
            </w:pPr>
            <w:r w:rsidRPr="00723436">
              <w:rPr>
                <w:sz w:val="18"/>
                <w:szCs w:val="18"/>
              </w:rPr>
              <w:t>-2 780</w:t>
            </w:r>
          </w:p>
        </w:tc>
        <w:tc>
          <w:tcPr>
            <w:tcW w:w="534" w:type="pct"/>
            <w:gridSpan w:val="4"/>
            <w:tcBorders>
              <w:top w:val="nil"/>
              <w:left w:val="nil"/>
              <w:bottom w:val="nil"/>
              <w:right w:val="nil"/>
            </w:tcBorders>
            <w:shd w:val="clear" w:color="000000" w:fill="FFFFFF"/>
            <w:noWrap/>
            <w:vAlign w:val="center"/>
            <w:hideMark/>
          </w:tcPr>
          <w:p w14:paraId="3F4076B3" w14:textId="77777777" w:rsidR="00992DD8" w:rsidRPr="00723436" w:rsidRDefault="00992DD8" w:rsidP="00420255">
            <w:pPr>
              <w:spacing w:after="0" w:line="240" w:lineRule="auto"/>
              <w:ind w:firstLine="74"/>
              <w:jc w:val="right"/>
              <w:rPr>
                <w:sz w:val="18"/>
                <w:szCs w:val="18"/>
                <w:lang w:eastAsia="sk-SK"/>
              </w:rPr>
            </w:pPr>
            <w:r w:rsidRPr="00723436">
              <w:rPr>
                <w:sz w:val="18"/>
                <w:szCs w:val="18"/>
              </w:rPr>
              <w:t>3 495</w:t>
            </w:r>
          </w:p>
        </w:tc>
        <w:tc>
          <w:tcPr>
            <w:tcW w:w="463" w:type="pct"/>
            <w:gridSpan w:val="3"/>
            <w:tcBorders>
              <w:top w:val="nil"/>
              <w:left w:val="nil"/>
              <w:bottom w:val="nil"/>
              <w:right w:val="nil"/>
            </w:tcBorders>
            <w:shd w:val="clear" w:color="000000" w:fill="FFFFFF"/>
            <w:noWrap/>
            <w:vAlign w:val="center"/>
            <w:hideMark/>
          </w:tcPr>
          <w:p w14:paraId="27168BEB" w14:textId="77777777" w:rsidR="00992DD8" w:rsidRPr="00723436" w:rsidRDefault="00992DD8" w:rsidP="00420255">
            <w:pPr>
              <w:spacing w:after="0" w:line="240" w:lineRule="auto"/>
              <w:ind w:left="137" w:right="-72" w:hanging="283"/>
              <w:jc w:val="right"/>
              <w:rPr>
                <w:sz w:val="18"/>
                <w:szCs w:val="18"/>
                <w:lang w:eastAsia="sk-SK"/>
              </w:rPr>
            </w:pPr>
            <w:r w:rsidRPr="00723436">
              <w:rPr>
                <w:sz w:val="18"/>
                <w:szCs w:val="18"/>
              </w:rPr>
              <w:t>354</w:t>
            </w:r>
          </w:p>
        </w:tc>
        <w:tc>
          <w:tcPr>
            <w:tcW w:w="523" w:type="pct"/>
            <w:gridSpan w:val="4"/>
            <w:tcBorders>
              <w:top w:val="nil"/>
              <w:left w:val="nil"/>
              <w:bottom w:val="nil"/>
              <w:right w:val="nil"/>
            </w:tcBorders>
            <w:shd w:val="clear" w:color="000000" w:fill="FFFFFF"/>
            <w:noWrap/>
            <w:vAlign w:val="center"/>
            <w:hideMark/>
          </w:tcPr>
          <w:p w14:paraId="27027683" w14:textId="77777777" w:rsidR="00992DD8" w:rsidRPr="00723436" w:rsidRDefault="00992DD8" w:rsidP="00420255">
            <w:pPr>
              <w:spacing w:after="0" w:line="240" w:lineRule="auto"/>
              <w:ind w:left="137" w:right="15" w:hanging="283"/>
              <w:jc w:val="right"/>
              <w:rPr>
                <w:sz w:val="18"/>
                <w:szCs w:val="18"/>
                <w:lang w:eastAsia="sk-SK"/>
              </w:rPr>
            </w:pPr>
            <w:r w:rsidRPr="00723436">
              <w:rPr>
                <w:sz w:val="18"/>
                <w:szCs w:val="18"/>
              </w:rPr>
              <w:t>-3 602</w:t>
            </w:r>
          </w:p>
        </w:tc>
        <w:tc>
          <w:tcPr>
            <w:tcW w:w="531" w:type="pct"/>
            <w:gridSpan w:val="3"/>
            <w:tcBorders>
              <w:top w:val="nil"/>
              <w:left w:val="nil"/>
              <w:bottom w:val="nil"/>
              <w:right w:val="nil"/>
            </w:tcBorders>
            <w:shd w:val="clear" w:color="000000" w:fill="FFFFFF"/>
            <w:noWrap/>
            <w:vAlign w:val="center"/>
            <w:hideMark/>
          </w:tcPr>
          <w:p w14:paraId="248945A6"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-3 141</w:t>
            </w:r>
          </w:p>
        </w:tc>
        <w:tc>
          <w:tcPr>
            <w:tcW w:w="463" w:type="pct"/>
            <w:gridSpan w:val="2"/>
            <w:tcBorders>
              <w:top w:val="nil"/>
              <w:left w:val="nil"/>
              <w:bottom w:val="nil"/>
              <w:right w:val="nil"/>
            </w:tcBorders>
            <w:shd w:val="clear" w:color="000000" w:fill="FFFFFF"/>
            <w:noWrap/>
            <w:vAlign w:val="center"/>
            <w:hideMark/>
          </w:tcPr>
          <w:p w14:paraId="4141C4C6" w14:textId="77777777" w:rsidR="00992DD8" w:rsidRPr="00723436" w:rsidRDefault="00992DD8" w:rsidP="00420255">
            <w:pPr>
              <w:spacing w:after="0" w:line="240" w:lineRule="auto"/>
              <w:jc w:val="right"/>
              <w:rPr>
                <w:sz w:val="18"/>
                <w:szCs w:val="18"/>
                <w:lang w:eastAsia="sk-SK"/>
              </w:rPr>
            </w:pPr>
            <w:r w:rsidRPr="00723436">
              <w:rPr>
                <w:sz w:val="18"/>
                <w:szCs w:val="18"/>
              </w:rPr>
              <w:t>3 956</w:t>
            </w:r>
          </w:p>
        </w:tc>
      </w:tr>
      <w:tr w:rsidR="00992DD8" w:rsidRPr="00723436" w14:paraId="5B8A3E9A"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51B13538"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18" w:type="pct"/>
            <w:tcBorders>
              <w:top w:val="nil"/>
              <w:left w:val="nil"/>
              <w:bottom w:val="nil"/>
              <w:right w:val="nil"/>
            </w:tcBorders>
            <w:shd w:val="clear" w:color="000000" w:fill="FFFFFF"/>
            <w:noWrap/>
            <w:vAlign w:val="center"/>
            <w:hideMark/>
          </w:tcPr>
          <w:p w14:paraId="16537A17" w14:textId="77777777" w:rsidR="00992DD8" w:rsidRPr="00723436" w:rsidRDefault="00992DD8" w:rsidP="0019064B">
            <w:pPr>
              <w:spacing w:after="0" w:line="240" w:lineRule="auto"/>
              <w:rPr>
                <w:sz w:val="18"/>
                <w:szCs w:val="18"/>
                <w:lang w:eastAsia="sk-SK"/>
              </w:rPr>
            </w:pPr>
            <w:r w:rsidRPr="00723436">
              <w:rPr>
                <w:sz w:val="18"/>
                <w:szCs w:val="18"/>
                <w:lang w:eastAsia="sk-SK"/>
              </w:rPr>
              <w:t> </w:t>
            </w:r>
          </w:p>
        </w:tc>
        <w:tc>
          <w:tcPr>
            <w:tcW w:w="1787" w:type="pct"/>
            <w:gridSpan w:val="2"/>
            <w:tcBorders>
              <w:top w:val="nil"/>
              <w:left w:val="nil"/>
              <w:bottom w:val="nil"/>
              <w:right w:val="nil"/>
            </w:tcBorders>
            <w:shd w:val="clear" w:color="000000" w:fill="FFFFFF"/>
            <w:noWrap/>
            <w:vAlign w:val="center"/>
            <w:hideMark/>
          </w:tcPr>
          <w:p w14:paraId="1B7F888B" w14:textId="7E98F455" w:rsidR="00992DD8" w:rsidRPr="00723436" w:rsidRDefault="00992DD8" w:rsidP="0019064B">
            <w:pPr>
              <w:spacing w:after="0" w:line="240" w:lineRule="auto"/>
              <w:rPr>
                <w:sz w:val="18"/>
                <w:szCs w:val="18"/>
                <w:lang w:eastAsia="sk-SK"/>
              </w:rPr>
            </w:pPr>
            <w:r w:rsidRPr="00723436">
              <w:rPr>
                <w:sz w:val="18"/>
                <w:szCs w:val="18"/>
                <w:lang w:eastAsia="sk-SK"/>
              </w:rPr>
              <w:t>Národná diaľničná spoločnosť, a.</w:t>
            </w:r>
            <w:r w:rsidR="004D4F58">
              <w:rPr>
                <w:sz w:val="18"/>
                <w:szCs w:val="18"/>
                <w:lang w:eastAsia="sk-SK"/>
              </w:rPr>
              <w:t> </w:t>
            </w:r>
            <w:r w:rsidRPr="00723436">
              <w:rPr>
                <w:sz w:val="18"/>
                <w:szCs w:val="18"/>
                <w:lang w:eastAsia="sk-SK"/>
              </w:rPr>
              <w:t>s.</w:t>
            </w:r>
          </w:p>
        </w:tc>
        <w:tc>
          <w:tcPr>
            <w:tcW w:w="455" w:type="pct"/>
            <w:gridSpan w:val="2"/>
            <w:tcBorders>
              <w:top w:val="nil"/>
              <w:left w:val="nil"/>
              <w:bottom w:val="nil"/>
              <w:right w:val="nil"/>
            </w:tcBorders>
            <w:shd w:val="clear" w:color="000000" w:fill="FFFFFF"/>
            <w:noWrap/>
            <w:vAlign w:val="center"/>
            <w:hideMark/>
          </w:tcPr>
          <w:p w14:paraId="06A5FB37" w14:textId="77777777" w:rsidR="00992DD8" w:rsidRPr="00723436" w:rsidRDefault="00992DD8" w:rsidP="00420255">
            <w:pPr>
              <w:spacing w:after="0" w:line="240" w:lineRule="auto"/>
              <w:ind w:right="-70"/>
              <w:jc w:val="right"/>
              <w:rPr>
                <w:sz w:val="18"/>
                <w:szCs w:val="18"/>
                <w:lang w:eastAsia="sk-SK"/>
              </w:rPr>
            </w:pPr>
            <w:r w:rsidRPr="00723436">
              <w:rPr>
                <w:sz w:val="18"/>
                <w:szCs w:val="18"/>
              </w:rPr>
              <w:t>-11 721</w:t>
            </w:r>
          </w:p>
        </w:tc>
        <w:tc>
          <w:tcPr>
            <w:tcW w:w="534" w:type="pct"/>
            <w:gridSpan w:val="4"/>
            <w:tcBorders>
              <w:top w:val="nil"/>
              <w:left w:val="nil"/>
              <w:bottom w:val="nil"/>
              <w:right w:val="nil"/>
            </w:tcBorders>
            <w:shd w:val="clear" w:color="000000" w:fill="FFFFFF"/>
            <w:noWrap/>
            <w:vAlign w:val="center"/>
            <w:hideMark/>
          </w:tcPr>
          <w:p w14:paraId="28A321BB" w14:textId="77777777" w:rsidR="00992DD8" w:rsidRPr="00723436" w:rsidRDefault="00992DD8" w:rsidP="00420255">
            <w:pPr>
              <w:spacing w:after="0" w:line="240" w:lineRule="auto"/>
              <w:ind w:firstLine="74"/>
              <w:jc w:val="right"/>
              <w:rPr>
                <w:sz w:val="18"/>
                <w:szCs w:val="18"/>
                <w:lang w:eastAsia="sk-SK"/>
              </w:rPr>
            </w:pPr>
            <w:r w:rsidRPr="00723436">
              <w:rPr>
                <w:sz w:val="18"/>
                <w:szCs w:val="18"/>
              </w:rPr>
              <w:t>-45 578</w:t>
            </w:r>
          </w:p>
        </w:tc>
        <w:tc>
          <w:tcPr>
            <w:tcW w:w="463" w:type="pct"/>
            <w:gridSpan w:val="3"/>
            <w:tcBorders>
              <w:top w:val="nil"/>
              <w:left w:val="nil"/>
              <w:bottom w:val="nil"/>
              <w:right w:val="nil"/>
            </w:tcBorders>
            <w:shd w:val="clear" w:color="000000" w:fill="FFFFFF"/>
            <w:noWrap/>
            <w:vAlign w:val="center"/>
            <w:hideMark/>
          </w:tcPr>
          <w:p w14:paraId="1551D7FB" w14:textId="77777777" w:rsidR="00992DD8" w:rsidRPr="00723436" w:rsidRDefault="00992DD8" w:rsidP="00420255">
            <w:pPr>
              <w:spacing w:after="0" w:line="240" w:lineRule="auto"/>
              <w:ind w:left="137" w:right="-72" w:hanging="283"/>
              <w:jc w:val="right"/>
              <w:rPr>
                <w:sz w:val="18"/>
                <w:szCs w:val="18"/>
                <w:lang w:eastAsia="sk-SK"/>
              </w:rPr>
            </w:pPr>
            <w:r w:rsidRPr="00723436">
              <w:rPr>
                <w:sz w:val="18"/>
                <w:szCs w:val="18"/>
              </w:rPr>
              <w:t>53 615</w:t>
            </w:r>
          </w:p>
        </w:tc>
        <w:tc>
          <w:tcPr>
            <w:tcW w:w="523" w:type="pct"/>
            <w:gridSpan w:val="4"/>
            <w:tcBorders>
              <w:top w:val="nil"/>
              <w:left w:val="nil"/>
              <w:bottom w:val="nil"/>
              <w:right w:val="nil"/>
            </w:tcBorders>
            <w:shd w:val="clear" w:color="000000" w:fill="FFFFFF"/>
            <w:noWrap/>
            <w:vAlign w:val="center"/>
            <w:hideMark/>
          </w:tcPr>
          <w:p w14:paraId="7FD771E0" w14:textId="77777777" w:rsidR="00992DD8" w:rsidRPr="00723436" w:rsidRDefault="00992DD8" w:rsidP="00420255">
            <w:pPr>
              <w:spacing w:after="0" w:line="240" w:lineRule="auto"/>
              <w:ind w:left="137" w:right="15" w:hanging="283"/>
              <w:jc w:val="right"/>
              <w:rPr>
                <w:sz w:val="18"/>
                <w:szCs w:val="18"/>
                <w:lang w:eastAsia="sk-SK"/>
              </w:rPr>
            </w:pPr>
            <w:r w:rsidRPr="00723436">
              <w:rPr>
                <w:sz w:val="18"/>
                <w:szCs w:val="18"/>
              </w:rPr>
              <w:t>0</w:t>
            </w:r>
          </w:p>
        </w:tc>
        <w:tc>
          <w:tcPr>
            <w:tcW w:w="531" w:type="pct"/>
            <w:gridSpan w:val="3"/>
            <w:tcBorders>
              <w:top w:val="nil"/>
              <w:left w:val="nil"/>
              <w:bottom w:val="nil"/>
              <w:right w:val="nil"/>
            </w:tcBorders>
            <w:shd w:val="clear" w:color="000000" w:fill="FFFFFF"/>
            <w:noWrap/>
            <w:vAlign w:val="center"/>
            <w:hideMark/>
          </w:tcPr>
          <w:p w14:paraId="07389956"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99 193</w:t>
            </w:r>
          </w:p>
        </w:tc>
        <w:tc>
          <w:tcPr>
            <w:tcW w:w="463" w:type="pct"/>
            <w:gridSpan w:val="2"/>
            <w:tcBorders>
              <w:top w:val="nil"/>
              <w:left w:val="nil"/>
              <w:bottom w:val="nil"/>
              <w:right w:val="nil"/>
            </w:tcBorders>
            <w:shd w:val="clear" w:color="000000" w:fill="FFFFFF"/>
            <w:noWrap/>
            <w:vAlign w:val="center"/>
            <w:hideMark/>
          </w:tcPr>
          <w:p w14:paraId="215F2E91" w14:textId="77777777" w:rsidR="00992DD8" w:rsidRPr="00723436" w:rsidRDefault="00992DD8" w:rsidP="00420255">
            <w:pPr>
              <w:spacing w:after="0" w:line="240" w:lineRule="auto"/>
              <w:jc w:val="right"/>
              <w:rPr>
                <w:sz w:val="18"/>
                <w:szCs w:val="18"/>
                <w:lang w:eastAsia="sk-SK"/>
              </w:rPr>
            </w:pPr>
            <w:r w:rsidRPr="00723436">
              <w:rPr>
                <w:sz w:val="18"/>
                <w:szCs w:val="18"/>
              </w:rPr>
              <w:t>53 615</w:t>
            </w:r>
          </w:p>
        </w:tc>
      </w:tr>
      <w:tr w:rsidR="00992DD8" w:rsidRPr="000549F0" w14:paraId="69A79F27"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61907030"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18" w:type="pct"/>
            <w:tcBorders>
              <w:top w:val="nil"/>
              <w:left w:val="nil"/>
              <w:bottom w:val="nil"/>
              <w:right w:val="nil"/>
            </w:tcBorders>
            <w:shd w:val="clear" w:color="000000" w:fill="FFFFFF"/>
            <w:noWrap/>
            <w:vAlign w:val="center"/>
            <w:hideMark/>
          </w:tcPr>
          <w:p w14:paraId="7D2CBDE5" w14:textId="77777777" w:rsidR="00992DD8" w:rsidRPr="00723436" w:rsidRDefault="00992DD8" w:rsidP="0019064B">
            <w:pPr>
              <w:spacing w:after="0" w:line="240" w:lineRule="auto"/>
              <w:rPr>
                <w:sz w:val="18"/>
                <w:szCs w:val="18"/>
                <w:lang w:eastAsia="sk-SK"/>
              </w:rPr>
            </w:pPr>
            <w:r w:rsidRPr="00723436">
              <w:rPr>
                <w:sz w:val="18"/>
                <w:szCs w:val="18"/>
                <w:lang w:eastAsia="sk-SK"/>
              </w:rPr>
              <w:t> </w:t>
            </w:r>
          </w:p>
        </w:tc>
        <w:tc>
          <w:tcPr>
            <w:tcW w:w="1787" w:type="pct"/>
            <w:gridSpan w:val="2"/>
            <w:tcBorders>
              <w:top w:val="nil"/>
              <w:left w:val="nil"/>
              <w:bottom w:val="nil"/>
              <w:right w:val="nil"/>
            </w:tcBorders>
            <w:shd w:val="clear" w:color="000000" w:fill="FFFFFF"/>
            <w:noWrap/>
            <w:vAlign w:val="center"/>
            <w:hideMark/>
          </w:tcPr>
          <w:p w14:paraId="387DFFF0" w14:textId="77777777" w:rsidR="00992DD8" w:rsidRPr="00723436" w:rsidRDefault="00992DD8" w:rsidP="0019064B">
            <w:pPr>
              <w:spacing w:after="0" w:line="240" w:lineRule="auto"/>
              <w:rPr>
                <w:sz w:val="18"/>
                <w:szCs w:val="18"/>
                <w:lang w:eastAsia="sk-SK"/>
              </w:rPr>
            </w:pPr>
            <w:r w:rsidRPr="00723436">
              <w:rPr>
                <w:sz w:val="18"/>
                <w:szCs w:val="18"/>
                <w:lang w:eastAsia="sk-SK"/>
              </w:rPr>
              <w:t>Železnice Slovenskej republiky</w:t>
            </w:r>
          </w:p>
        </w:tc>
        <w:tc>
          <w:tcPr>
            <w:tcW w:w="455" w:type="pct"/>
            <w:gridSpan w:val="2"/>
            <w:tcBorders>
              <w:top w:val="nil"/>
              <w:left w:val="nil"/>
              <w:bottom w:val="nil"/>
              <w:right w:val="nil"/>
            </w:tcBorders>
            <w:shd w:val="clear" w:color="000000" w:fill="FFFFFF"/>
            <w:noWrap/>
            <w:vAlign w:val="center"/>
            <w:hideMark/>
          </w:tcPr>
          <w:p w14:paraId="54D07CDE" w14:textId="77777777" w:rsidR="00992DD8" w:rsidRPr="00723436" w:rsidRDefault="00992DD8" w:rsidP="00420255">
            <w:pPr>
              <w:spacing w:after="0" w:line="240" w:lineRule="auto"/>
              <w:ind w:right="-70"/>
              <w:jc w:val="right"/>
              <w:rPr>
                <w:sz w:val="18"/>
                <w:szCs w:val="18"/>
                <w:lang w:eastAsia="sk-SK"/>
              </w:rPr>
            </w:pPr>
            <w:r w:rsidRPr="00723436">
              <w:rPr>
                <w:sz w:val="18"/>
                <w:szCs w:val="18"/>
              </w:rPr>
              <w:t>-18 146</w:t>
            </w:r>
          </w:p>
        </w:tc>
        <w:tc>
          <w:tcPr>
            <w:tcW w:w="534" w:type="pct"/>
            <w:gridSpan w:val="4"/>
            <w:tcBorders>
              <w:top w:val="nil"/>
              <w:left w:val="nil"/>
              <w:bottom w:val="nil"/>
              <w:right w:val="nil"/>
            </w:tcBorders>
            <w:shd w:val="clear" w:color="000000" w:fill="FFFFFF"/>
            <w:noWrap/>
            <w:vAlign w:val="center"/>
            <w:hideMark/>
          </w:tcPr>
          <w:p w14:paraId="5D5332F4" w14:textId="77777777" w:rsidR="00992DD8" w:rsidRPr="00723436" w:rsidRDefault="00992DD8" w:rsidP="00420255">
            <w:pPr>
              <w:spacing w:after="0" w:line="240" w:lineRule="auto"/>
              <w:ind w:firstLine="74"/>
              <w:jc w:val="right"/>
              <w:rPr>
                <w:sz w:val="18"/>
                <w:szCs w:val="18"/>
                <w:lang w:eastAsia="sk-SK"/>
              </w:rPr>
            </w:pPr>
            <w:r w:rsidRPr="00723436">
              <w:rPr>
                <w:sz w:val="18"/>
                <w:szCs w:val="18"/>
              </w:rPr>
              <w:t>106 668</w:t>
            </w:r>
          </w:p>
        </w:tc>
        <w:tc>
          <w:tcPr>
            <w:tcW w:w="463" w:type="pct"/>
            <w:gridSpan w:val="3"/>
            <w:tcBorders>
              <w:top w:val="nil"/>
              <w:left w:val="nil"/>
              <w:bottom w:val="nil"/>
              <w:right w:val="nil"/>
            </w:tcBorders>
            <w:shd w:val="clear" w:color="000000" w:fill="FFFFFF"/>
            <w:noWrap/>
            <w:vAlign w:val="center"/>
            <w:hideMark/>
          </w:tcPr>
          <w:p w14:paraId="5BD6A078" w14:textId="77777777" w:rsidR="00992DD8" w:rsidRPr="00723436" w:rsidRDefault="00992DD8" w:rsidP="00420255">
            <w:pPr>
              <w:spacing w:after="0" w:line="240" w:lineRule="auto"/>
              <w:ind w:left="137" w:right="-72" w:hanging="283"/>
              <w:jc w:val="right"/>
              <w:rPr>
                <w:sz w:val="18"/>
                <w:szCs w:val="18"/>
                <w:lang w:eastAsia="sk-SK"/>
              </w:rPr>
            </w:pPr>
            <w:r w:rsidRPr="00723436">
              <w:rPr>
                <w:sz w:val="18"/>
                <w:szCs w:val="18"/>
              </w:rPr>
              <w:t>-32 137</w:t>
            </w:r>
          </w:p>
        </w:tc>
        <w:tc>
          <w:tcPr>
            <w:tcW w:w="523" w:type="pct"/>
            <w:gridSpan w:val="4"/>
            <w:tcBorders>
              <w:top w:val="nil"/>
              <w:left w:val="nil"/>
              <w:bottom w:val="nil"/>
              <w:right w:val="nil"/>
            </w:tcBorders>
            <w:shd w:val="clear" w:color="000000" w:fill="FFFFFF"/>
            <w:noWrap/>
            <w:vAlign w:val="center"/>
            <w:hideMark/>
          </w:tcPr>
          <w:p w14:paraId="53D6EFAA" w14:textId="77777777" w:rsidR="00992DD8" w:rsidRPr="00723436" w:rsidRDefault="00992DD8" w:rsidP="00420255">
            <w:pPr>
              <w:spacing w:after="0" w:line="240" w:lineRule="auto"/>
              <w:ind w:left="137" w:right="15" w:hanging="283"/>
              <w:jc w:val="right"/>
              <w:rPr>
                <w:sz w:val="18"/>
                <w:szCs w:val="18"/>
                <w:lang w:eastAsia="sk-SK"/>
              </w:rPr>
            </w:pPr>
            <w:r w:rsidRPr="00723436">
              <w:rPr>
                <w:sz w:val="18"/>
                <w:szCs w:val="18"/>
              </w:rPr>
              <w:t>12 981</w:t>
            </w:r>
          </w:p>
        </w:tc>
        <w:tc>
          <w:tcPr>
            <w:tcW w:w="531" w:type="pct"/>
            <w:gridSpan w:val="3"/>
            <w:tcBorders>
              <w:top w:val="nil"/>
              <w:left w:val="nil"/>
              <w:bottom w:val="nil"/>
              <w:right w:val="nil"/>
            </w:tcBorders>
            <w:shd w:val="clear" w:color="000000" w:fill="FFFFFF"/>
            <w:noWrap/>
            <w:vAlign w:val="center"/>
            <w:hideMark/>
          </w:tcPr>
          <w:p w14:paraId="77B51EF3"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-138 805</w:t>
            </w:r>
          </w:p>
        </w:tc>
        <w:tc>
          <w:tcPr>
            <w:tcW w:w="463" w:type="pct"/>
            <w:gridSpan w:val="2"/>
            <w:tcBorders>
              <w:top w:val="nil"/>
              <w:left w:val="nil"/>
              <w:bottom w:val="nil"/>
              <w:right w:val="nil"/>
            </w:tcBorders>
            <w:shd w:val="clear" w:color="000000" w:fill="FFFFFF"/>
            <w:noWrap/>
            <w:vAlign w:val="center"/>
            <w:hideMark/>
          </w:tcPr>
          <w:p w14:paraId="7A715A71" w14:textId="77777777" w:rsidR="00992DD8" w:rsidRPr="00723436" w:rsidRDefault="00992DD8" w:rsidP="00420255">
            <w:pPr>
              <w:spacing w:after="0" w:line="240" w:lineRule="auto"/>
              <w:jc w:val="right"/>
              <w:rPr>
                <w:sz w:val="18"/>
                <w:szCs w:val="18"/>
                <w:lang w:eastAsia="sk-SK"/>
              </w:rPr>
            </w:pPr>
            <w:r w:rsidRPr="00723436">
              <w:rPr>
                <w:sz w:val="18"/>
                <w:szCs w:val="18"/>
              </w:rPr>
              <w:t>-45 118</w:t>
            </w:r>
          </w:p>
        </w:tc>
      </w:tr>
      <w:tr w:rsidR="00992DD8" w:rsidRPr="00723436" w14:paraId="4226EBFE"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5E918FFB"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114D70D8" w14:textId="77777777" w:rsidR="00992DD8" w:rsidRPr="00723436" w:rsidRDefault="00992DD8" w:rsidP="0019064B">
            <w:pPr>
              <w:spacing w:after="0" w:line="240" w:lineRule="auto"/>
              <w:rPr>
                <w:sz w:val="18"/>
                <w:szCs w:val="18"/>
                <w:lang w:eastAsia="sk-SK"/>
              </w:rPr>
            </w:pPr>
            <w:r w:rsidRPr="00723436">
              <w:rPr>
                <w:sz w:val="18"/>
                <w:szCs w:val="18"/>
                <w:lang w:eastAsia="sk-SK"/>
              </w:rPr>
              <w:t>Verejné vysoké školy</w:t>
            </w:r>
          </w:p>
        </w:tc>
        <w:tc>
          <w:tcPr>
            <w:tcW w:w="497" w:type="pct"/>
            <w:gridSpan w:val="3"/>
            <w:tcBorders>
              <w:top w:val="nil"/>
              <w:left w:val="nil"/>
              <w:bottom w:val="nil"/>
              <w:right w:val="nil"/>
            </w:tcBorders>
            <w:shd w:val="clear" w:color="000000" w:fill="FFFFFF"/>
            <w:noWrap/>
            <w:vAlign w:val="center"/>
            <w:hideMark/>
          </w:tcPr>
          <w:p w14:paraId="62EECE15" w14:textId="77777777" w:rsidR="00992DD8" w:rsidRPr="00723436" w:rsidRDefault="00992DD8" w:rsidP="00420255">
            <w:pPr>
              <w:spacing w:after="0" w:line="240" w:lineRule="auto"/>
              <w:jc w:val="right"/>
              <w:rPr>
                <w:sz w:val="18"/>
                <w:szCs w:val="18"/>
                <w:lang w:eastAsia="sk-SK"/>
              </w:rPr>
            </w:pPr>
            <w:r w:rsidRPr="00723436">
              <w:rPr>
                <w:sz w:val="18"/>
                <w:szCs w:val="18"/>
              </w:rPr>
              <w:t>40 394</w:t>
            </w:r>
          </w:p>
        </w:tc>
        <w:tc>
          <w:tcPr>
            <w:tcW w:w="492" w:type="pct"/>
            <w:gridSpan w:val="3"/>
            <w:tcBorders>
              <w:top w:val="nil"/>
              <w:left w:val="nil"/>
              <w:bottom w:val="nil"/>
              <w:right w:val="nil"/>
            </w:tcBorders>
            <w:shd w:val="clear" w:color="000000" w:fill="FFFFFF"/>
            <w:noWrap/>
            <w:vAlign w:val="center"/>
            <w:hideMark/>
          </w:tcPr>
          <w:p w14:paraId="7E64DDA2" w14:textId="77777777" w:rsidR="00992DD8" w:rsidRPr="00723436" w:rsidRDefault="00992DD8" w:rsidP="00420255">
            <w:pPr>
              <w:spacing w:after="0" w:line="240" w:lineRule="auto"/>
              <w:jc w:val="right"/>
              <w:rPr>
                <w:sz w:val="18"/>
                <w:szCs w:val="18"/>
                <w:lang w:eastAsia="sk-SK"/>
              </w:rPr>
            </w:pPr>
            <w:r w:rsidRPr="00723436">
              <w:rPr>
                <w:sz w:val="18"/>
                <w:szCs w:val="18"/>
              </w:rPr>
              <w:t>-1 806</w:t>
            </w:r>
          </w:p>
        </w:tc>
        <w:tc>
          <w:tcPr>
            <w:tcW w:w="493" w:type="pct"/>
            <w:gridSpan w:val="4"/>
            <w:tcBorders>
              <w:top w:val="nil"/>
              <w:left w:val="nil"/>
              <w:bottom w:val="nil"/>
              <w:right w:val="nil"/>
            </w:tcBorders>
            <w:shd w:val="clear" w:color="000000" w:fill="FFFFFF"/>
            <w:noWrap/>
            <w:vAlign w:val="center"/>
            <w:hideMark/>
          </w:tcPr>
          <w:p w14:paraId="7E97802A"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25 357</w:t>
            </w:r>
          </w:p>
        </w:tc>
        <w:tc>
          <w:tcPr>
            <w:tcW w:w="493" w:type="pct"/>
            <w:gridSpan w:val="3"/>
            <w:tcBorders>
              <w:top w:val="nil"/>
              <w:left w:val="nil"/>
              <w:bottom w:val="nil"/>
              <w:right w:val="nil"/>
            </w:tcBorders>
            <w:shd w:val="clear" w:color="000000" w:fill="FFFFFF"/>
            <w:noWrap/>
            <w:vAlign w:val="center"/>
            <w:hideMark/>
          </w:tcPr>
          <w:p w14:paraId="151CD641"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308</w:t>
            </w:r>
          </w:p>
        </w:tc>
        <w:tc>
          <w:tcPr>
            <w:tcW w:w="531" w:type="pct"/>
            <w:gridSpan w:val="3"/>
            <w:tcBorders>
              <w:top w:val="nil"/>
              <w:left w:val="nil"/>
              <w:bottom w:val="nil"/>
              <w:right w:val="nil"/>
            </w:tcBorders>
            <w:shd w:val="clear" w:color="000000" w:fill="FFFFFF"/>
            <w:noWrap/>
            <w:vAlign w:val="center"/>
            <w:hideMark/>
          </w:tcPr>
          <w:p w14:paraId="0E542CFF" w14:textId="77777777" w:rsidR="00992DD8" w:rsidRPr="00723436" w:rsidRDefault="00992DD8" w:rsidP="00420255">
            <w:pPr>
              <w:spacing w:after="0" w:line="240" w:lineRule="auto"/>
              <w:ind w:left="137" w:hanging="283"/>
              <w:jc w:val="right"/>
              <w:rPr>
                <w:sz w:val="18"/>
                <w:szCs w:val="18"/>
                <w:lang w:eastAsia="sk-SK"/>
              </w:rPr>
            </w:pPr>
            <w:r w:rsidRPr="00723436">
              <w:rPr>
                <w:sz w:val="18"/>
                <w:szCs w:val="18"/>
              </w:rPr>
              <w:t>27 163</w:t>
            </w:r>
          </w:p>
        </w:tc>
        <w:tc>
          <w:tcPr>
            <w:tcW w:w="463" w:type="pct"/>
            <w:gridSpan w:val="2"/>
            <w:tcBorders>
              <w:top w:val="nil"/>
              <w:left w:val="nil"/>
              <w:bottom w:val="nil"/>
              <w:right w:val="nil"/>
            </w:tcBorders>
            <w:shd w:val="clear" w:color="000000" w:fill="FFFFFF"/>
            <w:noWrap/>
            <w:vAlign w:val="center"/>
            <w:hideMark/>
          </w:tcPr>
          <w:p w14:paraId="4E4EDAA6" w14:textId="77777777" w:rsidR="00992DD8" w:rsidRPr="00723436" w:rsidRDefault="00992DD8" w:rsidP="00420255">
            <w:pPr>
              <w:spacing w:after="0" w:line="240" w:lineRule="auto"/>
              <w:jc w:val="right"/>
              <w:rPr>
                <w:sz w:val="18"/>
                <w:szCs w:val="18"/>
                <w:lang w:eastAsia="sk-SK"/>
              </w:rPr>
            </w:pPr>
            <w:r w:rsidRPr="00723436">
              <w:rPr>
                <w:sz w:val="18"/>
                <w:szCs w:val="18"/>
              </w:rPr>
              <w:t>25 049</w:t>
            </w:r>
          </w:p>
        </w:tc>
      </w:tr>
      <w:tr w:rsidR="00992DD8" w:rsidRPr="00723436" w14:paraId="27DF66C8" w14:textId="77777777" w:rsidTr="00420255">
        <w:trPr>
          <w:trHeight w:val="257"/>
        </w:trPr>
        <w:tc>
          <w:tcPr>
            <w:tcW w:w="100" w:type="pct"/>
            <w:tcBorders>
              <w:top w:val="nil"/>
              <w:left w:val="nil"/>
              <w:bottom w:val="nil"/>
              <w:right w:val="nil"/>
            </w:tcBorders>
            <w:shd w:val="clear" w:color="000000" w:fill="FFFFFF"/>
            <w:noWrap/>
            <w:vAlign w:val="center"/>
            <w:hideMark/>
          </w:tcPr>
          <w:p w14:paraId="6A38595F"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843" w:type="pct"/>
            <w:gridSpan w:val="2"/>
            <w:tcBorders>
              <w:top w:val="nil"/>
              <w:left w:val="nil"/>
              <w:bottom w:val="nil"/>
              <w:right w:val="nil"/>
            </w:tcBorders>
            <w:shd w:val="clear" w:color="000000" w:fill="FFFFFF"/>
            <w:noWrap/>
            <w:vAlign w:val="center"/>
            <w:hideMark/>
          </w:tcPr>
          <w:p w14:paraId="0EC97326" w14:textId="77777777" w:rsidR="00992DD8" w:rsidRPr="00723436" w:rsidRDefault="00992DD8" w:rsidP="0019064B">
            <w:pPr>
              <w:spacing w:after="0" w:line="240" w:lineRule="auto"/>
              <w:rPr>
                <w:sz w:val="20"/>
                <w:szCs w:val="20"/>
                <w:lang w:eastAsia="sk-SK"/>
              </w:rPr>
            </w:pPr>
            <w:r w:rsidRPr="00723436">
              <w:rPr>
                <w:sz w:val="20"/>
                <w:szCs w:val="20"/>
                <w:lang w:eastAsia="sk-SK"/>
              </w:rPr>
              <w:t>Verejné výskumné inštitúcie</w:t>
            </w:r>
          </w:p>
        </w:tc>
        <w:tc>
          <w:tcPr>
            <w:tcW w:w="100" w:type="pct"/>
            <w:gridSpan w:val="2"/>
            <w:tcBorders>
              <w:top w:val="nil"/>
              <w:left w:val="nil"/>
              <w:bottom w:val="nil"/>
              <w:right w:val="nil"/>
            </w:tcBorders>
            <w:shd w:val="clear" w:color="000000" w:fill="FFFFFF"/>
            <w:noWrap/>
            <w:vAlign w:val="center"/>
            <w:hideMark/>
          </w:tcPr>
          <w:p w14:paraId="61531FEA" w14:textId="77777777" w:rsidR="00992DD8" w:rsidRPr="00723436" w:rsidRDefault="00992DD8" w:rsidP="00420255">
            <w:pPr>
              <w:spacing w:after="0" w:line="240" w:lineRule="auto"/>
              <w:jc w:val="right"/>
              <w:rPr>
                <w:sz w:val="18"/>
                <w:szCs w:val="18"/>
                <w:lang w:eastAsia="sk-SK"/>
              </w:rPr>
            </w:pPr>
            <w:r w:rsidRPr="00723436">
              <w:rPr>
                <w:sz w:val="18"/>
                <w:szCs w:val="18"/>
                <w:lang w:eastAsia="sk-SK"/>
              </w:rPr>
              <w:t> </w:t>
            </w:r>
          </w:p>
        </w:tc>
        <w:tc>
          <w:tcPr>
            <w:tcW w:w="492" w:type="pct"/>
            <w:gridSpan w:val="3"/>
            <w:tcBorders>
              <w:top w:val="nil"/>
              <w:left w:val="nil"/>
              <w:bottom w:val="nil"/>
              <w:right w:val="nil"/>
            </w:tcBorders>
            <w:shd w:val="clear" w:color="000000" w:fill="FFFFFF"/>
            <w:noWrap/>
            <w:vAlign w:val="center"/>
            <w:hideMark/>
          </w:tcPr>
          <w:p w14:paraId="4CFC4D2B" w14:textId="57B74BE3" w:rsidR="00992DD8" w:rsidRPr="00723436" w:rsidRDefault="008F5497" w:rsidP="008F5497">
            <w:pPr>
              <w:spacing w:after="0" w:line="240" w:lineRule="auto"/>
              <w:jc w:val="center"/>
              <w:rPr>
                <w:sz w:val="18"/>
                <w:szCs w:val="18"/>
                <w:lang w:eastAsia="sk-SK"/>
              </w:rPr>
            </w:pPr>
            <w:r>
              <w:rPr>
                <w:sz w:val="18"/>
                <w:szCs w:val="18"/>
              </w:rPr>
              <w:t xml:space="preserve">             </w:t>
            </w:r>
            <w:r w:rsidR="00992DD8" w:rsidRPr="00723436">
              <w:rPr>
                <w:sz w:val="18"/>
                <w:szCs w:val="18"/>
              </w:rPr>
              <w:t>0</w:t>
            </w:r>
          </w:p>
        </w:tc>
        <w:tc>
          <w:tcPr>
            <w:tcW w:w="492" w:type="pct"/>
            <w:gridSpan w:val="3"/>
            <w:tcBorders>
              <w:top w:val="nil"/>
              <w:left w:val="nil"/>
              <w:bottom w:val="nil"/>
              <w:right w:val="nil"/>
            </w:tcBorders>
            <w:shd w:val="clear" w:color="000000" w:fill="FFFFFF"/>
            <w:noWrap/>
            <w:vAlign w:val="center"/>
            <w:hideMark/>
          </w:tcPr>
          <w:p w14:paraId="06293973" w14:textId="25F2883A" w:rsidR="00992DD8" w:rsidRPr="00723436" w:rsidRDefault="008F5497" w:rsidP="008F5497">
            <w:pPr>
              <w:spacing w:after="0" w:line="240" w:lineRule="auto"/>
              <w:jc w:val="center"/>
              <w:rPr>
                <w:sz w:val="18"/>
                <w:szCs w:val="18"/>
                <w:lang w:eastAsia="sk-SK"/>
              </w:rPr>
            </w:pPr>
            <w:r>
              <w:rPr>
                <w:sz w:val="18"/>
                <w:szCs w:val="18"/>
              </w:rPr>
              <w:t xml:space="preserve">     </w:t>
            </w:r>
            <w:r w:rsidR="00992DD8" w:rsidRPr="00723436">
              <w:rPr>
                <w:sz w:val="18"/>
                <w:szCs w:val="18"/>
              </w:rPr>
              <w:t>2 314</w:t>
            </w:r>
          </w:p>
        </w:tc>
        <w:tc>
          <w:tcPr>
            <w:tcW w:w="493" w:type="pct"/>
            <w:gridSpan w:val="4"/>
            <w:tcBorders>
              <w:top w:val="nil"/>
              <w:left w:val="nil"/>
              <w:bottom w:val="nil"/>
              <w:right w:val="nil"/>
            </w:tcBorders>
            <w:shd w:val="clear" w:color="000000" w:fill="FFFFFF"/>
            <w:noWrap/>
            <w:vAlign w:val="center"/>
            <w:hideMark/>
          </w:tcPr>
          <w:p w14:paraId="768DA78C" w14:textId="172C8567" w:rsidR="00992DD8" w:rsidRPr="00723436" w:rsidRDefault="008F5497" w:rsidP="008F5497">
            <w:pPr>
              <w:spacing w:after="0" w:line="240" w:lineRule="auto"/>
              <w:jc w:val="center"/>
              <w:rPr>
                <w:sz w:val="18"/>
                <w:szCs w:val="18"/>
                <w:lang w:eastAsia="sk-SK"/>
              </w:rPr>
            </w:pPr>
            <w:r>
              <w:rPr>
                <w:sz w:val="18"/>
                <w:szCs w:val="18"/>
              </w:rPr>
              <w:t xml:space="preserve">      </w:t>
            </w:r>
            <w:r w:rsidR="00992DD8" w:rsidRPr="00723436">
              <w:rPr>
                <w:sz w:val="18"/>
                <w:szCs w:val="18"/>
              </w:rPr>
              <w:t>3 281</w:t>
            </w:r>
          </w:p>
        </w:tc>
        <w:tc>
          <w:tcPr>
            <w:tcW w:w="483" w:type="pct"/>
            <w:gridSpan w:val="3"/>
            <w:tcBorders>
              <w:top w:val="nil"/>
              <w:left w:val="nil"/>
              <w:bottom w:val="nil"/>
              <w:right w:val="nil"/>
            </w:tcBorders>
            <w:shd w:val="clear" w:color="000000" w:fill="FFFFFF"/>
            <w:noWrap/>
            <w:vAlign w:val="center"/>
            <w:hideMark/>
          </w:tcPr>
          <w:p w14:paraId="33619D99" w14:textId="7DB4B7B7" w:rsidR="00992DD8" w:rsidRPr="00723436" w:rsidRDefault="008F5497" w:rsidP="008F5497">
            <w:pPr>
              <w:spacing w:after="0" w:line="240" w:lineRule="auto"/>
              <w:jc w:val="center"/>
              <w:rPr>
                <w:sz w:val="18"/>
                <w:szCs w:val="18"/>
                <w:lang w:eastAsia="sk-SK"/>
              </w:rPr>
            </w:pPr>
            <w:r>
              <w:rPr>
                <w:sz w:val="18"/>
                <w:szCs w:val="18"/>
              </w:rPr>
              <w:t xml:space="preserve">         </w:t>
            </w:r>
            <w:r w:rsidR="00992DD8" w:rsidRPr="00723436">
              <w:rPr>
                <w:sz w:val="18"/>
                <w:szCs w:val="18"/>
              </w:rPr>
              <w:t>250</w:t>
            </w:r>
          </w:p>
        </w:tc>
        <w:tc>
          <w:tcPr>
            <w:tcW w:w="544" w:type="pct"/>
            <w:gridSpan w:val="3"/>
            <w:tcBorders>
              <w:top w:val="nil"/>
              <w:left w:val="nil"/>
              <w:bottom w:val="nil"/>
              <w:right w:val="nil"/>
            </w:tcBorders>
            <w:shd w:val="clear" w:color="000000" w:fill="FFFFFF"/>
            <w:noWrap/>
            <w:vAlign w:val="center"/>
            <w:hideMark/>
          </w:tcPr>
          <w:p w14:paraId="42E7B440" w14:textId="7443F711" w:rsidR="00992DD8" w:rsidRPr="00723436" w:rsidRDefault="008F5497" w:rsidP="008F5497">
            <w:pPr>
              <w:spacing w:after="0" w:line="240" w:lineRule="auto"/>
              <w:jc w:val="center"/>
              <w:rPr>
                <w:sz w:val="18"/>
                <w:szCs w:val="18"/>
                <w:lang w:eastAsia="sk-SK"/>
              </w:rPr>
            </w:pPr>
            <w:r>
              <w:rPr>
                <w:sz w:val="18"/>
                <w:szCs w:val="18"/>
              </w:rPr>
              <w:t xml:space="preserve">           </w:t>
            </w:r>
            <w:r w:rsidR="00992DD8" w:rsidRPr="00723436">
              <w:rPr>
                <w:sz w:val="18"/>
                <w:szCs w:val="18"/>
              </w:rPr>
              <w:t>967</w:t>
            </w:r>
          </w:p>
        </w:tc>
        <w:tc>
          <w:tcPr>
            <w:tcW w:w="454" w:type="pct"/>
            <w:gridSpan w:val="2"/>
            <w:tcBorders>
              <w:top w:val="nil"/>
              <w:left w:val="nil"/>
              <w:bottom w:val="nil"/>
              <w:right w:val="nil"/>
            </w:tcBorders>
            <w:shd w:val="clear" w:color="000000" w:fill="FFFFFF"/>
            <w:noWrap/>
            <w:vAlign w:val="center"/>
            <w:hideMark/>
          </w:tcPr>
          <w:p w14:paraId="4DFAC188" w14:textId="5C3F3E8D" w:rsidR="00992DD8" w:rsidRPr="00723436" w:rsidRDefault="008F5497" w:rsidP="008F5497">
            <w:pPr>
              <w:spacing w:after="0" w:line="240" w:lineRule="auto"/>
              <w:jc w:val="center"/>
              <w:rPr>
                <w:sz w:val="18"/>
                <w:szCs w:val="18"/>
                <w:lang w:eastAsia="sk-SK"/>
              </w:rPr>
            </w:pPr>
            <w:r>
              <w:rPr>
                <w:sz w:val="18"/>
                <w:szCs w:val="18"/>
              </w:rPr>
              <w:t xml:space="preserve">    </w:t>
            </w:r>
            <w:r w:rsidR="00992DD8" w:rsidRPr="00723436">
              <w:rPr>
                <w:sz w:val="18"/>
                <w:szCs w:val="18"/>
              </w:rPr>
              <w:t>3 031</w:t>
            </w:r>
          </w:p>
        </w:tc>
      </w:tr>
      <w:tr w:rsidR="00992DD8" w:rsidRPr="00723436" w14:paraId="7017C7AA"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4076E178"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2BB49821" w14:textId="77777777" w:rsidR="00992DD8" w:rsidRPr="00723436" w:rsidRDefault="00992DD8" w:rsidP="0019064B">
            <w:pPr>
              <w:spacing w:after="0" w:line="240" w:lineRule="auto"/>
              <w:rPr>
                <w:sz w:val="18"/>
                <w:szCs w:val="18"/>
                <w:lang w:eastAsia="sk-SK"/>
              </w:rPr>
            </w:pPr>
            <w:r w:rsidRPr="00723436">
              <w:rPr>
                <w:sz w:val="18"/>
                <w:szCs w:val="18"/>
                <w:lang w:eastAsia="sk-SK"/>
              </w:rPr>
              <w:t>Zdravotnícke zariadenia ústrednej správy</w:t>
            </w:r>
          </w:p>
        </w:tc>
        <w:tc>
          <w:tcPr>
            <w:tcW w:w="497" w:type="pct"/>
            <w:gridSpan w:val="3"/>
            <w:tcBorders>
              <w:top w:val="nil"/>
              <w:left w:val="nil"/>
              <w:bottom w:val="nil"/>
              <w:right w:val="nil"/>
            </w:tcBorders>
            <w:shd w:val="clear" w:color="000000" w:fill="FFFFFF"/>
            <w:noWrap/>
            <w:vAlign w:val="center"/>
            <w:hideMark/>
          </w:tcPr>
          <w:p w14:paraId="4A3CF42B" w14:textId="77777777" w:rsidR="00992DD8" w:rsidRPr="00723436" w:rsidRDefault="00992DD8" w:rsidP="00420255">
            <w:pPr>
              <w:spacing w:after="0" w:line="240" w:lineRule="auto"/>
              <w:jc w:val="right"/>
              <w:rPr>
                <w:sz w:val="18"/>
                <w:szCs w:val="18"/>
                <w:lang w:eastAsia="sk-SK"/>
              </w:rPr>
            </w:pPr>
            <w:r w:rsidRPr="00723436">
              <w:rPr>
                <w:sz w:val="18"/>
                <w:szCs w:val="18"/>
              </w:rPr>
              <w:t>-45 957</w:t>
            </w:r>
          </w:p>
        </w:tc>
        <w:tc>
          <w:tcPr>
            <w:tcW w:w="492" w:type="pct"/>
            <w:gridSpan w:val="3"/>
            <w:tcBorders>
              <w:top w:val="nil"/>
              <w:left w:val="nil"/>
              <w:bottom w:val="nil"/>
              <w:right w:val="nil"/>
            </w:tcBorders>
            <w:shd w:val="clear" w:color="000000" w:fill="FFFFFF"/>
            <w:noWrap/>
            <w:vAlign w:val="center"/>
            <w:hideMark/>
          </w:tcPr>
          <w:p w14:paraId="1F6FE8B8" w14:textId="77777777" w:rsidR="00992DD8" w:rsidRPr="00723436" w:rsidRDefault="00992DD8" w:rsidP="00420255">
            <w:pPr>
              <w:spacing w:after="0" w:line="240" w:lineRule="auto"/>
              <w:jc w:val="right"/>
              <w:rPr>
                <w:sz w:val="18"/>
                <w:szCs w:val="18"/>
                <w:lang w:eastAsia="sk-SK"/>
              </w:rPr>
            </w:pPr>
            <w:r w:rsidRPr="00723436">
              <w:rPr>
                <w:sz w:val="18"/>
                <w:szCs w:val="18"/>
              </w:rPr>
              <w:t>249 475</w:t>
            </w:r>
          </w:p>
        </w:tc>
        <w:tc>
          <w:tcPr>
            <w:tcW w:w="493" w:type="pct"/>
            <w:gridSpan w:val="4"/>
            <w:tcBorders>
              <w:top w:val="nil"/>
              <w:left w:val="nil"/>
              <w:bottom w:val="nil"/>
              <w:right w:val="nil"/>
            </w:tcBorders>
            <w:shd w:val="clear" w:color="000000" w:fill="FFFFFF"/>
            <w:noWrap/>
            <w:vAlign w:val="center"/>
            <w:hideMark/>
          </w:tcPr>
          <w:p w14:paraId="233F9F2E" w14:textId="77777777" w:rsidR="00992DD8" w:rsidRPr="00723436" w:rsidRDefault="00992DD8" w:rsidP="00420255">
            <w:pPr>
              <w:spacing w:after="0" w:line="240" w:lineRule="auto"/>
              <w:jc w:val="right"/>
              <w:rPr>
                <w:sz w:val="18"/>
                <w:szCs w:val="18"/>
                <w:lang w:eastAsia="sk-SK"/>
              </w:rPr>
            </w:pPr>
            <w:r w:rsidRPr="00723436">
              <w:rPr>
                <w:sz w:val="18"/>
                <w:szCs w:val="18"/>
              </w:rPr>
              <w:t>-277 147</w:t>
            </w:r>
          </w:p>
        </w:tc>
        <w:tc>
          <w:tcPr>
            <w:tcW w:w="493" w:type="pct"/>
            <w:gridSpan w:val="3"/>
            <w:tcBorders>
              <w:top w:val="nil"/>
              <w:left w:val="nil"/>
              <w:bottom w:val="nil"/>
              <w:right w:val="nil"/>
            </w:tcBorders>
            <w:shd w:val="clear" w:color="000000" w:fill="FFFFFF"/>
            <w:noWrap/>
            <w:vAlign w:val="center"/>
            <w:hideMark/>
          </w:tcPr>
          <w:p w14:paraId="5ACA745C" w14:textId="77777777" w:rsidR="00992DD8" w:rsidRPr="00723436" w:rsidRDefault="00992DD8" w:rsidP="00420255">
            <w:pPr>
              <w:spacing w:after="0" w:line="240" w:lineRule="auto"/>
              <w:jc w:val="right"/>
              <w:rPr>
                <w:sz w:val="18"/>
                <w:szCs w:val="18"/>
                <w:lang w:eastAsia="sk-SK"/>
              </w:rPr>
            </w:pPr>
            <w:r w:rsidRPr="00723436">
              <w:rPr>
                <w:sz w:val="18"/>
                <w:szCs w:val="18"/>
              </w:rPr>
              <w:t>5 755</w:t>
            </w:r>
          </w:p>
        </w:tc>
        <w:tc>
          <w:tcPr>
            <w:tcW w:w="531" w:type="pct"/>
            <w:gridSpan w:val="3"/>
            <w:tcBorders>
              <w:top w:val="nil"/>
              <w:left w:val="nil"/>
              <w:bottom w:val="nil"/>
              <w:right w:val="nil"/>
            </w:tcBorders>
            <w:shd w:val="clear" w:color="000000" w:fill="FFFFFF"/>
            <w:noWrap/>
            <w:vAlign w:val="center"/>
            <w:hideMark/>
          </w:tcPr>
          <w:p w14:paraId="23DEE6A8" w14:textId="77777777" w:rsidR="00992DD8" w:rsidRPr="00723436" w:rsidRDefault="00992DD8" w:rsidP="00420255">
            <w:pPr>
              <w:spacing w:after="0" w:line="240" w:lineRule="auto"/>
              <w:jc w:val="right"/>
              <w:rPr>
                <w:sz w:val="18"/>
                <w:szCs w:val="18"/>
                <w:lang w:eastAsia="sk-SK"/>
              </w:rPr>
            </w:pPr>
            <w:r w:rsidRPr="00723436">
              <w:rPr>
                <w:sz w:val="18"/>
                <w:szCs w:val="18"/>
              </w:rPr>
              <w:t>-526 622</w:t>
            </w:r>
          </w:p>
        </w:tc>
        <w:tc>
          <w:tcPr>
            <w:tcW w:w="463" w:type="pct"/>
            <w:gridSpan w:val="2"/>
            <w:tcBorders>
              <w:top w:val="nil"/>
              <w:left w:val="nil"/>
              <w:bottom w:val="nil"/>
              <w:right w:val="nil"/>
            </w:tcBorders>
            <w:shd w:val="clear" w:color="000000" w:fill="FFFFFF"/>
            <w:noWrap/>
            <w:vAlign w:val="center"/>
            <w:hideMark/>
          </w:tcPr>
          <w:p w14:paraId="394390D3" w14:textId="77777777" w:rsidR="00992DD8" w:rsidRPr="00723436" w:rsidRDefault="00992DD8" w:rsidP="00420255">
            <w:pPr>
              <w:spacing w:after="0" w:line="240" w:lineRule="auto"/>
              <w:jc w:val="right"/>
              <w:rPr>
                <w:sz w:val="18"/>
                <w:szCs w:val="18"/>
                <w:lang w:eastAsia="sk-SK"/>
              </w:rPr>
            </w:pPr>
            <w:r w:rsidRPr="00723436">
              <w:rPr>
                <w:sz w:val="18"/>
                <w:szCs w:val="18"/>
              </w:rPr>
              <w:t>-282 902</w:t>
            </w:r>
          </w:p>
        </w:tc>
      </w:tr>
      <w:tr w:rsidR="00992DD8" w:rsidRPr="00723436" w14:paraId="534DEDE4" w14:textId="77777777" w:rsidTr="00420255">
        <w:trPr>
          <w:gridAfter w:val="1"/>
          <w:wAfter w:w="27" w:type="pct"/>
          <w:trHeight w:val="273"/>
        </w:trPr>
        <w:tc>
          <w:tcPr>
            <w:tcW w:w="100" w:type="pct"/>
            <w:tcBorders>
              <w:top w:val="nil"/>
              <w:left w:val="nil"/>
              <w:bottom w:val="nil"/>
              <w:right w:val="nil"/>
            </w:tcBorders>
            <w:shd w:val="clear" w:color="000000" w:fill="FFFFFF"/>
            <w:noWrap/>
            <w:vAlign w:val="center"/>
            <w:hideMark/>
          </w:tcPr>
          <w:p w14:paraId="5B53BCDE" w14:textId="77777777" w:rsidR="00992DD8" w:rsidRPr="00723436" w:rsidRDefault="00992DD8" w:rsidP="0019064B">
            <w:pPr>
              <w:spacing w:after="0" w:line="240" w:lineRule="auto"/>
              <w:jc w:val="right"/>
              <w:rPr>
                <w:sz w:val="18"/>
                <w:szCs w:val="18"/>
                <w:lang w:eastAsia="sk-SK"/>
              </w:rPr>
            </w:pPr>
            <w:r w:rsidRPr="00723436">
              <w:rPr>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36817115" w14:textId="77777777" w:rsidR="00992DD8" w:rsidRPr="00723436" w:rsidRDefault="00992DD8" w:rsidP="0019064B">
            <w:pPr>
              <w:spacing w:after="0" w:line="240" w:lineRule="auto"/>
              <w:rPr>
                <w:sz w:val="18"/>
                <w:szCs w:val="18"/>
                <w:lang w:eastAsia="sk-SK"/>
              </w:rPr>
            </w:pPr>
            <w:r w:rsidRPr="00723436">
              <w:rPr>
                <w:sz w:val="18"/>
                <w:szCs w:val="18"/>
                <w:lang w:eastAsia="sk-SK"/>
              </w:rPr>
              <w:t>Ostatné subjekty ústrednej správy</w:t>
            </w:r>
            <w:r w:rsidRPr="00723436">
              <w:rPr>
                <w:sz w:val="18"/>
                <w:szCs w:val="18"/>
                <w:vertAlign w:val="superscript"/>
                <w:lang w:eastAsia="sk-SK"/>
              </w:rPr>
              <w:t>2)</w:t>
            </w:r>
          </w:p>
        </w:tc>
        <w:tc>
          <w:tcPr>
            <w:tcW w:w="497" w:type="pct"/>
            <w:gridSpan w:val="3"/>
            <w:tcBorders>
              <w:top w:val="nil"/>
              <w:left w:val="nil"/>
              <w:bottom w:val="nil"/>
              <w:right w:val="nil"/>
            </w:tcBorders>
            <w:shd w:val="clear" w:color="000000" w:fill="FFFFFF"/>
            <w:noWrap/>
            <w:vAlign w:val="center"/>
            <w:hideMark/>
          </w:tcPr>
          <w:p w14:paraId="1EDC03B4" w14:textId="77777777" w:rsidR="00992DD8" w:rsidRPr="00723436" w:rsidRDefault="00992DD8" w:rsidP="00420255">
            <w:pPr>
              <w:spacing w:after="0" w:line="240" w:lineRule="auto"/>
              <w:jc w:val="right"/>
              <w:rPr>
                <w:sz w:val="18"/>
                <w:szCs w:val="18"/>
                <w:lang w:eastAsia="sk-SK"/>
              </w:rPr>
            </w:pPr>
            <w:r w:rsidRPr="00723436">
              <w:rPr>
                <w:sz w:val="18"/>
                <w:szCs w:val="18"/>
              </w:rPr>
              <w:t>142 819</w:t>
            </w:r>
          </w:p>
        </w:tc>
        <w:tc>
          <w:tcPr>
            <w:tcW w:w="492" w:type="pct"/>
            <w:gridSpan w:val="3"/>
            <w:tcBorders>
              <w:top w:val="nil"/>
              <w:left w:val="nil"/>
              <w:bottom w:val="nil"/>
              <w:right w:val="nil"/>
            </w:tcBorders>
            <w:shd w:val="clear" w:color="000000" w:fill="FFFFFF"/>
            <w:noWrap/>
            <w:vAlign w:val="center"/>
            <w:hideMark/>
          </w:tcPr>
          <w:p w14:paraId="7986D865" w14:textId="77777777" w:rsidR="00992DD8" w:rsidRPr="00723436" w:rsidRDefault="00992DD8" w:rsidP="00420255">
            <w:pPr>
              <w:spacing w:after="0" w:line="240" w:lineRule="auto"/>
              <w:jc w:val="right"/>
              <w:rPr>
                <w:sz w:val="18"/>
                <w:szCs w:val="18"/>
                <w:lang w:eastAsia="sk-SK"/>
              </w:rPr>
            </w:pPr>
            <w:r w:rsidRPr="00723436">
              <w:rPr>
                <w:sz w:val="18"/>
                <w:szCs w:val="18"/>
              </w:rPr>
              <w:t>159 446</w:t>
            </w:r>
          </w:p>
        </w:tc>
        <w:tc>
          <w:tcPr>
            <w:tcW w:w="493" w:type="pct"/>
            <w:gridSpan w:val="4"/>
            <w:tcBorders>
              <w:top w:val="nil"/>
              <w:left w:val="nil"/>
              <w:bottom w:val="nil"/>
              <w:right w:val="nil"/>
            </w:tcBorders>
            <w:shd w:val="clear" w:color="000000" w:fill="FFFFFF"/>
            <w:noWrap/>
            <w:vAlign w:val="center"/>
            <w:hideMark/>
          </w:tcPr>
          <w:p w14:paraId="452889E3" w14:textId="77777777" w:rsidR="00992DD8" w:rsidRPr="00723436" w:rsidRDefault="00992DD8" w:rsidP="00420255">
            <w:pPr>
              <w:spacing w:after="0" w:line="240" w:lineRule="auto"/>
              <w:jc w:val="right"/>
              <w:rPr>
                <w:sz w:val="18"/>
                <w:szCs w:val="18"/>
                <w:lang w:eastAsia="sk-SK"/>
              </w:rPr>
            </w:pPr>
            <w:r w:rsidRPr="00723436">
              <w:rPr>
                <w:sz w:val="18"/>
                <w:szCs w:val="18"/>
              </w:rPr>
              <w:t>101 717</w:t>
            </w:r>
          </w:p>
        </w:tc>
        <w:tc>
          <w:tcPr>
            <w:tcW w:w="493" w:type="pct"/>
            <w:gridSpan w:val="3"/>
            <w:tcBorders>
              <w:top w:val="nil"/>
              <w:left w:val="nil"/>
              <w:bottom w:val="nil"/>
              <w:right w:val="nil"/>
            </w:tcBorders>
            <w:shd w:val="clear" w:color="000000" w:fill="FFFFFF"/>
            <w:noWrap/>
            <w:vAlign w:val="center"/>
            <w:hideMark/>
          </w:tcPr>
          <w:p w14:paraId="3F3E9238" w14:textId="77777777" w:rsidR="00992DD8" w:rsidRPr="00723436" w:rsidRDefault="00992DD8" w:rsidP="00420255">
            <w:pPr>
              <w:spacing w:after="0" w:line="240" w:lineRule="auto"/>
              <w:jc w:val="right"/>
              <w:rPr>
                <w:sz w:val="18"/>
                <w:szCs w:val="18"/>
                <w:lang w:eastAsia="sk-SK"/>
              </w:rPr>
            </w:pPr>
            <w:r w:rsidRPr="00723436">
              <w:rPr>
                <w:sz w:val="18"/>
                <w:szCs w:val="18"/>
              </w:rPr>
              <w:t>-88 280</w:t>
            </w:r>
          </w:p>
        </w:tc>
        <w:tc>
          <w:tcPr>
            <w:tcW w:w="531" w:type="pct"/>
            <w:gridSpan w:val="3"/>
            <w:tcBorders>
              <w:top w:val="nil"/>
              <w:left w:val="nil"/>
              <w:bottom w:val="nil"/>
              <w:right w:val="nil"/>
            </w:tcBorders>
            <w:shd w:val="clear" w:color="000000" w:fill="FFFFFF"/>
            <w:noWrap/>
            <w:vAlign w:val="center"/>
            <w:hideMark/>
          </w:tcPr>
          <w:p w14:paraId="5E7C567E" w14:textId="5B26EC58" w:rsidR="00992DD8" w:rsidRPr="00723436" w:rsidRDefault="00992DD8" w:rsidP="00420255">
            <w:pPr>
              <w:spacing w:after="0" w:line="240" w:lineRule="auto"/>
              <w:jc w:val="right"/>
              <w:rPr>
                <w:sz w:val="18"/>
                <w:szCs w:val="18"/>
                <w:lang w:eastAsia="sk-SK"/>
              </w:rPr>
            </w:pPr>
            <w:r w:rsidRPr="00723436">
              <w:rPr>
                <w:sz w:val="18"/>
                <w:szCs w:val="18"/>
              </w:rPr>
              <w:t>-5</w:t>
            </w:r>
            <w:r w:rsidR="0055115F">
              <w:rPr>
                <w:sz w:val="18"/>
                <w:szCs w:val="18"/>
              </w:rPr>
              <w:t>7</w:t>
            </w:r>
            <w:r w:rsidRPr="00723436">
              <w:rPr>
                <w:sz w:val="18"/>
                <w:szCs w:val="18"/>
              </w:rPr>
              <w:t xml:space="preserve"> </w:t>
            </w:r>
            <w:r w:rsidR="0055115F">
              <w:rPr>
                <w:sz w:val="18"/>
                <w:szCs w:val="18"/>
              </w:rPr>
              <w:t>729</w:t>
            </w:r>
          </w:p>
        </w:tc>
        <w:tc>
          <w:tcPr>
            <w:tcW w:w="463" w:type="pct"/>
            <w:gridSpan w:val="2"/>
            <w:tcBorders>
              <w:top w:val="nil"/>
              <w:left w:val="nil"/>
              <w:bottom w:val="nil"/>
              <w:right w:val="nil"/>
            </w:tcBorders>
            <w:shd w:val="clear" w:color="000000" w:fill="FFFFFF"/>
            <w:noWrap/>
            <w:vAlign w:val="center"/>
            <w:hideMark/>
          </w:tcPr>
          <w:p w14:paraId="630F0C0B" w14:textId="39047C81" w:rsidR="00992DD8" w:rsidRPr="00723436" w:rsidRDefault="0055115F" w:rsidP="00420255">
            <w:pPr>
              <w:spacing w:after="0" w:line="240" w:lineRule="auto"/>
              <w:jc w:val="right"/>
              <w:rPr>
                <w:sz w:val="18"/>
                <w:szCs w:val="18"/>
                <w:lang w:eastAsia="sk-SK"/>
              </w:rPr>
            </w:pPr>
            <w:r>
              <w:rPr>
                <w:sz w:val="18"/>
                <w:szCs w:val="18"/>
              </w:rPr>
              <w:t>189 997</w:t>
            </w:r>
          </w:p>
        </w:tc>
      </w:tr>
      <w:tr w:rsidR="00992DD8" w:rsidRPr="000549F0" w14:paraId="5B257119" w14:textId="77777777" w:rsidTr="00420255">
        <w:trPr>
          <w:gridAfter w:val="1"/>
          <w:wAfter w:w="27" w:type="pct"/>
          <w:trHeight w:val="257"/>
        </w:trPr>
        <w:tc>
          <w:tcPr>
            <w:tcW w:w="2004" w:type="pct"/>
            <w:gridSpan w:val="4"/>
            <w:tcBorders>
              <w:top w:val="nil"/>
              <w:left w:val="nil"/>
              <w:bottom w:val="nil"/>
              <w:right w:val="nil"/>
            </w:tcBorders>
            <w:shd w:val="clear" w:color="000000" w:fill="FFFFFF"/>
            <w:noWrap/>
            <w:vAlign w:val="center"/>
            <w:hideMark/>
          </w:tcPr>
          <w:p w14:paraId="6FAC333E" w14:textId="77777777" w:rsidR="00992DD8" w:rsidRPr="00723436" w:rsidRDefault="00992DD8" w:rsidP="0019064B">
            <w:pPr>
              <w:spacing w:after="0" w:line="240" w:lineRule="auto"/>
              <w:rPr>
                <w:b/>
                <w:bCs/>
                <w:color w:val="000000"/>
                <w:sz w:val="18"/>
                <w:szCs w:val="18"/>
                <w:lang w:eastAsia="sk-SK"/>
              </w:rPr>
            </w:pPr>
            <w:r w:rsidRPr="00723436">
              <w:rPr>
                <w:b/>
                <w:bCs/>
                <w:color w:val="000000"/>
                <w:sz w:val="18"/>
                <w:szCs w:val="18"/>
                <w:lang w:eastAsia="sk-SK"/>
              </w:rPr>
              <w:t>Územná samospráva, z toho</w:t>
            </w:r>
          </w:p>
        </w:tc>
        <w:tc>
          <w:tcPr>
            <w:tcW w:w="497" w:type="pct"/>
            <w:gridSpan w:val="3"/>
            <w:tcBorders>
              <w:top w:val="nil"/>
              <w:left w:val="nil"/>
              <w:bottom w:val="nil"/>
              <w:right w:val="nil"/>
            </w:tcBorders>
            <w:shd w:val="clear" w:color="000000" w:fill="FFFFFF"/>
            <w:noWrap/>
            <w:vAlign w:val="center"/>
            <w:hideMark/>
          </w:tcPr>
          <w:p w14:paraId="3C36D58C" w14:textId="77777777" w:rsidR="00992DD8" w:rsidRPr="00723436" w:rsidRDefault="00992DD8" w:rsidP="00420255">
            <w:pPr>
              <w:spacing w:after="0" w:line="240" w:lineRule="auto"/>
              <w:jc w:val="right"/>
              <w:rPr>
                <w:b/>
                <w:bCs/>
                <w:sz w:val="18"/>
                <w:szCs w:val="18"/>
                <w:lang w:eastAsia="sk-SK"/>
              </w:rPr>
            </w:pPr>
            <w:r w:rsidRPr="00723436">
              <w:rPr>
                <w:b/>
                <w:bCs/>
                <w:sz w:val="18"/>
                <w:szCs w:val="18"/>
              </w:rPr>
              <w:t>-20 440</w:t>
            </w:r>
          </w:p>
        </w:tc>
        <w:tc>
          <w:tcPr>
            <w:tcW w:w="492" w:type="pct"/>
            <w:gridSpan w:val="3"/>
            <w:tcBorders>
              <w:top w:val="nil"/>
              <w:left w:val="nil"/>
              <w:bottom w:val="nil"/>
              <w:right w:val="nil"/>
            </w:tcBorders>
            <w:shd w:val="clear" w:color="000000" w:fill="FFFFFF"/>
            <w:noWrap/>
            <w:vAlign w:val="center"/>
            <w:hideMark/>
          </w:tcPr>
          <w:p w14:paraId="1EAB37CC" w14:textId="77777777" w:rsidR="00992DD8" w:rsidRPr="00723436" w:rsidRDefault="00992DD8" w:rsidP="00420255">
            <w:pPr>
              <w:spacing w:after="0" w:line="240" w:lineRule="auto"/>
              <w:jc w:val="right"/>
              <w:rPr>
                <w:b/>
                <w:bCs/>
                <w:sz w:val="18"/>
                <w:szCs w:val="18"/>
                <w:lang w:eastAsia="sk-SK"/>
              </w:rPr>
            </w:pPr>
            <w:r w:rsidRPr="00723436">
              <w:rPr>
                <w:b/>
                <w:bCs/>
                <w:sz w:val="18"/>
                <w:szCs w:val="18"/>
              </w:rPr>
              <w:t>-410 664</w:t>
            </w:r>
          </w:p>
        </w:tc>
        <w:tc>
          <w:tcPr>
            <w:tcW w:w="493" w:type="pct"/>
            <w:gridSpan w:val="4"/>
            <w:tcBorders>
              <w:top w:val="nil"/>
              <w:left w:val="nil"/>
              <w:bottom w:val="nil"/>
              <w:right w:val="nil"/>
            </w:tcBorders>
            <w:shd w:val="clear" w:color="000000" w:fill="FFFFFF"/>
            <w:noWrap/>
            <w:vAlign w:val="center"/>
            <w:hideMark/>
          </w:tcPr>
          <w:p w14:paraId="29886214" w14:textId="77777777" w:rsidR="00992DD8" w:rsidRPr="00723436" w:rsidRDefault="00992DD8" w:rsidP="00420255">
            <w:pPr>
              <w:spacing w:after="0" w:line="240" w:lineRule="auto"/>
              <w:jc w:val="right"/>
              <w:rPr>
                <w:b/>
                <w:bCs/>
                <w:sz w:val="18"/>
                <w:szCs w:val="18"/>
                <w:lang w:eastAsia="sk-SK"/>
              </w:rPr>
            </w:pPr>
            <w:r w:rsidRPr="00723436">
              <w:rPr>
                <w:b/>
                <w:bCs/>
                <w:sz w:val="18"/>
                <w:szCs w:val="18"/>
              </w:rPr>
              <w:t>81 255</w:t>
            </w:r>
          </w:p>
        </w:tc>
        <w:tc>
          <w:tcPr>
            <w:tcW w:w="493" w:type="pct"/>
            <w:gridSpan w:val="3"/>
            <w:tcBorders>
              <w:top w:val="nil"/>
              <w:left w:val="nil"/>
              <w:bottom w:val="nil"/>
              <w:right w:val="nil"/>
            </w:tcBorders>
            <w:shd w:val="clear" w:color="000000" w:fill="FFFFFF"/>
            <w:noWrap/>
            <w:vAlign w:val="center"/>
            <w:hideMark/>
          </w:tcPr>
          <w:p w14:paraId="7027725A" w14:textId="77777777" w:rsidR="00992DD8" w:rsidRPr="00723436" w:rsidRDefault="00992DD8" w:rsidP="00420255">
            <w:pPr>
              <w:spacing w:after="0" w:line="240" w:lineRule="auto"/>
              <w:jc w:val="right"/>
              <w:rPr>
                <w:b/>
                <w:bCs/>
                <w:sz w:val="18"/>
                <w:szCs w:val="18"/>
                <w:lang w:eastAsia="sk-SK"/>
              </w:rPr>
            </w:pPr>
            <w:r w:rsidRPr="00723436">
              <w:rPr>
                <w:b/>
                <w:bCs/>
                <w:sz w:val="18"/>
                <w:szCs w:val="18"/>
              </w:rPr>
              <w:t>-322 610</w:t>
            </w:r>
          </w:p>
        </w:tc>
        <w:tc>
          <w:tcPr>
            <w:tcW w:w="531" w:type="pct"/>
            <w:gridSpan w:val="3"/>
            <w:tcBorders>
              <w:top w:val="nil"/>
              <w:left w:val="nil"/>
              <w:bottom w:val="nil"/>
              <w:right w:val="nil"/>
            </w:tcBorders>
            <w:shd w:val="clear" w:color="000000" w:fill="FFFFFF"/>
            <w:noWrap/>
            <w:vAlign w:val="center"/>
            <w:hideMark/>
          </w:tcPr>
          <w:p w14:paraId="345AE5C6" w14:textId="77777777" w:rsidR="00992DD8" w:rsidRPr="00723436" w:rsidRDefault="00992DD8" w:rsidP="00420255">
            <w:pPr>
              <w:spacing w:after="0" w:line="240" w:lineRule="auto"/>
              <w:jc w:val="right"/>
              <w:rPr>
                <w:b/>
                <w:bCs/>
                <w:sz w:val="18"/>
                <w:szCs w:val="18"/>
                <w:lang w:eastAsia="sk-SK"/>
              </w:rPr>
            </w:pPr>
            <w:r w:rsidRPr="00723436">
              <w:rPr>
                <w:b/>
                <w:bCs/>
                <w:sz w:val="18"/>
                <w:szCs w:val="18"/>
              </w:rPr>
              <w:t>491 919</w:t>
            </w:r>
          </w:p>
        </w:tc>
        <w:tc>
          <w:tcPr>
            <w:tcW w:w="463" w:type="pct"/>
            <w:gridSpan w:val="2"/>
            <w:tcBorders>
              <w:top w:val="nil"/>
              <w:left w:val="nil"/>
              <w:bottom w:val="nil"/>
              <w:right w:val="nil"/>
            </w:tcBorders>
            <w:shd w:val="clear" w:color="000000" w:fill="FFFFFF"/>
            <w:noWrap/>
            <w:vAlign w:val="center"/>
            <w:hideMark/>
          </w:tcPr>
          <w:p w14:paraId="1E2DB92B" w14:textId="77777777" w:rsidR="00992DD8" w:rsidRPr="00723436" w:rsidRDefault="00992DD8" w:rsidP="00420255">
            <w:pPr>
              <w:spacing w:after="0" w:line="240" w:lineRule="auto"/>
              <w:jc w:val="right"/>
              <w:rPr>
                <w:b/>
                <w:bCs/>
                <w:sz w:val="18"/>
                <w:szCs w:val="18"/>
                <w:lang w:eastAsia="sk-SK"/>
              </w:rPr>
            </w:pPr>
            <w:r w:rsidRPr="00723436">
              <w:rPr>
                <w:b/>
                <w:bCs/>
                <w:sz w:val="18"/>
                <w:szCs w:val="18"/>
              </w:rPr>
              <w:t>403 865</w:t>
            </w:r>
          </w:p>
        </w:tc>
      </w:tr>
      <w:tr w:rsidR="00992DD8" w:rsidRPr="00676772" w14:paraId="28A9A3D1" w14:textId="77777777" w:rsidTr="00420255">
        <w:trPr>
          <w:gridAfter w:val="1"/>
          <w:wAfter w:w="27" w:type="pct"/>
          <w:trHeight w:val="273"/>
        </w:trPr>
        <w:tc>
          <w:tcPr>
            <w:tcW w:w="100" w:type="pct"/>
            <w:tcBorders>
              <w:top w:val="nil"/>
              <w:left w:val="nil"/>
              <w:bottom w:val="nil"/>
              <w:right w:val="nil"/>
            </w:tcBorders>
            <w:shd w:val="clear" w:color="000000" w:fill="FFFFFF"/>
            <w:noWrap/>
            <w:vAlign w:val="center"/>
            <w:hideMark/>
          </w:tcPr>
          <w:p w14:paraId="4670BB0D" w14:textId="77777777" w:rsidR="00992DD8" w:rsidRPr="00676772" w:rsidRDefault="00992DD8" w:rsidP="0019064B">
            <w:pPr>
              <w:spacing w:after="0" w:line="240" w:lineRule="auto"/>
              <w:rPr>
                <w:color w:val="000000"/>
                <w:sz w:val="18"/>
                <w:szCs w:val="18"/>
                <w:lang w:eastAsia="sk-SK"/>
              </w:rPr>
            </w:pPr>
            <w:r w:rsidRPr="00676772">
              <w:rPr>
                <w:color w:val="000000"/>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6DC4BBEF" w14:textId="77777777" w:rsidR="00992DD8" w:rsidRPr="00676772" w:rsidRDefault="00992DD8" w:rsidP="0019064B">
            <w:pPr>
              <w:spacing w:after="0" w:line="240" w:lineRule="auto"/>
              <w:rPr>
                <w:sz w:val="18"/>
                <w:szCs w:val="18"/>
                <w:lang w:eastAsia="sk-SK"/>
              </w:rPr>
            </w:pPr>
            <w:r w:rsidRPr="00676772">
              <w:rPr>
                <w:sz w:val="18"/>
                <w:szCs w:val="18"/>
                <w:lang w:eastAsia="sk-SK"/>
              </w:rPr>
              <w:t>Obce</w:t>
            </w:r>
            <w:r w:rsidRPr="00676772">
              <w:rPr>
                <w:sz w:val="18"/>
                <w:szCs w:val="18"/>
                <w:vertAlign w:val="superscript"/>
                <w:lang w:eastAsia="sk-SK"/>
              </w:rPr>
              <w:t xml:space="preserve"> </w:t>
            </w:r>
            <w:r w:rsidRPr="00676772">
              <w:rPr>
                <w:sz w:val="18"/>
                <w:szCs w:val="18"/>
                <w:lang w:eastAsia="sk-SK"/>
              </w:rPr>
              <w:t>a ich rozpočtové organizácie</w:t>
            </w:r>
          </w:p>
        </w:tc>
        <w:tc>
          <w:tcPr>
            <w:tcW w:w="497" w:type="pct"/>
            <w:gridSpan w:val="3"/>
            <w:tcBorders>
              <w:top w:val="nil"/>
              <w:left w:val="nil"/>
              <w:bottom w:val="nil"/>
              <w:right w:val="nil"/>
            </w:tcBorders>
            <w:shd w:val="clear" w:color="000000" w:fill="FFFFFF"/>
            <w:noWrap/>
            <w:vAlign w:val="center"/>
            <w:hideMark/>
          </w:tcPr>
          <w:p w14:paraId="2F6AB457" w14:textId="77777777" w:rsidR="00992DD8" w:rsidRPr="00676772" w:rsidRDefault="00992DD8" w:rsidP="00420255">
            <w:pPr>
              <w:spacing w:after="0" w:line="240" w:lineRule="auto"/>
              <w:jc w:val="right"/>
              <w:rPr>
                <w:sz w:val="18"/>
                <w:szCs w:val="18"/>
                <w:lang w:eastAsia="sk-SK"/>
              </w:rPr>
            </w:pPr>
            <w:r w:rsidRPr="00676772">
              <w:rPr>
                <w:sz w:val="18"/>
                <w:szCs w:val="18"/>
              </w:rPr>
              <w:t>2 371</w:t>
            </w:r>
          </w:p>
        </w:tc>
        <w:tc>
          <w:tcPr>
            <w:tcW w:w="492" w:type="pct"/>
            <w:gridSpan w:val="3"/>
            <w:tcBorders>
              <w:top w:val="nil"/>
              <w:left w:val="nil"/>
              <w:bottom w:val="nil"/>
              <w:right w:val="nil"/>
            </w:tcBorders>
            <w:shd w:val="clear" w:color="000000" w:fill="FFFFFF"/>
            <w:noWrap/>
            <w:vAlign w:val="center"/>
            <w:hideMark/>
          </w:tcPr>
          <w:p w14:paraId="2B953277" w14:textId="77777777" w:rsidR="00992DD8" w:rsidRPr="00676772" w:rsidRDefault="00992DD8" w:rsidP="00420255">
            <w:pPr>
              <w:spacing w:after="0" w:line="240" w:lineRule="auto"/>
              <w:jc w:val="right"/>
              <w:rPr>
                <w:sz w:val="18"/>
                <w:szCs w:val="18"/>
                <w:lang w:eastAsia="sk-SK"/>
              </w:rPr>
            </w:pPr>
            <w:r w:rsidRPr="00676772">
              <w:rPr>
                <w:sz w:val="18"/>
                <w:szCs w:val="18"/>
              </w:rPr>
              <w:t>-287 784</w:t>
            </w:r>
          </w:p>
        </w:tc>
        <w:tc>
          <w:tcPr>
            <w:tcW w:w="493" w:type="pct"/>
            <w:gridSpan w:val="4"/>
            <w:tcBorders>
              <w:top w:val="nil"/>
              <w:left w:val="nil"/>
              <w:bottom w:val="nil"/>
              <w:right w:val="nil"/>
            </w:tcBorders>
            <w:shd w:val="clear" w:color="000000" w:fill="FFFFFF"/>
            <w:noWrap/>
            <w:vAlign w:val="center"/>
            <w:hideMark/>
          </w:tcPr>
          <w:p w14:paraId="15BDD64D" w14:textId="77777777" w:rsidR="00992DD8" w:rsidRPr="00676772" w:rsidRDefault="00992DD8" w:rsidP="00420255">
            <w:pPr>
              <w:spacing w:after="0" w:line="240" w:lineRule="auto"/>
              <w:jc w:val="right"/>
              <w:rPr>
                <w:sz w:val="18"/>
                <w:szCs w:val="18"/>
                <w:lang w:eastAsia="sk-SK"/>
              </w:rPr>
            </w:pPr>
            <w:r w:rsidRPr="00676772">
              <w:rPr>
                <w:sz w:val="18"/>
                <w:szCs w:val="18"/>
              </w:rPr>
              <w:t>124 779</w:t>
            </w:r>
          </w:p>
        </w:tc>
        <w:tc>
          <w:tcPr>
            <w:tcW w:w="493" w:type="pct"/>
            <w:gridSpan w:val="3"/>
            <w:tcBorders>
              <w:top w:val="nil"/>
              <w:left w:val="nil"/>
              <w:bottom w:val="nil"/>
              <w:right w:val="nil"/>
            </w:tcBorders>
            <w:shd w:val="clear" w:color="000000" w:fill="FFFFFF"/>
            <w:noWrap/>
            <w:vAlign w:val="center"/>
            <w:hideMark/>
          </w:tcPr>
          <w:p w14:paraId="2ED2FDFF" w14:textId="77777777" w:rsidR="00992DD8" w:rsidRPr="00676772" w:rsidRDefault="00992DD8" w:rsidP="00420255">
            <w:pPr>
              <w:spacing w:after="0" w:line="240" w:lineRule="auto"/>
              <w:jc w:val="right"/>
              <w:rPr>
                <w:sz w:val="18"/>
                <w:szCs w:val="18"/>
                <w:lang w:eastAsia="sk-SK"/>
              </w:rPr>
            </w:pPr>
            <w:r w:rsidRPr="00676772">
              <w:rPr>
                <w:sz w:val="18"/>
                <w:szCs w:val="18"/>
              </w:rPr>
              <w:t>-255 679</w:t>
            </w:r>
          </w:p>
        </w:tc>
        <w:tc>
          <w:tcPr>
            <w:tcW w:w="531" w:type="pct"/>
            <w:gridSpan w:val="3"/>
            <w:tcBorders>
              <w:top w:val="nil"/>
              <w:left w:val="nil"/>
              <w:bottom w:val="nil"/>
              <w:right w:val="nil"/>
            </w:tcBorders>
            <w:shd w:val="clear" w:color="000000" w:fill="FFFFFF"/>
            <w:noWrap/>
            <w:vAlign w:val="center"/>
            <w:hideMark/>
          </w:tcPr>
          <w:p w14:paraId="6F66F80D" w14:textId="77777777" w:rsidR="00992DD8" w:rsidRPr="00676772" w:rsidRDefault="00992DD8" w:rsidP="00420255">
            <w:pPr>
              <w:spacing w:after="0" w:line="240" w:lineRule="auto"/>
              <w:jc w:val="right"/>
              <w:rPr>
                <w:sz w:val="18"/>
                <w:szCs w:val="18"/>
                <w:lang w:eastAsia="sk-SK"/>
              </w:rPr>
            </w:pPr>
            <w:r w:rsidRPr="00676772">
              <w:rPr>
                <w:sz w:val="18"/>
                <w:szCs w:val="18"/>
              </w:rPr>
              <w:t>412 563</w:t>
            </w:r>
          </w:p>
        </w:tc>
        <w:tc>
          <w:tcPr>
            <w:tcW w:w="463" w:type="pct"/>
            <w:gridSpan w:val="2"/>
            <w:tcBorders>
              <w:top w:val="nil"/>
              <w:left w:val="nil"/>
              <w:bottom w:val="nil"/>
              <w:right w:val="nil"/>
            </w:tcBorders>
            <w:shd w:val="clear" w:color="000000" w:fill="FFFFFF"/>
            <w:noWrap/>
            <w:vAlign w:val="center"/>
            <w:hideMark/>
          </w:tcPr>
          <w:p w14:paraId="5C46F173" w14:textId="77777777" w:rsidR="00992DD8" w:rsidRPr="00676772" w:rsidRDefault="00992DD8" w:rsidP="00420255">
            <w:pPr>
              <w:spacing w:after="0" w:line="240" w:lineRule="auto"/>
              <w:jc w:val="right"/>
              <w:rPr>
                <w:sz w:val="18"/>
                <w:szCs w:val="18"/>
                <w:lang w:eastAsia="sk-SK"/>
              </w:rPr>
            </w:pPr>
            <w:r w:rsidRPr="00676772">
              <w:rPr>
                <w:sz w:val="18"/>
                <w:szCs w:val="18"/>
              </w:rPr>
              <w:t>380 458</w:t>
            </w:r>
          </w:p>
        </w:tc>
      </w:tr>
      <w:tr w:rsidR="00992DD8" w:rsidRPr="00676772" w14:paraId="0FDA367B" w14:textId="77777777" w:rsidTr="00420255">
        <w:trPr>
          <w:trHeight w:val="257"/>
        </w:trPr>
        <w:tc>
          <w:tcPr>
            <w:tcW w:w="100" w:type="pct"/>
            <w:tcBorders>
              <w:top w:val="nil"/>
              <w:left w:val="nil"/>
              <w:bottom w:val="nil"/>
              <w:right w:val="nil"/>
            </w:tcBorders>
            <w:shd w:val="clear" w:color="000000" w:fill="FFFFFF"/>
            <w:noWrap/>
            <w:vAlign w:val="center"/>
            <w:hideMark/>
          </w:tcPr>
          <w:p w14:paraId="0EFE5701" w14:textId="77777777" w:rsidR="00992DD8" w:rsidRPr="00676772" w:rsidRDefault="00992DD8" w:rsidP="0019064B">
            <w:pPr>
              <w:spacing w:after="0" w:line="240" w:lineRule="auto"/>
              <w:rPr>
                <w:color w:val="000000"/>
                <w:sz w:val="18"/>
                <w:szCs w:val="18"/>
                <w:lang w:eastAsia="sk-SK"/>
              </w:rPr>
            </w:pPr>
            <w:r w:rsidRPr="00676772">
              <w:rPr>
                <w:color w:val="000000"/>
                <w:sz w:val="18"/>
                <w:szCs w:val="18"/>
                <w:lang w:eastAsia="sk-SK"/>
              </w:rPr>
              <w:t> </w:t>
            </w:r>
          </w:p>
        </w:tc>
        <w:tc>
          <w:tcPr>
            <w:tcW w:w="1843" w:type="pct"/>
            <w:gridSpan w:val="2"/>
            <w:tcBorders>
              <w:top w:val="nil"/>
              <w:left w:val="nil"/>
              <w:bottom w:val="nil"/>
              <w:right w:val="nil"/>
            </w:tcBorders>
            <w:shd w:val="clear" w:color="000000" w:fill="FFFFFF"/>
            <w:noWrap/>
            <w:vAlign w:val="center"/>
            <w:hideMark/>
          </w:tcPr>
          <w:p w14:paraId="4E5C7F2E" w14:textId="77777777" w:rsidR="00992DD8" w:rsidRPr="00676772" w:rsidRDefault="00992DD8" w:rsidP="0019064B">
            <w:pPr>
              <w:spacing w:after="0" w:line="240" w:lineRule="auto"/>
              <w:rPr>
                <w:sz w:val="18"/>
                <w:szCs w:val="18"/>
                <w:lang w:eastAsia="sk-SK"/>
              </w:rPr>
            </w:pPr>
            <w:r w:rsidRPr="00676772">
              <w:rPr>
                <w:sz w:val="18"/>
                <w:szCs w:val="18"/>
                <w:lang w:eastAsia="sk-SK"/>
              </w:rPr>
              <w:t>VÚC a ich rozpočtové organizácie</w:t>
            </w:r>
          </w:p>
        </w:tc>
        <w:tc>
          <w:tcPr>
            <w:tcW w:w="100" w:type="pct"/>
            <w:gridSpan w:val="2"/>
            <w:tcBorders>
              <w:top w:val="nil"/>
              <w:left w:val="nil"/>
              <w:bottom w:val="nil"/>
              <w:right w:val="nil"/>
            </w:tcBorders>
            <w:shd w:val="clear" w:color="auto" w:fill="auto"/>
            <w:vAlign w:val="center"/>
            <w:hideMark/>
          </w:tcPr>
          <w:p w14:paraId="4D87DBEE" w14:textId="77777777" w:rsidR="00992DD8" w:rsidRPr="00676772" w:rsidRDefault="00992DD8" w:rsidP="00420255">
            <w:pPr>
              <w:spacing w:after="0" w:line="240" w:lineRule="auto"/>
              <w:jc w:val="right"/>
              <w:rPr>
                <w:sz w:val="18"/>
                <w:szCs w:val="18"/>
                <w:lang w:eastAsia="sk-SK"/>
              </w:rPr>
            </w:pPr>
          </w:p>
        </w:tc>
        <w:tc>
          <w:tcPr>
            <w:tcW w:w="492" w:type="pct"/>
            <w:gridSpan w:val="3"/>
            <w:tcBorders>
              <w:top w:val="nil"/>
              <w:left w:val="nil"/>
              <w:bottom w:val="nil"/>
              <w:right w:val="nil"/>
            </w:tcBorders>
            <w:shd w:val="clear" w:color="000000" w:fill="FFFFFF"/>
            <w:noWrap/>
            <w:vAlign w:val="center"/>
            <w:hideMark/>
          </w:tcPr>
          <w:p w14:paraId="700D1997" w14:textId="00FA7802" w:rsidR="00992DD8" w:rsidRPr="00676772" w:rsidRDefault="008F5497" w:rsidP="008F5497">
            <w:pPr>
              <w:spacing w:after="0" w:line="240" w:lineRule="auto"/>
              <w:jc w:val="center"/>
              <w:rPr>
                <w:sz w:val="18"/>
                <w:szCs w:val="18"/>
                <w:lang w:eastAsia="sk-SK"/>
              </w:rPr>
            </w:pPr>
            <w:r>
              <w:rPr>
                <w:sz w:val="18"/>
                <w:szCs w:val="18"/>
              </w:rPr>
              <w:t xml:space="preserve">  </w:t>
            </w:r>
            <w:r w:rsidR="00992DD8" w:rsidRPr="00676772">
              <w:rPr>
                <w:sz w:val="18"/>
                <w:szCs w:val="18"/>
              </w:rPr>
              <w:t>-26 748</w:t>
            </w:r>
          </w:p>
        </w:tc>
        <w:tc>
          <w:tcPr>
            <w:tcW w:w="492" w:type="pct"/>
            <w:gridSpan w:val="3"/>
            <w:tcBorders>
              <w:top w:val="nil"/>
              <w:left w:val="nil"/>
              <w:bottom w:val="nil"/>
              <w:right w:val="nil"/>
            </w:tcBorders>
            <w:shd w:val="clear" w:color="000000" w:fill="FFFFFF"/>
            <w:noWrap/>
            <w:vAlign w:val="center"/>
            <w:hideMark/>
          </w:tcPr>
          <w:p w14:paraId="419BB7C8" w14:textId="77777777" w:rsidR="00992DD8" w:rsidRPr="00676772" w:rsidRDefault="00992DD8" w:rsidP="008F5497">
            <w:pPr>
              <w:spacing w:after="0" w:line="240" w:lineRule="auto"/>
              <w:jc w:val="center"/>
              <w:rPr>
                <w:sz w:val="18"/>
                <w:szCs w:val="18"/>
                <w:lang w:eastAsia="sk-SK"/>
              </w:rPr>
            </w:pPr>
            <w:r w:rsidRPr="00676772">
              <w:rPr>
                <w:sz w:val="18"/>
                <w:szCs w:val="18"/>
              </w:rPr>
              <w:t>-141 839</w:t>
            </w:r>
          </w:p>
        </w:tc>
        <w:tc>
          <w:tcPr>
            <w:tcW w:w="493" w:type="pct"/>
            <w:gridSpan w:val="4"/>
            <w:tcBorders>
              <w:top w:val="nil"/>
              <w:left w:val="nil"/>
              <w:bottom w:val="nil"/>
              <w:right w:val="nil"/>
            </w:tcBorders>
            <w:shd w:val="clear" w:color="000000" w:fill="FFFFFF"/>
            <w:noWrap/>
            <w:vAlign w:val="center"/>
            <w:hideMark/>
          </w:tcPr>
          <w:p w14:paraId="0DE64C4D" w14:textId="0F5709AC" w:rsidR="00992DD8" w:rsidRPr="00676772" w:rsidRDefault="008F5497" w:rsidP="008F5497">
            <w:pPr>
              <w:spacing w:after="0" w:line="240" w:lineRule="auto"/>
              <w:jc w:val="center"/>
              <w:rPr>
                <w:sz w:val="18"/>
                <w:szCs w:val="18"/>
                <w:lang w:eastAsia="sk-SK"/>
              </w:rPr>
            </w:pPr>
            <w:r>
              <w:rPr>
                <w:sz w:val="18"/>
                <w:szCs w:val="18"/>
              </w:rPr>
              <w:t xml:space="preserve">   </w:t>
            </w:r>
            <w:r w:rsidR="00992DD8" w:rsidRPr="00676772">
              <w:rPr>
                <w:sz w:val="18"/>
                <w:szCs w:val="18"/>
              </w:rPr>
              <w:t>-89 995</w:t>
            </w:r>
          </w:p>
        </w:tc>
        <w:tc>
          <w:tcPr>
            <w:tcW w:w="483" w:type="pct"/>
            <w:gridSpan w:val="3"/>
            <w:tcBorders>
              <w:top w:val="nil"/>
              <w:left w:val="nil"/>
              <w:bottom w:val="nil"/>
              <w:right w:val="nil"/>
            </w:tcBorders>
            <w:shd w:val="clear" w:color="000000" w:fill="FFFFFF"/>
            <w:noWrap/>
            <w:vAlign w:val="center"/>
            <w:hideMark/>
          </w:tcPr>
          <w:p w14:paraId="5709D4E0" w14:textId="463CEB0C" w:rsidR="00992DD8" w:rsidRPr="00676772" w:rsidRDefault="008F5497" w:rsidP="008F5497">
            <w:pPr>
              <w:spacing w:after="0" w:line="240" w:lineRule="auto"/>
              <w:jc w:val="center"/>
              <w:rPr>
                <w:sz w:val="18"/>
                <w:szCs w:val="18"/>
                <w:lang w:eastAsia="sk-SK"/>
              </w:rPr>
            </w:pPr>
            <w:r>
              <w:rPr>
                <w:sz w:val="18"/>
                <w:szCs w:val="18"/>
              </w:rPr>
              <w:t xml:space="preserve">   </w:t>
            </w:r>
            <w:r w:rsidR="00992DD8" w:rsidRPr="00676772">
              <w:rPr>
                <w:sz w:val="18"/>
                <w:szCs w:val="18"/>
              </w:rPr>
              <w:t>-50 167</w:t>
            </w:r>
          </w:p>
        </w:tc>
        <w:tc>
          <w:tcPr>
            <w:tcW w:w="544" w:type="pct"/>
            <w:gridSpan w:val="3"/>
            <w:tcBorders>
              <w:top w:val="nil"/>
              <w:left w:val="nil"/>
              <w:bottom w:val="nil"/>
              <w:right w:val="nil"/>
            </w:tcBorders>
            <w:shd w:val="clear" w:color="000000" w:fill="FFFFFF"/>
            <w:noWrap/>
            <w:vAlign w:val="center"/>
            <w:hideMark/>
          </w:tcPr>
          <w:p w14:paraId="2F388A57" w14:textId="0BC0D409" w:rsidR="00992DD8" w:rsidRPr="00676772" w:rsidRDefault="008F5497" w:rsidP="008F5497">
            <w:pPr>
              <w:spacing w:after="0" w:line="240" w:lineRule="auto"/>
              <w:jc w:val="center"/>
              <w:rPr>
                <w:sz w:val="18"/>
                <w:szCs w:val="18"/>
                <w:lang w:eastAsia="sk-SK"/>
              </w:rPr>
            </w:pPr>
            <w:r>
              <w:rPr>
                <w:sz w:val="18"/>
                <w:szCs w:val="18"/>
              </w:rPr>
              <w:t xml:space="preserve">      </w:t>
            </w:r>
            <w:r w:rsidR="00992DD8" w:rsidRPr="00676772">
              <w:rPr>
                <w:sz w:val="18"/>
                <w:szCs w:val="18"/>
              </w:rPr>
              <w:t>51 844</w:t>
            </w:r>
          </w:p>
        </w:tc>
        <w:tc>
          <w:tcPr>
            <w:tcW w:w="454" w:type="pct"/>
            <w:gridSpan w:val="2"/>
            <w:tcBorders>
              <w:top w:val="nil"/>
              <w:left w:val="nil"/>
              <w:bottom w:val="nil"/>
              <w:right w:val="nil"/>
            </w:tcBorders>
            <w:shd w:val="clear" w:color="000000" w:fill="FFFFFF"/>
            <w:noWrap/>
            <w:vAlign w:val="center"/>
            <w:hideMark/>
          </w:tcPr>
          <w:p w14:paraId="271FF3D7" w14:textId="4C2D4D88" w:rsidR="00992DD8" w:rsidRPr="00676772" w:rsidRDefault="008F5497" w:rsidP="008F5497">
            <w:pPr>
              <w:spacing w:after="0" w:line="240" w:lineRule="auto"/>
              <w:jc w:val="center"/>
              <w:rPr>
                <w:sz w:val="18"/>
                <w:szCs w:val="18"/>
                <w:lang w:eastAsia="sk-SK"/>
              </w:rPr>
            </w:pPr>
            <w:r>
              <w:rPr>
                <w:sz w:val="18"/>
                <w:szCs w:val="18"/>
              </w:rPr>
              <w:t xml:space="preserve"> </w:t>
            </w:r>
            <w:r w:rsidR="00992DD8" w:rsidRPr="00676772">
              <w:rPr>
                <w:sz w:val="18"/>
                <w:szCs w:val="18"/>
              </w:rPr>
              <w:t>-39 828</w:t>
            </w:r>
          </w:p>
        </w:tc>
      </w:tr>
      <w:tr w:rsidR="00992DD8" w:rsidRPr="00676772" w14:paraId="121EDF86"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4168C913" w14:textId="77777777" w:rsidR="00992DD8" w:rsidRPr="00676772" w:rsidRDefault="00992DD8" w:rsidP="0019064B">
            <w:pPr>
              <w:spacing w:after="0" w:line="240" w:lineRule="auto"/>
              <w:rPr>
                <w:color w:val="000000"/>
                <w:sz w:val="18"/>
                <w:szCs w:val="18"/>
                <w:lang w:eastAsia="sk-SK"/>
              </w:rPr>
            </w:pPr>
            <w:r w:rsidRPr="00676772">
              <w:rPr>
                <w:color w:val="000000"/>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6BF6C72D" w14:textId="77777777" w:rsidR="00992DD8" w:rsidRPr="00676772" w:rsidRDefault="00992DD8" w:rsidP="0019064B">
            <w:pPr>
              <w:spacing w:after="0" w:line="240" w:lineRule="auto"/>
              <w:rPr>
                <w:sz w:val="18"/>
                <w:szCs w:val="18"/>
                <w:lang w:eastAsia="sk-SK"/>
              </w:rPr>
            </w:pPr>
            <w:r w:rsidRPr="00676772">
              <w:rPr>
                <w:sz w:val="18"/>
                <w:szCs w:val="18"/>
                <w:lang w:eastAsia="sk-SK"/>
              </w:rPr>
              <w:t>Príspevkové organizácie obcí</w:t>
            </w:r>
          </w:p>
        </w:tc>
        <w:tc>
          <w:tcPr>
            <w:tcW w:w="497" w:type="pct"/>
            <w:gridSpan w:val="3"/>
            <w:tcBorders>
              <w:top w:val="nil"/>
              <w:left w:val="nil"/>
              <w:bottom w:val="nil"/>
              <w:right w:val="nil"/>
            </w:tcBorders>
            <w:shd w:val="clear" w:color="000000" w:fill="FFFFFF"/>
            <w:noWrap/>
            <w:vAlign w:val="center"/>
            <w:hideMark/>
          </w:tcPr>
          <w:p w14:paraId="7543EB0D" w14:textId="77777777" w:rsidR="00992DD8" w:rsidRPr="00676772" w:rsidRDefault="00992DD8" w:rsidP="00420255">
            <w:pPr>
              <w:spacing w:after="0" w:line="240" w:lineRule="auto"/>
              <w:jc w:val="right"/>
              <w:rPr>
                <w:sz w:val="18"/>
                <w:szCs w:val="18"/>
                <w:lang w:eastAsia="sk-SK"/>
              </w:rPr>
            </w:pPr>
            <w:r w:rsidRPr="00676772">
              <w:rPr>
                <w:sz w:val="18"/>
                <w:szCs w:val="18"/>
              </w:rPr>
              <w:t>44</w:t>
            </w:r>
          </w:p>
        </w:tc>
        <w:tc>
          <w:tcPr>
            <w:tcW w:w="492" w:type="pct"/>
            <w:gridSpan w:val="3"/>
            <w:tcBorders>
              <w:top w:val="nil"/>
              <w:left w:val="nil"/>
              <w:bottom w:val="nil"/>
              <w:right w:val="nil"/>
            </w:tcBorders>
            <w:shd w:val="clear" w:color="000000" w:fill="FFFFFF"/>
            <w:noWrap/>
            <w:vAlign w:val="center"/>
            <w:hideMark/>
          </w:tcPr>
          <w:p w14:paraId="499D4C88" w14:textId="77777777" w:rsidR="00992DD8" w:rsidRPr="00676772" w:rsidRDefault="00992DD8" w:rsidP="00420255">
            <w:pPr>
              <w:spacing w:after="0" w:line="240" w:lineRule="auto"/>
              <w:jc w:val="right"/>
              <w:rPr>
                <w:sz w:val="18"/>
                <w:szCs w:val="18"/>
                <w:lang w:eastAsia="sk-SK"/>
              </w:rPr>
            </w:pPr>
            <w:r w:rsidRPr="00676772">
              <w:rPr>
                <w:sz w:val="18"/>
                <w:szCs w:val="18"/>
              </w:rPr>
              <w:t>-1 694</w:t>
            </w:r>
          </w:p>
        </w:tc>
        <w:tc>
          <w:tcPr>
            <w:tcW w:w="493" w:type="pct"/>
            <w:gridSpan w:val="4"/>
            <w:tcBorders>
              <w:top w:val="nil"/>
              <w:left w:val="nil"/>
              <w:bottom w:val="nil"/>
              <w:right w:val="nil"/>
            </w:tcBorders>
            <w:shd w:val="clear" w:color="000000" w:fill="FFFFFF"/>
            <w:noWrap/>
            <w:vAlign w:val="center"/>
            <w:hideMark/>
          </w:tcPr>
          <w:p w14:paraId="328DCC28" w14:textId="77777777" w:rsidR="00992DD8" w:rsidRPr="00676772" w:rsidRDefault="00992DD8" w:rsidP="00420255">
            <w:pPr>
              <w:spacing w:after="0" w:line="240" w:lineRule="auto"/>
              <w:jc w:val="right"/>
              <w:rPr>
                <w:sz w:val="18"/>
                <w:szCs w:val="18"/>
                <w:lang w:eastAsia="sk-SK"/>
              </w:rPr>
            </w:pPr>
            <w:r w:rsidRPr="00676772">
              <w:rPr>
                <w:sz w:val="18"/>
                <w:szCs w:val="18"/>
              </w:rPr>
              <w:t>1 213</w:t>
            </w:r>
          </w:p>
        </w:tc>
        <w:tc>
          <w:tcPr>
            <w:tcW w:w="493" w:type="pct"/>
            <w:gridSpan w:val="3"/>
            <w:tcBorders>
              <w:top w:val="nil"/>
              <w:left w:val="nil"/>
              <w:bottom w:val="nil"/>
              <w:right w:val="nil"/>
            </w:tcBorders>
            <w:shd w:val="clear" w:color="000000" w:fill="FFFFFF"/>
            <w:noWrap/>
            <w:vAlign w:val="center"/>
            <w:hideMark/>
          </w:tcPr>
          <w:p w14:paraId="04DDF0B4" w14:textId="77777777" w:rsidR="00992DD8" w:rsidRPr="00676772" w:rsidRDefault="00992DD8" w:rsidP="00420255">
            <w:pPr>
              <w:spacing w:after="0" w:line="240" w:lineRule="auto"/>
              <w:jc w:val="right"/>
              <w:rPr>
                <w:sz w:val="18"/>
                <w:szCs w:val="18"/>
                <w:lang w:eastAsia="sk-SK"/>
              </w:rPr>
            </w:pPr>
            <w:r w:rsidRPr="00676772">
              <w:rPr>
                <w:sz w:val="18"/>
                <w:szCs w:val="18"/>
              </w:rPr>
              <w:t>6 163</w:t>
            </w:r>
          </w:p>
        </w:tc>
        <w:tc>
          <w:tcPr>
            <w:tcW w:w="531" w:type="pct"/>
            <w:gridSpan w:val="3"/>
            <w:tcBorders>
              <w:top w:val="nil"/>
              <w:left w:val="nil"/>
              <w:bottom w:val="nil"/>
              <w:right w:val="nil"/>
            </w:tcBorders>
            <w:shd w:val="clear" w:color="000000" w:fill="FFFFFF"/>
            <w:noWrap/>
            <w:vAlign w:val="center"/>
            <w:hideMark/>
          </w:tcPr>
          <w:p w14:paraId="5167D885" w14:textId="77777777" w:rsidR="00992DD8" w:rsidRPr="00676772" w:rsidRDefault="00992DD8" w:rsidP="00420255">
            <w:pPr>
              <w:spacing w:after="0" w:line="240" w:lineRule="auto"/>
              <w:jc w:val="right"/>
              <w:rPr>
                <w:sz w:val="18"/>
                <w:szCs w:val="18"/>
                <w:lang w:eastAsia="sk-SK"/>
              </w:rPr>
            </w:pPr>
            <w:r w:rsidRPr="00676772">
              <w:rPr>
                <w:sz w:val="18"/>
                <w:szCs w:val="18"/>
              </w:rPr>
              <w:t>2 907</w:t>
            </w:r>
          </w:p>
        </w:tc>
        <w:tc>
          <w:tcPr>
            <w:tcW w:w="463" w:type="pct"/>
            <w:gridSpan w:val="2"/>
            <w:tcBorders>
              <w:top w:val="nil"/>
              <w:left w:val="nil"/>
              <w:bottom w:val="nil"/>
              <w:right w:val="nil"/>
            </w:tcBorders>
            <w:shd w:val="clear" w:color="000000" w:fill="FFFFFF"/>
            <w:noWrap/>
            <w:vAlign w:val="center"/>
            <w:hideMark/>
          </w:tcPr>
          <w:p w14:paraId="17EA49D3" w14:textId="77777777" w:rsidR="00992DD8" w:rsidRPr="00676772" w:rsidRDefault="00992DD8" w:rsidP="00420255">
            <w:pPr>
              <w:spacing w:after="0" w:line="240" w:lineRule="auto"/>
              <w:jc w:val="right"/>
              <w:rPr>
                <w:sz w:val="18"/>
                <w:szCs w:val="18"/>
                <w:lang w:eastAsia="sk-SK"/>
              </w:rPr>
            </w:pPr>
            <w:r w:rsidRPr="00676772">
              <w:rPr>
                <w:sz w:val="18"/>
                <w:szCs w:val="18"/>
              </w:rPr>
              <w:t>-4 950</w:t>
            </w:r>
          </w:p>
        </w:tc>
      </w:tr>
      <w:tr w:rsidR="00992DD8" w:rsidRPr="00676772" w14:paraId="773D6D08"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4571D02D" w14:textId="77777777" w:rsidR="00992DD8" w:rsidRPr="00676772" w:rsidRDefault="00992DD8" w:rsidP="0019064B">
            <w:pPr>
              <w:spacing w:after="0" w:line="240" w:lineRule="auto"/>
              <w:rPr>
                <w:color w:val="000000"/>
                <w:sz w:val="18"/>
                <w:szCs w:val="18"/>
                <w:lang w:eastAsia="sk-SK"/>
              </w:rPr>
            </w:pPr>
            <w:r w:rsidRPr="00676772">
              <w:rPr>
                <w:color w:val="000000"/>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3A4C268A" w14:textId="77777777" w:rsidR="00992DD8" w:rsidRPr="00676772" w:rsidRDefault="00992DD8" w:rsidP="0019064B">
            <w:pPr>
              <w:spacing w:after="0" w:line="240" w:lineRule="auto"/>
              <w:rPr>
                <w:sz w:val="18"/>
                <w:szCs w:val="18"/>
                <w:lang w:eastAsia="sk-SK"/>
              </w:rPr>
            </w:pPr>
            <w:r w:rsidRPr="00676772">
              <w:rPr>
                <w:sz w:val="18"/>
                <w:szCs w:val="18"/>
                <w:lang w:eastAsia="sk-SK"/>
              </w:rPr>
              <w:t>Príspevkové organizácie VÚC</w:t>
            </w:r>
          </w:p>
        </w:tc>
        <w:tc>
          <w:tcPr>
            <w:tcW w:w="497" w:type="pct"/>
            <w:gridSpan w:val="3"/>
            <w:tcBorders>
              <w:top w:val="nil"/>
              <w:left w:val="nil"/>
              <w:bottom w:val="nil"/>
              <w:right w:val="nil"/>
            </w:tcBorders>
            <w:shd w:val="clear" w:color="000000" w:fill="FFFFFF"/>
            <w:noWrap/>
            <w:vAlign w:val="center"/>
            <w:hideMark/>
          </w:tcPr>
          <w:p w14:paraId="166F4DF5" w14:textId="77777777" w:rsidR="00992DD8" w:rsidRPr="00676772" w:rsidRDefault="00992DD8" w:rsidP="00420255">
            <w:pPr>
              <w:spacing w:after="0" w:line="240" w:lineRule="auto"/>
              <w:jc w:val="right"/>
              <w:rPr>
                <w:sz w:val="18"/>
                <w:szCs w:val="18"/>
                <w:lang w:eastAsia="sk-SK"/>
              </w:rPr>
            </w:pPr>
            <w:r w:rsidRPr="00676772">
              <w:rPr>
                <w:sz w:val="18"/>
                <w:szCs w:val="18"/>
              </w:rPr>
              <w:t>13 940</w:t>
            </w:r>
          </w:p>
        </w:tc>
        <w:tc>
          <w:tcPr>
            <w:tcW w:w="492" w:type="pct"/>
            <w:gridSpan w:val="3"/>
            <w:tcBorders>
              <w:top w:val="nil"/>
              <w:left w:val="nil"/>
              <w:bottom w:val="nil"/>
              <w:right w:val="nil"/>
            </w:tcBorders>
            <w:shd w:val="clear" w:color="000000" w:fill="FFFFFF"/>
            <w:noWrap/>
            <w:vAlign w:val="center"/>
            <w:hideMark/>
          </w:tcPr>
          <w:p w14:paraId="470E70F7" w14:textId="77777777" w:rsidR="00992DD8" w:rsidRPr="00676772" w:rsidRDefault="00992DD8" w:rsidP="00420255">
            <w:pPr>
              <w:spacing w:after="0" w:line="240" w:lineRule="auto"/>
              <w:jc w:val="right"/>
              <w:rPr>
                <w:sz w:val="18"/>
                <w:szCs w:val="18"/>
                <w:lang w:eastAsia="sk-SK"/>
              </w:rPr>
            </w:pPr>
            <w:r w:rsidRPr="00676772">
              <w:rPr>
                <w:sz w:val="18"/>
                <w:szCs w:val="18"/>
              </w:rPr>
              <w:t>-1 050</w:t>
            </w:r>
          </w:p>
        </w:tc>
        <w:tc>
          <w:tcPr>
            <w:tcW w:w="493" w:type="pct"/>
            <w:gridSpan w:val="4"/>
            <w:tcBorders>
              <w:top w:val="nil"/>
              <w:left w:val="nil"/>
              <w:bottom w:val="nil"/>
              <w:right w:val="nil"/>
            </w:tcBorders>
            <w:shd w:val="clear" w:color="000000" w:fill="FFFFFF"/>
            <w:noWrap/>
            <w:vAlign w:val="center"/>
            <w:hideMark/>
          </w:tcPr>
          <w:p w14:paraId="1010A014" w14:textId="77777777" w:rsidR="00992DD8" w:rsidRPr="00676772" w:rsidRDefault="00992DD8" w:rsidP="00420255">
            <w:pPr>
              <w:spacing w:after="0" w:line="240" w:lineRule="auto"/>
              <w:jc w:val="right"/>
              <w:rPr>
                <w:sz w:val="18"/>
                <w:szCs w:val="18"/>
                <w:lang w:eastAsia="sk-SK"/>
              </w:rPr>
            </w:pPr>
            <w:r w:rsidRPr="00676772">
              <w:rPr>
                <w:sz w:val="18"/>
                <w:szCs w:val="18"/>
              </w:rPr>
              <w:t>11 419</w:t>
            </w:r>
          </w:p>
        </w:tc>
        <w:tc>
          <w:tcPr>
            <w:tcW w:w="493" w:type="pct"/>
            <w:gridSpan w:val="3"/>
            <w:tcBorders>
              <w:top w:val="nil"/>
              <w:left w:val="nil"/>
              <w:bottom w:val="nil"/>
              <w:right w:val="nil"/>
            </w:tcBorders>
            <w:shd w:val="clear" w:color="000000" w:fill="FFFFFF"/>
            <w:noWrap/>
            <w:vAlign w:val="center"/>
            <w:hideMark/>
          </w:tcPr>
          <w:p w14:paraId="68D9EBC4" w14:textId="77777777" w:rsidR="00992DD8" w:rsidRPr="00676772" w:rsidRDefault="00992DD8" w:rsidP="00420255">
            <w:pPr>
              <w:spacing w:after="0" w:line="240" w:lineRule="auto"/>
              <w:jc w:val="right"/>
              <w:rPr>
                <w:sz w:val="18"/>
                <w:szCs w:val="18"/>
                <w:lang w:eastAsia="sk-SK"/>
              </w:rPr>
            </w:pPr>
            <w:r w:rsidRPr="00676772">
              <w:rPr>
                <w:sz w:val="18"/>
                <w:szCs w:val="18"/>
              </w:rPr>
              <w:t>9 287</w:t>
            </w:r>
          </w:p>
        </w:tc>
        <w:tc>
          <w:tcPr>
            <w:tcW w:w="531" w:type="pct"/>
            <w:gridSpan w:val="3"/>
            <w:tcBorders>
              <w:top w:val="nil"/>
              <w:left w:val="nil"/>
              <w:bottom w:val="nil"/>
              <w:right w:val="nil"/>
            </w:tcBorders>
            <w:shd w:val="clear" w:color="000000" w:fill="FFFFFF"/>
            <w:noWrap/>
            <w:vAlign w:val="center"/>
            <w:hideMark/>
          </w:tcPr>
          <w:p w14:paraId="0B36A981" w14:textId="77777777" w:rsidR="00992DD8" w:rsidRPr="00676772" w:rsidRDefault="00992DD8" w:rsidP="00420255">
            <w:pPr>
              <w:spacing w:after="0" w:line="240" w:lineRule="auto"/>
              <w:jc w:val="right"/>
              <w:rPr>
                <w:sz w:val="18"/>
                <w:szCs w:val="18"/>
                <w:lang w:eastAsia="sk-SK"/>
              </w:rPr>
            </w:pPr>
            <w:r w:rsidRPr="00676772">
              <w:rPr>
                <w:sz w:val="18"/>
                <w:szCs w:val="18"/>
              </w:rPr>
              <w:t>12 469</w:t>
            </w:r>
          </w:p>
        </w:tc>
        <w:tc>
          <w:tcPr>
            <w:tcW w:w="463" w:type="pct"/>
            <w:gridSpan w:val="2"/>
            <w:tcBorders>
              <w:top w:val="nil"/>
              <w:left w:val="nil"/>
              <w:bottom w:val="nil"/>
              <w:right w:val="nil"/>
            </w:tcBorders>
            <w:shd w:val="clear" w:color="000000" w:fill="FFFFFF"/>
            <w:noWrap/>
            <w:vAlign w:val="center"/>
            <w:hideMark/>
          </w:tcPr>
          <w:p w14:paraId="4B117189" w14:textId="77777777" w:rsidR="00992DD8" w:rsidRPr="00676772" w:rsidRDefault="00992DD8" w:rsidP="00420255">
            <w:pPr>
              <w:spacing w:after="0" w:line="240" w:lineRule="auto"/>
              <w:jc w:val="right"/>
              <w:rPr>
                <w:sz w:val="18"/>
                <w:szCs w:val="18"/>
                <w:lang w:eastAsia="sk-SK"/>
              </w:rPr>
            </w:pPr>
            <w:r w:rsidRPr="00676772">
              <w:rPr>
                <w:sz w:val="18"/>
                <w:szCs w:val="18"/>
              </w:rPr>
              <w:t>2 132</w:t>
            </w:r>
          </w:p>
        </w:tc>
      </w:tr>
      <w:tr w:rsidR="00992DD8" w:rsidRPr="00676772" w14:paraId="2C85DDCA"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0A8CCB10" w14:textId="77777777" w:rsidR="00992DD8" w:rsidRPr="00676772" w:rsidRDefault="00992DD8" w:rsidP="0019064B">
            <w:pPr>
              <w:spacing w:after="0" w:line="240" w:lineRule="auto"/>
              <w:rPr>
                <w:color w:val="000000"/>
                <w:sz w:val="18"/>
                <w:szCs w:val="18"/>
                <w:lang w:eastAsia="sk-SK"/>
              </w:rPr>
            </w:pPr>
            <w:r w:rsidRPr="00676772">
              <w:rPr>
                <w:color w:val="000000"/>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5656E1BA" w14:textId="77777777" w:rsidR="00992DD8" w:rsidRPr="00676772" w:rsidRDefault="00992DD8" w:rsidP="0019064B">
            <w:pPr>
              <w:spacing w:after="0" w:line="240" w:lineRule="auto"/>
              <w:rPr>
                <w:sz w:val="18"/>
                <w:szCs w:val="18"/>
                <w:lang w:eastAsia="sk-SK"/>
              </w:rPr>
            </w:pPr>
            <w:r w:rsidRPr="00676772">
              <w:rPr>
                <w:sz w:val="18"/>
                <w:szCs w:val="18"/>
                <w:lang w:eastAsia="sk-SK"/>
              </w:rPr>
              <w:t>Dopravné podniky</w:t>
            </w:r>
          </w:p>
        </w:tc>
        <w:tc>
          <w:tcPr>
            <w:tcW w:w="497" w:type="pct"/>
            <w:gridSpan w:val="3"/>
            <w:tcBorders>
              <w:top w:val="nil"/>
              <w:left w:val="nil"/>
              <w:bottom w:val="nil"/>
              <w:right w:val="nil"/>
            </w:tcBorders>
            <w:shd w:val="clear" w:color="000000" w:fill="FFFFFF"/>
            <w:noWrap/>
            <w:vAlign w:val="center"/>
            <w:hideMark/>
          </w:tcPr>
          <w:p w14:paraId="5E1E9042" w14:textId="77777777" w:rsidR="00992DD8" w:rsidRPr="00676772" w:rsidRDefault="00992DD8" w:rsidP="00420255">
            <w:pPr>
              <w:spacing w:after="0" w:line="240" w:lineRule="auto"/>
              <w:jc w:val="right"/>
              <w:rPr>
                <w:sz w:val="18"/>
                <w:szCs w:val="18"/>
                <w:lang w:eastAsia="sk-SK"/>
              </w:rPr>
            </w:pPr>
            <w:r w:rsidRPr="00676772">
              <w:rPr>
                <w:sz w:val="18"/>
                <w:szCs w:val="18"/>
              </w:rPr>
              <w:t>-9 641</w:t>
            </w:r>
          </w:p>
        </w:tc>
        <w:tc>
          <w:tcPr>
            <w:tcW w:w="492" w:type="pct"/>
            <w:gridSpan w:val="3"/>
            <w:tcBorders>
              <w:top w:val="nil"/>
              <w:left w:val="nil"/>
              <w:bottom w:val="nil"/>
              <w:right w:val="nil"/>
            </w:tcBorders>
            <w:shd w:val="clear" w:color="000000" w:fill="FFFFFF"/>
            <w:noWrap/>
            <w:vAlign w:val="center"/>
            <w:hideMark/>
          </w:tcPr>
          <w:p w14:paraId="55911F33" w14:textId="77777777" w:rsidR="00992DD8" w:rsidRPr="00676772" w:rsidRDefault="00992DD8" w:rsidP="00420255">
            <w:pPr>
              <w:spacing w:after="0" w:line="240" w:lineRule="auto"/>
              <w:jc w:val="right"/>
              <w:rPr>
                <w:sz w:val="18"/>
                <w:szCs w:val="18"/>
                <w:lang w:eastAsia="sk-SK"/>
              </w:rPr>
            </w:pPr>
            <w:r w:rsidRPr="00676772">
              <w:rPr>
                <w:sz w:val="18"/>
                <w:szCs w:val="18"/>
              </w:rPr>
              <w:t>-9 411</w:t>
            </w:r>
          </w:p>
        </w:tc>
        <w:tc>
          <w:tcPr>
            <w:tcW w:w="493" w:type="pct"/>
            <w:gridSpan w:val="4"/>
            <w:tcBorders>
              <w:top w:val="nil"/>
              <w:left w:val="nil"/>
              <w:bottom w:val="nil"/>
              <w:right w:val="nil"/>
            </w:tcBorders>
            <w:shd w:val="clear" w:color="000000" w:fill="FFFFFF"/>
            <w:noWrap/>
            <w:vAlign w:val="center"/>
            <w:hideMark/>
          </w:tcPr>
          <w:p w14:paraId="3B66BE98" w14:textId="77777777" w:rsidR="00992DD8" w:rsidRPr="00676772" w:rsidRDefault="00992DD8" w:rsidP="00420255">
            <w:pPr>
              <w:spacing w:after="0" w:line="240" w:lineRule="auto"/>
              <w:jc w:val="right"/>
              <w:rPr>
                <w:sz w:val="18"/>
                <w:szCs w:val="18"/>
                <w:lang w:eastAsia="sk-SK"/>
              </w:rPr>
            </w:pPr>
            <w:r w:rsidRPr="00676772">
              <w:rPr>
                <w:sz w:val="18"/>
                <w:szCs w:val="18"/>
              </w:rPr>
              <w:t>71 771</w:t>
            </w:r>
          </w:p>
        </w:tc>
        <w:tc>
          <w:tcPr>
            <w:tcW w:w="493" w:type="pct"/>
            <w:gridSpan w:val="3"/>
            <w:tcBorders>
              <w:top w:val="nil"/>
              <w:left w:val="nil"/>
              <w:bottom w:val="nil"/>
              <w:right w:val="nil"/>
            </w:tcBorders>
            <w:shd w:val="clear" w:color="000000" w:fill="FFFFFF"/>
            <w:noWrap/>
            <w:vAlign w:val="center"/>
            <w:hideMark/>
          </w:tcPr>
          <w:p w14:paraId="6FAAA99A" w14:textId="77777777" w:rsidR="00992DD8" w:rsidRPr="00676772" w:rsidRDefault="00992DD8" w:rsidP="00420255">
            <w:pPr>
              <w:spacing w:after="0" w:line="240" w:lineRule="auto"/>
              <w:jc w:val="right"/>
              <w:rPr>
                <w:sz w:val="18"/>
                <w:szCs w:val="18"/>
                <w:lang w:eastAsia="sk-SK"/>
              </w:rPr>
            </w:pPr>
            <w:r w:rsidRPr="00676772">
              <w:rPr>
                <w:sz w:val="18"/>
                <w:szCs w:val="18"/>
              </w:rPr>
              <w:t>-32 507</w:t>
            </w:r>
          </w:p>
        </w:tc>
        <w:tc>
          <w:tcPr>
            <w:tcW w:w="531" w:type="pct"/>
            <w:gridSpan w:val="3"/>
            <w:tcBorders>
              <w:top w:val="nil"/>
              <w:left w:val="nil"/>
              <w:bottom w:val="nil"/>
              <w:right w:val="nil"/>
            </w:tcBorders>
            <w:shd w:val="clear" w:color="000000" w:fill="FFFFFF"/>
            <w:noWrap/>
            <w:vAlign w:val="center"/>
            <w:hideMark/>
          </w:tcPr>
          <w:p w14:paraId="013977BA" w14:textId="77777777" w:rsidR="00992DD8" w:rsidRPr="00676772" w:rsidRDefault="00992DD8" w:rsidP="00420255">
            <w:pPr>
              <w:spacing w:after="0" w:line="240" w:lineRule="auto"/>
              <w:jc w:val="right"/>
              <w:rPr>
                <w:sz w:val="18"/>
                <w:szCs w:val="18"/>
                <w:lang w:eastAsia="sk-SK"/>
              </w:rPr>
            </w:pPr>
            <w:r w:rsidRPr="00676772">
              <w:rPr>
                <w:sz w:val="18"/>
                <w:szCs w:val="18"/>
              </w:rPr>
              <w:t>81 182</w:t>
            </w:r>
          </w:p>
        </w:tc>
        <w:tc>
          <w:tcPr>
            <w:tcW w:w="463" w:type="pct"/>
            <w:gridSpan w:val="2"/>
            <w:tcBorders>
              <w:top w:val="nil"/>
              <w:left w:val="nil"/>
              <w:bottom w:val="nil"/>
              <w:right w:val="nil"/>
            </w:tcBorders>
            <w:shd w:val="clear" w:color="000000" w:fill="FFFFFF"/>
            <w:noWrap/>
            <w:vAlign w:val="center"/>
            <w:hideMark/>
          </w:tcPr>
          <w:p w14:paraId="14B2DAF0" w14:textId="77777777" w:rsidR="00992DD8" w:rsidRPr="00676772" w:rsidRDefault="00992DD8" w:rsidP="00420255">
            <w:pPr>
              <w:spacing w:after="0" w:line="240" w:lineRule="auto"/>
              <w:jc w:val="right"/>
              <w:rPr>
                <w:sz w:val="18"/>
                <w:szCs w:val="18"/>
                <w:lang w:eastAsia="sk-SK"/>
              </w:rPr>
            </w:pPr>
            <w:r w:rsidRPr="00676772">
              <w:rPr>
                <w:sz w:val="18"/>
                <w:szCs w:val="18"/>
              </w:rPr>
              <w:t>104 278</w:t>
            </w:r>
          </w:p>
        </w:tc>
      </w:tr>
      <w:tr w:rsidR="00992DD8" w:rsidRPr="00676772" w14:paraId="6B709E15" w14:textId="77777777" w:rsidTr="00420255">
        <w:trPr>
          <w:trHeight w:val="257"/>
        </w:trPr>
        <w:tc>
          <w:tcPr>
            <w:tcW w:w="100" w:type="pct"/>
            <w:tcBorders>
              <w:top w:val="nil"/>
              <w:left w:val="nil"/>
              <w:bottom w:val="nil"/>
              <w:right w:val="nil"/>
            </w:tcBorders>
            <w:shd w:val="clear" w:color="000000" w:fill="FFFFFF"/>
            <w:noWrap/>
            <w:vAlign w:val="center"/>
            <w:hideMark/>
          </w:tcPr>
          <w:p w14:paraId="269A60FE" w14:textId="77777777" w:rsidR="00992DD8" w:rsidRPr="00676772" w:rsidRDefault="00992DD8" w:rsidP="0019064B">
            <w:pPr>
              <w:spacing w:after="0" w:line="240" w:lineRule="auto"/>
              <w:rPr>
                <w:color w:val="000000"/>
                <w:sz w:val="18"/>
                <w:szCs w:val="18"/>
                <w:lang w:eastAsia="sk-SK"/>
              </w:rPr>
            </w:pPr>
            <w:r w:rsidRPr="00676772">
              <w:rPr>
                <w:color w:val="000000"/>
                <w:sz w:val="18"/>
                <w:szCs w:val="18"/>
                <w:lang w:eastAsia="sk-SK"/>
              </w:rPr>
              <w:t> </w:t>
            </w:r>
          </w:p>
        </w:tc>
        <w:tc>
          <w:tcPr>
            <w:tcW w:w="1843" w:type="pct"/>
            <w:gridSpan w:val="2"/>
            <w:tcBorders>
              <w:top w:val="nil"/>
              <w:left w:val="nil"/>
              <w:bottom w:val="nil"/>
              <w:right w:val="nil"/>
            </w:tcBorders>
            <w:shd w:val="clear" w:color="000000" w:fill="FFFFFF"/>
            <w:noWrap/>
            <w:vAlign w:val="center"/>
            <w:hideMark/>
          </w:tcPr>
          <w:p w14:paraId="0B87C0DD" w14:textId="77777777" w:rsidR="00992DD8" w:rsidRPr="00676772" w:rsidRDefault="00992DD8" w:rsidP="0019064B">
            <w:pPr>
              <w:spacing w:after="0" w:line="240" w:lineRule="auto"/>
              <w:rPr>
                <w:sz w:val="18"/>
                <w:szCs w:val="18"/>
                <w:lang w:eastAsia="sk-SK"/>
              </w:rPr>
            </w:pPr>
            <w:r w:rsidRPr="00676772">
              <w:rPr>
                <w:sz w:val="18"/>
                <w:szCs w:val="18"/>
                <w:lang w:eastAsia="sk-SK"/>
              </w:rPr>
              <w:t>Zdravotnícke zariadenia územnej samosprávy</w:t>
            </w:r>
          </w:p>
        </w:tc>
        <w:tc>
          <w:tcPr>
            <w:tcW w:w="100" w:type="pct"/>
            <w:gridSpan w:val="2"/>
            <w:tcBorders>
              <w:top w:val="nil"/>
              <w:left w:val="nil"/>
              <w:bottom w:val="nil"/>
              <w:right w:val="nil"/>
            </w:tcBorders>
            <w:shd w:val="clear" w:color="auto" w:fill="auto"/>
            <w:vAlign w:val="center"/>
            <w:hideMark/>
          </w:tcPr>
          <w:p w14:paraId="71FE8C2D" w14:textId="77777777" w:rsidR="00992DD8" w:rsidRPr="00676772" w:rsidRDefault="00992DD8" w:rsidP="00420255">
            <w:pPr>
              <w:spacing w:after="0" w:line="240" w:lineRule="auto"/>
              <w:jc w:val="right"/>
              <w:rPr>
                <w:sz w:val="18"/>
                <w:szCs w:val="18"/>
                <w:lang w:eastAsia="sk-SK"/>
              </w:rPr>
            </w:pPr>
          </w:p>
        </w:tc>
        <w:tc>
          <w:tcPr>
            <w:tcW w:w="492" w:type="pct"/>
            <w:gridSpan w:val="3"/>
            <w:tcBorders>
              <w:top w:val="nil"/>
              <w:left w:val="nil"/>
              <w:bottom w:val="nil"/>
              <w:right w:val="nil"/>
            </w:tcBorders>
            <w:shd w:val="clear" w:color="000000" w:fill="FFFFFF"/>
            <w:noWrap/>
            <w:vAlign w:val="center"/>
            <w:hideMark/>
          </w:tcPr>
          <w:p w14:paraId="4D549125" w14:textId="2A53B9B1" w:rsidR="00992DD8" w:rsidRPr="00676772" w:rsidRDefault="008F5497" w:rsidP="008F5497">
            <w:pPr>
              <w:spacing w:after="0" w:line="240" w:lineRule="auto"/>
              <w:jc w:val="center"/>
              <w:rPr>
                <w:sz w:val="18"/>
                <w:szCs w:val="18"/>
                <w:lang w:eastAsia="sk-SK"/>
              </w:rPr>
            </w:pPr>
            <w:r>
              <w:rPr>
                <w:sz w:val="18"/>
                <w:szCs w:val="18"/>
              </w:rPr>
              <w:t xml:space="preserve">     </w:t>
            </w:r>
            <w:r w:rsidR="00992DD8" w:rsidRPr="00676772">
              <w:rPr>
                <w:sz w:val="18"/>
                <w:szCs w:val="18"/>
              </w:rPr>
              <w:t>-8 710</w:t>
            </w:r>
          </w:p>
        </w:tc>
        <w:tc>
          <w:tcPr>
            <w:tcW w:w="492" w:type="pct"/>
            <w:gridSpan w:val="3"/>
            <w:tcBorders>
              <w:top w:val="nil"/>
              <w:left w:val="nil"/>
              <w:bottom w:val="nil"/>
              <w:right w:val="nil"/>
            </w:tcBorders>
            <w:shd w:val="clear" w:color="000000" w:fill="FFFFFF"/>
            <w:noWrap/>
            <w:vAlign w:val="center"/>
            <w:hideMark/>
          </w:tcPr>
          <w:p w14:paraId="4051252A" w14:textId="362723F2" w:rsidR="00992DD8" w:rsidRPr="00676772" w:rsidRDefault="008F5497" w:rsidP="008F5497">
            <w:pPr>
              <w:spacing w:after="0" w:line="240" w:lineRule="auto"/>
              <w:jc w:val="center"/>
              <w:rPr>
                <w:sz w:val="18"/>
                <w:szCs w:val="18"/>
                <w:lang w:eastAsia="sk-SK"/>
              </w:rPr>
            </w:pPr>
            <w:r>
              <w:rPr>
                <w:sz w:val="18"/>
                <w:szCs w:val="18"/>
              </w:rPr>
              <w:t xml:space="preserve">    </w:t>
            </w:r>
            <w:r w:rsidR="00992DD8" w:rsidRPr="00676772">
              <w:rPr>
                <w:sz w:val="18"/>
                <w:szCs w:val="18"/>
              </w:rPr>
              <w:t>29 023</w:t>
            </w:r>
          </w:p>
        </w:tc>
        <w:tc>
          <w:tcPr>
            <w:tcW w:w="493" w:type="pct"/>
            <w:gridSpan w:val="4"/>
            <w:tcBorders>
              <w:top w:val="nil"/>
              <w:left w:val="nil"/>
              <w:bottom w:val="nil"/>
              <w:right w:val="nil"/>
            </w:tcBorders>
            <w:shd w:val="clear" w:color="000000" w:fill="FFFFFF"/>
            <w:noWrap/>
            <w:vAlign w:val="center"/>
            <w:hideMark/>
          </w:tcPr>
          <w:p w14:paraId="040B853E" w14:textId="33D1DC25" w:rsidR="00992DD8" w:rsidRPr="00676772" w:rsidRDefault="008F5497" w:rsidP="008F5497">
            <w:pPr>
              <w:spacing w:after="0" w:line="240" w:lineRule="auto"/>
              <w:jc w:val="center"/>
              <w:rPr>
                <w:sz w:val="18"/>
                <w:szCs w:val="18"/>
                <w:lang w:eastAsia="sk-SK"/>
              </w:rPr>
            </w:pPr>
            <w:r>
              <w:rPr>
                <w:sz w:val="18"/>
                <w:szCs w:val="18"/>
              </w:rPr>
              <w:t xml:space="preserve">   </w:t>
            </w:r>
            <w:r w:rsidR="00992DD8" w:rsidRPr="00676772">
              <w:rPr>
                <w:sz w:val="18"/>
                <w:szCs w:val="18"/>
              </w:rPr>
              <w:t>-13 115</w:t>
            </w:r>
          </w:p>
        </w:tc>
        <w:tc>
          <w:tcPr>
            <w:tcW w:w="483" w:type="pct"/>
            <w:gridSpan w:val="3"/>
            <w:tcBorders>
              <w:top w:val="nil"/>
              <w:left w:val="nil"/>
              <w:bottom w:val="nil"/>
              <w:right w:val="nil"/>
            </w:tcBorders>
            <w:shd w:val="clear" w:color="000000" w:fill="FFFFFF"/>
            <w:noWrap/>
            <w:vAlign w:val="center"/>
            <w:hideMark/>
          </w:tcPr>
          <w:p w14:paraId="49034BDA" w14:textId="5EE0FB1E" w:rsidR="00992DD8" w:rsidRPr="00676772" w:rsidRDefault="008F5497" w:rsidP="008F5497">
            <w:pPr>
              <w:spacing w:after="0" w:line="240" w:lineRule="auto"/>
              <w:jc w:val="center"/>
              <w:rPr>
                <w:sz w:val="18"/>
                <w:szCs w:val="18"/>
                <w:lang w:eastAsia="sk-SK"/>
              </w:rPr>
            </w:pPr>
            <w:r>
              <w:rPr>
                <w:sz w:val="18"/>
                <w:szCs w:val="18"/>
              </w:rPr>
              <w:t xml:space="preserve">         </w:t>
            </w:r>
            <w:r w:rsidR="00992DD8" w:rsidRPr="00676772">
              <w:rPr>
                <w:sz w:val="18"/>
                <w:szCs w:val="18"/>
              </w:rPr>
              <w:t>293</w:t>
            </w:r>
          </w:p>
        </w:tc>
        <w:tc>
          <w:tcPr>
            <w:tcW w:w="544" w:type="pct"/>
            <w:gridSpan w:val="3"/>
            <w:tcBorders>
              <w:top w:val="nil"/>
              <w:left w:val="nil"/>
              <w:bottom w:val="nil"/>
              <w:right w:val="nil"/>
            </w:tcBorders>
            <w:shd w:val="clear" w:color="000000" w:fill="FFFFFF"/>
            <w:noWrap/>
            <w:vAlign w:val="center"/>
            <w:hideMark/>
          </w:tcPr>
          <w:p w14:paraId="1E81CA1B" w14:textId="5625004C" w:rsidR="00992DD8" w:rsidRPr="00676772" w:rsidRDefault="008F5497" w:rsidP="008F5497">
            <w:pPr>
              <w:spacing w:after="0" w:line="240" w:lineRule="auto"/>
              <w:jc w:val="center"/>
              <w:rPr>
                <w:sz w:val="18"/>
                <w:szCs w:val="18"/>
                <w:lang w:eastAsia="sk-SK"/>
              </w:rPr>
            </w:pPr>
            <w:r>
              <w:rPr>
                <w:sz w:val="18"/>
                <w:szCs w:val="18"/>
              </w:rPr>
              <w:t xml:space="preserve">    </w:t>
            </w:r>
            <w:r w:rsidR="00992DD8" w:rsidRPr="00676772">
              <w:rPr>
                <w:sz w:val="18"/>
                <w:szCs w:val="18"/>
              </w:rPr>
              <w:t>-42 138</w:t>
            </w:r>
          </w:p>
        </w:tc>
        <w:tc>
          <w:tcPr>
            <w:tcW w:w="454" w:type="pct"/>
            <w:gridSpan w:val="2"/>
            <w:tcBorders>
              <w:top w:val="nil"/>
              <w:left w:val="nil"/>
              <w:bottom w:val="nil"/>
              <w:right w:val="nil"/>
            </w:tcBorders>
            <w:shd w:val="clear" w:color="000000" w:fill="FFFFFF"/>
            <w:noWrap/>
            <w:vAlign w:val="center"/>
            <w:hideMark/>
          </w:tcPr>
          <w:p w14:paraId="74333477" w14:textId="49FD3D77" w:rsidR="00992DD8" w:rsidRPr="00676772" w:rsidRDefault="008F5497" w:rsidP="008F5497">
            <w:pPr>
              <w:spacing w:after="0" w:line="240" w:lineRule="auto"/>
              <w:jc w:val="center"/>
              <w:rPr>
                <w:sz w:val="18"/>
                <w:szCs w:val="18"/>
                <w:lang w:eastAsia="sk-SK"/>
              </w:rPr>
            </w:pPr>
            <w:r>
              <w:rPr>
                <w:sz w:val="18"/>
                <w:szCs w:val="18"/>
              </w:rPr>
              <w:t xml:space="preserve"> </w:t>
            </w:r>
            <w:r w:rsidR="00992DD8" w:rsidRPr="00676772">
              <w:rPr>
                <w:sz w:val="18"/>
                <w:szCs w:val="18"/>
              </w:rPr>
              <w:t>-13 408</w:t>
            </w:r>
          </w:p>
        </w:tc>
      </w:tr>
      <w:tr w:rsidR="00992DD8" w:rsidRPr="00676772" w14:paraId="4EE73516"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5A6D7859" w14:textId="77777777" w:rsidR="00992DD8" w:rsidRPr="00676772" w:rsidRDefault="00992DD8" w:rsidP="0019064B">
            <w:pPr>
              <w:spacing w:after="0" w:line="240" w:lineRule="auto"/>
              <w:rPr>
                <w:color w:val="000000"/>
                <w:sz w:val="18"/>
                <w:szCs w:val="18"/>
                <w:lang w:eastAsia="sk-SK"/>
              </w:rPr>
            </w:pPr>
            <w:r w:rsidRPr="00676772">
              <w:rPr>
                <w:color w:val="000000"/>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34AEDDC0" w14:textId="77777777" w:rsidR="00992DD8" w:rsidRPr="00676772" w:rsidRDefault="00992DD8" w:rsidP="0019064B">
            <w:pPr>
              <w:spacing w:after="0" w:line="240" w:lineRule="auto"/>
              <w:rPr>
                <w:sz w:val="18"/>
                <w:szCs w:val="18"/>
                <w:lang w:eastAsia="sk-SK"/>
              </w:rPr>
            </w:pPr>
            <w:r w:rsidRPr="00676772">
              <w:rPr>
                <w:sz w:val="18"/>
                <w:szCs w:val="18"/>
                <w:lang w:eastAsia="sk-SK"/>
              </w:rPr>
              <w:t>Ostatné subjekty územnej samosprávy</w:t>
            </w:r>
          </w:p>
        </w:tc>
        <w:tc>
          <w:tcPr>
            <w:tcW w:w="497" w:type="pct"/>
            <w:gridSpan w:val="3"/>
            <w:tcBorders>
              <w:top w:val="nil"/>
              <w:left w:val="nil"/>
              <w:bottom w:val="nil"/>
              <w:right w:val="nil"/>
            </w:tcBorders>
            <w:shd w:val="clear" w:color="000000" w:fill="FFFFFF"/>
            <w:noWrap/>
            <w:vAlign w:val="center"/>
            <w:hideMark/>
          </w:tcPr>
          <w:p w14:paraId="337DEC69" w14:textId="77777777" w:rsidR="00992DD8" w:rsidRPr="00676772" w:rsidRDefault="00992DD8" w:rsidP="00420255">
            <w:pPr>
              <w:spacing w:after="0" w:line="240" w:lineRule="auto"/>
              <w:jc w:val="right"/>
              <w:rPr>
                <w:sz w:val="18"/>
                <w:szCs w:val="18"/>
                <w:lang w:eastAsia="sk-SK"/>
              </w:rPr>
            </w:pPr>
            <w:r w:rsidRPr="00676772">
              <w:rPr>
                <w:sz w:val="18"/>
                <w:szCs w:val="18"/>
              </w:rPr>
              <w:t>8 304</w:t>
            </w:r>
          </w:p>
        </w:tc>
        <w:tc>
          <w:tcPr>
            <w:tcW w:w="492" w:type="pct"/>
            <w:gridSpan w:val="3"/>
            <w:tcBorders>
              <w:top w:val="nil"/>
              <w:left w:val="nil"/>
              <w:bottom w:val="nil"/>
              <w:right w:val="nil"/>
            </w:tcBorders>
            <w:shd w:val="clear" w:color="000000" w:fill="FFFFFF"/>
            <w:noWrap/>
            <w:vAlign w:val="center"/>
            <w:hideMark/>
          </w:tcPr>
          <w:p w14:paraId="00E353F0" w14:textId="77777777" w:rsidR="00992DD8" w:rsidRPr="00676772" w:rsidRDefault="00992DD8" w:rsidP="00420255">
            <w:pPr>
              <w:spacing w:after="0" w:line="240" w:lineRule="auto"/>
              <w:jc w:val="right"/>
              <w:rPr>
                <w:sz w:val="18"/>
                <w:szCs w:val="18"/>
                <w:lang w:eastAsia="sk-SK"/>
              </w:rPr>
            </w:pPr>
            <w:r w:rsidRPr="00676772">
              <w:rPr>
                <w:sz w:val="18"/>
                <w:szCs w:val="18"/>
              </w:rPr>
              <w:t>2 091</w:t>
            </w:r>
          </w:p>
        </w:tc>
        <w:tc>
          <w:tcPr>
            <w:tcW w:w="493" w:type="pct"/>
            <w:gridSpan w:val="4"/>
            <w:tcBorders>
              <w:top w:val="nil"/>
              <w:left w:val="nil"/>
              <w:bottom w:val="nil"/>
              <w:right w:val="nil"/>
            </w:tcBorders>
            <w:shd w:val="clear" w:color="000000" w:fill="FFFFFF"/>
            <w:noWrap/>
            <w:vAlign w:val="center"/>
            <w:hideMark/>
          </w:tcPr>
          <w:p w14:paraId="2C17BEDC" w14:textId="77777777" w:rsidR="00992DD8" w:rsidRPr="00676772" w:rsidRDefault="00992DD8" w:rsidP="00420255">
            <w:pPr>
              <w:spacing w:after="0" w:line="240" w:lineRule="auto"/>
              <w:jc w:val="right"/>
              <w:rPr>
                <w:sz w:val="18"/>
                <w:szCs w:val="18"/>
                <w:lang w:eastAsia="sk-SK"/>
              </w:rPr>
            </w:pPr>
            <w:r w:rsidRPr="00676772">
              <w:rPr>
                <w:sz w:val="18"/>
                <w:szCs w:val="18"/>
              </w:rPr>
              <w:t>-24 817</w:t>
            </w:r>
          </w:p>
        </w:tc>
        <w:tc>
          <w:tcPr>
            <w:tcW w:w="493" w:type="pct"/>
            <w:gridSpan w:val="3"/>
            <w:tcBorders>
              <w:top w:val="nil"/>
              <w:left w:val="nil"/>
              <w:bottom w:val="nil"/>
              <w:right w:val="nil"/>
            </w:tcBorders>
            <w:shd w:val="clear" w:color="000000" w:fill="FFFFFF"/>
            <w:noWrap/>
            <w:vAlign w:val="center"/>
            <w:hideMark/>
          </w:tcPr>
          <w:p w14:paraId="2601B8E5" w14:textId="77777777" w:rsidR="00992DD8" w:rsidRPr="00676772" w:rsidRDefault="00992DD8" w:rsidP="00420255">
            <w:pPr>
              <w:spacing w:after="0" w:line="240" w:lineRule="auto"/>
              <w:jc w:val="right"/>
              <w:rPr>
                <w:sz w:val="18"/>
                <w:szCs w:val="18"/>
                <w:lang w:eastAsia="sk-SK"/>
              </w:rPr>
            </w:pPr>
            <w:r w:rsidRPr="00676772">
              <w:rPr>
                <w:sz w:val="18"/>
                <w:szCs w:val="18"/>
              </w:rPr>
              <w:t>0</w:t>
            </w:r>
          </w:p>
        </w:tc>
        <w:tc>
          <w:tcPr>
            <w:tcW w:w="531" w:type="pct"/>
            <w:gridSpan w:val="3"/>
            <w:tcBorders>
              <w:top w:val="nil"/>
              <w:left w:val="nil"/>
              <w:bottom w:val="nil"/>
              <w:right w:val="nil"/>
            </w:tcBorders>
            <w:shd w:val="clear" w:color="000000" w:fill="FFFFFF"/>
            <w:noWrap/>
            <w:vAlign w:val="center"/>
            <w:hideMark/>
          </w:tcPr>
          <w:p w14:paraId="2B1EE64C" w14:textId="77777777" w:rsidR="00992DD8" w:rsidRPr="00676772" w:rsidRDefault="00992DD8" w:rsidP="00420255">
            <w:pPr>
              <w:spacing w:after="0" w:line="240" w:lineRule="auto"/>
              <w:jc w:val="right"/>
              <w:rPr>
                <w:sz w:val="18"/>
                <w:szCs w:val="18"/>
                <w:lang w:eastAsia="sk-SK"/>
              </w:rPr>
            </w:pPr>
            <w:r w:rsidRPr="00676772">
              <w:rPr>
                <w:sz w:val="18"/>
                <w:szCs w:val="18"/>
              </w:rPr>
              <w:t>-26 908</w:t>
            </w:r>
          </w:p>
        </w:tc>
        <w:tc>
          <w:tcPr>
            <w:tcW w:w="463" w:type="pct"/>
            <w:gridSpan w:val="2"/>
            <w:tcBorders>
              <w:top w:val="nil"/>
              <w:left w:val="nil"/>
              <w:bottom w:val="nil"/>
              <w:right w:val="nil"/>
            </w:tcBorders>
            <w:shd w:val="clear" w:color="000000" w:fill="FFFFFF"/>
            <w:noWrap/>
            <w:vAlign w:val="center"/>
            <w:hideMark/>
          </w:tcPr>
          <w:p w14:paraId="5B75BD2C" w14:textId="77777777" w:rsidR="00992DD8" w:rsidRPr="00676772" w:rsidRDefault="00992DD8" w:rsidP="00420255">
            <w:pPr>
              <w:spacing w:after="0" w:line="240" w:lineRule="auto"/>
              <w:jc w:val="right"/>
              <w:rPr>
                <w:sz w:val="18"/>
                <w:szCs w:val="18"/>
                <w:lang w:eastAsia="sk-SK"/>
              </w:rPr>
            </w:pPr>
            <w:r w:rsidRPr="00676772">
              <w:rPr>
                <w:sz w:val="18"/>
                <w:szCs w:val="18"/>
              </w:rPr>
              <w:t>-24 817</w:t>
            </w:r>
          </w:p>
        </w:tc>
      </w:tr>
      <w:tr w:rsidR="00992DD8" w:rsidRPr="00676772" w14:paraId="6554C500" w14:textId="77777777" w:rsidTr="00420255">
        <w:trPr>
          <w:gridAfter w:val="1"/>
          <w:wAfter w:w="27" w:type="pct"/>
          <w:trHeight w:val="257"/>
        </w:trPr>
        <w:tc>
          <w:tcPr>
            <w:tcW w:w="2004" w:type="pct"/>
            <w:gridSpan w:val="4"/>
            <w:tcBorders>
              <w:top w:val="nil"/>
              <w:left w:val="nil"/>
              <w:bottom w:val="nil"/>
              <w:right w:val="nil"/>
            </w:tcBorders>
            <w:shd w:val="clear" w:color="000000" w:fill="FFFFFF"/>
            <w:noWrap/>
            <w:vAlign w:val="center"/>
            <w:hideMark/>
          </w:tcPr>
          <w:p w14:paraId="16EC64F6" w14:textId="77777777" w:rsidR="00992DD8" w:rsidRPr="00676772" w:rsidRDefault="00992DD8" w:rsidP="0019064B">
            <w:pPr>
              <w:spacing w:after="0" w:line="240" w:lineRule="auto"/>
              <w:rPr>
                <w:b/>
                <w:bCs/>
                <w:color w:val="000000"/>
                <w:sz w:val="18"/>
                <w:szCs w:val="18"/>
                <w:lang w:eastAsia="sk-SK"/>
              </w:rPr>
            </w:pPr>
            <w:r w:rsidRPr="00676772">
              <w:rPr>
                <w:b/>
                <w:bCs/>
                <w:color w:val="000000"/>
                <w:sz w:val="18"/>
                <w:szCs w:val="18"/>
                <w:lang w:eastAsia="sk-SK"/>
              </w:rPr>
              <w:t>Fondy sociálneho zabezpečenia</w:t>
            </w:r>
          </w:p>
        </w:tc>
        <w:tc>
          <w:tcPr>
            <w:tcW w:w="497" w:type="pct"/>
            <w:gridSpan w:val="3"/>
            <w:tcBorders>
              <w:top w:val="nil"/>
              <w:left w:val="nil"/>
              <w:bottom w:val="nil"/>
              <w:right w:val="nil"/>
            </w:tcBorders>
            <w:shd w:val="clear" w:color="000000" w:fill="FFFFFF"/>
            <w:noWrap/>
            <w:vAlign w:val="center"/>
            <w:hideMark/>
          </w:tcPr>
          <w:p w14:paraId="05E9EE4A" w14:textId="77777777" w:rsidR="00992DD8" w:rsidRPr="00676772" w:rsidRDefault="00992DD8" w:rsidP="00420255">
            <w:pPr>
              <w:spacing w:after="0" w:line="240" w:lineRule="auto"/>
              <w:jc w:val="right"/>
              <w:rPr>
                <w:b/>
                <w:bCs/>
                <w:sz w:val="18"/>
                <w:szCs w:val="18"/>
                <w:lang w:eastAsia="sk-SK"/>
              </w:rPr>
            </w:pPr>
            <w:r w:rsidRPr="00676772">
              <w:rPr>
                <w:b/>
                <w:bCs/>
                <w:sz w:val="18"/>
                <w:szCs w:val="18"/>
              </w:rPr>
              <w:t>285 342</w:t>
            </w:r>
          </w:p>
        </w:tc>
        <w:tc>
          <w:tcPr>
            <w:tcW w:w="492" w:type="pct"/>
            <w:gridSpan w:val="3"/>
            <w:tcBorders>
              <w:top w:val="nil"/>
              <w:left w:val="nil"/>
              <w:bottom w:val="nil"/>
              <w:right w:val="nil"/>
            </w:tcBorders>
            <w:shd w:val="clear" w:color="000000" w:fill="FFFFFF"/>
            <w:noWrap/>
            <w:vAlign w:val="center"/>
            <w:hideMark/>
          </w:tcPr>
          <w:p w14:paraId="7A6733D8" w14:textId="77777777" w:rsidR="00992DD8" w:rsidRPr="00676772" w:rsidRDefault="00992DD8" w:rsidP="00420255">
            <w:pPr>
              <w:spacing w:after="0" w:line="240" w:lineRule="auto"/>
              <w:jc w:val="right"/>
              <w:rPr>
                <w:b/>
                <w:bCs/>
                <w:sz w:val="18"/>
                <w:szCs w:val="18"/>
                <w:lang w:eastAsia="sk-SK"/>
              </w:rPr>
            </w:pPr>
            <w:r w:rsidRPr="00676772">
              <w:rPr>
                <w:b/>
                <w:bCs/>
                <w:sz w:val="18"/>
                <w:szCs w:val="18"/>
              </w:rPr>
              <w:t>191 891</w:t>
            </w:r>
          </w:p>
        </w:tc>
        <w:tc>
          <w:tcPr>
            <w:tcW w:w="493" w:type="pct"/>
            <w:gridSpan w:val="4"/>
            <w:tcBorders>
              <w:top w:val="nil"/>
              <w:left w:val="nil"/>
              <w:bottom w:val="nil"/>
              <w:right w:val="nil"/>
            </w:tcBorders>
            <w:shd w:val="clear" w:color="000000" w:fill="FFFFFF"/>
            <w:noWrap/>
            <w:vAlign w:val="center"/>
            <w:hideMark/>
          </w:tcPr>
          <w:p w14:paraId="643CD0B0" w14:textId="77777777" w:rsidR="00992DD8" w:rsidRPr="00676772" w:rsidRDefault="00992DD8" w:rsidP="00420255">
            <w:pPr>
              <w:spacing w:after="0" w:line="240" w:lineRule="auto"/>
              <w:jc w:val="right"/>
              <w:rPr>
                <w:b/>
                <w:bCs/>
                <w:sz w:val="18"/>
                <w:szCs w:val="18"/>
                <w:lang w:eastAsia="sk-SK"/>
              </w:rPr>
            </w:pPr>
            <w:r w:rsidRPr="00676772">
              <w:rPr>
                <w:b/>
                <w:bCs/>
                <w:sz w:val="18"/>
                <w:szCs w:val="18"/>
              </w:rPr>
              <w:t>276 236</w:t>
            </w:r>
          </w:p>
        </w:tc>
        <w:tc>
          <w:tcPr>
            <w:tcW w:w="493" w:type="pct"/>
            <w:gridSpan w:val="3"/>
            <w:tcBorders>
              <w:top w:val="nil"/>
              <w:left w:val="nil"/>
              <w:bottom w:val="nil"/>
              <w:right w:val="nil"/>
            </w:tcBorders>
            <w:shd w:val="clear" w:color="000000" w:fill="FFFFFF"/>
            <w:noWrap/>
            <w:vAlign w:val="center"/>
            <w:hideMark/>
          </w:tcPr>
          <w:p w14:paraId="0C1EED72" w14:textId="77777777" w:rsidR="00992DD8" w:rsidRPr="00676772" w:rsidRDefault="00992DD8" w:rsidP="00420255">
            <w:pPr>
              <w:spacing w:after="0" w:line="240" w:lineRule="auto"/>
              <w:jc w:val="right"/>
              <w:rPr>
                <w:b/>
                <w:bCs/>
                <w:sz w:val="18"/>
                <w:szCs w:val="18"/>
                <w:lang w:eastAsia="sk-SK"/>
              </w:rPr>
            </w:pPr>
            <w:r w:rsidRPr="00676772">
              <w:rPr>
                <w:b/>
                <w:bCs/>
                <w:sz w:val="18"/>
                <w:szCs w:val="18"/>
              </w:rPr>
              <w:t>-181 759</w:t>
            </w:r>
          </w:p>
        </w:tc>
        <w:tc>
          <w:tcPr>
            <w:tcW w:w="531" w:type="pct"/>
            <w:gridSpan w:val="3"/>
            <w:tcBorders>
              <w:top w:val="nil"/>
              <w:left w:val="nil"/>
              <w:bottom w:val="nil"/>
              <w:right w:val="nil"/>
            </w:tcBorders>
            <w:shd w:val="clear" w:color="000000" w:fill="FFFFFF"/>
            <w:noWrap/>
            <w:vAlign w:val="center"/>
            <w:hideMark/>
          </w:tcPr>
          <w:p w14:paraId="1987EB69" w14:textId="77777777" w:rsidR="00992DD8" w:rsidRPr="00676772" w:rsidRDefault="00992DD8" w:rsidP="00420255">
            <w:pPr>
              <w:spacing w:after="0" w:line="240" w:lineRule="auto"/>
              <w:jc w:val="right"/>
              <w:rPr>
                <w:b/>
                <w:bCs/>
                <w:sz w:val="18"/>
                <w:szCs w:val="18"/>
                <w:lang w:eastAsia="sk-SK"/>
              </w:rPr>
            </w:pPr>
            <w:r w:rsidRPr="00676772">
              <w:rPr>
                <w:b/>
                <w:bCs/>
                <w:sz w:val="18"/>
                <w:szCs w:val="18"/>
              </w:rPr>
              <w:t>84 345</w:t>
            </w:r>
          </w:p>
        </w:tc>
        <w:tc>
          <w:tcPr>
            <w:tcW w:w="463" w:type="pct"/>
            <w:gridSpan w:val="2"/>
            <w:tcBorders>
              <w:top w:val="nil"/>
              <w:left w:val="nil"/>
              <w:bottom w:val="nil"/>
              <w:right w:val="nil"/>
            </w:tcBorders>
            <w:shd w:val="clear" w:color="000000" w:fill="FFFFFF"/>
            <w:noWrap/>
            <w:vAlign w:val="center"/>
            <w:hideMark/>
          </w:tcPr>
          <w:p w14:paraId="0E5EC914" w14:textId="77777777" w:rsidR="00992DD8" w:rsidRPr="00676772" w:rsidRDefault="00992DD8" w:rsidP="00420255">
            <w:pPr>
              <w:spacing w:after="0" w:line="240" w:lineRule="auto"/>
              <w:jc w:val="right"/>
              <w:rPr>
                <w:b/>
                <w:bCs/>
                <w:sz w:val="18"/>
                <w:szCs w:val="18"/>
                <w:lang w:eastAsia="sk-SK"/>
              </w:rPr>
            </w:pPr>
            <w:r w:rsidRPr="00676772">
              <w:rPr>
                <w:b/>
                <w:bCs/>
                <w:sz w:val="18"/>
                <w:szCs w:val="18"/>
              </w:rPr>
              <w:t>457 995</w:t>
            </w:r>
          </w:p>
        </w:tc>
      </w:tr>
      <w:tr w:rsidR="00992DD8" w:rsidRPr="00676772" w14:paraId="0351107B"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00168ECF" w14:textId="77777777" w:rsidR="00992DD8" w:rsidRPr="00676772" w:rsidRDefault="00992DD8" w:rsidP="0019064B">
            <w:pPr>
              <w:spacing w:after="0" w:line="240" w:lineRule="auto"/>
              <w:rPr>
                <w:sz w:val="18"/>
                <w:szCs w:val="18"/>
                <w:lang w:eastAsia="sk-SK"/>
              </w:rPr>
            </w:pPr>
            <w:r w:rsidRPr="00676772">
              <w:rPr>
                <w:sz w:val="18"/>
                <w:szCs w:val="18"/>
                <w:lang w:eastAsia="sk-SK"/>
              </w:rPr>
              <w:t> </w:t>
            </w:r>
          </w:p>
        </w:tc>
        <w:tc>
          <w:tcPr>
            <w:tcW w:w="1905" w:type="pct"/>
            <w:gridSpan w:val="3"/>
            <w:tcBorders>
              <w:top w:val="nil"/>
              <w:left w:val="nil"/>
              <w:bottom w:val="nil"/>
              <w:right w:val="nil"/>
            </w:tcBorders>
            <w:shd w:val="clear" w:color="000000" w:fill="FFFFFF"/>
            <w:noWrap/>
            <w:vAlign w:val="center"/>
            <w:hideMark/>
          </w:tcPr>
          <w:p w14:paraId="7C714DB3" w14:textId="77777777" w:rsidR="00992DD8" w:rsidRPr="00676772" w:rsidRDefault="00992DD8" w:rsidP="0019064B">
            <w:pPr>
              <w:spacing w:after="0" w:line="240" w:lineRule="auto"/>
              <w:rPr>
                <w:sz w:val="18"/>
                <w:szCs w:val="18"/>
                <w:lang w:eastAsia="sk-SK"/>
              </w:rPr>
            </w:pPr>
            <w:r w:rsidRPr="00676772">
              <w:rPr>
                <w:sz w:val="18"/>
                <w:szCs w:val="18"/>
                <w:lang w:eastAsia="sk-SK"/>
              </w:rPr>
              <w:t>Sociálna poisťovňa</w:t>
            </w:r>
          </w:p>
        </w:tc>
        <w:tc>
          <w:tcPr>
            <w:tcW w:w="497" w:type="pct"/>
            <w:gridSpan w:val="3"/>
            <w:tcBorders>
              <w:top w:val="nil"/>
              <w:left w:val="nil"/>
              <w:bottom w:val="nil"/>
              <w:right w:val="nil"/>
            </w:tcBorders>
            <w:shd w:val="clear" w:color="000000" w:fill="FFFFFF"/>
            <w:noWrap/>
            <w:vAlign w:val="center"/>
            <w:hideMark/>
          </w:tcPr>
          <w:p w14:paraId="21BEB634" w14:textId="77777777" w:rsidR="00992DD8" w:rsidRPr="00676772" w:rsidRDefault="00992DD8" w:rsidP="00420255">
            <w:pPr>
              <w:spacing w:after="0" w:line="240" w:lineRule="auto"/>
              <w:jc w:val="right"/>
              <w:rPr>
                <w:sz w:val="18"/>
                <w:szCs w:val="18"/>
                <w:lang w:eastAsia="sk-SK"/>
              </w:rPr>
            </w:pPr>
            <w:r w:rsidRPr="00676772">
              <w:rPr>
                <w:sz w:val="18"/>
                <w:szCs w:val="18"/>
              </w:rPr>
              <w:t>327 853</w:t>
            </w:r>
          </w:p>
        </w:tc>
        <w:tc>
          <w:tcPr>
            <w:tcW w:w="492" w:type="pct"/>
            <w:gridSpan w:val="3"/>
            <w:tcBorders>
              <w:top w:val="nil"/>
              <w:left w:val="nil"/>
              <w:bottom w:val="nil"/>
              <w:right w:val="nil"/>
            </w:tcBorders>
            <w:shd w:val="clear" w:color="000000" w:fill="FFFFFF"/>
            <w:noWrap/>
            <w:vAlign w:val="center"/>
            <w:hideMark/>
          </w:tcPr>
          <w:p w14:paraId="2C60B8D7" w14:textId="77777777" w:rsidR="00992DD8" w:rsidRPr="00676772" w:rsidRDefault="00992DD8" w:rsidP="00420255">
            <w:pPr>
              <w:spacing w:after="0" w:line="240" w:lineRule="auto"/>
              <w:jc w:val="right"/>
              <w:rPr>
                <w:sz w:val="18"/>
                <w:szCs w:val="18"/>
                <w:lang w:eastAsia="sk-SK"/>
              </w:rPr>
            </w:pPr>
            <w:r w:rsidRPr="00676772">
              <w:rPr>
                <w:sz w:val="18"/>
                <w:szCs w:val="18"/>
              </w:rPr>
              <w:t>191 339</w:t>
            </w:r>
          </w:p>
        </w:tc>
        <w:tc>
          <w:tcPr>
            <w:tcW w:w="493" w:type="pct"/>
            <w:gridSpan w:val="4"/>
            <w:tcBorders>
              <w:top w:val="nil"/>
              <w:left w:val="nil"/>
              <w:bottom w:val="nil"/>
              <w:right w:val="nil"/>
            </w:tcBorders>
            <w:shd w:val="clear" w:color="000000" w:fill="FFFFFF"/>
            <w:noWrap/>
            <w:vAlign w:val="center"/>
            <w:hideMark/>
          </w:tcPr>
          <w:p w14:paraId="159FE2AE" w14:textId="77777777" w:rsidR="00992DD8" w:rsidRPr="00676772" w:rsidRDefault="00992DD8" w:rsidP="00420255">
            <w:pPr>
              <w:spacing w:after="0" w:line="240" w:lineRule="auto"/>
              <w:jc w:val="right"/>
              <w:rPr>
                <w:sz w:val="18"/>
                <w:szCs w:val="18"/>
                <w:lang w:eastAsia="sk-SK"/>
              </w:rPr>
            </w:pPr>
            <w:r w:rsidRPr="00676772">
              <w:rPr>
                <w:sz w:val="18"/>
                <w:szCs w:val="18"/>
              </w:rPr>
              <w:t>51 561</w:t>
            </w:r>
          </w:p>
        </w:tc>
        <w:tc>
          <w:tcPr>
            <w:tcW w:w="493" w:type="pct"/>
            <w:gridSpan w:val="3"/>
            <w:tcBorders>
              <w:top w:val="nil"/>
              <w:left w:val="nil"/>
              <w:bottom w:val="nil"/>
              <w:right w:val="nil"/>
            </w:tcBorders>
            <w:shd w:val="clear" w:color="000000" w:fill="FFFFFF"/>
            <w:noWrap/>
            <w:vAlign w:val="center"/>
            <w:hideMark/>
          </w:tcPr>
          <w:p w14:paraId="31C7E722" w14:textId="77777777" w:rsidR="00992DD8" w:rsidRPr="00676772" w:rsidRDefault="00992DD8" w:rsidP="00420255">
            <w:pPr>
              <w:spacing w:after="0" w:line="240" w:lineRule="auto"/>
              <w:jc w:val="right"/>
              <w:rPr>
                <w:sz w:val="18"/>
                <w:szCs w:val="18"/>
                <w:lang w:eastAsia="sk-SK"/>
              </w:rPr>
            </w:pPr>
            <w:r w:rsidRPr="00676772">
              <w:rPr>
                <w:sz w:val="18"/>
                <w:szCs w:val="18"/>
              </w:rPr>
              <w:t>-226 004</w:t>
            </w:r>
          </w:p>
        </w:tc>
        <w:tc>
          <w:tcPr>
            <w:tcW w:w="531" w:type="pct"/>
            <w:gridSpan w:val="3"/>
            <w:tcBorders>
              <w:top w:val="nil"/>
              <w:left w:val="nil"/>
              <w:bottom w:val="nil"/>
              <w:right w:val="nil"/>
            </w:tcBorders>
            <w:shd w:val="clear" w:color="000000" w:fill="FFFFFF"/>
            <w:noWrap/>
            <w:vAlign w:val="center"/>
            <w:hideMark/>
          </w:tcPr>
          <w:p w14:paraId="5CFAC67C" w14:textId="77777777" w:rsidR="00992DD8" w:rsidRPr="00676772" w:rsidRDefault="00992DD8" w:rsidP="00420255">
            <w:pPr>
              <w:spacing w:after="0" w:line="240" w:lineRule="auto"/>
              <w:jc w:val="right"/>
              <w:rPr>
                <w:sz w:val="18"/>
                <w:szCs w:val="18"/>
                <w:lang w:eastAsia="sk-SK"/>
              </w:rPr>
            </w:pPr>
            <w:r w:rsidRPr="00676772">
              <w:rPr>
                <w:sz w:val="18"/>
                <w:szCs w:val="18"/>
              </w:rPr>
              <w:t>-139 778</w:t>
            </w:r>
          </w:p>
        </w:tc>
        <w:tc>
          <w:tcPr>
            <w:tcW w:w="463" w:type="pct"/>
            <w:gridSpan w:val="2"/>
            <w:tcBorders>
              <w:top w:val="nil"/>
              <w:left w:val="nil"/>
              <w:bottom w:val="nil"/>
              <w:right w:val="nil"/>
            </w:tcBorders>
            <w:shd w:val="clear" w:color="000000" w:fill="FFFFFF"/>
            <w:noWrap/>
            <w:vAlign w:val="center"/>
            <w:hideMark/>
          </w:tcPr>
          <w:p w14:paraId="1B9D79A9" w14:textId="77777777" w:rsidR="00992DD8" w:rsidRPr="00676772" w:rsidRDefault="00992DD8" w:rsidP="00420255">
            <w:pPr>
              <w:spacing w:after="0" w:line="240" w:lineRule="auto"/>
              <w:jc w:val="right"/>
              <w:rPr>
                <w:sz w:val="18"/>
                <w:szCs w:val="18"/>
                <w:lang w:eastAsia="sk-SK"/>
              </w:rPr>
            </w:pPr>
            <w:r w:rsidRPr="00676772">
              <w:rPr>
                <w:sz w:val="18"/>
                <w:szCs w:val="18"/>
              </w:rPr>
              <w:t>277 565</w:t>
            </w:r>
          </w:p>
        </w:tc>
      </w:tr>
      <w:tr w:rsidR="00992DD8" w:rsidRPr="00676772" w14:paraId="72D65487" w14:textId="77777777" w:rsidTr="00420255">
        <w:trPr>
          <w:gridAfter w:val="1"/>
          <w:wAfter w:w="27" w:type="pct"/>
          <w:trHeight w:val="257"/>
        </w:trPr>
        <w:tc>
          <w:tcPr>
            <w:tcW w:w="100" w:type="pct"/>
            <w:tcBorders>
              <w:top w:val="nil"/>
              <w:left w:val="nil"/>
              <w:bottom w:val="nil"/>
              <w:right w:val="nil"/>
            </w:tcBorders>
            <w:shd w:val="clear" w:color="000000" w:fill="FFFFFF"/>
            <w:noWrap/>
            <w:vAlign w:val="center"/>
            <w:hideMark/>
          </w:tcPr>
          <w:p w14:paraId="57F1E81E" w14:textId="77777777" w:rsidR="00992DD8" w:rsidRPr="00676772" w:rsidRDefault="00992DD8" w:rsidP="0019064B">
            <w:pPr>
              <w:spacing w:after="0" w:line="240" w:lineRule="auto"/>
              <w:rPr>
                <w:sz w:val="18"/>
                <w:szCs w:val="18"/>
                <w:lang w:eastAsia="sk-SK"/>
              </w:rPr>
            </w:pPr>
            <w:r w:rsidRPr="00676772">
              <w:rPr>
                <w:sz w:val="18"/>
                <w:szCs w:val="18"/>
                <w:lang w:eastAsia="sk-SK"/>
              </w:rPr>
              <w:lastRenderedPageBreak/>
              <w:t> </w:t>
            </w:r>
          </w:p>
        </w:tc>
        <w:tc>
          <w:tcPr>
            <w:tcW w:w="1905" w:type="pct"/>
            <w:gridSpan w:val="3"/>
            <w:tcBorders>
              <w:top w:val="nil"/>
              <w:left w:val="nil"/>
              <w:bottom w:val="nil"/>
              <w:right w:val="nil"/>
            </w:tcBorders>
            <w:shd w:val="clear" w:color="000000" w:fill="FFFFFF"/>
            <w:noWrap/>
            <w:vAlign w:val="center"/>
            <w:hideMark/>
          </w:tcPr>
          <w:p w14:paraId="7662B1E5" w14:textId="77777777" w:rsidR="00992DD8" w:rsidRPr="00676772" w:rsidRDefault="00992DD8" w:rsidP="0019064B">
            <w:pPr>
              <w:spacing w:after="0" w:line="240" w:lineRule="auto"/>
              <w:rPr>
                <w:sz w:val="18"/>
                <w:szCs w:val="18"/>
                <w:lang w:eastAsia="sk-SK"/>
              </w:rPr>
            </w:pPr>
            <w:r w:rsidRPr="00676772">
              <w:rPr>
                <w:sz w:val="18"/>
                <w:szCs w:val="18"/>
                <w:lang w:eastAsia="sk-SK"/>
              </w:rPr>
              <w:t>Verejné zdravotné poistenie</w:t>
            </w:r>
          </w:p>
        </w:tc>
        <w:tc>
          <w:tcPr>
            <w:tcW w:w="497" w:type="pct"/>
            <w:gridSpan w:val="3"/>
            <w:tcBorders>
              <w:top w:val="nil"/>
              <w:left w:val="nil"/>
              <w:bottom w:val="nil"/>
              <w:right w:val="nil"/>
            </w:tcBorders>
            <w:shd w:val="clear" w:color="000000" w:fill="FFFFFF"/>
            <w:noWrap/>
            <w:vAlign w:val="center"/>
            <w:hideMark/>
          </w:tcPr>
          <w:p w14:paraId="434F9DB8" w14:textId="77777777" w:rsidR="00992DD8" w:rsidRPr="00676772" w:rsidRDefault="00992DD8" w:rsidP="00420255">
            <w:pPr>
              <w:spacing w:after="0" w:line="240" w:lineRule="auto"/>
              <w:jc w:val="right"/>
              <w:rPr>
                <w:sz w:val="18"/>
                <w:szCs w:val="18"/>
                <w:lang w:eastAsia="sk-SK"/>
              </w:rPr>
            </w:pPr>
            <w:r w:rsidRPr="00676772">
              <w:rPr>
                <w:sz w:val="18"/>
                <w:szCs w:val="18"/>
              </w:rPr>
              <w:t>-42 511</w:t>
            </w:r>
          </w:p>
        </w:tc>
        <w:tc>
          <w:tcPr>
            <w:tcW w:w="492" w:type="pct"/>
            <w:gridSpan w:val="3"/>
            <w:tcBorders>
              <w:top w:val="nil"/>
              <w:left w:val="nil"/>
              <w:bottom w:val="nil"/>
              <w:right w:val="nil"/>
            </w:tcBorders>
            <w:shd w:val="clear" w:color="000000" w:fill="FFFFFF"/>
            <w:noWrap/>
            <w:vAlign w:val="center"/>
            <w:hideMark/>
          </w:tcPr>
          <w:p w14:paraId="60627BAD" w14:textId="77777777" w:rsidR="00992DD8" w:rsidRPr="00676772" w:rsidRDefault="00992DD8" w:rsidP="00420255">
            <w:pPr>
              <w:spacing w:after="0" w:line="240" w:lineRule="auto"/>
              <w:jc w:val="right"/>
              <w:rPr>
                <w:sz w:val="18"/>
                <w:szCs w:val="18"/>
                <w:lang w:eastAsia="sk-SK"/>
              </w:rPr>
            </w:pPr>
            <w:r w:rsidRPr="00676772">
              <w:rPr>
                <w:sz w:val="18"/>
                <w:szCs w:val="18"/>
              </w:rPr>
              <w:t>552</w:t>
            </w:r>
          </w:p>
        </w:tc>
        <w:tc>
          <w:tcPr>
            <w:tcW w:w="493" w:type="pct"/>
            <w:gridSpan w:val="4"/>
            <w:tcBorders>
              <w:top w:val="nil"/>
              <w:left w:val="nil"/>
              <w:bottom w:val="nil"/>
              <w:right w:val="nil"/>
            </w:tcBorders>
            <w:shd w:val="clear" w:color="000000" w:fill="FFFFFF"/>
            <w:noWrap/>
            <w:vAlign w:val="center"/>
            <w:hideMark/>
          </w:tcPr>
          <w:p w14:paraId="3D2F81E7" w14:textId="77777777" w:rsidR="00992DD8" w:rsidRPr="00676772" w:rsidRDefault="00992DD8" w:rsidP="00420255">
            <w:pPr>
              <w:spacing w:after="0" w:line="240" w:lineRule="auto"/>
              <w:jc w:val="right"/>
              <w:rPr>
                <w:sz w:val="18"/>
                <w:szCs w:val="18"/>
                <w:lang w:eastAsia="sk-SK"/>
              </w:rPr>
            </w:pPr>
            <w:r w:rsidRPr="00676772">
              <w:rPr>
                <w:sz w:val="18"/>
                <w:szCs w:val="18"/>
              </w:rPr>
              <w:t>224 675</w:t>
            </w:r>
          </w:p>
        </w:tc>
        <w:tc>
          <w:tcPr>
            <w:tcW w:w="493" w:type="pct"/>
            <w:gridSpan w:val="3"/>
            <w:tcBorders>
              <w:top w:val="nil"/>
              <w:left w:val="nil"/>
              <w:bottom w:val="nil"/>
              <w:right w:val="nil"/>
            </w:tcBorders>
            <w:shd w:val="clear" w:color="000000" w:fill="FFFFFF"/>
            <w:noWrap/>
            <w:vAlign w:val="center"/>
            <w:hideMark/>
          </w:tcPr>
          <w:p w14:paraId="62973D87" w14:textId="77777777" w:rsidR="00992DD8" w:rsidRPr="00676772" w:rsidRDefault="00992DD8" w:rsidP="00420255">
            <w:pPr>
              <w:spacing w:after="0" w:line="240" w:lineRule="auto"/>
              <w:jc w:val="right"/>
              <w:rPr>
                <w:sz w:val="18"/>
                <w:szCs w:val="18"/>
                <w:lang w:eastAsia="sk-SK"/>
              </w:rPr>
            </w:pPr>
            <w:r w:rsidRPr="00676772">
              <w:rPr>
                <w:sz w:val="18"/>
                <w:szCs w:val="18"/>
              </w:rPr>
              <w:t>44 245</w:t>
            </w:r>
          </w:p>
        </w:tc>
        <w:tc>
          <w:tcPr>
            <w:tcW w:w="531" w:type="pct"/>
            <w:gridSpan w:val="3"/>
            <w:tcBorders>
              <w:top w:val="nil"/>
              <w:left w:val="nil"/>
              <w:bottom w:val="nil"/>
              <w:right w:val="nil"/>
            </w:tcBorders>
            <w:shd w:val="clear" w:color="000000" w:fill="FFFFFF"/>
            <w:noWrap/>
            <w:vAlign w:val="center"/>
            <w:hideMark/>
          </w:tcPr>
          <w:p w14:paraId="5F20503D" w14:textId="77777777" w:rsidR="00992DD8" w:rsidRPr="00676772" w:rsidRDefault="00992DD8" w:rsidP="00420255">
            <w:pPr>
              <w:spacing w:after="0" w:line="240" w:lineRule="auto"/>
              <w:jc w:val="right"/>
              <w:rPr>
                <w:sz w:val="18"/>
                <w:szCs w:val="18"/>
                <w:lang w:eastAsia="sk-SK"/>
              </w:rPr>
            </w:pPr>
            <w:r w:rsidRPr="00676772">
              <w:rPr>
                <w:sz w:val="18"/>
                <w:szCs w:val="18"/>
              </w:rPr>
              <w:t>224 123</w:t>
            </w:r>
          </w:p>
        </w:tc>
        <w:tc>
          <w:tcPr>
            <w:tcW w:w="463" w:type="pct"/>
            <w:gridSpan w:val="2"/>
            <w:tcBorders>
              <w:top w:val="nil"/>
              <w:left w:val="nil"/>
              <w:bottom w:val="nil"/>
              <w:right w:val="nil"/>
            </w:tcBorders>
            <w:shd w:val="clear" w:color="000000" w:fill="FFFFFF"/>
            <w:noWrap/>
            <w:vAlign w:val="center"/>
            <w:hideMark/>
          </w:tcPr>
          <w:p w14:paraId="75B31916" w14:textId="77777777" w:rsidR="00992DD8" w:rsidRPr="00676772" w:rsidRDefault="00992DD8" w:rsidP="00420255">
            <w:pPr>
              <w:spacing w:after="0" w:line="240" w:lineRule="auto"/>
              <w:jc w:val="right"/>
              <w:rPr>
                <w:sz w:val="18"/>
                <w:szCs w:val="18"/>
                <w:lang w:eastAsia="sk-SK"/>
              </w:rPr>
            </w:pPr>
            <w:r w:rsidRPr="00676772">
              <w:rPr>
                <w:sz w:val="18"/>
                <w:szCs w:val="18"/>
              </w:rPr>
              <w:t>180 430</w:t>
            </w:r>
          </w:p>
        </w:tc>
      </w:tr>
      <w:tr w:rsidR="00992DD8" w:rsidRPr="00676772" w14:paraId="6A6429C6" w14:textId="77777777" w:rsidTr="00420255">
        <w:trPr>
          <w:gridAfter w:val="1"/>
          <w:wAfter w:w="27" w:type="pct"/>
          <w:trHeight w:val="257"/>
        </w:trPr>
        <w:tc>
          <w:tcPr>
            <w:tcW w:w="2004" w:type="pct"/>
            <w:gridSpan w:val="4"/>
            <w:tcBorders>
              <w:top w:val="single" w:sz="4" w:space="0" w:color="auto"/>
              <w:left w:val="nil"/>
              <w:bottom w:val="nil"/>
              <w:right w:val="nil"/>
            </w:tcBorders>
            <w:shd w:val="clear" w:color="auto" w:fill="auto"/>
            <w:noWrap/>
            <w:vAlign w:val="center"/>
            <w:hideMark/>
          </w:tcPr>
          <w:p w14:paraId="2375C2D8" w14:textId="77777777" w:rsidR="00992DD8" w:rsidRPr="00676772" w:rsidRDefault="00992DD8" w:rsidP="0019064B">
            <w:pPr>
              <w:spacing w:after="0" w:line="240" w:lineRule="auto"/>
              <w:rPr>
                <w:b/>
                <w:bCs/>
                <w:sz w:val="18"/>
                <w:szCs w:val="18"/>
                <w:lang w:eastAsia="sk-SK"/>
              </w:rPr>
            </w:pPr>
            <w:r w:rsidRPr="00676772">
              <w:rPr>
                <w:b/>
                <w:bCs/>
                <w:sz w:val="18"/>
                <w:szCs w:val="18"/>
                <w:lang w:eastAsia="sk-SK"/>
              </w:rPr>
              <w:t>Schodok verejnej správy spolu</w:t>
            </w:r>
          </w:p>
        </w:tc>
        <w:tc>
          <w:tcPr>
            <w:tcW w:w="497" w:type="pct"/>
            <w:gridSpan w:val="3"/>
            <w:tcBorders>
              <w:top w:val="single" w:sz="4" w:space="0" w:color="auto"/>
              <w:left w:val="nil"/>
              <w:bottom w:val="nil"/>
              <w:right w:val="nil"/>
            </w:tcBorders>
            <w:shd w:val="clear" w:color="auto" w:fill="auto"/>
            <w:noWrap/>
            <w:vAlign w:val="center"/>
            <w:hideMark/>
          </w:tcPr>
          <w:p w14:paraId="77C09F6C" w14:textId="3FFAEE5C" w:rsidR="00992DD8" w:rsidRPr="00676772" w:rsidRDefault="00992DD8" w:rsidP="00420255">
            <w:pPr>
              <w:spacing w:after="0" w:line="240" w:lineRule="auto"/>
              <w:jc w:val="right"/>
              <w:rPr>
                <w:b/>
                <w:bCs/>
                <w:sz w:val="18"/>
                <w:szCs w:val="18"/>
                <w:lang w:eastAsia="sk-SK"/>
              </w:rPr>
            </w:pPr>
            <w:r w:rsidRPr="00676772">
              <w:rPr>
                <w:b/>
                <w:bCs/>
                <w:sz w:val="18"/>
                <w:szCs w:val="18"/>
              </w:rPr>
              <w:t>-5 1</w:t>
            </w:r>
            <w:r w:rsidR="00F54222">
              <w:rPr>
                <w:b/>
                <w:bCs/>
                <w:sz w:val="18"/>
                <w:szCs w:val="18"/>
              </w:rPr>
              <w:t>87</w:t>
            </w:r>
            <w:r w:rsidRPr="00676772">
              <w:rPr>
                <w:b/>
                <w:bCs/>
                <w:sz w:val="18"/>
                <w:szCs w:val="18"/>
              </w:rPr>
              <w:t xml:space="preserve"> </w:t>
            </w:r>
            <w:r w:rsidR="00F54222">
              <w:rPr>
                <w:b/>
                <w:bCs/>
                <w:sz w:val="18"/>
                <w:szCs w:val="18"/>
              </w:rPr>
              <w:t>156</w:t>
            </w:r>
          </w:p>
        </w:tc>
        <w:tc>
          <w:tcPr>
            <w:tcW w:w="492" w:type="pct"/>
            <w:gridSpan w:val="3"/>
            <w:tcBorders>
              <w:top w:val="single" w:sz="4" w:space="0" w:color="auto"/>
              <w:left w:val="nil"/>
              <w:bottom w:val="nil"/>
              <w:right w:val="nil"/>
            </w:tcBorders>
            <w:shd w:val="clear" w:color="auto" w:fill="auto"/>
            <w:noWrap/>
            <w:vAlign w:val="center"/>
            <w:hideMark/>
          </w:tcPr>
          <w:p w14:paraId="33B0F2F6" w14:textId="77777777" w:rsidR="00992DD8" w:rsidRPr="00676772" w:rsidRDefault="00992DD8" w:rsidP="00420255">
            <w:pPr>
              <w:spacing w:after="0" w:line="240" w:lineRule="auto"/>
              <w:jc w:val="right"/>
              <w:rPr>
                <w:b/>
                <w:bCs/>
                <w:sz w:val="18"/>
                <w:szCs w:val="18"/>
                <w:lang w:eastAsia="sk-SK"/>
              </w:rPr>
            </w:pPr>
            <w:r w:rsidRPr="00676772">
              <w:rPr>
                <w:b/>
                <w:bCs/>
                <w:sz w:val="18"/>
                <w:szCs w:val="18"/>
              </w:rPr>
              <w:t>-1 837 675</w:t>
            </w:r>
          </w:p>
        </w:tc>
        <w:tc>
          <w:tcPr>
            <w:tcW w:w="493" w:type="pct"/>
            <w:gridSpan w:val="4"/>
            <w:tcBorders>
              <w:top w:val="single" w:sz="4" w:space="0" w:color="auto"/>
              <w:left w:val="nil"/>
              <w:bottom w:val="nil"/>
              <w:right w:val="nil"/>
            </w:tcBorders>
            <w:shd w:val="clear" w:color="auto" w:fill="auto"/>
            <w:noWrap/>
            <w:vAlign w:val="center"/>
            <w:hideMark/>
          </w:tcPr>
          <w:p w14:paraId="2665A39B" w14:textId="77777777" w:rsidR="00992DD8" w:rsidRPr="00676772" w:rsidRDefault="00992DD8" w:rsidP="00420255">
            <w:pPr>
              <w:spacing w:after="0" w:line="240" w:lineRule="auto"/>
              <w:jc w:val="right"/>
              <w:rPr>
                <w:b/>
                <w:bCs/>
                <w:sz w:val="18"/>
                <w:szCs w:val="18"/>
                <w:lang w:eastAsia="sk-SK"/>
              </w:rPr>
            </w:pPr>
            <w:r w:rsidRPr="00676772">
              <w:rPr>
                <w:b/>
                <w:bCs/>
                <w:sz w:val="18"/>
                <w:szCs w:val="18"/>
              </w:rPr>
              <w:t>-6 399 439</w:t>
            </w:r>
          </w:p>
        </w:tc>
        <w:tc>
          <w:tcPr>
            <w:tcW w:w="493" w:type="pct"/>
            <w:gridSpan w:val="3"/>
            <w:tcBorders>
              <w:top w:val="single" w:sz="4" w:space="0" w:color="auto"/>
              <w:left w:val="nil"/>
              <w:bottom w:val="nil"/>
              <w:right w:val="nil"/>
            </w:tcBorders>
            <w:shd w:val="clear" w:color="auto" w:fill="auto"/>
            <w:noWrap/>
            <w:vAlign w:val="center"/>
            <w:hideMark/>
          </w:tcPr>
          <w:p w14:paraId="24423BCA" w14:textId="77777777" w:rsidR="00992DD8" w:rsidRPr="00676772" w:rsidRDefault="00992DD8" w:rsidP="00420255">
            <w:pPr>
              <w:spacing w:after="0" w:line="240" w:lineRule="auto"/>
              <w:jc w:val="right"/>
              <w:rPr>
                <w:b/>
                <w:bCs/>
                <w:sz w:val="18"/>
                <w:szCs w:val="18"/>
                <w:lang w:eastAsia="sk-SK"/>
              </w:rPr>
            </w:pPr>
            <w:r w:rsidRPr="00676772">
              <w:rPr>
                <w:b/>
                <w:bCs/>
                <w:sz w:val="18"/>
                <w:szCs w:val="18"/>
              </w:rPr>
              <w:t>-7 871 196</w:t>
            </w:r>
          </w:p>
        </w:tc>
        <w:tc>
          <w:tcPr>
            <w:tcW w:w="531" w:type="pct"/>
            <w:gridSpan w:val="3"/>
            <w:tcBorders>
              <w:top w:val="single" w:sz="4" w:space="0" w:color="auto"/>
              <w:left w:val="nil"/>
              <w:bottom w:val="nil"/>
              <w:right w:val="nil"/>
            </w:tcBorders>
            <w:shd w:val="clear" w:color="auto" w:fill="auto"/>
            <w:noWrap/>
            <w:vAlign w:val="center"/>
            <w:hideMark/>
          </w:tcPr>
          <w:p w14:paraId="1BFC7CFE" w14:textId="7577322F" w:rsidR="00992DD8" w:rsidRPr="00676772" w:rsidRDefault="00992DD8" w:rsidP="00420255">
            <w:pPr>
              <w:spacing w:after="0" w:line="240" w:lineRule="auto"/>
              <w:jc w:val="right"/>
              <w:rPr>
                <w:b/>
                <w:bCs/>
                <w:sz w:val="18"/>
                <w:szCs w:val="18"/>
                <w:lang w:eastAsia="sk-SK"/>
              </w:rPr>
            </w:pPr>
            <w:r w:rsidRPr="00676772">
              <w:rPr>
                <w:b/>
                <w:bCs/>
                <w:sz w:val="18"/>
                <w:szCs w:val="18"/>
              </w:rPr>
              <w:t>-4 5</w:t>
            </w:r>
            <w:r w:rsidR="0055115F">
              <w:rPr>
                <w:b/>
                <w:bCs/>
                <w:sz w:val="18"/>
                <w:szCs w:val="18"/>
              </w:rPr>
              <w:t>61</w:t>
            </w:r>
            <w:r w:rsidRPr="00676772">
              <w:rPr>
                <w:b/>
                <w:bCs/>
                <w:sz w:val="18"/>
                <w:szCs w:val="18"/>
              </w:rPr>
              <w:t xml:space="preserve"> </w:t>
            </w:r>
            <w:r w:rsidR="0055115F">
              <w:rPr>
                <w:b/>
                <w:bCs/>
                <w:sz w:val="18"/>
                <w:szCs w:val="18"/>
              </w:rPr>
              <w:t>764</w:t>
            </w:r>
          </w:p>
        </w:tc>
        <w:tc>
          <w:tcPr>
            <w:tcW w:w="463" w:type="pct"/>
            <w:gridSpan w:val="2"/>
            <w:tcBorders>
              <w:top w:val="single" w:sz="4" w:space="0" w:color="auto"/>
              <w:left w:val="nil"/>
              <w:bottom w:val="nil"/>
              <w:right w:val="nil"/>
            </w:tcBorders>
            <w:shd w:val="clear" w:color="auto" w:fill="auto"/>
            <w:noWrap/>
            <w:vAlign w:val="center"/>
            <w:hideMark/>
          </w:tcPr>
          <w:p w14:paraId="4053D020" w14:textId="24EF1286" w:rsidR="00992DD8" w:rsidRPr="00676772" w:rsidRDefault="00992DD8" w:rsidP="00420255">
            <w:pPr>
              <w:spacing w:after="0" w:line="240" w:lineRule="auto"/>
              <w:jc w:val="right"/>
              <w:rPr>
                <w:b/>
                <w:bCs/>
                <w:sz w:val="18"/>
                <w:szCs w:val="18"/>
                <w:lang w:eastAsia="sk-SK"/>
              </w:rPr>
            </w:pPr>
            <w:r w:rsidRPr="00676772">
              <w:rPr>
                <w:b/>
                <w:bCs/>
                <w:sz w:val="18"/>
                <w:szCs w:val="18"/>
              </w:rPr>
              <w:t>1 47</w:t>
            </w:r>
            <w:r w:rsidR="0055115F">
              <w:rPr>
                <w:b/>
                <w:bCs/>
                <w:sz w:val="18"/>
                <w:szCs w:val="18"/>
              </w:rPr>
              <w:t>1</w:t>
            </w:r>
            <w:r w:rsidRPr="00676772">
              <w:rPr>
                <w:b/>
                <w:bCs/>
                <w:sz w:val="18"/>
                <w:szCs w:val="18"/>
              </w:rPr>
              <w:t xml:space="preserve"> </w:t>
            </w:r>
            <w:r w:rsidR="0055115F">
              <w:rPr>
                <w:b/>
                <w:bCs/>
                <w:sz w:val="18"/>
                <w:szCs w:val="18"/>
              </w:rPr>
              <w:t>757</w:t>
            </w:r>
          </w:p>
        </w:tc>
      </w:tr>
      <w:tr w:rsidR="00992DD8" w:rsidRPr="00676772" w14:paraId="0AEFC3CE" w14:textId="77777777" w:rsidTr="00420255">
        <w:trPr>
          <w:gridAfter w:val="1"/>
          <w:wAfter w:w="27" w:type="pct"/>
          <w:trHeight w:val="257"/>
        </w:trPr>
        <w:tc>
          <w:tcPr>
            <w:tcW w:w="2004" w:type="pct"/>
            <w:gridSpan w:val="4"/>
            <w:tcBorders>
              <w:top w:val="nil"/>
              <w:left w:val="nil"/>
              <w:bottom w:val="single" w:sz="4" w:space="0" w:color="auto"/>
              <w:right w:val="nil"/>
            </w:tcBorders>
            <w:shd w:val="clear" w:color="auto" w:fill="auto"/>
            <w:noWrap/>
            <w:vAlign w:val="center"/>
            <w:hideMark/>
          </w:tcPr>
          <w:p w14:paraId="1FA37C14" w14:textId="77777777" w:rsidR="00992DD8" w:rsidRPr="00676772" w:rsidRDefault="00992DD8" w:rsidP="0019064B">
            <w:pPr>
              <w:spacing w:after="0" w:line="240" w:lineRule="auto"/>
              <w:rPr>
                <w:b/>
                <w:bCs/>
                <w:sz w:val="18"/>
                <w:szCs w:val="18"/>
                <w:lang w:eastAsia="sk-SK"/>
              </w:rPr>
            </w:pPr>
            <w:r w:rsidRPr="00676772">
              <w:rPr>
                <w:b/>
                <w:bCs/>
                <w:sz w:val="18"/>
                <w:szCs w:val="18"/>
                <w:lang w:eastAsia="sk-SK"/>
              </w:rPr>
              <w:t xml:space="preserve">           % z HDP</w:t>
            </w:r>
          </w:p>
        </w:tc>
        <w:tc>
          <w:tcPr>
            <w:tcW w:w="497" w:type="pct"/>
            <w:gridSpan w:val="3"/>
            <w:tcBorders>
              <w:top w:val="nil"/>
              <w:left w:val="nil"/>
              <w:bottom w:val="single" w:sz="4" w:space="0" w:color="auto"/>
              <w:right w:val="nil"/>
            </w:tcBorders>
            <w:shd w:val="clear" w:color="auto" w:fill="auto"/>
            <w:noWrap/>
            <w:vAlign w:val="center"/>
            <w:hideMark/>
          </w:tcPr>
          <w:p w14:paraId="5DDBDB5D" w14:textId="77777777" w:rsidR="00992DD8" w:rsidRPr="00676772" w:rsidRDefault="00992DD8" w:rsidP="00420255">
            <w:pPr>
              <w:spacing w:after="0" w:line="240" w:lineRule="auto"/>
              <w:jc w:val="right"/>
              <w:rPr>
                <w:b/>
                <w:bCs/>
                <w:sz w:val="18"/>
                <w:szCs w:val="18"/>
                <w:lang w:eastAsia="sk-SK"/>
              </w:rPr>
            </w:pPr>
            <w:r w:rsidRPr="00676772">
              <w:rPr>
                <w:b/>
                <w:bCs/>
                <w:sz w:val="18"/>
                <w:szCs w:val="18"/>
              </w:rPr>
              <w:t>-5,1</w:t>
            </w:r>
          </w:p>
        </w:tc>
        <w:tc>
          <w:tcPr>
            <w:tcW w:w="492" w:type="pct"/>
            <w:gridSpan w:val="3"/>
            <w:tcBorders>
              <w:top w:val="nil"/>
              <w:left w:val="nil"/>
              <w:bottom w:val="single" w:sz="4" w:space="0" w:color="auto"/>
              <w:right w:val="nil"/>
            </w:tcBorders>
            <w:shd w:val="clear" w:color="auto" w:fill="auto"/>
            <w:noWrap/>
            <w:vAlign w:val="center"/>
            <w:hideMark/>
          </w:tcPr>
          <w:p w14:paraId="567B5F4B" w14:textId="77777777" w:rsidR="00992DD8" w:rsidRPr="00676772" w:rsidRDefault="00992DD8" w:rsidP="00420255">
            <w:pPr>
              <w:spacing w:after="0" w:line="240" w:lineRule="auto"/>
              <w:jc w:val="right"/>
              <w:rPr>
                <w:b/>
                <w:bCs/>
                <w:sz w:val="18"/>
                <w:szCs w:val="18"/>
                <w:lang w:eastAsia="sk-SK"/>
              </w:rPr>
            </w:pPr>
            <w:r w:rsidRPr="00676772">
              <w:rPr>
                <w:b/>
                <w:bCs/>
                <w:sz w:val="18"/>
                <w:szCs w:val="18"/>
              </w:rPr>
              <w:t>-1,7</w:t>
            </w:r>
          </w:p>
        </w:tc>
        <w:tc>
          <w:tcPr>
            <w:tcW w:w="493" w:type="pct"/>
            <w:gridSpan w:val="4"/>
            <w:tcBorders>
              <w:top w:val="nil"/>
              <w:left w:val="nil"/>
              <w:bottom w:val="single" w:sz="4" w:space="0" w:color="auto"/>
              <w:right w:val="nil"/>
            </w:tcBorders>
            <w:shd w:val="clear" w:color="auto" w:fill="auto"/>
            <w:noWrap/>
            <w:vAlign w:val="center"/>
            <w:hideMark/>
          </w:tcPr>
          <w:p w14:paraId="56039849" w14:textId="77777777" w:rsidR="00992DD8" w:rsidRPr="00676772" w:rsidRDefault="00992DD8" w:rsidP="00420255">
            <w:pPr>
              <w:spacing w:after="0" w:line="240" w:lineRule="auto"/>
              <w:jc w:val="right"/>
              <w:rPr>
                <w:b/>
                <w:bCs/>
                <w:sz w:val="18"/>
                <w:szCs w:val="18"/>
                <w:lang w:eastAsia="sk-SK"/>
              </w:rPr>
            </w:pPr>
            <w:r w:rsidRPr="00676772">
              <w:rPr>
                <w:b/>
                <w:bCs/>
                <w:sz w:val="18"/>
                <w:szCs w:val="18"/>
              </w:rPr>
              <w:t>-5,2</w:t>
            </w:r>
          </w:p>
        </w:tc>
        <w:tc>
          <w:tcPr>
            <w:tcW w:w="493" w:type="pct"/>
            <w:gridSpan w:val="3"/>
            <w:tcBorders>
              <w:top w:val="nil"/>
              <w:left w:val="nil"/>
              <w:bottom w:val="single" w:sz="4" w:space="0" w:color="auto"/>
              <w:right w:val="nil"/>
            </w:tcBorders>
            <w:shd w:val="clear" w:color="auto" w:fill="auto"/>
            <w:noWrap/>
            <w:vAlign w:val="center"/>
            <w:hideMark/>
          </w:tcPr>
          <w:p w14:paraId="62F612C4" w14:textId="77777777" w:rsidR="00992DD8" w:rsidRPr="00676772" w:rsidRDefault="00992DD8" w:rsidP="00420255">
            <w:pPr>
              <w:spacing w:after="0" w:line="240" w:lineRule="auto"/>
              <w:jc w:val="right"/>
              <w:rPr>
                <w:b/>
                <w:bCs/>
                <w:sz w:val="18"/>
                <w:szCs w:val="18"/>
                <w:lang w:eastAsia="sk-SK"/>
              </w:rPr>
            </w:pPr>
            <w:r w:rsidRPr="00676772">
              <w:rPr>
                <w:b/>
                <w:bCs/>
                <w:sz w:val="18"/>
                <w:szCs w:val="18"/>
              </w:rPr>
              <w:t>-6,4</w:t>
            </w:r>
          </w:p>
        </w:tc>
        <w:tc>
          <w:tcPr>
            <w:tcW w:w="531" w:type="pct"/>
            <w:gridSpan w:val="3"/>
            <w:tcBorders>
              <w:top w:val="nil"/>
              <w:left w:val="nil"/>
              <w:bottom w:val="single" w:sz="4" w:space="0" w:color="auto"/>
              <w:right w:val="nil"/>
            </w:tcBorders>
            <w:shd w:val="clear" w:color="auto" w:fill="auto"/>
            <w:noWrap/>
            <w:vAlign w:val="center"/>
            <w:hideMark/>
          </w:tcPr>
          <w:p w14:paraId="153AD8C6" w14:textId="5182C451" w:rsidR="00992DD8" w:rsidRPr="00676772" w:rsidRDefault="00714003" w:rsidP="00420255">
            <w:pPr>
              <w:spacing w:after="0" w:line="240" w:lineRule="auto"/>
              <w:jc w:val="right"/>
              <w:rPr>
                <w:b/>
                <w:bCs/>
                <w:sz w:val="18"/>
                <w:szCs w:val="18"/>
                <w:lang w:eastAsia="sk-SK"/>
              </w:rPr>
            </w:pPr>
            <w:r>
              <w:rPr>
                <w:b/>
                <w:bCs/>
                <w:sz w:val="18"/>
                <w:szCs w:val="18"/>
              </w:rPr>
              <w:t>3,5</w:t>
            </w:r>
          </w:p>
        </w:tc>
        <w:tc>
          <w:tcPr>
            <w:tcW w:w="463" w:type="pct"/>
            <w:gridSpan w:val="2"/>
            <w:tcBorders>
              <w:top w:val="nil"/>
              <w:left w:val="nil"/>
              <w:bottom w:val="single" w:sz="4" w:space="0" w:color="auto"/>
              <w:right w:val="nil"/>
            </w:tcBorders>
            <w:shd w:val="clear" w:color="auto" w:fill="auto"/>
            <w:noWrap/>
            <w:vAlign w:val="center"/>
            <w:hideMark/>
          </w:tcPr>
          <w:p w14:paraId="0D9AE92B" w14:textId="72A7A974" w:rsidR="00992DD8" w:rsidRPr="00676772" w:rsidRDefault="00711C98" w:rsidP="00420255">
            <w:pPr>
              <w:spacing w:after="0" w:line="240" w:lineRule="auto"/>
              <w:jc w:val="right"/>
              <w:rPr>
                <w:b/>
                <w:bCs/>
                <w:sz w:val="18"/>
                <w:szCs w:val="18"/>
                <w:lang w:eastAsia="sk-SK"/>
              </w:rPr>
            </w:pPr>
            <w:r>
              <w:rPr>
                <w:b/>
                <w:bCs/>
                <w:sz w:val="18"/>
                <w:szCs w:val="18"/>
              </w:rPr>
              <w:t>1,2</w:t>
            </w:r>
          </w:p>
        </w:tc>
      </w:tr>
    </w:tbl>
    <w:p w14:paraId="2B377D9E" w14:textId="77777777" w:rsidR="00992DD8" w:rsidRPr="00676772" w:rsidRDefault="00992DD8" w:rsidP="00992DD8">
      <w:pPr>
        <w:spacing w:after="0" w:line="240" w:lineRule="auto"/>
        <w:ind w:right="-285"/>
        <w:jc w:val="both"/>
        <w:rPr>
          <w:sz w:val="16"/>
          <w:szCs w:val="16"/>
          <w:lang w:eastAsia="sk-SK"/>
        </w:rPr>
      </w:pPr>
      <w:r w:rsidRPr="00676772">
        <w:rPr>
          <w:color w:val="000000"/>
          <w:sz w:val="16"/>
          <w:szCs w:val="16"/>
          <w:vertAlign w:val="superscript"/>
          <w:lang w:eastAsia="sk-SK"/>
        </w:rPr>
        <w:t xml:space="preserve">1) </w:t>
      </w:r>
      <w:r w:rsidRPr="00676772">
        <w:rPr>
          <w:color w:val="000000"/>
          <w:sz w:val="16"/>
          <w:szCs w:val="16"/>
          <w:lang w:eastAsia="sk-SK"/>
        </w:rPr>
        <w:t>Vrátane štátnych finančných aktív, mimorozpočtových účtov a salda účtu štátneho dlhu</w:t>
      </w:r>
      <w:r w:rsidRPr="00676772">
        <w:rPr>
          <w:color w:val="000000"/>
          <w:sz w:val="16"/>
          <w:szCs w:val="16"/>
          <w:lang w:eastAsia="sk-SK"/>
        </w:rPr>
        <w:tab/>
        <w:t xml:space="preserve">      </w:t>
      </w:r>
      <w:r w:rsidRPr="00676772">
        <w:rPr>
          <w:color w:val="000000"/>
          <w:sz w:val="16"/>
          <w:szCs w:val="16"/>
          <w:lang w:eastAsia="sk-SK"/>
        </w:rPr>
        <w:tab/>
      </w:r>
      <w:r w:rsidRPr="00676772">
        <w:rPr>
          <w:color w:val="000000"/>
          <w:sz w:val="16"/>
          <w:szCs w:val="16"/>
          <w:lang w:eastAsia="sk-SK"/>
        </w:rPr>
        <w:tab/>
        <w:t xml:space="preserve">                 Z</w:t>
      </w:r>
      <w:r w:rsidRPr="00676772">
        <w:rPr>
          <w:sz w:val="16"/>
          <w:szCs w:val="16"/>
          <w:lang w:eastAsia="sk-SK"/>
        </w:rPr>
        <w:t>droj: MF SR</w:t>
      </w:r>
    </w:p>
    <w:p w14:paraId="0ADAF0B1" w14:textId="5B7AFB41" w:rsidR="00992DD8" w:rsidRPr="00676772" w:rsidRDefault="00992DD8" w:rsidP="00992DD8">
      <w:pPr>
        <w:spacing w:after="0" w:line="240" w:lineRule="auto"/>
        <w:jc w:val="both"/>
        <w:rPr>
          <w:sz w:val="16"/>
          <w:szCs w:val="16"/>
          <w:lang w:eastAsia="sk-SK"/>
        </w:rPr>
      </w:pPr>
      <w:r w:rsidRPr="00676772">
        <w:rPr>
          <w:sz w:val="16"/>
          <w:szCs w:val="16"/>
          <w:vertAlign w:val="superscript"/>
          <w:lang w:eastAsia="sk-SK"/>
        </w:rPr>
        <w:t xml:space="preserve">2) </w:t>
      </w:r>
      <w:r w:rsidRPr="00F31BBE">
        <w:rPr>
          <w:sz w:val="16"/>
          <w:szCs w:val="16"/>
          <w:lang w:eastAsia="sk-SK"/>
        </w:rPr>
        <w:t>Ostatné subjekty ústrednej správy zahŕňajú: Rozhlas a televíziu Slovenska, Slovenský pozemkový fond, Age</w:t>
      </w:r>
      <w:r w:rsidR="00F31BBE" w:rsidRPr="00F31BBE">
        <w:rPr>
          <w:sz w:val="16"/>
          <w:szCs w:val="16"/>
          <w:lang w:eastAsia="sk-SK"/>
        </w:rPr>
        <w:t xml:space="preserve">ntúru pre núdzové zásoby ropy </w:t>
      </w:r>
      <w:r w:rsidR="00F31BBE" w:rsidRPr="00F31BBE">
        <w:rPr>
          <w:sz w:val="16"/>
          <w:szCs w:val="16"/>
        </w:rPr>
        <w:t>a</w:t>
      </w:r>
      <w:r w:rsidR="00F31BBE">
        <w:rPr>
          <w:sz w:val="16"/>
          <w:szCs w:val="16"/>
        </w:rPr>
        <w:t> </w:t>
      </w:r>
      <w:r w:rsidRPr="00F31BBE">
        <w:rPr>
          <w:sz w:val="16"/>
          <w:szCs w:val="16"/>
        </w:rPr>
        <w:t>ropných</w:t>
      </w:r>
      <w:r w:rsidRPr="00F31BBE">
        <w:rPr>
          <w:sz w:val="16"/>
          <w:szCs w:val="16"/>
          <w:lang w:eastAsia="sk-SK"/>
        </w:rPr>
        <w:t xml:space="preserve"> výrobkov, neziskové organizácie ústrednej správy a ostatné ústredné podniky</w:t>
      </w:r>
      <w:r w:rsidRPr="00676772">
        <w:rPr>
          <w:sz w:val="16"/>
          <w:szCs w:val="16"/>
          <w:lang w:eastAsia="sk-SK"/>
        </w:rPr>
        <w:t>.</w:t>
      </w:r>
    </w:p>
    <w:p w14:paraId="0B3F375C" w14:textId="5F2D9C22" w:rsidR="00027116" w:rsidRPr="00027116" w:rsidRDefault="00027116" w:rsidP="00027116">
      <w:pPr>
        <w:spacing w:after="0" w:line="240" w:lineRule="auto"/>
        <w:jc w:val="both"/>
        <w:rPr>
          <w:sz w:val="16"/>
          <w:szCs w:val="16"/>
          <w:lang w:eastAsia="sk-SK"/>
        </w:rPr>
      </w:pPr>
    </w:p>
    <w:p w14:paraId="791951B6" w14:textId="77777777" w:rsidR="00A615D3" w:rsidRPr="00DC0F15" w:rsidRDefault="003D050C" w:rsidP="00AA46C8">
      <w:pPr>
        <w:pStyle w:val="Nadpis2"/>
        <w:numPr>
          <w:ilvl w:val="0"/>
          <w:numId w:val="0"/>
        </w:numPr>
        <w:ind w:left="896"/>
      </w:pPr>
      <w:bookmarkStart w:id="20" w:name="_Toc181095961"/>
      <w:r w:rsidRPr="00DC0F15">
        <w:t>1</w:t>
      </w:r>
      <w:r w:rsidR="00C102B8" w:rsidRPr="00DC0F15">
        <w:t>.</w:t>
      </w:r>
      <w:r w:rsidR="008E7556" w:rsidRPr="00DC0F15">
        <w:t>3</w:t>
      </w:r>
      <w:r w:rsidR="00C102B8" w:rsidRPr="00DC0F15">
        <w:t>.</w:t>
      </w:r>
      <w:r w:rsidR="00C102B8" w:rsidRPr="00DC0F15">
        <w:tab/>
      </w:r>
      <w:r w:rsidRPr="00DC0F15">
        <w:t>Dlh verejnej správy</w:t>
      </w:r>
      <w:bookmarkEnd w:id="20"/>
    </w:p>
    <w:p w14:paraId="731135B1" w14:textId="77777777" w:rsidR="009556A9" w:rsidRPr="00881A9A" w:rsidRDefault="009556A9" w:rsidP="009556A9">
      <w:pPr>
        <w:spacing w:after="120" w:line="240" w:lineRule="auto"/>
        <w:jc w:val="both"/>
        <w:rPr>
          <w:bCs/>
          <w:szCs w:val="22"/>
        </w:rPr>
      </w:pPr>
      <w:r w:rsidRPr="00881A9A">
        <w:rPr>
          <w:b/>
          <w:szCs w:val="22"/>
        </w:rPr>
        <w:t xml:space="preserve">Hrubý dlh verejnej správy (maastrichtský dlh) dosiahol k 31.12.2023 výšku 68 897 804 tis. eur (56,1% HDP) </w:t>
      </w:r>
      <w:r w:rsidRPr="00881A9A">
        <w:rPr>
          <w:bCs/>
          <w:szCs w:val="22"/>
        </w:rPr>
        <w:t>a medziročne sa jeho pomer k HDP znížil o 1,6 p. b.</w:t>
      </w:r>
    </w:p>
    <w:p w14:paraId="7645C2B4" w14:textId="70C750FF" w:rsidR="009556A9" w:rsidRPr="00F33F45" w:rsidRDefault="009556A9" w:rsidP="009556A9">
      <w:pPr>
        <w:spacing w:after="120" w:line="240" w:lineRule="auto"/>
        <w:jc w:val="both"/>
      </w:pPr>
      <w:r w:rsidRPr="00F33F45">
        <w:t>V nominálnom vyjadrení dlh verejnej správy, očistený o vzájomné výpožičky v rámci verejnej správ</w:t>
      </w:r>
      <w:r w:rsidR="005F059F">
        <w:t>y</w:t>
      </w:r>
      <w:r w:rsidRPr="00F33F45">
        <w:t xml:space="preserve">, medziročne vzrástol </w:t>
      </w:r>
      <w:r w:rsidRPr="00F33F45">
        <w:rPr>
          <w:szCs w:val="22"/>
        </w:rPr>
        <w:t>o </w:t>
      </w:r>
      <w:r w:rsidRPr="00F33F45">
        <w:rPr>
          <w:bCs/>
          <w:szCs w:val="22"/>
          <w:lang w:eastAsia="sk-SK"/>
        </w:rPr>
        <w:t>5 </w:t>
      </w:r>
      <w:r w:rsidR="00F462DC">
        <w:rPr>
          <w:bCs/>
          <w:szCs w:val="22"/>
          <w:lang w:eastAsia="sk-SK"/>
        </w:rPr>
        <w:t>398</w:t>
      </w:r>
      <w:r>
        <w:rPr>
          <w:bCs/>
          <w:szCs w:val="22"/>
          <w:lang w:eastAsia="sk-SK"/>
        </w:rPr>
        <w:t> </w:t>
      </w:r>
      <w:r w:rsidR="00F462DC">
        <w:rPr>
          <w:bCs/>
          <w:szCs w:val="22"/>
          <w:lang w:eastAsia="sk-SK"/>
        </w:rPr>
        <w:t>834</w:t>
      </w:r>
      <w:r>
        <w:rPr>
          <w:bCs/>
          <w:szCs w:val="22"/>
          <w:lang w:eastAsia="sk-SK"/>
        </w:rPr>
        <w:t> tis. </w:t>
      </w:r>
      <w:r w:rsidRPr="00F33F45">
        <w:rPr>
          <w:bCs/>
          <w:szCs w:val="22"/>
          <w:lang w:eastAsia="sk-SK"/>
        </w:rPr>
        <w:t>eur.</w:t>
      </w:r>
      <w:r w:rsidRPr="00F33F45">
        <w:rPr>
          <w:bCs/>
          <w:sz w:val="20"/>
          <w:szCs w:val="20"/>
          <w:lang w:eastAsia="sk-SK"/>
        </w:rPr>
        <w:t xml:space="preserve"> </w:t>
      </w:r>
      <w:r w:rsidRPr="00F33F45">
        <w:t>Medziročný rast nominálneho HDP, ktorý bol silne ovplyvnený rastom cenovej hladiny, spôsobil zníženiu podielu hodnoty dlhu voči HDP o </w:t>
      </w:r>
      <w:r w:rsidRPr="006D4A84">
        <w:t>6,5 </w:t>
      </w:r>
      <w:r w:rsidRPr="00F33F45">
        <w:t>p. b.</w:t>
      </w:r>
    </w:p>
    <w:p w14:paraId="5B54DEA1" w14:textId="4F96BC84" w:rsidR="00B81F06" w:rsidRDefault="009556A9" w:rsidP="009556A9">
      <w:pPr>
        <w:spacing w:after="120" w:line="240" w:lineRule="auto"/>
        <w:jc w:val="both"/>
      </w:pPr>
      <w:r w:rsidRPr="005D78D2">
        <w:t>Pri porovnaní medziročného vývoja dlhu za jednotlivé zložky, vzrástol tradične hlavne štátny dlh, a to o 5 217 871 </w:t>
      </w:r>
      <w:r>
        <w:t>tis. </w:t>
      </w:r>
      <w:r w:rsidRPr="005D78D2">
        <w:t>eur</w:t>
      </w:r>
      <w:r w:rsidRPr="002A1EC7">
        <w:t>, emitovaním štátnych dlhopisov na priebežné krytie schodku roku 2023 ako a</w:t>
      </w:r>
      <w:r>
        <w:t>j na splátky dlhopisov emitovaných</w:t>
      </w:r>
      <w:r w:rsidRPr="002A1EC7">
        <w:t xml:space="preserve"> v predchádzajúcich rokoch.</w:t>
      </w:r>
    </w:p>
    <w:p w14:paraId="64CAE3FA" w14:textId="20D8AF7A" w:rsidR="00053FD1" w:rsidRDefault="00053FD1" w:rsidP="00914DAB">
      <w:pPr>
        <w:spacing w:after="0" w:line="240" w:lineRule="auto"/>
        <w:jc w:val="both"/>
      </w:pPr>
      <w:r>
        <w:t xml:space="preserve">V rámci dôvodov zmeny stavu dlhu sa prezentujú aj údaje z benchmarkovej revízie (uvedené v kapitole </w:t>
      </w:r>
      <w:hyperlink w:anchor="_1.6._Benchmarková_revízia" w:history="1">
        <w:r w:rsidRPr="004B11B3">
          <w:rPr>
            <w:rStyle w:val="Hypertextovprepojenie"/>
            <w:color w:val="auto"/>
          </w:rPr>
          <w:t>1.6</w:t>
        </w:r>
        <w:r w:rsidR="00FF072C" w:rsidRPr="004B11B3">
          <w:rPr>
            <w:rStyle w:val="Hypertextovprepojenie"/>
            <w:color w:val="auto"/>
          </w:rPr>
          <w:t>.</w:t>
        </w:r>
      </w:hyperlink>
      <w:r w:rsidRPr="00570516">
        <w:t>).</w:t>
      </w:r>
    </w:p>
    <w:p w14:paraId="1B7F8380" w14:textId="77777777" w:rsidR="00536917" w:rsidRDefault="00536917" w:rsidP="00536917">
      <w:pPr>
        <w:pStyle w:val="Popis"/>
        <w:framePr w:wrap="around" w:x="856" w:y="172"/>
      </w:pPr>
      <w:r>
        <w:t xml:space="preserve">Tabuľka </w:t>
      </w:r>
      <w:r w:rsidR="001F05DE">
        <w:fldChar w:fldCharType="begin"/>
      </w:r>
      <w:r w:rsidR="001F05DE">
        <w:instrText xml:space="preserve"> SEQ Tabuľka \* ARABIC </w:instrText>
      </w:r>
      <w:r w:rsidR="001F05DE">
        <w:fldChar w:fldCharType="separate"/>
      </w:r>
      <w:r>
        <w:rPr>
          <w:noProof/>
        </w:rPr>
        <w:t>6</w:t>
      </w:r>
      <w:r w:rsidR="001F05DE">
        <w:rPr>
          <w:noProof/>
        </w:rPr>
        <w:fldChar w:fldCharType="end"/>
      </w:r>
      <w:r>
        <w:t xml:space="preserve"> - </w:t>
      </w:r>
      <w:r w:rsidRPr="001805C6">
        <w:t>Maastrichtský dlh verejnej správy podľa jednotlivých subjektov</w:t>
      </w:r>
      <w:r>
        <w:t xml:space="preserve"> </w:t>
      </w:r>
      <w:r>
        <w:tab/>
      </w:r>
      <w:r>
        <w:tab/>
      </w:r>
      <w:r>
        <w:tab/>
        <w:t>v tis. eur</w:t>
      </w:r>
    </w:p>
    <w:tbl>
      <w:tblPr>
        <w:tblW w:w="5000" w:type="pct"/>
        <w:tblCellMar>
          <w:left w:w="70" w:type="dxa"/>
          <w:right w:w="70" w:type="dxa"/>
        </w:tblCellMar>
        <w:tblLook w:val="04A0" w:firstRow="1" w:lastRow="0" w:firstColumn="1" w:lastColumn="0" w:noHBand="0" w:noVBand="1"/>
      </w:tblPr>
      <w:tblGrid>
        <w:gridCol w:w="4858"/>
        <w:gridCol w:w="142"/>
        <w:gridCol w:w="986"/>
        <w:gridCol w:w="127"/>
        <w:gridCol w:w="32"/>
        <w:gridCol w:w="966"/>
        <w:gridCol w:w="75"/>
        <w:gridCol w:w="917"/>
        <w:gridCol w:w="123"/>
        <w:gridCol w:w="1128"/>
      </w:tblGrid>
      <w:tr w:rsidR="00A85E10" w:rsidRPr="00A85E10" w14:paraId="5C32B009" w14:textId="77777777" w:rsidTr="00536917">
        <w:trPr>
          <w:trHeight w:val="520"/>
          <w:tblHeader/>
        </w:trPr>
        <w:tc>
          <w:tcPr>
            <w:tcW w:w="2673" w:type="pct"/>
            <w:gridSpan w:val="2"/>
            <w:vMerge w:val="restart"/>
            <w:tcBorders>
              <w:top w:val="single" w:sz="4" w:space="0" w:color="auto"/>
              <w:left w:val="nil"/>
              <w:bottom w:val="single" w:sz="4" w:space="0" w:color="000000"/>
              <w:right w:val="nil"/>
            </w:tcBorders>
            <w:shd w:val="clear" w:color="auto" w:fill="auto"/>
            <w:vAlign w:val="center"/>
            <w:hideMark/>
          </w:tcPr>
          <w:p w14:paraId="55735FF7" w14:textId="77777777" w:rsidR="00A85E10" w:rsidRPr="00A85E10" w:rsidRDefault="00A85E10" w:rsidP="00A85E10">
            <w:pPr>
              <w:spacing w:after="0" w:line="240" w:lineRule="auto"/>
              <w:jc w:val="both"/>
              <w:rPr>
                <w:b/>
                <w:bCs/>
                <w:sz w:val="20"/>
                <w:szCs w:val="20"/>
                <w:lang w:eastAsia="sk-SK"/>
              </w:rPr>
            </w:pPr>
            <w:r w:rsidRPr="00A85E10">
              <w:rPr>
                <w:b/>
                <w:bCs/>
                <w:sz w:val="20"/>
                <w:szCs w:val="20"/>
                <w:lang w:eastAsia="sk-SK"/>
              </w:rPr>
              <w:t> </w:t>
            </w:r>
          </w:p>
        </w:tc>
        <w:tc>
          <w:tcPr>
            <w:tcW w:w="595" w:type="pct"/>
            <w:gridSpan w:val="2"/>
            <w:tcBorders>
              <w:top w:val="single" w:sz="4" w:space="0" w:color="auto"/>
              <w:left w:val="nil"/>
              <w:bottom w:val="nil"/>
              <w:right w:val="nil"/>
            </w:tcBorders>
            <w:shd w:val="clear" w:color="auto" w:fill="auto"/>
            <w:vAlign w:val="center"/>
            <w:hideMark/>
          </w:tcPr>
          <w:p w14:paraId="46357314" w14:textId="77777777" w:rsidR="00A85E10" w:rsidRPr="00A85E10" w:rsidRDefault="00A85E10" w:rsidP="00A85E10">
            <w:pPr>
              <w:spacing w:after="0" w:line="240" w:lineRule="auto"/>
              <w:jc w:val="center"/>
              <w:rPr>
                <w:b/>
                <w:bCs/>
                <w:sz w:val="20"/>
                <w:szCs w:val="20"/>
                <w:lang w:eastAsia="sk-SK"/>
              </w:rPr>
            </w:pPr>
            <w:r w:rsidRPr="00A85E10">
              <w:rPr>
                <w:b/>
                <w:bCs/>
                <w:sz w:val="20"/>
                <w:szCs w:val="20"/>
                <w:lang w:eastAsia="sk-SK"/>
              </w:rPr>
              <w:t>2021 S</w:t>
            </w:r>
          </w:p>
        </w:tc>
        <w:tc>
          <w:tcPr>
            <w:tcW w:w="572" w:type="pct"/>
            <w:gridSpan w:val="3"/>
            <w:tcBorders>
              <w:top w:val="single" w:sz="4" w:space="0" w:color="auto"/>
              <w:left w:val="nil"/>
              <w:bottom w:val="nil"/>
              <w:right w:val="nil"/>
            </w:tcBorders>
            <w:shd w:val="clear" w:color="auto" w:fill="auto"/>
            <w:vAlign w:val="center"/>
            <w:hideMark/>
          </w:tcPr>
          <w:p w14:paraId="0B8C92C5" w14:textId="77777777" w:rsidR="00A85E10" w:rsidRPr="00A85E10" w:rsidRDefault="00A85E10" w:rsidP="00A85E10">
            <w:pPr>
              <w:spacing w:after="0" w:line="240" w:lineRule="auto"/>
              <w:jc w:val="center"/>
              <w:rPr>
                <w:b/>
                <w:bCs/>
                <w:sz w:val="20"/>
                <w:szCs w:val="20"/>
                <w:lang w:eastAsia="sk-SK"/>
              </w:rPr>
            </w:pPr>
            <w:r w:rsidRPr="00A85E10">
              <w:rPr>
                <w:b/>
                <w:bCs/>
                <w:sz w:val="20"/>
                <w:szCs w:val="20"/>
                <w:lang w:eastAsia="sk-SK"/>
              </w:rPr>
              <w:t>2022 S</w:t>
            </w:r>
          </w:p>
        </w:tc>
        <w:tc>
          <w:tcPr>
            <w:tcW w:w="490" w:type="pct"/>
            <w:tcBorders>
              <w:top w:val="single" w:sz="4" w:space="0" w:color="auto"/>
              <w:left w:val="nil"/>
              <w:bottom w:val="nil"/>
              <w:right w:val="nil"/>
            </w:tcBorders>
            <w:shd w:val="clear" w:color="auto" w:fill="auto"/>
            <w:vAlign w:val="center"/>
            <w:hideMark/>
          </w:tcPr>
          <w:p w14:paraId="2AE75481" w14:textId="77777777" w:rsidR="00A85E10" w:rsidRPr="00A85E10" w:rsidRDefault="00A85E10" w:rsidP="00A85E10">
            <w:pPr>
              <w:spacing w:after="0" w:line="240" w:lineRule="auto"/>
              <w:jc w:val="center"/>
              <w:rPr>
                <w:b/>
                <w:bCs/>
                <w:sz w:val="20"/>
                <w:szCs w:val="20"/>
                <w:lang w:eastAsia="sk-SK"/>
              </w:rPr>
            </w:pPr>
            <w:r w:rsidRPr="00A85E10">
              <w:rPr>
                <w:b/>
                <w:bCs/>
                <w:sz w:val="20"/>
                <w:szCs w:val="20"/>
                <w:lang w:eastAsia="sk-SK"/>
              </w:rPr>
              <w:t>2023 S</w:t>
            </w:r>
          </w:p>
        </w:tc>
        <w:tc>
          <w:tcPr>
            <w:tcW w:w="669" w:type="pct"/>
            <w:gridSpan w:val="2"/>
            <w:tcBorders>
              <w:top w:val="single" w:sz="4" w:space="0" w:color="auto"/>
              <w:left w:val="nil"/>
              <w:bottom w:val="nil"/>
              <w:right w:val="nil"/>
            </w:tcBorders>
            <w:shd w:val="clear" w:color="auto" w:fill="auto"/>
            <w:vAlign w:val="center"/>
            <w:hideMark/>
          </w:tcPr>
          <w:p w14:paraId="07A1908A" w14:textId="77777777" w:rsidR="00A85E10" w:rsidRPr="00A85E10" w:rsidRDefault="00A85E10" w:rsidP="00A85E10">
            <w:pPr>
              <w:spacing w:after="0" w:line="240" w:lineRule="auto"/>
              <w:jc w:val="center"/>
              <w:rPr>
                <w:b/>
                <w:bCs/>
                <w:sz w:val="20"/>
                <w:szCs w:val="20"/>
                <w:lang w:eastAsia="sk-SK"/>
              </w:rPr>
            </w:pPr>
            <w:r w:rsidRPr="00A85E10">
              <w:rPr>
                <w:b/>
                <w:bCs/>
                <w:sz w:val="20"/>
                <w:szCs w:val="20"/>
                <w:lang w:eastAsia="sk-SK"/>
              </w:rPr>
              <w:t>Medziročný rozdiel</w:t>
            </w:r>
          </w:p>
        </w:tc>
      </w:tr>
      <w:tr w:rsidR="00A85E10" w:rsidRPr="00A85E10" w14:paraId="5A6D5D3C" w14:textId="77777777" w:rsidTr="00551266">
        <w:trPr>
          <w:trHeight w:val="58"/>
          <w:tblHeader/>
        </w:trPr>
        <w:tc>
          <w:tcPr>
            <w:tcW w:w="2673" w:type="pct"/>
            <w:gridSpan w:val="2"/>
            <w:vMerge/>
            <w:tcBorders>
              <w:top w:val="nil"/>
              <w:left w:val="nil"/>
              <w:bottom w:val="single" w:sz="4" w:space="0" w:color="auto"/>
              <w:right w:val="nil"/>
            </w:tcBorders>
            <w:vAlign w:val="center"/>
            <w:hideMark/>
          </w:tcPr>
          <w:p w14:paraId="1F982210" w14:textId="77777777" w:rsidR="00A85E10" w:rsidRPr="00A85E10" w:rsidRDefault="00A85E10" w:rsidP="00A85E10">
            <w:pPr>
              <w:spacing w:after="0" w:line="240" w:lineRule="auto"/>
              <w:rPr>
                <w:b/>
                <w:bCs/>
                <w:sz w:val="20"/>
                <w:szCs w:val="20"/>
                <w:lang w:eastAsia="sk-SK"/>
              </w:rPr>
            </w:pPr>
          </w:p>
        </w:tc>
        <w:tc>
          <w:tcPr>
            <w:tcW w:w="595" w:type="pct"/>
            <w:gridSpan w:val="2"/>
            <w:tcBorders>
              <w:top w:val="nil"/>
              <w:left w:val="nil"/>
              <w:bottom w:val="single" w:sz="4" w:space="0" w:color="auto"/>
              <w:right w:val="nil"/>
            </w:tcBorders>
            <w:shd w:val="clear" w:color="auto" w:fill="auto"/>
            <w:noWrap/>
            <w:vAlign w:val="bottom"/>
            <w:hideMark/>
          </w:tcPr>
          <w:p w14:paraId="2A5F7CA8" w14:textId="77777777" w:rsidR="00A85E10" w:rsidRPr="00A85E10" w:rsidRDefault="00A85E10" w:rsidP="00A85E10">
            <w:pPr>
              <w:spacing w:after="0" w:line="240" w:lineRule="auto"/>
              <w:jc w:val="center"/>
              <w:rPr>
                <w:b/>
                <w:bCs/>
                <w:sz w:val="20"/>
                <w:szCs w:val="20"/>
                <w:lang w:eastAsia="sk-SK"/>
              </w:rPr>
            </w:pPr>
            <w:r w:rsidRPr="00A85E10">
              <w:rPr>
                <w:b/>
                <w:bCs/>
                <w:sz w:val="20"/>
                <w:szCs w:val="20"/>
                <w:lang w:eastAsia="sk-SK"/>
              </w:rPr>
              <w:t>1</w:t>
            </w:r>
          </w:p>
        </w:tc>
        <w:tc>
          <w:tcPr>
            <w:tcW w:w="572" w:type="pct"/>
            <w:gridSpan w:val="3"/>
            <w:tcBorders>
              <w:top w:val="nil"/>
              <w:left w:val="nil"/>
              <w:bottom w:val="single" w:sz="4" w:space="0" w:color="auto"/>
              <w:right w:val="nil"/>
            </w:tcBorders>
            <w:shd w:val="clear" w:color="auto" w:fill="auto"/>
            <w:noWrap/>
            <w:vAlign w:val="bottom"/>
            <w:hideMark/>
          </w:tcPr>
          <w:p w14:paraId="2C3DFF64" w14:textId="77777777" w:rsidR="00A85E10" w:rsidRPr="00A85E10" w:rsidRDefault="00A85E10" w:rsidP="00A85E10">
            <w:pPr>
              <w:spacing w:after="0" w:line="240" w:lineRule="auto"/>
              <w:jc w:val="center"/>
              <w:rPr>
                <w:b/>
                <w:bCs/>
                <w:sz w:val="20"/>
                <w:szCs w:val="20"/>
                <w:lang w:eastAsia="sk-SK"/>
              </w:rPr>
            </w:pPr>
            <w:r w:rsidRPr="00A85E10">
              <w:rPr>
                <w:b/>
                <w:bCs/>
                <w:sz w:val="20"/>
                <w:szCs w:val="20"/>
                <w:lang w:eastAsia="sk-SK"/>
              </w:rPr>
              <w:t>2</w:t>
            </w:r>
          </w:p>
        </w:tc>
        <w:tc>
          <w:tcPr>
            <w:tcW w:w="490" w:type="pct"/>
            <w:tcBorders>
              <w:top w:val="nil"/>
              <w:left w:val="nil"/>
              <w:bottom w:val="single" w:sz="4" w:space="0" w:color="auto"/>
              <w:right w:val="nil"/>
            </w:tcBorders>
            <w:shd w:val="clear" w:color="auto" w:fill="auto"/>
            <w:noWrap/>
            <w:vAlign w:val="bottom"/>
            <w:hideMark/>
          </w:tcPr>
          <w:p w14:paraId="617B684E" w14:textId="77777777" w:rsidR="00A85E10" w:rsidRPr="00A85E10" w:rsidRDefault="00A85E10" w:rsidP="00A85E10">
            <w:pPr>
              <w:spacing w:after="0" w:line="240" w:lineRule="auto"/>
              <w:jc w:val="center"/>
              <w:rPr>
                <w:b/>
                <w:bCs/>
                <w:sz w:val="20"/>
                <w:szCs w:val="20"/>
                <w:lang w:eastAsia="sk-SK"/>
              </w:rPr>
            </w:pPr>
            <w:r w:rsidRPr="00A85E10">
              <w:rPr>
                <w:b/>
                <w:bCs/>
                <w:sz w:val="20"/>
                <w:szCs w:val="20"/>
                <w:lang w:eastAsia="sk-SK"/>
              </w:rPr>
              <w:t>3</w:t>
            </w:r>
          </w:p>
        </w:tc>
        <w:tc>
          <w:tcPr>
            <w:tcW w:w="669" w:type="pct"/>
            <w:gridSpan w:val="2"/>
            <w:tcBorders>
              <w:top w:val="nil"/>
              <w:left w:val="nil"/>
              <w:bottom w:val="single" w:sz="4" w:space="0" w:color="auto"/>
              <w:right w:val="nil"/>
            </w:tcBorders>
            <w:shd w:val="clear" w:color="auto" w:fill="auto"/>
            <w:noWrap/>
            <w:vAlign w:val="bottom"/>
            <w:hideMark/>
          </w:tcPr>
          <w:p w14:paraId="565D7564" w14:textId="77777777" w:rsidR="00A85E10" w:rsidRPr="00A85E10" w:rsidRDefault="00A85E10" w:rsidP="00A85E10">
            <w:pPr>
              <w:spacing w:after="0" w:line="240" w:lineRule="auto"/>
              <w:jc w:val="center"/>
              <w:rPr>
                <w:b/>
                <w:bCs/>
                <w:sz w:val="20"/>
                <w:szCs w:val="20"/>
                <w:lang w:eastAsia="sk-SK"/>
              </w:rPr>
            </w:pPr>
            <w:r w:rsidRPr="00A85E10">
              <w:rPr>
                <w:b/>
                <w:bCs/>
                <w:sz w:val="20"/>
                <w:szCs w:val="20"/>
                <w:lang w:eastAsia="sk-SK"/>
              </w:rPr>
              <w:t>4=(3-2)</w:t>
            </w:r>
          </w:p>
        </w:tc>
      </w:tr>
      <w:tr w:rsidR="000F0520" w:rsidRPr="00A85E10" w14:paraId="563B47F4" w14:textId="77777777" w:rsidTr="00536917">
        <w:trPr>
          <w:trHeight w:val="260"/>
        </w:trPr>
        <w:tc>
          <w:tcPr>
            <w:tcW w:w="2597" w:type="pct"/>
            <w:tcBorders>
              <w:top w:val="single" w:sz="4" w:space="0" w:color="auto"/>
              <w:left w:val="nil"/>
              <w:bottom w:val="nil"/>
              <w:right w:val="nil"/>
            </w:tcBorders>
            <w:shd w:val="clear" w:color="auto" w:fill="auto"/>
            <w:noWrap/>
            <w:vAlign w:val="bottom"/>
            <w:hideMark/>
          </w:tcPr>
          <w:p w14:paraId="309EB3D2" w14:textId="77777777" w:rsidR="000F0520" w:rsidRPr="00A85E10" w:rsidRDefault="000F0520" w:rsidP="000F0520">
            <w:pPr>
              <w:spacing w:after="0" w:line="240" w:lineRule="auto"/>
              <w:rPr>
                <w:b/>
                <w:bCs/>
                <w:sz w:val="20"/>
                <w:szCs w:val="20"/>
                <w:lang w:eastAsia="sk-SK"/>
              </w:rPr>
            </w:pPr>
            <w:r w:rsidRPr="00A85E10">
              <w:rPr>
                <w:b/>
                <w:bCs/>
                <w:sz w:val="20"/>
                <w:szCs w:val="20"/>
                <w:lang w:eastAsia="sk-SK"/>
              </w:rPr>
              <w:t>Ústredná správa</w:t>
            </w:r>
          </w:p>
        </w:tc>
        <w:tc>
          <w:tcPr>
            <w:tcW w:w="603" w:type="pct"/>
            <w:gridSpan w:val="2"/>
            <w:tcBorders>
              <w:top w:val="single" w:sz="4" w:space="0" w:color="auto"/>
              <w:left w:val="nil"/>
              <w:bottom w:val="nil"/>
              <w:right w:val="nil"/>
            </w:tcBorders>
            <w:shd w:val="clear" w:color="auto" w:fill="auto"/>
            <w:noWrap/>
            <w:vAlign w:val="bottom"/>
            <w:hideMark/>
          </w:tcPr>
          <w:p w14:paraId="53653DC7" w14:textId="06D9120D" w:rsidR="000F0520" w:rsidRPr="00A85E10" w:rsidRDefault="000F0520" w:rsidP="00AD1C3A">
            <w:pPr>
              <w:spacing w:after="0" w:line="240" w:lineRule="auto"/>
              <w:jc w:val="right"/>
              <w:rPr>
                <w:b/>
                <w:bCs/>
                <w:sz w:val="20"/>
                <w:szCs w:val="20"/>
                <w:lang w:eastAsia="sk-SK"/>
              </w:rPr>
            </w:pPr>
            <w:r w:rsidRPr="002A1EC7">
              <w:rPr>
                <w:b/>
                <w:bCs/>
                <w:sz w:val="20"/>
                <w:szCs w:val="20"/>
                <w:lang w:eastAsia="sk-SK"/>
              </w:rPr>
              <w:t xml:space="preserve">60 608 </w:t>
            </w:r>
            <w:r w:rsidR="00AD1C3A">
              <w:rPr>
                <w:b/>
                <w:bCs/>
                <w:sz w:val="20"/>
                <w:szCs w:val="20"/>
                <w:lang w:eastAsia="sk-SK"/>
              </w:rPr>
              <w:t>252</w:t>
            </w:r>
          </w:p>
        </w:tc>
        <w:tc>
          <w:tcPr>
            <w:tcW w:w="601" w:type="pct"/>
            <w:gridSpan w:val="3"/>
            <w:tcBorders>
              <w:top w:val="single" w:sz="4" w:space="0" w:color="auto"/>
              <w:left w:val="nil"/>
              <w:bottom w:val="nil"/>
              <w:right w:val="nil"/>
            </w:tcBorders>
            <w:shd w:val="clear" w:color="auto" w:fill="auto"/>
            <w:noWrap/>
            <w:vAlign w:val="bottom"/>
            <w:hideMark/>
          </w:tcPr>
          <w:p w14:paraId="6DFFE7DD" w14:textId="5AF43D1D" w:rsidR="000F0520" w:rsidRPr="00A85E10" w:rsidRDefault="000F0520" w:rsidP="007812A0">
            <w:pPr>
              <w:spacing w:after="0" w:line="240" w:lineRule="auto"/>
              <w:jc w:val="right"/>
              <w:rPr>
                <w:b/>
                <w:bCs/>
                <w:sz w:val="20"/>
                <w:szCs w:val="20"/>
                <w:lang w:eastAsia="sk-SK"/>
              </w:rPr>
            </w:pPr>
            <w:r w:rsidRPr="002A1EC7">
              <w:rPr>
                <w:b/>
                <w:bCs/>
                <w:sz w:val="20"/>
                <w:szCs w:val="20"/>
                <w:lang w:eastAsia="sk-SK"/>
              </w:rPr>
              <w:t xml:space="preserve">62 470 </w:t>
            </w:r>
            <w:r w:rsidR="007812A0">
              <w:rPr>
                <w:b/>
                <w:bCs/>
                <w:sz w:val="20"/>
                <w:szCs w:val="20"/>
                <w:lang w:eastAsia="sk-SK"/>
              </w:rPr>
              <w:t>793</w:t>
            </w:r>
          </w:p>
        </w:tc>
        <w:tc>
          <w:tcPr>
            <w:tcW w:w="595" w:type="pct"/>
            <w:gridSpan w:val="3"/>
            <w:tcBorders>
              <w:top w:val="single" w:sz="4" w:space="0" w:color="auto"/>
              <w:left w:val="nil"/>
              <w:bottom w:val="nil"/>
              <w:right w:val="nil"/>
            </w:tcBorders>
            <w:shd w:val="clear" w:color="auto" w:fill="auto"/>
            <w:noWrap/>
            <w:vAlign w:val="bottom"/>
            <w:hideMark/>
          </w:tcPr>
          <w:p w14:paraId="0D6EEAB2" w14:textId="084B084A"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67 897 547</w:t>
            </w:r>
          </w:p>
        </w:tc>
        <w:tc>
          <w:tcPr>
            <w:tcW w:w="603" w:type="pct"/>
            <w:tcBorders>
              <w:top w:val="single" w:sz="4" w:space="0" w:color="auto"/>
              <w:left w:val="nil"/>
              <w:bottom w:val="nil"/>
              <w:right w:val="nil"/>
            </w:tcBorders>
            <w:shd w:val="clear" w:color="auto" w:fill="auto"/>
            <w:noWrap/>
            <w:vAlign w:val="bottom"/>
            <w:hideMark/>
          </w:tcPr>
          <w:p w14:paraId="732E673B" w14:textId="67C0A718" w:rsidR="000F0520" w:rsidRPr="00A85E10" w:rsidRDefault="000F0520" w:rsidP="007812A0">
            <w:pPr>
              <w:spacing w:after="0" w:line="240" w:lineRule="auto"/>
              <w:jc w:val="right"/>
              <w:rPr>
                <w:b/>
                <w:bCs/>
                <w:sz w:val="20"/>
                <w:szCs w:val="20"/>
                <w:lang w:eastAsia="sk-SK"/>
              </w:rPr>
            </w:pPr>
            <w:r w:rsidRPr="002A1EC7">
              <w:rPr>
                <w:b/>
                <w:bCs/>
                <w:sz w:val="20"/>
                <w:szCs w:val="20"/>
                <w:lang w:eastAsia="sk-SK"/>
              </w:rPr>
              <w:t>5 42</w:t>
            </w:r>
            <w:r w:rsidR="007812A0">
              <w:rPr>
                <w:b/>
                <w:bCs/>
                <w:sz w:val="20"/>
                <w:szCs w:val="20"/>
                <w:lang w:eastAsia="sk-SK"/>
              </w:rPr>
              <w:t>6</w:t>
            </w:r>
            <w:r w:rsidRPr="002A1EC7">
              <w:rPr>
                <w:b/>
                <w:bCs/>
                <w:sz w:val="20"/>
                <w:szCs w:val="20"/>
                <w:lang w:eastAsia="sk-SK"/>
              </w:rPr>
              <w:t xml:space="preserve"> </w:t>
            </w:r>
            <w:r w:rsidR="007812A0">
              <w:rPr>
                <w:b/>
                <w:bCs/>
                <w:sz w:val="20"/>
                <w:szCs w:val="20"/>
                <w:lang w:eastAsia="sk-SK"/>
              </w:rPr>
              <w:t>754</w:t>
            </w:r>
          </w:p>
        </w:tc>
      </w:tr>
      <w:tr w:rsidR="000F0520" w:rsidRPr="00A85E10" w14:paraId="73FDCAF1" w14:textId="77777777" w:rsidTr="00536917">
        <w:trPr>
          <w:trHeight w:val="260"/>
        </w:trPr>
        <w:tc>
          <w:tcPr>
            <w:tcW w:w="2597" w:type="pct"/>
            <w:tcBorders>
              <w:top w:val="nil"/>
              <w:left w:val="nil"/>
              <w:bottom w:val="nil"/>
              <w:right w:val="nil"/>
            </w:tcBorders>
            <w:shd w:val="clear" w:color="auto" w:fill="auto"/>
            <w:noWrap/>
            <w:vAlign w:val="bottom"/>
            <w:hideMark/>
          </w:tcPr>
          <w:p w14:paraId="3B444FDB" w14:textId="77777777" w:rsidR="000F0520" w:rsidRPr="00A85E10" w:rsidRDefault="000F0520" w:rsidP="000F0520">
            <w:pPr>
              <w:spacing w:after="0" w:line="240" w:lineRule="auto"/>
              <w:ind w:firstLineChars="100" w:firstLine="200"/>
              <w:rPr>
                <w:sz w:val="20"/>
                <w:szCs w:val="20"/>
                <w:lang w:eastAsia="sk-SK"/>
              </w:rPr>
            </w:pPr>
            <w:r w:rsidRPr="00A85E10">
              <w:rPr>
                <w:sz w:val="20"/>
                <w:szCs w:val="20"/>
                <w:lang w:eastAsia="sk-SK"/>
              </w:rPr>
              <w:t xml:space="preserve">z toho: </w:t>
            </w:r>
          </w:p>
        </w:tc>
        <w:tc>
          <w:tcPr>
            <w:tcW w:w="603" w:type="pct"/>
            <w:gridSpan w:val="2"/>
            <w:tcBorders>
              <w:top w:val="nil"/>
              <w:left w:val="nil"/>
              <w:bottom w:val="nil"/>
              <w:right w:val="nil"/>
            </w:tcBorders>
            <w:shd w:val="clear" w:color="auto" w:fill="auto"/>
            <w:noWrap/>
            <w:vAlign w:val="bottom"/>
            <w:hideMark/>
          </w:tcPr>
          <w:p w14:paraId="46B853D5" w14:textId="77777777" w:rsidR="000F0520" w:rsidRPr="00A85E10" w:rsidRDefault="000F0520" w:rsidP="000F0520">
            <w:pPr>
              <w:spacing w:after="0" w:line="240" w:lineRule="auto"/>
              <w:ind w:firstLineChars="100" w:firstLine="200"/>
              <w:rPr>
                <w:sz w:val="20"/>
                <w:szCs w:val="20"/>
                <w:lang w:eastAsia="sk-SK"/>
              </w:rPr>
            </w:pPr>
          </w:p>
        </w:tc>
        <w:tc>
          <w:tcPr>
            <w:tcW w:w="601" w:type="pct"/>
            <w:gridSpan w:val="3"/>
            <w:tcBorders>
              <w:top w:val="nil"/>
              <w:left w:val="nil"/>
              <w:bottom w:val="nil"/>
              <w:right w:val="nil"/>
            </w:tcBorders>
            <w:shd w:val="clear" w:color="auto" w:fill="auto"/>
            <w:noWrap/>
            <w:vAlign w:val="bottom"/>
            <w:hideMark/>
          </w:tcPr>
          <w:p w14:paraId="2874F2F7" w14:textId="77777777" w:rsidR="000F0520" w:rsidRPr="00A85E10" w:rsidRDefault="000F0520" w:rsidP="000F0520">
            <w:pPr>
              <w:spacing w:after="0" w:line="240" w:lineRule="auto"/>
              <w:rPr>
                <w:sz w:val="20"/>
                <w:szCs w:val="20"/>
                <w:lang w:eastAsia="sk-SK"/>
              </w:rPr>
            </w:pPr>
          </w:p>
        </w:tc>
        <w:tc>
          <w:tcPr>
            <w:tcW w:w="595" w:type="pct"/>
            <w:gridSpan w:val="3"/>
            <w:tcBorders>
              <w:top w:val="nil"/>
              <w:left w:val="nil"/>
              <w:bottom w:val="nil"/>
              <w:right w:val="nil"/>
            </w:tcBorders>
            <w:shd w:val="clear" w:color="auto" w:fill="auto"/>
            <w:noWrap/>
            <w:vAlign w:val="bottom"/>
            <w:hideMark/>
          </w:tcPr>
          <w:p w14:paraId="2999A661" w14:textId="77777777" w:rsidR="000F0520" w:rsidRPr="00A85E10" w:rsidRDefault="000F0520" w:rsidP="000F0520">
            <w:pPr>
              <w:spacing w:after="0" w:line="240" w:lineRule="auto"/>
              <w:rPr>
                <w:sz w:val="20"/>
                <w:szCs w:val="20"/>
                <w:lang w:eastAsia="sk-SK"/>
              </w:rPr>
            </w:pPr>
          </w:p>
        </w:tc>
        <w:tc>
          <w:tcPr>
            <w:tcW w:w="603" w:type="pct"/>
            <w:tcBorders>
              <w:top w:val="nil"/>
              <w:left w:val="nil"/>
              <w:bottom w:val="nil"/>
              <w:right w:val="nil"/>
            </w:tcBorders>
            <w:shd w:val="clear" w:color="auto" w:fill="auto"/>
            <w:noWrap/>
            <w:vAlign w:val="bottom"/>
            <w:hideMark/>
          </w:tcPr>
          <w:p w14:paraId="06909702" w14:textId="77777777" w:rsidR="000F0520" w:rsidRPr="00A85E10" w:rsidRDefault="000F0520" w:rsidP="000F0520">
            <w:pPr>
              <w:spacing w:after="0" w:line="240" w:lineRule="auto"/>
              <w:rPr>
                <w:sz w:val="20"/>
                <w:szCs w:val="20"/>
                <w:lang w:eastAsia="sk-SK"/>
              </w:rPr>
            </w:pPr>
          </w:p>
        </w:tc>
      </w:tr>
      <w:tr w:rsidR="000F0520" w:rsidRPr="00A85E10" w14:paraId="45C5A62D" w14:textId="77777777" w:rsidTr="00536917">
        <w:trPr>
          <w:trHeight w:val="310"/>
        </w:trPr>
        <w:tc>
          <w:tcPr>
            <w:tcW w:w="2597" w:type="pct"/>
            <w:tcBorders>
              <w:top w:val="nil"/>
              <w:left w:val="nil"/>
              <w:bottom w:val="nil"/>
              <w:right w:val="nil"/>
            </w:tcBorders>
            <w:shd w:val="clear" w:color="auto" w:fill="auto"/>
            <w:noWrap/>
            <w:vAlign w:val="bottom"/>
            <w:hideMark/>
          </w:tcPr>
          <w:p w14:paraId="6A5F67A0" w14:textId="24720E69"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Štátny dlh</w:t>
            </w:r>
            <w:r w:rsidRPr="00A85E10">
              <w:rPr>
                <w:sz w:val="20"/>
                <w:szCs w:val="20"/>
                <w:vertAlign w:val="superscript"/>
                <w:lang w:eastAsia="sk-SK"/>
              </w:rPr>
              <w:t>1)</w:t>
            </w:r>
          </w:p>
        </w:tc>
        <w:tc>
          <w:tcPr>
            <w:tcW w:w="603" w:type="pct"/>
            <w:gridSpan w:val="2"/>
            <w:tcBorders>
              <w:top w:val="nil"/>
              <w:left w:val="nil"/>
              <w:bottom w:val="nil"/>
              <w:right w:val="nil"/>
            </w:tcBorders>
            <w:shd w:val="clear" w:color="auto" w:fill="auto"/>
            <w:noWrap/>
            <w:vAlign w:val="bottom"/>
            <w:hideMark/>
          </w:tcPr>
          <w:p w14:paraId="69174A80" w14:textId="2D74AACA" w:rsidR="000F0520" w:rsidRPr="00A85E10" w:rsidRDefault="000F0520" w:rsidP="000F0520">
            <w:pPr>
              <w:spacing w:after="0" w:line="240" w:lineRule="auto"/>
              <w:jc w:val="right"/>
              <w:rPr>
                <w:sz w:val="20"/>
                <w:szCs w:val="20"/>
                <w:lang w:eastAsia="sk-SK"/>
              </w:rPr>
            </w:pPr>
            <w:r w:rsidRPr="002A1EC7">
              <w:rPr>
                <w:sz w:val="20"/>
                <w:szCs w:val="20"/>
                <w:lang w:eastAsia="sk-SK"/>
              </w:rPr>
              <w:t>59 351 940</w:t>
            </w:r>
          </w:p>
        </w:tc>
        <w:tc>
          <w:tcPr>
            <w:tcW w:w="601" w:type="pct"/>
            <w:gridSpan w:val="3"/>
            <w:tcBorders>
              <w:top w:val="nil"/>
              <w:left w:val="nil"/>
              <w:bottom w:val="nil"/>
              <w:right w:val="nil"/>
            </w:tcBorders>
            <w:shd w:val="clear" w:color="auto" w:fill="auto"/>
            <w:noWrap/>
            <w:vAlign w:val="bottom"/>
            <w:hideMark/>
          </w:tcPr>
          <w:p w14:paraId="3D92077D" w14:textId="077824C3" w:rsidR="000F0520" w:rsidRPr="00A85E10" w:rsidRDefault="000F0520" w:rsidP="000F0520">
            <w:pPr>
              <w:spacing w:after="0" w:line="240" w:lineRule="auto"/>
              <w:jc w:val="right"/>
              <w:rPr>
                <w:sz w:val="20"/>
                <w:szCs w:val="20"/>
                <w:lang w:eastAsia="sk-SK"/>
              </w:rPr>
            </w:pPr>
            <w:r w:rsidRPr="002A1EC7">
              <w:rPr>
                <w:sz w:val="20"/>
                <w:szCs w:val="20"/>
                <w:lang w:eastAsia="sk-SK"/>
              </w:rPr>
              <w:t>61 323 071</w:t>
            </w:r>
          </w:p>
        </w:tc>
        <w:tc>
          <w:tcPr>
            <w:tcW w:w="595" w:type="pct"/>
            <w:gridSpan w:val="3"/>
            <w:tcBorders>
              <w:top w:val="nil"/>
              <w:left w:val="nil"/>
              <w:bottom w:val="nil"/>
              <w:right w:val="nil"/>
            </w:tcBorders>
            <w:shd w:val="clear" w:color="auto" w:fill="auto"/>
            <w:noWrap/>
            <w:vAlign w:val="bottom"/>
            <w:hideMark/>
          </w:tcPr>
          <w:p w14:paraId="26360AF9" w14:textId="20D3579D" w:rsidR="000F0520" w:rsidRPr="00A85E10" w:rsidRDefault="000F0520" w:rsidP="000F0520">
            <w:pPr>
              <w:spacing w:after="0" w:line="240" w:lineRule="auto"/>
              <w:jc w:val="right"/>
              <w:rPr>
                <w:sz w:val="20"/>
                <w:szCs w:val="20"/>
                <w:lang w:eastAsia="sk-SK"/>
              </w:rPr>
            </w:pPr>
            <w:r w:rsidRPr="002A1EC7">
              <w:rPr>
                <w:sz w:val="20"/>
                <w:szCs w:val="20"/>
                <w:lang w:eastAsia="sk-SK"/>
              </w:rPr>
              <w:t>66 540 942</w:t>
            </w:r>
          </w:p>
        </w:tc>
        <w:tc>
          <w:tcPr>
            <w:tcW w:w="603" w:type="pct"/>
            <w:tcBorders>
              <w:top w:val="nil"/>
              <w:left w:val="nil"/>
              <w:bottom w:val="nil"/>
              <w:right w:val="nil"/>
            </w:tcBorders>
            <w:shd w:val="clear" w:color="auto" w:fill="auto"/>
            <w:noWrap/>
            <w:vAlign w:val="bottom"/>
            <w:hideMark/>
          </w:tcPr>
          <w:p w14:paraId="024FADA8" w14:textId="10E9F36B" w:rsidR="000F0520" w:rsidRPr="00A85E10" w:rsidRDefault="000F0520" w:rsidP="000F0520">
            <w:pPr>
              <w:spacing w:after="0" w:line="240" w:lineRule="auto"/>
              <w:jc w:val="right"/>
              <w:rPr>
                <w:sz w:val="20"/>
                <w:szCs w:val="20"/>
                <w:lang w:eastAsia="sk-SK"/>
              </w:rPr>
            </w:pPr>
            <w:r w:rsidRPr="002A1EC7">
              <w:rPr>
                <w:sz w:val="20"/>
                <w:szCs w:val="20"/>
                <w:lang w:eastAsia="sk-SK"/>
              </w:rPr>
              <w:t>5 217 871</w:t>
            </w:r>
          </w:p>
        </w:tc>
      </w:tr>
      <w:tr w:rsidR="000F0520" w:rsidRPr="00A85E10" w14:paraId="035E6460" w14:textId="77777777" w:rsidTr="00536917">
        <w:trPr>
          <w:trHeight w:val="260"/>
        </w:trPr>
        <w:tc>
          <w:tcPr>
            <w:tcW w:w="2597" w:type="pct"/>
            <w:tcBorders>
              <w:top w:val="nil"/>
              <w:left w:val="nil"/>
              <w:bottom w:val="nil"/>
              <w:right w:val="nil"/>
            </w:tcBorders>
            <w:shd w:val="clear" w:color="auto" w:fill="auto"/>
            <w:noWrap/>
            <w:vAlign w:val="bottom"/>
            <w:hideMark/>
          </w:tcPr>
          <w:p w14:paraId="4A84E344"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Príspevkové organizácie ústrednej správy</w:t>
            </w:r>
          </w:p>
        </w:tc>
        <w:tc>
          <w:tcPr>
            <w:tcW w:w="603" w:type="pct"/>
            <w:gridSpan w:val="2"/>
            <w:tcBorders>
              <w:top w:val="nil"/>
              <w:left w:val="nil"/>
              <w:bottom w:val="nil"/>
              <w:right w:val="nil"/>
            </w:tcBorders>
            <w:shd w:val="clear" w:color="auto" w:fill="auto"/>
            <w:noWrap/>
            <w:vAlign w:val="bottom"/>
            <w:hideMark/>
          </w:tcPr>
          <w:p w14:paraId="670F8D27" w14:textId="03D452AA" w:rsidR="000F0520" w:rsidRPr="00A85E10" w:rsidRDefault="000F0520" w:rsidP="000F0520">
            <w:pPr>
              <w:spacing w:after="0" w:line="240" w:lineRule="auto"/>
              <w:jc w:val="right"/>
              <w:rPr>
                <w:sz w:val="20"/>
                <w:szCs w:val="20"/>
                <w:lang w:eastAsia="sk-SK"/>
              </w:rPr>
            </w:pPr>
            <w:r w:rsidRPr="002A1EC7">
              <w:rPr>
                <w:sz w:val="20"/>
                <w:szCs w:val="20"/>
                <w:lang w:eastAsia="sk-SK"/>
              </w:rPr>
              <w:t>4 726</w:t>
            </w:r>
          </w:p>
        </w:tc>
        <w:tc>
          <w:tcPr>
            <w:tcW w:w="601" w:type="pct"/>
            <w:gridSpan w:val="3"/>
            <w:tcBorders>
              <w:top w:val="nil"/>
              <w:left w:val="nil"/>
              <w:bottom w:val="nil"/>
              <w:right w:val="nil"/>
            </w:tcBorders>
            <w:shd w:val="clear" w:color="auto" w:fill="auto"/>
            <w:noWrap/>
            <w:vAlign w:val="bottom"/>
            <w:hideMark/>
          </w:tcPr>
          <w:p w14:paraId="5AA70F1F" w14:textId="14B7F543" w:rsidR="000F0520" w:rsidRPr="00A85E10" w:rsidRDefault="000F0520" w:rsidP="000F0520">
            <w:pPr>
              <w:spacing w:after="0" w:line="240" w:lineRule="auto"/>
              <w:jc w:val="right"/>
              <w:rPr>
                <w:sz w:val="20"/>
                <w:szCs w:val="20"/>
                <w:lang w:eastAsia="sk-SK"/>
              </w:rPr>
            </w:pPr>
            <w:r w:rsidRPr="002A1EC7">
              <w:rPr>
                <w:sz w:val="20"/>
                <w:szCs w:val="20"/>
                <w:lang w:eastAsia="sk-SK"/>
              </w:rPr>
              <w:t>3 687</w:t>
            </w:r>
          </w:p>
        </w:tc>
        <w:tc>
          <w:tcPr>
            <w:tcW w:w="595" w:type="pct"/>
            <w:gridSpan w:val="3"/>
            <w:tcBorders>
              <w:top w:val="nil"/>
              <w:left w:val="nil"/>
              <w:bottom w:val="nil"/>
              <w:right w:val="nil"/>
            </w:tcBorders>
            <w:shd w:val="clear" w:color="auto" w:fill="auto"/>
            <w:noWrap/>
            <w:vAlign w:val="bottom"/>
            <w:hideMark/>
          </w:tcPr>
          <w:p w14:paraId="55FBFF10" w14:textId="33EF5107" w:rsidR="000F0520" w:rsidRPr="00A85E10" w:rsidRDefault="000F0520" w:rsidP="000F0520">
            <w:pPr>
              <w:spacing w:after="0" w:line="240" w:lineRule="auto"/>
              <w:jc w:val="right"/>
              <w:rPr>
                <w:sz w:val="20"/>
                <w:szCs w:val="20"/>
                <w:lang w:eastAsia="sk-SK"/>
              </w:rPr>
            </w:pPr>
            <w:r w:rsidRPr="002A1EC7">
              <w:rPr>
                <w:sz w:val="20"/>
                <w:szCs w:val="20"/>
                <w:lang w:eastAsia="sk-SK"/>
              </w:rPr>
              <w:t>618</w:t>
            </w:r>
          </w:p>
        </w:tc>
        <w:tc>
          <w:tcPr>
            <w:tcW w:w="603" w:type="pct"/>
            <w:tcBorders>
              <w:top w:val="nil"/>
              <w:left w:val="nil"/>
              <w:bottom w:val="nil"/>
              <w:right w:val="nil"/>
            </w:tcBorders>
            <w:shd w:val="clear" w:color="auto" w:fill="auto"/>
            <w:noWrap/>
            <w:vAlign w:val="bottom"/>
            <w:hideMark/>
          </w:tcPr>
          <w:p w14:paraId="3F74EABE" w14:textId="6192C435" w:rsidR="000F0520" w:rsidRPr="00A85E10" w:rsidRDefault="000F0520" w:rsidP="000F0520">
            <w:pPr>
              <w:spacing w:after="0" w:line="240" w:lineRule="auto"/>
              <w:jc w:val="right"/>
              <w:rPr>
                <w:sz w:val="20"/>
                <w:szCs w:val="20"/>
                <w:lang w:eastAsia="sk-SK"/>
              </w:rPr>
            </w:pPr>
            <w:r w:rsidRPr="002A1EC7">
              <w:rPr>
                <w:sz w:val="20"/>
                <w:szCs w:val="20"/>
                <w:lang w:eastAsia="sk-SK"/>
              </w:rPr>
              <w:t>-3 069</w:t>
            </w:r>
          </w:p>
        </w:tc>
      </w:tr>
      <w:tr w:rsidR="000F0520" w:rsidRPr="00A85E10" w14:paraId="4BDBABD7" w14:textId="77777777" w:rsidTr="00536917">
        <w:trPr>
          <w:trHeight w:val="260"/>
        </w:trPr>
        <w:tc>
          <w:tcPr>
            <w:tcW w:w="2597" w:type="pct"/>
            <w:tcBorders>
              <w:top w:val="nil"/>
              <w:left w:val="nil"/>
              <w:bottom w:val="nil"/>
              <w:right w:val="nil"/>
            </w:tcBorders>
            <w:shd w:val="clear" w:color="auto" w:fill="auto"/>
            <w:noWrap/>
            <w:vAlign w:val="bottom"/>
            <w:hideMark/>
          </w:tcPr>
          <w:p w14:paraId="573D792F"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Exportno-importná banka SR</w:t>
            </w:r>
          </w:p>
        </w:tc>
        <w:tc>
          <w:tcPr>
            <w:tcW w:w="603" w:type="pct"/>
            <w:gridSpan w:val="2"/>
            <w:tcBorders>
              <w:top w:val="nil"/>
              <w:left w:val="nil"/>
              <w:bottom w:val="nil"/>
              <w:right w:val="nil"/>
            </w:tcBorders>
            <w:shd w:val="clear" w:color="auto" w:fill="auto"/>
            <w:noWrap/>
            <w:vAlign w:val="bottom"/>
            <w:hideMark/>
          </w:tcPr>
          <w:p w14:paraId="6C5EF6C2" w14:textId="3BCF8075" w:rsidR="000F0520" w:rsidRPr="00A85E10" w:rsidRDefault="000F0520" w:rsidP="000F0520">
            <w:pPr>
              <w:spacing w:after="0" w:line="240" w:lineRule="auto"/>
              <w:jc w:val="right"/>
              <w:rPr>
                <w:sz w:val="20"/>
                <w:szCs w:val="20"/>
                <w:lang w:eastAsia="sk-SK"/>
              </w:rPr>
            </w:pPr>
            <w:r w:rsidRPr="002A1EC7">
              <w:rPr>
                <w:sz w:val="20"/>
                <w:szCs w:val="20"/>
                <w:lang w:eastAsia="sk-SK"/>
              </w:rPr>
              <w:t>174 305</w:t>
            </w:r>
          </w:p>
        </w:tc>
        <w:tc>
          <w:tcPr>
            <w:tcW w:w="601" w:type="pct"/>
            <w:gridSpan w:val="3"/>
            <w:tcBorders>
              <w:top w:val="nil"/>
              <w:left w:val="nil"/>
              <w:bottom w:val="nil"/>
              <w:right w:val="nil"/>
            </w:tcBorders>
            <w:shd w:val="clear" w:color="auto" w:fill="auto"/>
            <w:noWrap/>
            <w:vAlign w:val="bottom"/>
            <w:hideMark/>
          </w:tcPr>
          <w:p w14:paraId="122D65E4" w14:textId="20854B59" w:rsidR="000F0520" w:rsidRPr="00A85E10" w:rsidRDefault="000F0520" w:rsidP="000F0520">
            <w:pPr>
              <w:spacing w:after="0" w:line="240" w:lineRule="auto"/>
              <w:jc w:val="right"/>
              <w:rPr>
                <w:sz w:val="20"/>
                <w:szCs w:val="20"/>
                <w:lang w:eastAsia="sk-SK"/>
              </w:rPr>
            </w:pPr>
            <w:r w:rsidRPr="002A1EC7">
              <w:rPr>
                <w:sz w:val="20"/>
                <w:szCs w:val="20"/>
                <w:lang w:eastAsia="sk-SK"/>
              </w:rPr>
              <w:t>188 740</w:t>
            </w:r>
          </w:p>
        </w:tc>
        <w:tc>
          <w:tcPr>
            <w:tcW w:w="595" w:type="pct"/>
            <w:gridSpan w:val="3"/>
            <w:tcBorders>
              <w:top w:val="nil"/>
              <w:left w:val="nil"/>
              <w:bottom w:val="nil"/>
              <w:right w:val="nil"/>
            </w:tcBorders>
            <w:shd w:val="clear" w:color="auto" w:fill="auto"/>
            <w:noWrap/>
            <w:vAlign w:val="bottom"/>
            <w:hideMark/>
          </w:tcPr>
          <w:p w14:paraId="72AAA794" w14:textId="3998E0DE" w:rsidR="000F0520" w:rsidRPr="00A85E10" w:rsidRDefault="000F0520" w:rsidP="000F0520">
            <w:pPr>
              <w:spacing w:after="0" w:line="240" w:lineRule="auto"/>
              <w:jc w:val="right"/>
              <w:rPr>
                <w:sz w:val="20"/>
                <w:szCs w:val="20"/>
                <w:lang w:eastAsia="sk-SK"/>
              </w:rPr>
            </w:pPr>
            <w:r w:rsidRPr="002A1EC7">
              <w:rPr>
                <w:sz w:val="20"/>
                <w:szCs w:val="20"/>
                <w:lang w:eastAsia="sk-SK"/>
              </w:rPr>
              <w:t>188 156</w:t>
            </w:r>
          </w:p>
        </w:tc>
        <w:tc>
          <w:tcPr>
            <w:tcW w:w="603" w:type="pct"/>
            <w:tcBorders>
              <w:top w:val="nil"/>
              <w:left w:val="nil"/>
              <w:bottom w:val="nil"/>
              <w:right w:val="nil"/>
            </w:tcBorders>
            <w:shd w:val="clear" w:color="auto" w:fill="auto"/>
            <w:noWrap/>
            <w:vAlign w:val="bottom"/>
            <w:hideMark/>
          </w:tcPr>
          <w:p w14:paraId="17EBCB1C" w14:textId="38F78109" w:rsidR="000F0520" w:rsidRPr="00A85E10" w:rsidRDefault="000F0520" w:rsidP="000F0520">
            <w:pPr>
              <w:spacing w:after="0" w:line="240" w:lineRule="auto"/>
              <w:jc w:val="right"/>
              <w:rPr>
                <w:sz w:val="20"/>
                <w:szCs w:val="20"/>
                <w:lang w:eastAsia="sk-SK"/>
              </w:rPr>
            </w:pPr>
            <w:r w:rsidRPr="002A1EC7">
              <w:rPr>
                <w:sz w:val="20"/>
                <w:szCs w:val="20"/>
                <w:lang w:eastAsia="sk-SK"/>
              </w:rPr>
              <w:t>-584</w:t>
            </w:r>
          </w:p>
        </w:tc>
      </w:tr>
      <w:tr w:rsidR="000F0520" w:rsidRPr="00A85E10" w14:paraId="04130B4A" w14:textId="77777777" w:rsidTr="00536917">
        <w:trPr>
          <w:trHeight w:val="260"/>
        </w:trPr>
        <w:tc>
          <w:tcPr>
            <w:tcW w:w="2597" w:type="pct"/>
            <w:tcBorders>
              <w:top w:val="nil"/>
              <w:left w:val="nil"/>
              <w:bottom w:val="nil"/>
              <w:right w:val="nil"/>
            </w:tcBorders>
            <w:shd w:val="clear" w:color="auto" w:fill="auto"/>
            <w:noWrap/>
            <w:vAlign w:val="bottom"/>
            <w:hideMark/>
          </w:tcPr>
          <w:p w14:paraId="455C3990" w14:textId="311D1224"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Slovenská záručná a rozvojová banka</w:t>
            </w:r>
            <w:r w:rsidR="003F0818">
              <w:rPr>
                <w:sz w:val="20"/>
                <w:szCs w:val="20"/>
                <w:lang w:eastAsia="sk-SK"/>
              </w:rPr>
              <w:t>, a. s.</w:t>
            </w:r>
          </w:p>
        </w:tc>
        <w:tc>
          <w:tcPr>
            <w:tcW w:w="603" w:type="pct"/>
            <w:gridSpan w:val="2"/>
            <w:tcBorders>
              <w:top w:val="nil"/>
              <w:left w:val="nil"/>
              <w:bottom w:val="nil"/>
              <w:right w:val="nil"/>
            </w:tcBorders>
            <w:shd w:val="clear" w:color="auto" w:fill="auto"/>
            <w:noWrap/>
            <w:vAlign w:val="bottom"/>
            <w:hideMark/>
          </w:tcPr>
          <w:p w14:paraId="7E1916B6" w14:textId="77777777" w:rsidR="000F0520" w:rsidRPr="00A85E10" w:rsidRDefault="000F0520" w:rsidP="000F0520">
            <w:pPr>
              <w:spacing w:after="0" w:line="240" w:lineRule="auto"/>
              <w:ind w:firstLineChars="200" w:firstLine="400"/>
              <w:rPr>
                <w:sz w:val="20"/>
                <w:szCs w:val="20"/>
                <w:lang w:eastAsia="sk-SK"/>
              </w:rPr>
            </w:pPr>
          </w:p>
        </w:tc>
        <w:tc>
          <w:tcPr>
            <w:tcW w:w="601" w:type="pct"/>
            <w:gridSpan w:val="3"/>
            <w:tcBorders>
              <w:top w:val="nil"/>
              <w:left w:val="nil"/>
              <w:bottom w:val="nil"/>
              <w:right w:val="nil"/>
            </w:tcBorders>
            <w:shd w:val="clear" w:color="auto" w:fill="auto"/>
            <w:noWrap/>
            <w:vAlign w:val="bottom"/>
            <w:hideMark/>
          </w:tcPr>
          <w:p w14:paraId="2389364F" w14:textId="77777777" w:rsidR="000F0520" w:rsidRPr="00A85E10" w:rsidRDefault="000F0520" w:rsidP="000F0520">
            <w:pPr>
              <w:spacing w:after="0" w:line="240" w:lineRule="auto"/>
              <w:rPr>
                <w:sz w:val="20"/>
                <w:szCs w:val="20"/>
                <w:lang w:eastAsia="sk-SK"/>
              </w:rPr>
            </w:pPr>
          </w:p>
        </w:tc>
        <w:tc>
          <w:tcPr>
            <w:tcW w:w="595" w:type="pct"/>
            <w:gridSpan w:val="3"/>
            <w:tcBorders>
              <w:top w:val="nil"/>
              <w:left w:val="nil"/>
              <w:bottom w:val="nil"/>
              <w:right w:val="nil"/>
            </w:tcBorders>
            <w:shd w:val="clear" w:color="auto" w:fill="auto"/>
            <w:noWrap/>
            <w:vAlign w:val="bottom"/>
            <w:hideMark/>
          </w:tcPr>
          <w:p w14:paraId="61F547A5" w14:textId="3E26364D" w:rsidR="000F0520" w:rsidRPr="00A85E10" w:rsidRDefault="000F0520" w:rsidP="000F0520">
            <w:pPr>
              <w:spacing w:after="0" w:line="240" w:lineRule="auto"/>
              <w:jc w:val="right"/>
              <w:rPr>
                <w:sz w:val="20"/>
                <w:szCs w:val="20"/>
                <w:lang w:eastAsia="sk-SK"/>
              </w:rPr>
            </w:pPr>
            <w:r w:rsidRPr="002A1EC7">
              <w:rPr>
                <w:sz w:val="20"/>
                <w:szCs w:val="20"/>
                <w:lang w:eastAsia="sk-SK"/>
              </w:rPr>
              <w:t>241 768</w:t>
            </w:r>
          </w:p>
        </w:tc>
        <w:tc>
          <w:tcPr>
            <w:tcW w:w="603" w:type="pct"/>
            <w:tcBorders>
              <w:top w:val="nil"/>
              <w:left w:val="nil"/>
              <w:bottom w:val="nil"/>
              <w:right w:val="nil"/>
            </w:tcBorders>
            <w:shd w:val="clear" w:color="auto" w:fill="auto"/>
            <w:noWrap/>
            <w:vAlign w:val="bottom"/>
            <w:hideMark/>
          </w:tcPr>
          <w:p w14:paraId="19CA61B5" w14:textId="5AFE02EF" w:rsidR="000F0520" w:rsidRPr="00A85E10" w:rsidRDefault="000F0520" w:rsidP="000F0520">
            <w:pPr>
              <w:spacing w:after="0" w:line="240" w:lineRule="auto"/>
              <w:jc w:val="right"/>
              <w:rPr>
                <w:sz w:val="20"/>
                <w:szCs w:val="20"/>
                <w:lang w:eastAsia="sk-SK"/>
              </w:rPr>
            </w:pPr>
            <w:r w:rsidRPr="002A1EC7">
              <w:rPr>
                <w:sz w:val="20"/>
                <w:szCs w:val="20"/>
                <w:lang w:eastAsia="sk-SK"/>
              </w:rPr>
              <w:t>241 768</w:t>
            </w:r>
          </w:p>
        </w:tc>
      </w:tr>
      <w:tr w:rsidR="000F0520" w:rsidRPr="00A85E10" w14:paraId="22B9D799" w14:textId="77777777" w:rsidTr="00536917">
        <w:trPr>
          <w:trHeight w:val="260"/>
        </w:trPr>
        <w:tc>
          <w:tcPr>
            <w:tcW w:w="2597" w:type="pct"/>
            <w:tcBorders>
              <w:top w:val="nil"/>
              <w:left w:val="nil"/>
              <w:bottom w:val="nil"/>
              <w:right w:val="nil"/>
            </w:tcBorders>
            <w:shd w:val="clear" w:color="auto" w:fill="auto"/>
            <w:noWrap/>
            <w:vAlign w:val="bottom"/>
            <w:hideMark/>
          </w:tcPr>
          <w:p w14:paraId="69A4C1A4"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Obchodné spoločnosti štátu</w:t>
            </w:r>
          </w:p>
        </w:tc>
        <w:tc>
          <w:tcPr>
            <w:tcW w:w="603" w:type="pct"/>
            <w:gridSpan w:val="2"/>
            <w:tcBorders>
              <w:top w:val="nil"/>
              <w:left w:val="nil"/>
              <w:bottom w:val="nil"/>
              <w:right w:val="nil"/>
            </w:tcBorders>
            <w:shd w:val="clear" w:color="auto" w:fill="auto"/>
            <w:noWrap/>
            <w:vAlign w:val="bottom"/>
            <w:hideMark/>
          </w:tcPr>
          <w:p w14:paraId="70A58D69" w14:textId="2EEABD8C" w:rsidR="000F0520" w:rsidRPr="00A85E10" w:rsidRDefault="000F0520" w:rsidP="000F0520">
            <w:pPr>
              <w:spacing w:after="0" w:line="240" w:lineRule="auto"/>
              <w:jc w:val="right"/>
              <w:rPr>
                <w:sz w:val="20"/>
                <w:szCs w:val="20"/>
                <w:lang w:eastAsia="sk-SK"/>
              </w:rPr>
            </w:pPr>
            <w:r w:rsidRPr="002A1EC7">
              <w:rPr>
                <w:sz w:val="20"/>
                <w:szCs w:val="20"/>
                <w:lang w:eastAsia="sk-SK"/>
              </w:rPr>
              <w:t>565 533</w:t>
            </w:r>
          </w:p>
        </w:tc>
        <w:tc>
          <w:tcPr>
            <w:tcW w:w="601" w:type="pct"/>
            <w:gridSpan w:val="3"/>
            <w:tcBorders>
              <w:top w:val="nil"/>
              <w:left w:val="nil"/>
              <w:bottom w:val="nil"/>
              <w:right w:val="nil"/>
            </w:tcBorders>
            <w:shd w:val="clear" w:color="auto" w:fill="auto"/>
            <w:noWrap/>
            <w:vAlign w:val="bottom"/>
            <w:hideMark/>
          </w:tcPr>
          <w:p w14:paraId="1A2EF75F" w14:textId="21DB180C" w:rsidR="000F0520" w:rsidRPr="00A85E10" w:rsidRDefault="000F0520" w:rsidP="000F0520">
            <w:pPr>
              <w:spacing w:after="0" w:line="240" w:lineRule="auto"/>
              <w:jc w:val="right"/>
              <w:rPr>
                <w:sz w:val="20"/>
                <w:szCs w:val="20"/>
                <w:lang w:eastAsia="sk-SK"/>
              </w:rPr>
            </w:pPr>
            <w:r w:rsidRPr="002A1EC7">
              <w:rPr>
                <w:sz w:val="20"/>
                <w:szCs w:val="20"/>
                <w:lang w:eastAsia="sk-SK"/>
              </w:rPr>
              <w:t>480 613</w:t>
            </w:r>
          </w:p>
        </w:tc>
        <w:tc>
          <w:tcPr>
            <w:tcW w:w="595" w:type="pct"/>
            <w:gridSpan w:val="3"/>
            <w:tcBorders>
              <w:top w:val="nil"/>
              <w:left w:val="nil"/>
              <w:bottom w:val="nil"/>
              <w:right w:val="nil"/>
            </w:tcBorders>
            <w:shd w:val="clear" w:color="auto" w:fill="auto"/>
            <w:noWrap/>
            <w:vAlign w:val="bottom"/>
            <w:hideMark/>
          </w:tcPr>
          <w:p w14:paraId="16D4C5AA" w14:textId="5767379D" w:rsidR="000F0520" w:rsidRPr="00A85E10" w:rsidRDefault="000F0520" w:rsidP="000F0520">
            <w:pPr>
              <w:spacing w:after="0" w:line="240" w:lineRule="auto"/>
              <w:jc w:val="right"/>
              <w:rPr>
                <w:sz w:val="20"/>
                <w:szCs w:val="20"/>
                <w:lang w:eastAsia="sk-SK"/>
              </w:rPr>
            </w:pPr>
            <w:r w:rsidRPr="002A1EC7">
              <w:rPr>
                <w:sz w:val="20"/>
                <w:szCs w:val="20"/>
                <w:lang w:eastAsia="sk-SK"/>
              </w:rPr>
              <w:t>491 495</w:t>
            </w:r>
          </w:p>
        </w:tc>
        <w:tc>
          <w:tcPr>
            <w:tcW w:w="603" w:type="pct"/>
            <w:tcBorders>
              <w:top w:val="nil"/>
              <w:left w:val="nil"/>
              <w:bottom w:val="nil"/>
              <w:right w:val="nil"/>
            </w:tcBorders>
            <w:shd w:val="clear" w:color="auto" w:fill="auto"/>
            <w:noWrap/>
            <w:vAlign w:val="bottom"/>
            <w:hideMark/>
          </w:tcPr>
          <w:p w14:paraId="7BAFCF8A" w14:textId="3EB13F5A" w:rsidR="000F0520" w:rsidRPr="00A85E10" w:rsidRDefault="000F0520" w:rsidP="000F0520">
            <w:pPr>
              <w:spacing w:after="0" w:line="240" w:lineRule="auto"/>
              <w:jc w:val="right"/>
              <w:rPr>
                <w:sz w:val="20"/>
                <w:szCs w:val="20"/>
                <w:lang w:eastAsia="sk-SK"/>
              </w:rPr>
            </w:pPr>
            <w:r w:rsidRPr="002A1EC7">
              <w:rPr>
                <w:sz w:val="20"/>
                <w:szCs w:val="20"/>
                <w:lang w:eastAsia="sk-SK"/>
              </w:rPr>
              <w:t>10 882</w:t>
            </w:r>
          </w:p>
        </w:tc>
      </w:tr>
      <w:tr w:rsidR="000F0520" w:rsidRPr="00A85E10" w14:paraId="789A9878" w14:textId="77777777" w:rsidTr="00536917">
        <w:trPr>
          <w:trHeight w:val="260"/>
        </w:trPr>
        <w:tc>
          <w:tcPr>
            <w:tcW w:w="2597" w:type="pct"/>
            <w:tcBorders>
              <w:top w:val="nil"/>
              <w:left w:val="nil"/>
              <w:bottom w:val="nil"/>
              <w:right w:val="nil"/>
            </w:tcBorders>
            <w:shd w:val="clear" w:color="auto" w:fill="auto"/>
            <w:noWrap/>
            <w:vAlign w:val="bottom"/>
            <w:hideMark/>
          </w:tcPr>
          <w:p w14:paraId="4E90C2CD" w14:textId="77777777" w:rsidR="000F0520" w:rsidRPr="00A85E10" w:rsidRDefault="000F0520" w:rsidP="000F0520">
            <w:pPr>
              <w:spacing w:after="0" w:line="240" w:lineRule="auto"/>
              <w:ind w:firstLineChars="300" w:firstLine="600"/>
              <w:rPr>
                <w:sz w:val="20"/>
                <w:szCs w:val="20"/>
                <w:lang w:eastAsia="sk-SK"/>
              </w:rPr>
            </w:pPr>
            <w:r w:rsidRPr="00A85E10">
              <w:rPr>
                <w:sz w:val="20"/>
                <w:szCs w:val="20"/>
                <w:lang w:eastAsia="sk-SK"/>
              </w:rPr>
              <w:t>z toho:</w:t>
            </w:r>
          </w:p>
        </w:tc>
        <w:tc>
          <w:tcPr>
            <w:tcW w:w="603" w:type="pct"/>
            <w:gridSpan w:val="2"/>
            <w:tcBorders>
              <w:top w:val="nil"/>
              <w:left w:val="nil"/>
              <w:bottom w:val="nil"/>
              <w:right w:val="nil"/>
            </w:tcBorders>
            <w:shd w:val="clear" w:color="auto" w:fill="auto"/>
            <w:noWrap/>
            <w:vAlign w:val="bottom"/>
            <w:hideMark/>
          </w:tcPr>
          <w:p w14:paraId="228E117C" w14:textId="77777777" w:rsidR="000F0520" w:rsidRPr="00A85E10" w:rsidRDefault="000F0520" w:rsidP="000F0520">
            <w:pPr>
              <w:spacing w:after="0" w:line="240" w:lineRule="auto"/>
              <w:ind w:firstLineChars="300" w:firstLine="600"/>
              <w:rPr>
                <w:sz w:val="20"/>
                <w:szCs w:val="20"/>
                <w:lang w:eastAsia="sk-SK"/>
              </w:rPr>
            </w:pPr>
          </w:p>
        </w:tc>
        <w:tc>
          <w:tcPr>
            <w:tcW w:w="601" w:type="pct"/>
            <w:gridSpan w:val="3"/>
            <w:tcBorders>
              <w:top w:val="nil"/>
              <w:left w:val="nil"/>
              <w:bottom w:val="nil"/>
              <w:right w:val="nil"/>
            </w:tcBorders>
            <w:shd w:val="clear" w:color="auto" w:fill="auto"/>
            <w:noWrap/>
            <w:vAlign w:val="bottom"/>
            <w:hideMark/>
          </w:tcPr>
          <w:p w14:paraId="3F4181D0" w14:textId="77777777" w:rsidR="000F0520" w:rsidRPr="00A85E10" w:rsidRDefault="000F0520" w:rsidP="000F0520">
            <w:pPr>
              <w:spacing w:after="0" w:line="240" w:lineRule="auto"/>
              <w:rPr>
                <w:sz w:val="20"/>
                <w:szCs w:val="20"/>
                <w:lang w:eastAsia="sk-SK"/>
              </w:rPr>
            </w:pPr>
          </w:p>
        </w:tc>
        <w:tc>
          <w:tcPr>
            <w:tcW w:w="595" w:type="pct"/>
            <w:gridSpan w:val="3"/>
            <w:tcBorders>
              <w:top w:val="nil"/>
              <w:left w:val="nil"/>
              <w:bottom w:val="nil"/>
              <w:right w:val="nil"/>
            </w:tcBorders>
            <w:shd w:val="clear" w:color="auto" w:fill="auto"/>
            <w:noWrap/>
            <w:vAlign w:val="bottom"/>
            <w:hideMark/>
          </w:tcPr>
          <w:p w14:paraId="4F1DD224" w14:textId="77777777" w:rsidR="000F0520" w:rsidRPr="00A85E10" w:rsidRDefault="000F0520" w:rsidP="000F0520">
            <w:pPr>
              <w:spacing w:after="0" w:line="240" w:lineRule="auto"/>
              <w:rPr>
                <w:sz w:val="20"/>
                <w:szCs w:val="20"/>
                <w:lang w:eastAsia="sk-SK"/>
              </w:rPr>
            </w:pPr>
          </w:p>
        </w:tc>
        <w:tc>
          <w:tcPr>
            <w:tcW w:w="603" w:type="pct"/>
            <w:tcBorders>
              <w:top w:val="nil"/>
              <w:left w:val="nil"/>
              <w:bottom w:val="nil"/>
              <w:right w:val="nil"/>
            </w:tcBorders>
            <w:shd w:val="clear" w:color="auto" w:fill="auto"/>
            <w:noWrap/>
            <w:vAlign w:val="bottom"/>
            <w:hideMark/>
          </w:tcPr>
          <w:p w14:paraId="46139727" w14:textId="77777777" w:rsidR="000F0520" w:rsidRPr="00A85E10" w:rsidRDefault="000F0520" w:rsidP="000F0520">
            <w:pPr>
              <w:spacing w:after="0" w:line="240" w:lineRule="auto"/>
              <w:rPr>
                <w:sz w:val="20"/>
                <w:szCs w:val="20"/>
                <w:lang w:eastAsia="sk-SK"/>
              </w:rPr>
            </w:pPr>
          </w:p>
        </w:tc>
      </w:tr>
      <w:tr w:rsidR="000F0520" w:rsidRPr="00A85E10" w14:paraId="758E1C70" w14:textId="77777777" w:rsidTr="00536917">
        <w:trPr>
          <w:trHeight w:val="260"/>
        </w:trPr>
        <w:tc>
          <w:tcPr>
            <w:tcW w:w="2597" w:type="pct"/>
            <w:tcBorders>
              <w:top w:val="nil"/>
              <w:left w:val="nil"/>
              <w:bottom w:val="nil"/>
              <w:right w:val="nil"/>
            </w:tcBorders>
            <w:shd w:val="clear" w:color="auto" w:fill="auto"/>
            <w:noWrap/>
            <w:vAlign w:val="bottom"/>
            <w:hideMark/>
          </w:tcPr>
          <w:p w14:paraId="5DD8239C" w14:textId="77777777" w:rsidR="000F0520" w:rsidRPr="00A85E10" w:rsidRDefault="000F0520" w:rsidP="000F0520">
            <w:pPr>
              <w:spacing w:after="0" w:line="240" w:lineRule="auto"/>
              <w:ind w:firstLineChars="400" w:firstLine="800"/>
              <w:rPr>
                <w:sz w:val="20"/>
                <w:szCs w:val="20"/>
                <w:lang w:eastAsia="sk-SK"/>
              </w:rPr>
            </w:pPr>
            <w:r w:rsidRPr="00A85E10">
              <w:rPr>
                <w:sz w:val="20"/>
                <w:szCs w:val="20"/>
                <w:lang w:eastAsia="sk-SK"/>
              </w:rPr>
              <w:t>Železničná spoločnosť Slovensko, a. s.</w:t>
            </w:r>
          </w:p>
        </w:tc>
        <w:tc>
          <w:tcPr>
            <w:tcW w:w="603" w:type="pct"/>
            <w:gridSpan w:val="2"/>
            <w:tcBorders>
              <w:top w:val="nil"/>
              <w:left w:val="nil"/>
              <w:bottom w:val="nil"/>
              <w:right w:val="nil"/>
            </w:tcBorders>
            <w:shd w:val="clear" w:color="auto" w:fill="auto"/>
            <w:noWrap/>
            <w:vAlign w:val="bottom"/>
            <w:hideMark/>
          </w:tcPr>
          <w:p w14:paraId="47DB06CA" w14:textId="7171D675" w:rsidR="000F0520" w:rsidRPr="00A85E10" w:rsidRDefault="000F0520" w:rsidP="000F0520">
            <w:pPr>
              <w:spacing w:after="0" w:line="240" w:lineRule="auto"/>
              <w:jc w:val="right"/>
              <w:rPr>
                <w:sz w:val="20"/>
                <w:szCs w:val="20"/>
                <w:lang w:eastAsia="sk-SK"/>
              </w:rPr>
            </w:pPr>
            <w:r w:rsidRPr="002A1EC7">
              <w:rPr>
                <w:sz w:val="20"/>
                <w:szCs w:val="20"/>
                <w:lang w:eastAsia="sk-SK"/>
              </w:rPr>
              <w:t>386 704</w:t>
            </w:r>
          </w:p>
        </w:tc>
        <w:tc>
          <w:tcPr>
            <w:tcW w:w="601" w:type="pct"/>
            <w:gridSpan w:val="3"/>
            <w:tcBorders>
              <w:top w:val="nil"/>
              <w:left w:val="nil"/>
              <w:bottom w:val="nil"/>
              <w:right w:val="nil"/>
            </w:tcBorders>
            <w:shd w:val="clear" w:color="auto" w:fill="auto"/>
            <w:noWrap/>
            <w:vAlign w:val="bottom"/>
            <w:hideMark/>
          </w:tcPr>
          <w:p w14:paraId="38A05B89" w14:textId="42C8F6C8" w:rsidR="000F0520" w:rsidRPr="00A85E10" w:rsidRDefault="000F0520" w:rsidP="000F0520">
            <w:pPr>
              <w:spacing w:after="0" w:line="240" w:lineRule="auto"/>
              <w:jc w:val="right"/>
              <w:rPr>
                <w:sz w:val="20"/>
                <w:szCs w:val="20"/>
                <w:lang w:eastAsia="sk-SK"/>
              </w:rPr>
            </w:pPr>
            <w:r w:rsidRPr="002A1EC7">
              <w:rPr>
                <w:sz w:val="20"/>
                <w:szCs w:val="20"/>
                <w:lang w:eastAsia="sk-SK"/>
              </w:rPr>
              <w:t>335 407</w:t>
            </w:r>
          </w:p>
        </w:tc>
        <w:tc>
          <w:tcPr>
            <w:tcW w:w="595" w:type="pct"/>
            <w:gridSpan w:val="3"/>
            <w:tcBorders>
              <w:top w:val="nil"/>
              <w:left w:val="nil"/>
              <w:bottom w:val="nil"/>
              <w:right w:val="nil"/>
            </w:tcBorders>
            <w:shd w:val="clear" w:color="auto" w:fill="auto"/>
            <w:noWrap/>
            <w:vAlign w:val="bottom"/>
            <w:hideMark/>
          </w:tcPr>
          <w:p w14:paraId="7AE45CAD" w14:textId="296A0A88" w:rsidR="000F0520" w:rsidRPr="00A85E10" w:rsidRDefault="000F0520" w:rsidP="000F0520">
            <w:pPr>
              <w:spacing w:after="0" w:line="240" w:lineRule="auto"/>
              <w:jc w:val="right"/>
              <w:rPr>
                <w:sz w:val="20"/>
                <w:szCs w:val="20"/>
                <w:lang w:eastAsia="sk-SK"/>
              </w:rPr>
            </w:pPr>
            <w:r w:rsidRPr="002A1EC7">
              <w:rPr>
                <w:sz w:val="20"/>
                <w:szCs w:val="20"/>
                <w:lang w:eastAsia="sk-SK"/>
              </w:rPr>
              <w:t>339 672</w:t>
            </w:r>
          </w:p>
        </w:tc>
        <w:tc>
          <w:tcPr>
            <w:tcW w:w="603" w:type="pct"/>
            <w:tcBorders>
              <w:top w:val="nil"/>
              <w:left w:val="nil"/>
              <w:bottom w:val="nil"/>
              <w:right w:val="nil"/>
            </w:tcBorders>
            <w:shd w:val="clear" w:color="auto" w:fill="auto"/>
            <w:noWrap/>
            <w:vAlign w:val="bottom"/>
            <w:hideMark/>
          </w:tcPr>
          <w:p w14:paraId="25C444BF" w14:textId="23C322C8" w:rsidR="000F0520" w:rsidRPr="00A85E10" w:rsidRDefault="000F0520" w:rsidP="000F0520">
            <w:pPr>
              <w:spacing w:after="0" w:line="240" w:lineRule="auto"/>
              <w:jc w:val="right"/>
              <w:rPr>
                <w:sz w:val="20"/>
                <w:szCs w:val="20"/>
                <w:lang w:eastAsia="sk-SK"/>
              </w:rPr>
            </w:pPr>
            <w:r w:rsidRPr="002A1EC7">
              <w:rPr>
                <w:sz w:val="20"/>
                <w:szCs w:val="20"/>
                <w:lang w:eastAsia="sk-SK"/>
              </w:rPr>
              <w:t>4 265</w:t>
            </w:r>
          </w:p>
        </w:tc>
      </w:tr>
      <w:tr w:rsidR="000F0520" w:rsidRPr="00A85E10" w14:paraId="1A3CF2D5" w14:textId="77777777" w:rsidTr="00536917">
        <w:trPr>
          <w:trHeight w:val="260"/>
        </w:trPr>
        <w:tc>
          <w:tcPr>
            <w:tcW w:w="2597" w:type="pct"/>
            <w:tcBorders>
              <w:top w:val="nil"/>
              <w:left w:val="nil"/>
              <w:bottom w:val="nil"/>
              <w:right w:val="nil"/>
            </w:tcBorders>
            <w:shd w:val="clear" w:color="auto" w:fill="auto"/>
            <w:noWrap/>
            <w:vAlign w:val="bottom"/>
            <w:hideMark/>
          </w:tcPr>
          <w:p w14:paraId="67E5F8B6" w14:textId="77777777" w:rsidR="000F0520" w:rsidRPr="00A85E10" w:rsidRDefault="000F0520" w:rsidP="000F0520">
            <w:pPr>
              <w:spacing w:after="0" w:line="240" w:lineRule="auto"/>
              <w:ind w:firstLineChars="400" w:firstLine="800"/>
              <w:rPr>
                <w:sz w:val="20"/>
                <w:szCs w:val="20"/>
                <w:lang w:eastAsia="sk-SK"/>
              </w:rPr>
            </w:pPr>
            <w:r w:rsidRPr="00A85E10">
              <w:rPr>
                <w:sz w:val="20"/>
                <w:szCs w:val="20"/>
                <w:lang w:eastAsia="sk-SK"/>
              </w:rPr>
              <w:t>Železnice Slovenskej republiky</w:t>
            </w:r>
          </w:p>
        </w:tc>
        <w:tc>
          <w:tcPr>
            <w:tcW w:w="603" w:type="pct"/>
            <w:gridSpan w:val="2"/>
            <w:tcBorders>
              <w:top w:val="nil"/>
              <w:left w:val="nil"/>
              <w:bottom w:val="nil"/>
              <w:right w:val="nil"/>
            </w:tcBorders>
            <w:shd w:val="clear" w:color="auto" w:fill="auto"/>
            <w:noWrap/>
            <w:vAlign w:val="bottom"/>
            <w:hideMark/>
          </w:tcPr>
          <w:p w14:paraId="7C833A0D" w14:textId="5657FF40" w:rsidR="000F0520" w:rsidRPr="00A85E10" w:rsidRDefault="000F0520" w:rsidP="000F0520">
            <w:pPr>
              <w:spacing w:after="0" w:line="240" w:lineRule="auto"/>
              <w:jc w:val="right"/>
              <w:rPr>
                <w:sz w:val="20"/>
                <w:szCs w:val="20"/>
                <w:lang w:eastAsia="sk-SK"/>
              </w:rPr>
            </w:pPr>
            <w:r w:rsidRPr="002A1EC7">
              <w:rPr>
                <w:sz w:val="20"/>
                <w:szCs w:val="20"/>
                <w:lang w:eastAsia="sk-SK"/>
              </w:rPr>
              <w:t>114 887</w:t>
            </w:r>
          </w:p>
        </w:tc>
        <w:tc>
          <w:tcPr>
            <w:tcW w:w="601" w:type="pct"/>
            <w:gridSpan w:val="3"/>
            <w:tcBorders>
              <w:top w:val="nil"/>
              <w:left w:val="nil"/>
              <w:bottom w:val="nil"/>
              <w:right w:val="nil"/>
            </w:tcBorders>
            <w:shd w:val="clear" w:color="auto" w:fill="auto"/>
            <w:noWrap/>
            <w:vAlign w:val="bottom"/>
            <w:hideMark/>
          </w:tcPr>
          <w:p w14:paraId="5157000E" w14:textId="495D7347" w:rsidR="000F0520" w:rsidRPr="00A85E10" w:rsidRDefault="000F0520" w:rsidP="000F0520">
            <w:pPr>
              <w:spacing w:after="0" w:line="240" w:lineRule="auto"/>
              <w:jc w:val="right"/>
              <w:rPr>
                <w:sz w:val="20"/>
                <w:szCs w:val="20"/>
                <w:lang w:eastAsia="sk-SK"/>
              </w:rPr>
            </w:pPr>
            <w:r w:rsidRPr="002A1EC7">
              <w:rPr>
                <w:sz w:val="20"/>
                <w:szCs w:val="20"/>
                <w:lang w:eastAsia="sk-SK"/>
              </w:rPr>
              <w:t>114 322</w:t>
            </w:r>
          </w:p>
        </w:tc>
        <w:tc>
          <w:tcPr>
            <w:tcW w:w="595" w:type="pct"/>
            <w:gridSpan w:val="3"/>
            <w:tcBorders>
              <w:top w:val="nil"/>
              <w:left w:val="nil"/>
              <w:bottom w:val="nil"/>
              <w:right w:val="nil"/>
            </w:tcBorders>
            <w:shd w:val="clear" w:color="auto" w:fill="auto"/>
            <w:noWrap/>
            <w:vAlign w:val="bottom"/>
            <w:hideMark/>
          </w:tcPr>
          <w:p w14:paraId="11A9F254" w14:textId="566D5668" w:rsidR="000F0520" w:rsidRPr="00A85E10" w:rsidRDefault="000F0520" w:rsidP="000F0520">
            <w:pPr>
              <w:spacing w:after="0" w:line="240" w:lineRule="auto"/>
              <w:jc w:val="right"/>
              <w:rPr>
                <w:sz w:val="20"/>
                <w:szCs w:val="20"/>
                <w:lang w:eastAsia="sk-SK"/>
              </w:rPr>
            </w:pPr>
            <w:r w:rsidRPr="002A1EC7">
              <w:rPr>
                <w:sz w:val="20"/>
                <w:szCs w:val="20"/>
                <w:lang w:eastAsia="sk-SK"/>
              </w:rPr>
              <w:t>118 831</w:t>
            </w:r>
          </w:p>
        </w:tc>
        <w:tc>
          <w:tcPr>
            <w:tcW w:w="603" w:type="pct"/>
            <w:tcBorders>
              <w:top w:val="nil"/>
              <w:left w:val="nil"/>
              <w:bottom w:val="nil"/>
              <w:right w:val="nil"/>
            </w:tcBorders>
            <w:shd w:val="clear" w:color="auto" w:fill="auto"/>
            <w:noWrap/>
            <w:vAlign w:val="bottom"/>
            <w:hideMark/>
          </w:tcPr>
          <w:p w14:paraId="3FC240CE" w14:textId="6ED8B56F" w:rsidR="000F0520" w:rsidRPr="00A85E10" w:rsidRDefault="000F0520" w:rsidP="000F0520">
            <w:pPr>
              <w:spacing w:after="0" w:line="240" w:lineRule="auto"/>
              <w:jc w:val="right"/>
              <w:rPr>
                <w:sz w:val="20"/>
                <w:szCs w:val="20"/>
                <w:lang w:eastAsia="sk-SK"/>
              </w:rPr>
            </w:pPr>
            <w:r w:rsidRPr="002A1EC7">
              <w:rPr>
                <w:sz w:val="20"/>
                <w:szCs w:val="20"/>
                <w:lang w:eastAsia="sk-SK"/>
              </w:rPr>
              <w:t>4 509</w:t>
            </w:r>
          </w:p>
        </w:tc>
      </w:tr>
      <w:tr w:rsidR="000F0520" w:rsidRPr="00A85E10" w14:paraId="53625517" w14:textId="77777777" w:rsidTr="00536917">
        <w:trPr>
          <w:trHeight w:val="260"/>
        </w:trPr>
        <w:tc>
          <w:tcPr>
            <w:tcW w:w="2597" w:type="pct"/>
            <w:tcBorders>
              <w:top w:val="nil"/>
              <w:left w:val="nil"/>
              <w:bottom w:val="nil"/>
              <w:right w:val="nil"/>
            </w:tcBorders>
            <w:shd w:val="clear" w:color="auto" w:fill="auto"/>
            <w:noWrap/>
            <w:vAlign w:val="bottom"/>
            <w:hideMark/>
          </w:tcPr>
          <w:p w14:paraId="2F3CA09C" w14:textId="77777777" w:rsidR="000F0520" w:rsidRPr="00A85E10" w:rsidRDefault="000F0520" w:rsidP="000F0520">
            <w:pPr>
              <w:spacing w:after="0" w:line="240" w:lineRule="auto"/>
              <w:ind w:firstLineChars="400" w:firstLine="800"/>
              <w:rPr>
                <w:sz w:val="20"/>
                <w:szCs w:val="20"/>
                <w:lang w:eastAsia="sk-SK"/>
              </w:rPr>
            </w:pPr>
            <w:r w:rsidRPr="00A85E10">
              <w:rPr>
                <w:sz w:val="20"/>
                <w:szCs w:val="20"/>
                <w:lang w:eastAsia="sk-SK"/>
              </w:rPr>
              <w:t>Národná diaľničná spoločnosť, a. s.</w:t>
            </w:r>
          </w:p>
        </w:tc>
        <w:tc>
          <w:tcPr>
            <w:tcW w:w="603" w:type="pct"/>
            <w:gridSpan w:val="2"/>
            <w:tcBorders>
              <w:top w:val="nil"/>
              <w:left w:val="nil"/>
              <w:bottom w:val="nil"/>
              <w:right w:val="nil"/>
            </w:tcBorders>
            <w:shd w:val="clear" w:color="auto" w:fill="auto"/>
            <w:noWrap/>
            <w:vAlign w:val="bottom"/>
            <w:hideMark/>
          </w:tcPr>
          <w:p w14:paraId="43EA423C" w14:textId="6B592821" w:rsidR="000F0520" w:rsidRPr="00A85E10" w:rsidRDefault="000F0520" w:rsidP="000F0520">
            <w:pPr>
              <w:spacing w:after="0" w:line="240" w:lineRule="auto"/>
              <w:jc w:val="right"/>
              <w:rPr>
                <w:sz w:val="20"/>
                <w:szCs w:val="20"/>
                <w:lang w:eastAsia="sk-SK"/>
              </w:rPr>
            </w:pPr>
            <w:r w:rsidRPr="002A1EC7">
              <w:rPr>
                <w:sz w:val="20"/>
                <w:szCs w:val="20"/>
                <w:lang w:eastAsia="sk-SK"/>
              </w:rPr>
              <w:t>54 326</w:t>
            </w:r>
          </w:p>
        </w:tc>
        <w:tc>
          <w:tcPr>
            <w:tcW w:w="601" w:type="pct"/>
            <w:gridSpan w:val="3"/>
            <w:tcBorders>
              <w:top w:val="nil"/>
              <w:left w:val="nil"/>
              <w:bottom w:val="nil"/>
              <w:right w:val="nil"/>
            </w:tcBorders>
            <w:shd w:val="clear" w:color="auto" w:fill="auto"/>
            <w:noWrap/>
            <w:vAlign w:val="bottom"/>
            <w:hideMark/>
          </w:tcPr>
          <w:p w14:paraId="0CFBCF2B" w14:textId="0D75227B" w:rsidR="000F0520" w:rsidRPr="00A85E10" w:rsidRDefault="000F0520" w:rsidP="000F0520">
            <w:pPr>
              <w:spacing w:after="0" w:line="240" w:lineRule="auto"/>
              <w:jc w:val="right"/>
              <w:rPr>
                <w:sz w:val="20"/>
                <w:szCs w:val="20"/>
                <w:lang w:eastAsia="sk-SK"/>
              </w:rPr>
            </w:pPr>
            <w:r w:rsidRPr="002A1EC7">
              <w:rPr>
                <w:sz w:val="20"/>
                <w:szCs w:val="20"/>
                <w:lang w:eastAsia="sk-SK"/>
              </w:rPr>
              <w:t>24 884</w:t>
            </w:r>
          </w:p>
        </w:tc>
        <w:tc>
          <w:tcPr>
            <w:tcW w:w="595" w:type="pct"/>
            <w:gridSpan w:val="3"/>
            <w:tcBorders>
              <w:top w:val="nil"/>
              <w:left w:val="nil"/>
              <w:bottom w:val="nil"/>
              <w:right w:val="nil"/>
            </w:tcBorders>
            <w:shd w:val="clear" w:color="auto" w:fill="auto"/>
            <w:noWrap/>
            <w:vAlign w:val="bottom"/>
            <w:hideMark/>
          </w:tcPr>
          <w:p w14:paraId="33475028" w14:textId="7DC21F97" w:rsidR="000F0520" w:rsidRPr="00A85E10" w:rsidRDefault="000F0520" w:rsidP="000F0520">
            <w:pPr>
              <w:spacing w:after="0" w:line="240" w:lineRule="auto"/>
              <w:jc w:val="right"/>
              <w:rPr>
                <w:sz w:val="20"/>
                <w:szCs w:val="20"/>
                <w:lang w:eastAsia="sk-SK"/>
              </w:rPr>
            </w:pPr>
            <w:r w:rsidRPr="002A1EC7">
              <w:rPr>
                <w:sz w:val="20"/>
                <w:szCs w:val="20"/>
                <w:lang w:eastAsia="sk-SK"/>
              </w:rPr>
              <w:t>24 614</w:t>
            </w:r>
          </w:p>
        </w:tc>
        <w:tc>
          <w:tcPr>
            <w:tcW w:w="603" w:type="pct"/>
            <w:tcBorders>
              <w:top w:val="nil"/>
              <w:left w:val="nil"/>
              <w:bottom w:val="nil"/>
              <w:right w:val="nil"/>
            </w:tcBorders>
            <w:shd w:val="clear" w:color="auto" w:fill="auto"/>
            <w:noWrap/>
            <w:vAlign w:val="bottom"/>
            <w:hideMark/>
          </w:tcPr>
          <w:p w14:paraId="51DAD676" w14:textId="6D6DE510" w:rsidR="000F0520" w:rsidRPr="00A85E10" w:rsidRDefault="000F0520" w:rsidP="000F0520">
            <w:pPr>
              <w:spacing w:after="0" w:line="240" w:lineRule="auto"/>
              <w:jc w:val="right"/>
              <w:rPr>
                <w:sz w:val="20"/>
                <w:szCs w:val="20"/>
                <w:lang w:eastAsia="sk-SK"/>
              </w:rPr>
            </w:pPr>
            <w:r w:rsidRPr="002A1EC7">
              <w:rPr>
                <w:sz w:val="20"/>
                <w:szCs w:val="20"/>
                <w:lang w:eastAsia="sk-SK"/>
              </w:rPr>
              <w:t>-270</w:t>
            </w:r>
          </w:p>
        </w:tc>
      </w:tr>
      <w:tr w:rsidR="000F0520" w:rsidRPr="00A85E10" w14:paraId="74C46DC7" w14:textId="77777777" w:rsidTr="00536917">
        <w:trPr>
          <w:trHeight w:val="260"/>
        </w:trPr>
        <w:tc>
          <w:tcPr>
            <w:tcW w:w="2597" w:type="pct"/>
            <w:tcBorders>
              <w:top w:val="nil"/>
              <w:left w:val="nil"/>
              <w:bottom w:val="nil"/>
              <w:right w:val="nil"/>
            </w:tcBorders>
            <w:shd w:val="clear" w:color="auto" w:fill="auto"/>
            <w:noWrap/>
            <w:vAlign w:val="bottom"/>
            <w:hideMark/>
          </w:tcPr>
          <w:p w14:paraId="7E674697" w14:textId="2D70904D" w:rsidR="000F0520" w:rsidRPr="00A85E10" w:rsidRDefault="000F0520" w:rsidP="00DD1FFC">
            <w:pPr>
              <w:spacing w:after="0" w:line="240" w:lineRule="auto"/>
              <w:ind w:firstLineChars="400" w:firstLine="800"/>
              <w:rPr>
                <w:sz w:val="20"/>
                <w:szCs w:val="20"/>
                <w:lang w:eastAsia="sk-SK"/>
              </w:rPr>
            </w:pPr>
            <w:r w:rsidRPr="00A85E10">
              <w:rPr>
                <w:sz w:val="20"/>
                <w:szCs w:val="20"/>
                <w:lang w:eastAsia="sk-SK"/>
              </w:rPr>
              <w:t>JAVYS</w:t>
            </w:r>
          </w:p>
        </w:tc>
        <w:tc>
          <w:tcPr>
            <w:tcW w:w="603" w:type="pct"/>
            <w:gridSpan w:val="2"/>
            <w:tcBorders>
              <w:top w:val="nil"/>
              <w:left w:val="nil"/>
              <w:bottom w:val="nil"/>
              <w:right w:val="nil"/>
            </w:tcBorders>
            <w:shd w:val="clear" w:color="auto" w:fill="auto"/>
            <w:noWrap/>
            <w:vAlign w:val="bottom"/>
            <w:hideMark/>
          </w:tcPr>
          <w:p w14:paraId="5B0C1CFE" w14:textId="1E6305F6" w:rsidR="000F0520" w:rsidRPr="00A85E10" w:rsidRDefault="000F0520" w:rsidP="000F0520">
            <w:pPr>
              <w:spacing w:after="0" w:line="240" w:lineRule="auto"/>
              <w:jc w:val="right"/>
              <w:rPr>
                <w:sz w:val="20"/>
                <w:szCs w:val="20"/>
                <w:lang w:eastAsia="sk-SK"/>
              </w:rPr>
            </w:pPr>
            <w:r w:rsidRPr="002A1EC7">
              <w:rPr>
                <w:sz w:val="20"/>
                <w:szCs w:val="20"/>
                <w:lang w:eastAsia="sk-SK"/>
              </w:rPr>
              <w:t>6 806</w:t>
            </w:r>
          </w:p>
        </w:tc>
        <w:tc>
          <w:tcPr>
            <w:tcW w:w="601" w:type="pct"/>
            <w:gridSpan w:val="3"/>
            <w:tcBorders>
              <w:top w:val="nil"/>
              <w:left w:val="nil"/>
              <w:bottom w:val="nil"/>
              <w:right w:val="nil"/>
            </w:tcBorders>
            <w:shd w:val="clear" w:color="auto" w:fill="auto"/>
            <w:noWrap/>
            <w:vAlign w:val="bottom"/>
            <w:hideMark/>
          </w:tcPr>
          <w:p w14:paraId="7AC12C23" w14:textId="0CD860C9" w:rsidR="000F0520" w:rsidRPr="00A85E10" w:rsidRDefault="000F0520" w:rsidP="000F0520">
            <w:pPr>
              <w:spacing w:after="0" w:line="240" w:lineRule="auto"/>
              <w:jc w:val="right"/>
              <w:rPr>
                <w:sz w:val="20"/>
                <w:szCs w:val="20"/>
                <w:lang w:eastAsia="sk-SK"/>
              </w:rPr>
            </w:pPr>
            <w:r w:rsidRPr="002A1EC7">
              <w:rPr>
                <w:sz w:val="20"/>
                <w:szCs w:val="20"/>
                <w:lang w:eastAsia="sk-SK"/>
              </w:rPr>
              <w:t>5 048</w:t>
            </w:r>
          </w:p>
        </w:tc>
        <w:tc>
          <w:tcPr>
            <w:tcW w:w="595" w:type="pct"/>
            <w:gridSpan w:val="3"/>
            <w:tcBorders>
              <w:top w:val="nil"/>
              <w:left w:val="nil"/>
              <w:bottom w:val="nil"/>
              <w:right w:val="nil"/>
            </w:tcBorders>
            <w:shd w:val="clear" w:color="auto" w:fill="auto"/>
            <w:noWrap/>
            <w:vAlign w:val="bottom"/>
            <w:hideMark/>
          </w:tcPr>
          <w:p w14:paraId="5FC7422F" w14:textId="4A6F5A5E" w:rsidR="000F0520" w:rsidRPr="00A85E10" w:rsidRDefault="000F0520" w:rsidP="000F0520">
            <w:pPr>
              <w:spacing w:after="0" w:line="240" w:lineRule="auto"/>
              <w:jc w:val="right"/>
              <w:rPr>
                <w:sz w:val="20"/>
                <w:szCs w:val="20"/>
                <w:lang w:eastAsia="sk-SK"/>
              </w:rPr>
            </w:pPr>
            <w:r w:rsidRPr="002A1EC7">
              <w:rPr>
                <w:sz w:val="20"/>
                <w:szCs w:val="20"/>
                <w:lang w:eastAsia="sk-SK"/>
              </w:rPr>
              <w:t>4 464</w:t>
            </w:r>
          </w:p>
        </w:tc>
        <w:tc>
          <w:tcPr>
            <w:tcW w:w="603" w:type="pct"/>
            <w:tcBorders>
              <w:top w:val="nil"/>
              <w:left w:val="nil"/>
              <w:bottom w:val="nil"/>
              <w:right w:val="nil"/>
            </w:tcBorders>
            <w:shd w:val="clear" w:color="auto" w:fill="auto"/>
            <w:noWrap/>
            <w:vAlign w:val="bottom"/>
            <w:hideMark/>
          </w:tcPr>
          <w:p w14:paraId="7A42EE7F" w14:textId="412CCEE2" w:rsidR="000F0520" w:rsidRPr="00A85E10" w:rsidRDefault="000F0520" w:rsidP="000F0520">
            <w:pPr>
              <w:spacing w:after="0" w:line="240" w:lineRule="auto"/>
              <w:jc w:val="right"/>
              <w:rPr>
                <w:sz w:val="20"/>
                <w:szCs w:val="20"/>
                <w:lang w:eastAsia="sk-SK"/>
              </w:rPr>
            </w:pPr>
            <w:r w:rsidRPr="002A1EC7">
              <w:rPr>
                <w:sz w:val="20"/>
                <w:szCs w:val="20"/>
                <w:lang w:eastAsia="sk-SK"/>
              </w:rPr>
              <w:t>-584</w:t>
            </w:r>
          </w:p>
        </w:tc>
      </w:tr>
      <w:tr w:rsidR="000F0520" w:rsidRPr="00A85E10" w14:paraId="076089CB" w14:textId="77777777" w:rsidTr="00536917">
        <w:trPr>
          <w:trHeight w:val="260"/>
        </w:trPr>
        <w:tc>
          <w:tcPr>
            <w:tcW w:w="2597" w:type="pct"/>
            <w:tcBorders>
              <w:top w:val="nil"/>
              <w:left w:val="nil"/>
              <w:bottom w:val="nil"/>
              <w:right w:val="nil"/>
            </w:tcBorders>
            <w:shd w:val="clear" w:color="auto" w:fill="auto"/>
            <w:noWrap/>
            <w:vAlign w:val="bottom"/>
            <w:hideMark/>
          </w:tcPr>
          <w:p w14:paraId="2EB45E02" w14:textId="3876C087" w:rsidR="000F0520" w:rsidRPr="00A85E10" w:rsidRDefault="000F0520" w:rsidP="002177A3">
            <w:pPr>
              <w:spacing w:after="0" w:line="240" w:lineRule="auto"/>
              <w:ind w:firstLineChars="400" w:firstLine="800"/>
              <w:rPr>
                <w:sz w:val="20"/>
                <w:szCs w:val="20"/>
                <w:lang w:eastAsia="sk-SK"/>
              </w:rPr>
            </w:pPr>
            <w:r w:rsidRPr="00A85E10">
              <w:rPr>
                <w:sz w:val="20"/>
                <w:szCs w:val="20"/>
                <w:lang w:eastAsia="sk-SK"/>
              </w:rPr>
              <w:t>SIH a</w:t>
            </w:r>
            <w:r w:rsidR="002177A3">
              <w:rPr>
                <w:sz w:val="20"/>
                <w:szCs w:val="20"/>
                <w:lang w:eastAsia="sk-SK"/>
              </w:rPr>
              <w:t> investičné fondy SIH-u</w:t>
            </w:r>
          </w:p>
        </w:tc>
        <w:tc>
          <w:tcPr>
            <w:tcW w:w="603" w:type="pct"/>
            <w:gridSpan w:val="2"/>
            <w:tcBorders>
              <w:top w:val="nil"/>
              <w:left w:val="nil"/>
              <w:bottom w:val="nil"/>
              <w:right w:val="nil"/>
            </w:tcBorders>
            <w:shd w:val="clear" w:color="auto" w:fill="auto"/>
            <w:noWrap/>
            <w:vAlign w:val="bottom"/>
            <w:hideMark/>
          </w:tcPr>
          <w:p w14:paraId="58875029" w14:textId="5C328CBF" w:rsidR="000F0520" w:rsidRPr="00A85E10" w:rsidRDefault="000F0520" w:rsidP="000F0520">
            <w:pPr>
              <w:spacing w:after="0" w:line="240" w:lineRule="auto"/>
              <w:jc w:val="right"/>
              <w:rPr>
                <w:sz w:val="20"/>
                <w:szCs w:val="20"/>
                <w:lang w:eastAsia="sk-SK"/>
              </w:rPr>
            </w:pPr>
            <w:r w:rsidRPr="002A1EC7">
              <w:rPr>
                <w:sz w:val="20"/>
                <w:szCs w:val="20"/>
                <w:lang w:eastAsia="sk-SK"/>
              </w:rPr>
              <w:t>0</w:t>
            </w:r>
          </w:p>
        </w:tc>
        <w:tc>
          <w:tcPr>
            <w:tcW w:w="601" w:type="pct"/>
            <w:gridSpan w:val="3"/>
            <w:tcBorders>
              <w:top w:val="nil"/>
              <w:left w:val="nil"/>
              <w:bottom w:val="nil"/>
              <w:right w:val="nil"/>
            </w:tcBorders>
            <w:shd w:val="clear" w:color="auto" w:fill="auto"/>
            <w:noWrap/>
            <w:vAlign w:val="bottom"/>
            <w:hideMark/>
          </w:tcPr>
          <w:p w14:paraId="5A1B2224" w14:textId="4E783215" w:rsidR="000F0520" w:rsidRPr="00A85E10" w:rsidRDefault="000F0520" w:rsidP="000F0520">
            <w:pPr>
              <w:spacing w:after="0" w:line="240" w:lineRule="auto"/>
              <w:jc w:val="right"/>
              <w:rPr>
                <w:sz w:val="20"/>
                <w:szCs w:val="20"/>
                <w:lang w:eastAsia="sk-SK"/>
              </w:rPr>
            </w:pPr>
            <w:r w:rsidRPr="002A1EC7">
              <w:rPr>
                <w:sz w:val="20"/>
                <w:szCs w:val="20"/>
                <w:lang w:eastAsia="sk-SK"/>
              </w:rPr>
              <w:t>0</w:t>
            </w:r>
          </w:p>
        </w:tc>
        <w:tc>
          <w:tcPr>
            <w:tcW w:w="595" w:type="pct"/>
            <w:gridSpan w:val="3"/>
            <w:tcBorders>
              <w:top w:val="nil"/>
              <w:left w:val="nil"/>
              <w:bottom w:val="nil"/>
              <w:right w:val="nil"/>
            </w:tcBorders>
            <w:shd w:val="clear" w:color="auto" w:fill="auto"/>
            <w:noWrap/>
            <w:vAlign w:val="bottom"/>
            <w:hideMark/>
          </w:tcPr>
          <w:p w14:paraId="5DF99279" w14:textId="75908398" w:rsidR="000F0520" w:rsidRPr="00A85E10" w:rsidRDefault="000F0520" w:rsidP="000F0520">
            <w:pPr>
              <w:spacing w:after="0" w:line="240" w:lineRule="auto"/>
              <w:jc w:val="right"/>
              <w:rPr>
                <w:sz w:val="20"/>
                <w:szCs w:val="20"/>
                <w:lang w:eastAsia="sk-SK"/>
              </w:rPr>
            </w:pPr>
            <w:r w:rsidRPr="002A1EC7">
              <w:rPr>
                <w:sz w:val="20"/>
                <w:szCs w:val="20"/>
                <w:lang w:eastAsia="sk-SK"/>
              </w:rPr>
              <w:t>3 314</w:t>
            </w:r>
          </w:p>
        </w:tc>
        <w:tc>
          <w:tcPr>
            <w:tcW w:w="603" w:type="pct"/>
            <w:tcBorders>
              <w:top w:val="nil"/>
              <w:left w:val="nil"/>
              <w:bottom w:val="nil"/>
              <w:right w:val="nil"/>
            </w:tcBorders>
            <w:shd w:val="clear" w:color="auto" w:fill="auto"/>
            <w:noWrap/>
            <w:vAlign w:val="bottom"/>
            <w:hideMark/>
          </w:tcPr>
          <w:p w14:paraId="4A750C2A" w14:textId="7F47CFD8" w:rsidR="000F0520" w:rsidRPr="00A85E10" w:rsidRDefault="000F0520" w:rsidP="000F0520">
            <w:pPr>
              <w:spacing w:after="0" w:line="240" w:lineRule="auto"/>
              <w:jc w:val="right"/>
              <w:rPr>
                <w:sz w:val="20"/>
                <w:szCs w:val="20"/>
                <w:lang w:eastAsia="sk-SK"/>
              </w:rPr>
            </w:pPr>
            <w:r w:rsidRPr="002A1EC7">
              <w:rPr>
                <w:sz w:val="20"/>
                <w:szCs w:val="20"/>
                <w:lang w:eastAsia="sk-SK"/>
              </w:rPr>
              <w:t>3 314</w:t>
            </w:r>
          </w:p>
        </w:tc>
      </w:tr>
      <w:tr w:rsidR="000F0520" w:rsidRPr="00A85E10" w14:paraId="108AE57B"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1D92DEC1" w14:textId="77777777" w:rsidR="000F0520" w:rsidRPr="00A85E10" w:rsidRDefault="000F0520" w:rsidP="000F0520">
            <w:pPr>
              <w:spacing w:after="0" w:line="240" w:lineRule="auto"/>
              <w:ind w:firstLineChars="400" w:firstLine="800"/>
              <w:rPr>
                <w:sz w:val="20"/>
                <w:szCs w:val="20"/>
                <w:lang w:eastAsia="sk-SK"/>
              </w:rPr>
            </w:pPr>
            <w:r w:rsidRPr="00A85E10">
              <w:rPr>
                <w:sz w:val="20"/>
                <w:szCs w:val="20"/>
                <w:lang w:eastAsia="sk-SK"/>
              </w:rPr>
              <w:t>MH Invest II., s. r. o.</w:t>
            </w:r>
          </w:p>
        </w:tc>
        <w:tc>
          <w:tcPr>
            <w:tcW w:w="612" w:type="pct"/>
            <w:gridSpan w:val="3"/>
            <w:tcBorders>
              <w:top w:val="nil"/>
              <w:left w:val="nil"/>
              <w:bottom w:val="nil"/>
              <w:right w:val="nil"/>
            </w:tcBorders>
            <w:shd w:val="clear" w:color="auto" w:fill="auto"/>
            <w:noWrap/>
            <w:vAlign w:val="bottom"/>
            <w:hideMark/>
          </w:tcPr>
          <w:p w14:paraId="267859D2" w14:textId="2287EE17" w:rsidR="000F0520" w:rsidRPr="00A85E10" w:rsidRDefault="007812A0" w:rsidP="007812A0">
            <w:pPr>
              <w:spacing w:after="0" w:line="240" w:lineRule="auto"/>
              <w:jc w:val="center"/>
              <w:rPr>
                <w:sz w:val="20"/>
                <w:szCs w:val="20"/>
                <w:lang w:eastAsia="sk-SK"/>
              </w:rPr>
            </w:pPr>
            <w:r>
              <w:rPr>
                <w:sz w:val="20"/>
                <w:szCs w:val="20"/>
                <w:lang w:eastAsia="sk-SK"/>
              </w:rPr>
              <w:t xml:space="preserve">     </w:t>
            </w:r>
            <w:r w:rsidR="000F0520" w:rsidRPr="002A1EC7">
              <w:rPr>
                <w:sz w:val="20"/>
                <w:szCs w:val="20"/>
                <w:lang w:eastAsia="sk-SK"/>
              </w:rPr>
              <w:t>2 730</w:t>
            </w:r>
          </w:p>
        </w:tc>
        <w:tc>
          <w:tcPr>
            <w:tcW w:w="556" w:type="pct"/>
            <w:gridSpan w:val="2"/>
            <w:tcBorders>
              <w:top w:val="nil"/>
              <w:left w:val="nil"/>
              <w:bottom w:val="nil"/>
              <w:right w:val="nil"/>
            </w:tcBorders>
            <w:shd w:val="clear" w:color="auto" w:fill="auto"/>
            <w:noWrap/>
            <w:vAlign w:val="bottom"/>
            <w:hideMark/>
          </w:tcPr>
          <w:p w14:paraId="721AA09B" w14:textId="02175CC8" w:rsidR="000F0520" w:rsidRPr="00A85E10" w:rsidRDefault="007812A0" w:rsidP="007812A0">
            <w:pPr>
              <w:spacing w:after="0" w:line="240" w:lineRule="auto"/>
              <w:jc w:val="center"/>
              <w:rPr>
                <w:sz w:val="20"/>
                <w:szCs w:val="20"/>
                <w:lang w:eastAsia="sk-SK"/>
              </w:rPr>
            </w:pPr>
            <w:r>
              <w:rPr>
                <w:sz w:val="20"/>
                <w:szCs w:val="20"/>
                <w:lang w:eastAsia="sk-SK"/>
              </w:rPr>
              <w:t xml:space="preserve">          </w:t>
            </w:r>
            <w:r w:rsidR="000F0520" w:rsidRPr="002A1EC7">
              <w:rPr>
                <w:sz w:val="20"/>
                <w:szCs w:val="20"/>
                <w:lang w:eastAsia="sk-SK"/>
              </w:rPr>
              <w:t>610</w:t>
            </w:r>
          </w:p>
        </w:tc>
        <w:tc>
          <w:tcPr>
            <w:tcW w:w="556" w:type="pct"/>
            <w:gridSpan w:val="2"/>
            <w:tcBorders>
              <w:top w:val="nil"/>
              <w:left w:val="nil"/>
              <w:bottom w:val="nil"/>
              <w:right w:val="nil"/>
            </w:tcBorders>
            <w:shd w:val="clear" w:color="auto" w:fill="auto"/>
            <w:noWrap/>
            <w:vAlign w:val="bottom"/>
            <w:hideMark/>
          </w:tcPr>
          <w:p w14:paraId="029059EA" w14:textId="0A0B299D" w:rsidR="000F0520" w:rsidRPr="00A85E10" w:rsidRDefault="000F0520" w:rsidP="000F0520">
            <w:pPr>
              <w:spacing w:after="0" w:line="240" w:lineRule="auto"/>
              <w:jc w:val="right"/>
              <w:rPr>
                <w:sz w:val="20"/>
                <w:szCs w:val="20"/>
                <w:lang w:eastAsia="sk-SK"/>
              </w:rPr>
            </w:pPr>
            <w:r w:rsidRPr="002A1EC7">
              <w:rPr>
                <w:sz w:val="20"/>
                <w:szCs w:val="20"/>
                <w:lang w:eastAsia="sk-SK"/>
              </w:rPr>
              <w:t>600</w:t>
            </w:r>
          </w:p>
        </w:tc>
        <w:tc>
          <w:tcPr>
            <w:tcW w:w="603" w:type="pct"/>
            <w:tcBorders>
              <w:top w:val="nil"/>
              <w:left w:val="nil"/>
              <w:bottom w:val="nil"/>
              <w:right w:val="nil"/>
            </w:tcBorders>
            <w:shd w:val="clear" w:color="auto" w:fill="auto"/>
            <w:noWrap/>
            <w:vAlign w:val="bottom"/>
            <w:hideMark/>
          </w:tcPr>
          <w:p w14:paraId="76D6265E" w14:textId="0E8EDA88" w:rsidR="000F0520" w:rsidRPr="00A85E10" w:rsidRDefault="000F0520" w:rsidP="000F0520">
            <w:pPr>
              <w:spacing w:after="0" w:line="240" w:lineRule="auto"/>
              <w:jc w:val="right"/>
              <w:rPr>
                <w:sz w:val="20"/>
                <w:szCs w:val="20"/>
                <w:lang w:eastAsia="sk-SK"/>
              </w:rPr>
            </w:pPr>
            <w:r w:rsidRPr="002A1EC7">
              <w:rPr>
                <w:sz w:val="20"/>
                <w:szCs w:val="20"/>
                <w:lang w:eastAsia="sk-SK"/>
              </w:rPr>
              <w:t>-10</w:t>
            </w:r>
          </w:p>
        </w:tc>
      </w:tr>
      <w:tr w:rsidR="000F0520" w:rsidRPr="00A85E10" w14:paraId="3D37804C"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3B925781" w14:textId="77777777" w:rsidR="000F0520" w:rsidRPr="00A85E10" w:rsidRDefault="000F0520" w:rsidP="000F0520">
            <w:pPr>
              <w:spacing w:after="0" w:line="240" w:lineRule="auto"/>
              <w:ind w:firstLineChars="400" w:firstLine="800"/>
              <w:rPr>
                <w:sz w:val="20"/>
                <w:szCs w:val="20"/>
                <w:lang w:eastAsia="sk-SK"/>
              </w:rPr>
            </w:pPr>
            <w:r w:rsidRPr="00A85E10">
              <w:rPr>
                <w:sz w:val="20"/>
                <w:szCs w:val="20"/>
                <w:lang w:eastAsia="sk-SK"/>
              </w:rPr>
              <w:t>MH Manažment, a. s.</w:t>
            </w:r>
          </w:p>
        </w:tc>
        <w:tc>
          <w:tcPr>
            <w:tcW w:w="612" w:type="pct"/>
            <w:gridSpan w:val="3"/>
            <w:tcBorders>
              <w:top w:val="nil"/>
              <w:left w:val="nil"/>
              <w:bottom w:val="nil"/>
              <w:right w:val="nil"/>
            </w:tcBorders>
            <w:shd w:val="clear" w:color="auto" w:fill="auto"/>
            <w:noWrap/>
            <w:vAlign w:val="bottom"/>
            <w:hideMark/>
          </w:tcPr>
          <w:p w14:paraId="7833D610" w14:textId="6D56DA77" w:rsidR="000F0520" w:rsidRPr="00A85E10" w:rsidRDefault="000F0520" w:rsidP="000F0520">
            <w:pPr>
              <w:spacing w:after="0" w:line="240" w:lineRule="auto"/>
              <w:jc w:val="right"/>
              <w:rPr>
                <w:sz w:val="20"/>
                <w:szCs w:val="20"/>
                <w:lang w:eastAsia="sk-SK"/>
              </w:rPr>
            </w:pPr>
            <w:r w:rsidRPr="002A1EC7">
              <w:rPr>
                <w:sz w:val="20"/>
                <w:szCs w:val="20"/>
                <w:lang w:eastAsia="sk-SK"/>
              </w:rPr>
              <w:t>80</w:t>
            </w:r>
          </w:p>
        </w:tc>
        <w:tc>
          <w:tcPr>
            <w:tcW w:w="556" w:type="pct"/>
            <w:gridSpan w:val="2"/>
            <w:tcBorders>
              <w:top w:val="nil"/>
              <w:left w:val="nil"/>
              <w:bottom w:val="nil"/>
              <w:right w:val="nil"/>
            </w:tcBorders>
            <w:shd w:val="clear" w:color="auto" w:fill="auto"/>
            <w:noWrap/>
            <w:vAlign w:val="bottom"/>
            <w:hideMark/>
          </w:tcPr>
          <w:p w14:paraId="77A81AB8" w14:textId="2520B585" w:rsidR="000F0520" w:rsidRPr="00A85E10" w:rsidRDefault="000F0520" w:rsidP="000F0520">
            <w:pPr>
              <w:spacing w:after="0" w:line="240" w:lineRule="auto"/>
              <w:jc w:val="right"/>
              <w:rPr>
                <w:sz w:val="20"/>
                <w:szCs w:val="20"/>
                <w:lang w:eastAsia="sk-SK"/>
              </w:rPr>
            </w:pPr>
            <w:r w:rsidRPr="002A1EC7">
              <w:rPr>
                <w:sz w:val="20"/>
                <w:szCs w:val="20"/>
                <w:lang w:eastAsia="sk-SK"/>
              </w:rPr>
              <w:t>342</w:t>
            </w:r>
          </w:p>
        </w:tc>
        <w:tc>
          <w:tcPr>
            <w:tcW w:w="556" w:type="pct"/>
            <w:gridSpan w:val="2"/>
            <w:tcBorders>
              <w:top w:val="nil"/>
              <w:left w:val="nil"/>
              <w:bottom w:val="nil"/>
              <w:right w:val="nil"/>
            </w:tcBorders>
            <w:shd w:val="clear" w:color="auto" w:fill="auto"/>
            <w:noWrap/>
            <w:vAlign w:val="bottom"/>
            <w:hideMark/>
          </w:tcPr>
          <w:p w14:paraId="07160F3D" w14:textId="2A9BB979" w:rsidR="000F0520" w:rsidRPr="00A85E10" w:rsidRDefault="000F0520" w:rsidP="000F0520">
            <w:pPr>
              <w:spacing w:after="0" w:line="240" w:lineRule="auto"/>
              <w:jc w:val="right"/>
              <w:rPr>
                <w:sz w:val="20"/>
                <w:szCs w:val="20"/>
                <w:lang w:eastAsia="sk-SK"/>
              </w:rPr>
            </w:pPr>
            <w:r w:rsidRPr="002A1EC7">
              <w:rPr>
                <w:sz w:val="20"/>
                <w:szCs w:val="20"/>
                <w:lang w:eastAsia="sk-SK"/>
              </w:rPr>
              <w:t>0</w:t>
            </w:r>
          </w:p>
        </w:tc>
        <w:tc>
          <w:tcPr>
            <w:tcW w:w="603" w:type="pct"/>
            <w:tcBorders>
              <w:top w:val="nil"/>
              <w:left w:val="nil"/>
              <w:bottom w:val="nil"/>
              <w:right w:val="nil"/>
            </w:tcBorders>
            <w:shd w:val="clear" w:color="auto" w:fill="auto"/>
            <w:noWrap/>
            <w:vAlign w:val="bottom"/>
            <w:hideMark/>
          </w:tcPr>
          <w:p w14:paraId="74535D84" w14:textId="7EDBB28F" w:rsidR="000F0520" w:rsidRPr="00A85E10" w:rsidRDefault="000F0520" w:rsidP="000F0520">
            <w:pPr>
              <w:spacing w:after="0" w:line="240" w:lineRule="auto"/>
              <w:jc w:val="right"/>
              <w:rPr>
                <w:sz w:val="20"/>
                <w:szCs w:val="20"/>
                <w:lang w:eastAsia="sk-SK"/>
              </w:rPr>
            </w:pPr>
            <w:r w:rsidRPr="002A1EC7">
              <w:rPr>
                <w:sz w:val="20"/>
                <w:szCs w:val="20"/>
                <w:lang w:eastAsia="sk-SK"/>
              </w:rPr>
              <w:t>-342</w:t>
            </w:r>
          </w:p>
        </w:tc>
      </w:tr>
      <w:tr w:rsidR="000F0520" w:rsidRPr="00A85E10" w14:paraId="79885835"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1541BA74" w14:textId="77777777" w:rsidR="000F0520" w:rsidRPr="00A85E10" w:rsidRDefault="000F0520" w:rsidP="000F0520">
            <w:pPr>
              <w:spacing w:after="0" w:line="240" w:lineRule="auto"/>
              <w:ind w:firstLineChars="400" w:firstLine="800"/>
              <w:rPr>
                <w:sz w:val="20"/>
                <w:szCs w:val="20"/>
                <w:lang w:eastAsia="sk-SK"/>
              </w:rPr>
            </w:pPr>
            <w:r w:rsidRPr="00A85E10">
              <w:rPr>
                <w:sz w:val="20"/>
                <w:szCs w:val="20"/>
                <w:lang w:eastAsia="sk-SK"/>
              </w:rPr>
              <w:t>MH Invest, s. r .o.</w:t>
            </w:r>
          </w:p>
        </w:tc>
        <w:tc>
          <w:tcPr>
            <w:tcW w:w="612" w:type="pct"/>
            <w:gridSpan w:val="3"/>
            <w:tcBorders>
              <w:top w:val="nil"/>
              <w:left w:val="nil"/>
              <w:bottom w:val="nil"/>
              <w:right w:val="nil"/>
            </w:tcBorders>
            <w:shd w:val="clear" w:color="auto" w:fill="auto"/>
            <w:noWrap/>
            <w:vAlign w:val="bottom"/>
            <w:hideMark/>
          </w:tcPr>
          <w:p w14:paraId="159ABBA0" w14:textId="2B41FF67" w:rsidR="000F0520" w:rsidRPr="00A85E10" w:rsidRDefault="000F0520" w:rsidP="000F0520">
            <w:pPr>
              <w:spacing w:after="0" w:line="240" w:lineRule="auto"/>
              <w:jc w:val="right"/>
              <w:rPr>
                <w:sz w:val="20"/>
                <w:szCs w:val="20"/>
                <w:lang w:eastAsia="sk-SK"/>
              </w:rPr>
            </w:pPr>
            <w:r w:rsidRPr="002A1EC7">
              <w:rPr>
                <w:sz w:val="20"/>
                <w:szCs w:val="20"/>
                <w:lang w:eastAsia="sk-SK"/>
              </w:rPr>
              <w:t>0</w:t>
            </w:r>
          </w:p>
        </w:tc>
        <w:tc>
          <w:tcPr>
            <w:tcW w:w="556" w:type="pct"/>
            <w:gridSpan w:val="2"/>
            <w:tcBorders>
              <w:top w:val="nil"/>
              <w:left w:val="nil"/>
              <w:bottom w:val="nil"/>
              <w:right w:val="nil"/>
            </w:tcBorders>
            <w:shd w:val="clear" w:color="auto" w:fill="auto"/>
            <w:noWrap/>
            <w:vAlign w:val="bottom"/>
            <w:hideMark/>
          </w:tcPr>
          <w:p w14:paraId="6C1CA78A" w14:textId="16562806" w:rsidR="000F0520" w:rsidRPr="00A85E10" w:rsidRDefault="000F0520" w:rsidP="000F0520">
            <w:pPr>
              <w:spacing w:after="0" w:line="240" w:lineRule="auto"/>
              <w:jc w:val="right"/>
              <w:rPr>
                <w:sz w:val="20"/>
                <w:szCs w:val="20"/>
                <w:lang w:eastAsia="sk-SK"/>
              </w:rPr>
            </w:pPr>
            <w:r w:rsidRPr="002A1EC7">
              <w:rPr>
                <w:sz w:val="20"/>
                <w:szCs w:val="20"/>
                <w:lang w:eastAsia="sk-SK"/>
              </w:rPr>
              <w:t>0</w:t>
            </w:r>
          </w:p>
        </w:tc>
        <w:tc>
          <w:tcPr>
            <w:tcW w:w="556" w:type="pct"/>
            <w:gridSpan w:val="2"/>
            <w:tcBorders>
              <w:top w:val="nil"/>
              <w:left w:val="nil"/>
              <w:bottom w:val="nil"/>
              <w:right w:val="nil"/>
            </w:tcBorders>
            <w:shd w:val="clear" w:color="auto" w:fill="auto"/>
            <w:noWrap/>
            <w:vAlign w:val="bottom"/>
            <w:hideMark/>
          </w:tcPr>
          <w:p w14:paraId="22543EBD" w14:textId="744435CF" w:rsidR="000F0520" w:rsidRPr="00A85E10" w:rsidRDefault="000F0520" w:rsidP="000F0520">
            <w:pPr>
              <w:spacing w:after="0" w:line="240" w:lineRule="auto"/>
              <w:jc w:val="right"/>
              <w:rPr>
                <w:sz w:val="20"/>
                <w:szCs w:val="20"/>
                <w:lang w:eastAsia="sk-SK"/>
              </w:rPr>
            </w:pPr>
            <w:r w:rsidRPr="002A1EC7">
              <w:rPr>
                <w:sz w:val="20"/>
                <w:szCs w:val="20"/>
                <w:lang w:eastAsia="sk-SK"/>
              </w:rPr>
              <w:t>0</w:t>
            </w:r>
          </w:p>
        </w:tc>
        <w:tc>
          <w:tcPr>
            <w:tcW w:w="603" w:type="pct"/>
            <w:tcBorders>
              <w:top w:val="nil"/>
              <w:left w:val="nil"/>
              <w:bottom w:val="nil"/>
              <w:right w:val="nil"/>
            </w:tcBorders>
            <w:shd w:val="clear" w:color="auto" w:fill="auto"/>
            <w:noWrap/>
            <w:vAlign w:val="bottom"/>
            <w:hideMark/>
          </w:tcPr>
          <w:p w14:paraId="14F797D4" w14:textId="2FBB065F" w:rsidR="000F0520" w:rsidRPr="00A85E10" w:rsidRDefault="000F0520" w:rsidP="000F0520">
            <w:pPr>
              <w:spacing w:after="0" w:line="240" w:lineRule="auto"/>
              <w:jc w:val="right"/>
              <w:rPr>
                <w:sz w:val="20"/>
                <w:szCs w:val="20"/>
                <w:lang w:eastAsia="sk-SK"/>
              </w:rPr>
            </w:pPr>
            <w:r w:rsidRPr="002A1EC7">
              <w:rPr>
                <w:sz w:val="20"/>
                <w:szCs w:val="20"/>
                <w:lang w:eastAsia="sk-SK"/>
              </w:rPr>
              <w:t>0</w:t>
            </w:r>
          </w:p>
        </w:tc>
      </w:tr>
      <w:tr w:rsidR="000F0520" w:rsidRPr="00A85E10" w14:paraId="6A7800DA"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7EACF24B"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Verejné vysoké školy</w:t>
            </w:r>
          </w:p>
        </w:tc>
        <w:tc>
          <w:tcPr>
            <w:tcW w:w="612" w:type="pct"/>
            <w:gridSpan w:val="3"/>
            <w:tcBorders>
              <w:top w:val="nil"/>
              <w:left w:val="nil"/>
              <w:bottom w:val="nil"/>
              <w:right w:val="nil"/>
            </w:tcBorders>
            <w:shd w:val="clear" w:color="auto" w:fill="auto"/>
            <w:noWrap/>
            <w:vAlign w:val="bottom"/>
            <w:hideMark/>
          </w:tcPr>
          <w:p w14:paraId="4BD82FFD" w14:textId="7EA95750" w:rsidR="000F0520" w:rsidRPr="00A85E10" w:rsidRDefault="000F0520" w:rsidP="000F0520">
            <w:pPr>
              <w:spacing w:after="0" w:line="240" w:lineRule="auto"/>
              <w:jc w:val="right"/>
              <w:rPr>
                <w:sz w:val="20"/>
                <w:szCs w:val="20"/>
                <w:lang w:eastAsia="sk-SK"/>
              </w:rPr>
            </w:pPr>
            <w:r w:rsidRPr="002A1EC7">
              <w:rPr>
                <w:sz w:val="20"/>
                <w:szCs w:val="20"/>
                <w:lang w:eastAsia="sk-SK"/>
              </w:rPr>
              <w:t>7 888</w:t>
            </w:r>
          </w:p>
        </w:tc>
        <w:tc>
          <w:tcPr>
            <w:tcW w:w="556" w:type="pct"/>
            <w:gridSpan w:val="2"/>
            <w:tcBorders>
              <w:top w:val="nil"/>
              <w:left w:val="nil"/>
              <w:bottom w:val="nil"/>
              <w:right w:val="nil"/>
            </w:tcBorders>
            <w:shd w:val="clear" w:color="auto" w:fill="auto"/>
            <w:noWrap/>
            <w:vAlign w:val="bottom"/>
            <w:hideMark/>
          </w:tcPr>
          <w:p w14:paraId="3FB5E9C8" w14:textId="0C282097" w:rsidR="000F0520" w:rsidRPr="00A85E10" w:rsidRDefault="000F0520" w:rsidP="000F0520">
            <w:pPr>
              <w:spacing w:after="0" w:line="240" w:lineRule="auto"/>
              <w:jc w:val="right"/>
              <w:rPr>
                <w:sz w:val="20"/>
                <w:szCs w:val="20"/>
                <w:lang w:eastAsia="sk-SK"/>
              </w:rPr>
            </w:pPr>
            <w:r w:rsidRPr="002A1EC7">
              <w:rPr>
                <w:sz w:val="20"/>
                <w:szCs w:val="20"/>
                <w:lang w:eastAsia="sk-SK"/>
              </w:rPr>
              <w:t>12 060</w:t>
            </w:r>
          </w:p>
        </w:tc>
        <w:tc>
          <w:tcPr>
            <w:tcW w:w="556" w:type="pct"/>
            <w:gridSpan w:val="2"/>
            <w:tcBorders>
              <w:top w:val="nil"/>
              <w:left w:val="nil"/>
              <w:bottom w:val="nil"/>
              <w:right w:val="nil"/>
            </w:tcBorders>
            <w:shd w:val="clear" w:color="auto" w:fill="auto"/>
            <w:noWrap/>
            <w:vAlign w:val="bottom"/>
            <w:hideMark/>
          </w:tcPr>
          <w:p w14:paraId="40D67493" w14:textId="3EB9675F" w:rsidR="000F0520" w:rsidRPr="00A85E10" w:rsidRDefault="000F0520" w:rsidP="000F0520">
            <w:pPr>
              <w:spacing w:after="0" w:line="240" w:lineRule="auto"/>
              <w:jc w:val="right"/>
              <w:rPr>
                <w:sz w:val="20"/>
                <w:szCs w:val="20"/>
                <w:lang w:eastAsia="sk-SK"/>
              </w:rPr>
            </w:pPr>
            <w:r w:rsidRPr="002A1EC7">
              <w:rPr>
                <w:sz w:val="20"/>
                <w:szCs w:val="20"/>
                <w:lang w:eastAsia="sk-SK"/>
              </w:rPr>
              <w:t>10 936</w:t>
            </w:r>
          </w:p>
        </w:tc>
        <w:tc>
          <w:tcPr>
            <w:tcW w:w="603" w:type="pct"/>
            <w:tcBorders>
              <w:top w:val="nil"/>
              <w:left w:val="nil"/>
              <w:bottom w:val="nil"/>
              <w:right w:val="nil"/>
            </w:tcBorders>
            <w:shd w:val="clear" w:color="auto" w:fill="auto"/>
            <w:noWrap/>
            <w:vAlign w:val="bottom"/>
            <w:hideMark/>
          </w:tcPr>
          <w:p w14:paraId="7E42F9D9" w14:textId="7475D87C" w:rsidR="000F0520" w:rsidRPr="00A85E10" w:rsidRDefault="000F0520" w:rsidP="000F0520">
            <w:pPr>
              <w:spacing w:after="0" w:line="240" w:lineRule="auto"/>
              <w:jc w:val="right"/>
              <w:rPr>
                <w:sz w:val="20"/>
                <w:szCs w:val="20"/>
                <w:lang w:eastAsia="sk-SK"/>
              </w:rPr>
            </w:pPr>
            <w:r w:rsidRPr="002A1EC7">
              <w:rPr>
                <w:sz w:val="20"/>
                <w:szCs w:val="20"/>
                <w:lang w:eastAsia="sk-SK"/>
              </w:rPr>
              <w:t>-1 124</w:t>
            </w:r>
          </w:p>
        </w:tc>
      </w:tr>
      <w:tr w:rsidR="000F0520" w:rsidRPr="00A85E10" w14:paraId="5ED200E2"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18C59153"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Verejné výskumné inštitúcie</w:t>
            </w:r>
          </w:p>
        </w:tc>
        <w:tc>
          <w:tcPr>
            <w:tcW w:w="612" w:type="pct"/>
            <w:gridSpan w:val="3"/>
            <w:tcBorders>
              <w:top w:val="nil"/>
              <w:left w:val="nil"/>
              <w:bottom w:val="nil"/>
              <w:right w:val="nil"/>
            </w:tcBorders>
            <w:shd w:val="clear" w:color="auto" w:fill="auto"/>
            <w:noWrap/>
            <w:vAlign w:val="bottom"/>
            <w:hideMark/>
          </w:tcPr>
          <w:p w14:paraId="6E64E6BB" w14:textId="77777777" w:rsidR="000F0520" w:rsidRPr="00A85E10" w:rsidRDefault="000F0520" w:rsidP="000F0520">
            <w:pPr>
              <w:spacing w:after="0" w:line="240" w:lineRule="auto"/>
              <w:ind w:firstLineChars="200" w:firstLine="400"/>
              <w:rPr>
                <w:sz w:val="20"/>
                <w:szCs w:val="20"/>
                <w:lang w:eastAsia="sk-SK"/>
              </w:rPr>
            </w:pPr>
          </w:p>
        </w:tc>
        <w:tc>
          <w:tcPr>
            <w:tcW w:w="556" w:type="pct"/>
            <w:gridSpan w:val="2"/>
            <w:tcBorders>
              <w:top w:val="nil"/>
              <w:left w:val="nil"/>
              <w:bottom w:val="nil"/>
              <w:right w:val="nil"/>
            </w:tcBorders>
            <w:shd w:val="clear" w:color="auto" w:fill="auto"/>
            <w:noWrap/>
            <w:vAlign w:val="bottom"/>
            <w:hideMark/>
          </w:tcPr>
          <w:p w14:paraId="2FF47C03" w14:textId="3AACD00A" w:rsidR="000F0520" w:rsidRPr="00A85E10" w:rsidRDefault="000F0520" w:rsidP="000F0520">
            <w:pPr>
              <w:spacing w:after="0" w:line="240" w:lineRule="auto"/>
              <w:jc w:val="right"/>
              <w:rPr>
                <w:sz w:val="20"/>
                <w:szCs w:val="20"/>
                <w:lang w:eastAsia="sk-SK"/>
              </w:rPr>
            </w:pPr>
            <w:r w:rsidRPr="002A1EC7">
              <w:rPr>
                <w:sz w:val="20"/>
                <w:szCs w:val="20"/>
                <w:lang w:eastAsia="sk-SK"/>
              </w:rPr>
              <w:t>2 563</w:t>
            </w:r>
          </w:p>
        </w:tc>
        <w:tc>
          <w:tcPr>
            <w:tcW w:w="556" w:type="pct"/>
            <w:gridSpan w:val="2"/>
            <w:tcBorders>
              <w:top w:val="nil"/>
              <w:left w:val="nil"/>
              <w:bottom w:val="nil"/>
              <w:right w:val="nil"/>
            </w:tcBorders>
            <w:shd w:val="clear" w:color="auto" w:fill="auto"/>
            <w:noWrap/>
            <w:vAlign w:val="bottom"/>
            <w:hideMark/>
          </w:tcPr>
          <w:p w14:paraId="51463E1B" w14:textId="64695F8E" w:rsidR="000F0520" w:rsidRPr="00A85E10" w:rsidRDefault="000F0520" w:rsidP="000F0520">
            <w:pPr>
              <w:spacing w:after="0" w:line="240" w:lineRule="auto"/>
              <w:jc w:val="right"/>
              <w:rPr>
                <w:sz w:val="20"/>
                <w:szCs w:val="20"/>
                <w:lang w:eastAsia="sk-SK"/>
              </w:rPr>
            </w:pPr>
            <w:r w:rsidRPr="002A1EC7">
              <w:rPr>
                <w:sz w:val="20"/>
                <w:szCs w:val="20"/>
                <w:lang w:eastAsia="sk-SK"/>
              </w:rPr>
              <w:t>2 424</w:t>
            </w:r>
          </w:p>
        </w:tc>
        <w:tc>
          <w:tcPr>
            <w:tcW w:w="603" w:type="pct"/>
            <w:tcBorders>
              <w:top w:val="nil"/>
              <w:left w:val="nil"/>
              <w:bottom w:val="nil"/>
              <w:right w:val="nil"/>
            </w:tcBorders>
            <w:shd w:val="clear" w:color="auto" w:fill="auto"/>
            <w:noWrap/>
            <w:vAlign w:val="bottom"/>
            <w:hideMark/>
          </w:tcPr>
          <w:p w14:paraId="0EC9626F" w14:textId="0C2205EF" w:rsidR="000F0520" w:rsidRPr="00A85E10" w:rsidRDefault="000F0520" w:rsidP="000F0520">
            <w:pPr>
              <w:spacing w:after="0" w:line="240" w:lineRule="auto"/>
              <w:jc w:val="right"/>
              <w:rPr>
                <w:sz w:val="20"/>
                <w:szCs w:val="20"/>
                <w:lang w:eastAsia="sk-SK"/>
              </w:rPr>
            </w:pPr>
            <w:r w:rsidRPr="002A1EC7">
              <w:rPr>
                <w:sz w:val="20"/>
                <w:szCs w:val="20"/>
                <w:lang w:eastAsia="sk-SK"/>
              </w:rPr>
              <w:t>-139</w:t>
            </w:r>
          </w:p>
        </w:tc>
      </w:tr>
      <w:tr w:rsidR="000F0520" w:rsidRPr="00A85E10" w14:paraId="1126267C"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3978BFA9"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Zdravotnícke zariadenia ústrednej správy</w:t>
            </w:r>
          </w:p>
        </w:tc>
        <w:tc>
          <w:tcPr>
            <w:tcW w:w="612" w:type="pct"/>
            <w:gridSpan w:val="3"/>
            <w:tcBorders>
              <w:top w:val="nil"/>
              <w:left w:val="nil"/>
              <w:bottom w:val="nil"/>
              <w:right w:val="nil"/>
            </w:tcBorders>
            <w:shd w:val="clear" w:color="auto" w:fill="auto"/>
            <w:noWrap/>
            <w:vAlign w:val="bottom"/>
            <w:hideMark/>
          </w:tcPr>
          <w:p w14:paraId="685D7CE6" w14:textId="103B4B30" w:rsidR="000F0520" w:rsidRPr="00A85E10" w:rsidRDefault="000F0520" w:rsidP="000F0520">
            <w:pPr>
              <w:spacing w:after="0" w:line="240" w:lineRule="auto"/>
              <w:jc w:val="right"/>
              <w:rPr>
                <w:sz w:val="20"/>
                <w:szCs w:val="20"/>
                <w:lang w:eastAsia="sk-SK"/>
              </w:rPr>
            </w:pPr>
            <w:r w:rsidRPr="002A1EC7">
              <w:rPr>
                <w:sz w:val="20"/>
                <w:szCs w:val="20"/>
                <w:lang w:eastAsia="sk-SK"/>
              </w:rPr>
              <w:t>212 235</w:t>
            </w:r>
          </w:p>
        </w:tc>
        <w:tc>
          <w:tcPr>
            <w:tcW w:w="556" w:type="pct"/>
            <w:gridSpan w:val="2"/>
            <w:tcBorders>
              <w:top w:val="nil"/>
              <w:left w:val="nil"/>
              <w:bottom w:val="nil"/>
              <w:right w:val="nil"/>
            </w:tcBorders>
            <w:shd w:val="clear" w:color="auto" w:fill="auto"/>
            <w:noWrap/>
            <w:vAlign w:val="bottom"/>
            <w:hideMark/>
          </w:tcPr>
          <w:p w14:paraId="658D80D5" w14:textId="61FA597A" w:rsidR="000F0520" w:rsidRPr="00A85E10" w:rsidRDefault="000F0520" w:rsidP="000F0520">
            <w:pPr>
              <w:spacing w:after="0" w:line="240" w:lineRule="auto"/>
              <w:jc w:val="right"/>
              <w:rPr>
                <w:sz w:val="20"/>
                <w:szCs w:val="20"/>
                <w:lang w:eastAsia="sk-SK"/>
              </w:rPr>
            </w:pPr>
            <w:r w:rsidRPr="002A1EC7">
              <w:rPr>
                <w:sz w:val="20"/>
                <w:szCs w:val="20"/>
                <w:lang w:eastAsia="sk-SK"/>
              </w:rPr>
              <w:t>193 531</w:t>
            </w:r>
          </w:p>
        </w:tc>
        <w:tc>
          <w:tcPr>
            <w:tcW w:w="556" w:type="pct"/>
            <w:gridSpan w:val="2"/>
            <w:tcBorders>
              <w:top w:val="nil"/>
              <w:left w:val="nil"/>
              <w:bottom w:val="nil"/>
              <w:right w:val="nil"/>
            </w:tcBorders>
            <w:shd w:val="clear" w:color="auto" w:fill="auto"/>
            <w:noWrap/>
            <w:vAlign w:val="bottom"/>
            <w:hideMark/>
          </w:tcPr>
          <w:p w14:paraId="00946032" w14:textId="3E14C1A9" w:rsidR="000F0520" w:rsidRPr="00A85E10" w:rsidRDefault="000F0520" w:rsidP="000F0520">
            <w:pPr>
              <w:spacing w:after="0" w:line="240" w:lineRule="auto"/>
              <w:jc w:val="right"/>
              <w:rPr>
                <w:sz w:val="20"/>
                <w:szCs w:val="20"/>
                <w:lang w:eastAsia="sk-SK"/>
              </w:rPr>
            </w:pPr>
            <w:r w:rsidRPr="002A1EC7">
              <w:rPr>
                <w:sz w:val="20"/>
                <w:szCs w:val="20"/>
                <w:lang w:eastAsia="sk-SK"/>
              </w:rPr>
              <w:t>187 057</w:t>
            </w:r>
          </w:p>
        </w:tc>
        <w:tc>
          <w:tcPr>
            <w:tcW w:w="603" w:type="pct"/>
            <w:tcBorders>
              <w:top w:val="nil"/>
              <w:left w:val="nil"/>
              <w:bottom w:val="nil"/>
              <w:right w:val="nil"/>
            </w:tcBorders>
            <w:shd w:val="clear" w:color="auto" w:fill="auto"/>
            <w:noWrap/>
            <w:vAlign w:val="bottom"/>
            <w:hideMark/>
          </w:tcPr>
          <w:p w14:paraId="573B1875" w14:textId="31202058" w:rsidR="000F0520" w:rsidRPr="00A85E10" w:rsidRDefault="000F0520" w:rsidP="000F0520">
            <w:pPr>
              <w:spacing w:after="0" w:line="240" w:lineRule="auto"/>
              <w:jc w:val="right"/>
              <w:rPr>
                <w:sz w:val="20"/>
                <w:szCs w:val="20"/>
                <w:lang w:eastAsia="sk-SK"/>
              </w:rPr>
            </w:pPr>
            <w:r w:rsidRPr="002A1EC7">
              <w:rPr>
                <w:sz w:val="20"/>
                <w:szCs w:val="20"/>
                <w:lang w:eastAsia="sk-SK"/>
              </w:rPr>
              <w:t>-6 474</w:t>
            </w:r>
          </w:p>
        </w:tc>
      </w:tr>
      <w:tr w:rsidR="000F0520" w:rsidRPr="00A85E10" w14:paraId="45EAB08C"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7F9F2A26"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Agentúra pre núdzové zásoby ropy a ropných výrobkov</w:t>
            </w:r>
          </w:p>
        </w:tc>
        <w:tc>
          <w:tcPr>
            <w:tcW w:w="612" w:type="pct"/>
            <w:gridSpan w:val="3"/>
            <w:tcBorders>
              <w:top w:val="nil"/>
              <w:left w:val="nil"/>
              <w:bottom w:val="nil"/>
              <w:right w:val="nil"/>
            </w:tcBorders>
            <w:shd w:val="clear" w:color="auto" w:fill="auto"/>
            <w:noWrap/>
            <w:vAlign w:val="bottom"/>
            <w:hideMark/>
          </w:tcPr>
          <w:p w14:paraId="18210279" w14:textId="77078773" w:rsidR="000F0520" w:rsidRPr="00A85E10" w:rsidRDefault="000F0520" w:rsidP="000F0520">
            <w:pPr>
              <w:spacing w:after="0" w:line="240" w:lineRule="auto"/>
              <w:jc w:val="right"/>
              <w:rPr>
                <w:sz w:val="20"/>
                <w:szCs w:val="20"/>
                <w:lang w:eastAsia="sk-SK"/>
              </w:rPr>
            </w:pPr>
            <w:r w:rsidRPr="002A1EC7">
              <w:rPr>
                <w:sz w:val="20"/>
                <w:szCs w:val="20"/>
                <w:lang w:eastAsia="sk-SK"/>
              </w:rPr>
              <w:t>281 551</w:t>
            </w:r>
          </w:p>
        </w:tc>
        <w:tc>
          <w:tcPr>
            <w:tcW w:w="556" w:type="pct"/>
            <w:gridSpan w:val="2"/>
            <w:tcBorders>
              <w:top w:val="nil"/>
              <w:left w:val="nil"/>
              <w:bottom w:val="nil"/>
              <w:right w:val="nil"/>
            </w:tcBorders>
            <w:shd w:val="clear" w:color="auto" w:fill="auto"/>
            <w:noWrap/>
            <w:vAlign w:val="bottom"/>
            <w:hideMark/>
          </w:tcPr>
          <w:p w14:paraId="45688970" w14:textId="2F9AB050" w:rsidR="000F0520" w:rsidRPr="00A85E10" w:rsidRDefault="000F0520" w:rsidP="000F0520">
            <w:pPr>
              <w:spacing w:after="0" w:line="240" w:lineRule="auto"/>
              <w:jc w:val="right"/>
              <w:rPr>
                <w:sz w:val="20"/>
                <w:szCs w:val="20"/>
                <w:lang w:eastAsia="sk-SK"/>
              </w:rPr>
            </w:pPr>
            <w:r w:rsidRPr="002A1EC7">
              <w:rPr>
                <w:sz w:val="20"/>
                <w:szCs w:val="20"/>
                <w:lang w:eastAsia="sk-SK"/>
              </w:rPr>
              <w:t>241 357</w:t>
            </w:r>
          </w:p>
        </w:tc>
        <w:tc>
          <w:tcPr>
            <w:tcW w:w="556" w:type="pct"/>
            <w:gridSpan w:val="2"/>
            <w:tcBorders>
              <w:top w:val="nil"/>
              <w:left w:val="nil"/>
              <w:bottom w:val="nil"/>
              <w:right w:val="nil"/>
            </w:tcBorders>
            <w:shd w:val="clear" w:color="auto" w:fill="auto"/>
            <w:noWrap/>
            <w:vAlign w:val="bottom"/>
            <w:hideMark/>
          </w:tcPr>
          <w:p w14:paraId="566D7157" w14:textId="04E4FA0C" w:rsidR="000F0520" w:rsidRPr="00A85E10" w:rsidRDefault="000F0520" w:rsidP="000F0520">
            <w:pPr>
              <w:spacing w:after="0" w:line="240" w:lineRule="auto"/>
              <w:jc w:val="right"/>
              <w:rPr>
                <w:sz w:val="20"/>
                <w:szCs w:val="20"/>
                <w:lang w:eastAsia="sk-SK"/>
              </w:rPr>
            </w:pPr>
            <w:r w:rsidRPr="002A1EC7">
              <w:rPr>
                <w:sz w:val="20"/>
                <w:szCs w:val="20"/>
                <w:lang w:eastAsia="sk-SK"/>
              </w:rPr>
              <w:t>220 348</w:t>
            </w:r>
          </w:p>
        </w:tc>
        <w:tc>
          <w:tcPr>
            <w:tcW w:w="603" w:type="pct"/>
            <w:tcBorders>
              <w:top w:val="nil"/>
              <w:left w:val="nil"/>
              <w:bottom w:val="nil"/>
              <w:right w:val="nil"/>
            </w:tcBorders>
            <w:shd w:val="clear" w:color="auto" w:fill="auto"/>
            <w:noWrap/>
            <w:vAlign w:val="bottom"/>
            <w:hideMark/>
          </w:tcPr>
          <w:p w14:paraId="3FA206C6" w14:textId="7E77A980" w:rsidR="000F0520" w:rsidRPr="00A85E10" w:rsidRDefault="000F0520" w:rsidP="000F0520">
            <w:pPr>
              <w:spacing w:after="0" w:line="240" w:lineRule="auto"/>
              <w:jc w:val="right"/>
              <w:rPr>
                <w:sz w:val="20"/>
                <w:szCs w:val="20"/>
                <w:lang w:eastAsia="sk-SK"/>
              </w:rPr>
            </w:pPr>
            <w:r w:rsidRPr="002A1EC7">
              <w:rPr>
                <w:sz w:val="20"/>
                <w:szCs w:val="20"/>
                <w:lang w:eastAsia="sk-SK"/>
              </w:rPr>
              <w:t>-21 009</w:t>
            </w:r>
          </w:p>
        </w:tc>
      </w:tr>
      <w:tr w:rsidR="000F0520" w:rsidRPr="00A85E10" w14:paraId="54F1C9BB"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5783C3CC"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Ostatné subjekty ústrednej správy</w:t>
            </w:r>
          </w:p>
        </w:tc>
        <w:tc>
          <w:tcPr>
            <w:tcW w:w="612" w:type="pct"/>
            <w:gridSpan w:val="3"/>
            <w:tcBorders>
              <w:top w:val="nil"/>
              <w:left w:val="nil"/>
              <w:bottom w:val="nil"/>
              <w:right w:val="nil"/>
            </w:tcBorders>
            <w:shd w:val="clear" w:color="auto" w:fill="auto"/>
            <w:noWrap/>
            <w:vAlign w:val="bottom"/>
            <w:hideMark/>
          </w:tcPr>
          <w:p w14:paraId="74FB5A40" w14:textId="440B3964" w:rsidR="000F0520" w:rsidRPr="00A85E10" w:rsidRDefault="00F462DC" w:rsidP="000F0520">
            <w:pPr>
              <w:spacing w:after="0" w:line="240" w:lineRule="auto"/>
              <w:jc w:val="right"/>
              <w:rPr>
                <w:sz w:val="20"/>
                <w:szCs w:val="20"/>
                <w:lang w:eastAsia="sk-SK"/>
              </w:rPr>
            </w:pPr>
            <w:r>
              <w:rPr>
                <w:sz w:val="20"/>
                <w:szCs w:val="20"/>
                <w:lang w:eastAsia="sk-SK"/>
              </w:rPr>
              <w:t>10 074</w:t>
            </w:r>
          </w:p>
        </w:tc>
        <w:tc>
          <w:tcPr>
            <w:tcW w:w="556" w:type="pct"/>
            <w:gridSpan w:val="2"/>
            <w:tcBorders>
              <w:top w:val="nil"/>
              <w:left w:val="nil"/>
              <w:bottom w:val="nil"/>
              <w:right w:val="nil"/>
            </w:tcBorders>
            <w:shd w:val="clear" w:color="auto" w:fill="auto"/>
            <w:noWrap/>
            <w:vAlign w:val="bottom"/>
            <w:hideMark/>
          </w:tcPr>
          <w:p w14:paraId="69C22DBA" w14:textId="152F956C" w:rsidR="000F0520" w:rsidRPr="00A85E10" w:rsidRDefault="00F462DC" w:rsidP="000F0520">
            <w:pPr>
              <w:spacing w:after="0" w:line="240" w:lineRule="auto"/>
              <w:jc w:val="right"/>
              <w:rPr>
                <w:sz w:val="20"/>
                <w:szCs w:val="20"/>
                <w:lang w:eastAsia="sk-SK"/>
              </w:rPr>
            </w:pPr>
            <w:r>
              <w:rPr>
                <w:sz w:val="20"/>
                <w:szCs w:val="20"/>
                <w:lang w:eastAsia="sk-SK"/>
              </w:rPr>
              <w:t>25 171</w:t>
            </w:r>
          </w:p>
        </w:tc>
        <w:tc>
          <w:tcPr>
            <w:tcW w:w="556" w:type="pct"/>
            <w:gridSpan w:val="2"/>
            <w:tcBorders>
              <w:top w:val="nil"/>
              <w:left w:val="nil"/>
              <w:bottom w:val="nil"/>
              <w:right w:val="nil"/>
            </w:tcBorders>
            <w:shd w:val="clear" w:color="auto" w:fill="auto"/>
            <w:noWrap/>
            <w:vAlign w:val="bottom"/>
            <w:hideMark/>
          </w:tcPr>
          <w:p w14:paraId="596128BD" w14:textId="6ED18E07" w:rsidR="000F0520" w:rsidRPr="00A85E10" w:rsidRDefault="000F0520" w:rsidP="000F0520">
            <w:pPr>
              <w:spacing w:after="0" w:line="240" w:lineRule="auto"/>
              <w:jc w:val="right"/>
              <w:rPr>
                <w:sz w:val="20"/>
                <w:szCs w:val="20"/>
                <w:lang w:eastAsia="sk-SK"/>
              </w:rPr>
            </w:pPr>
            <w:r w:rsidRPr="002A1EC7">
              <w:rPr>
                <w:sz w:val="20"/>
                <w:szCs w:val="20"/>
                <w:lang w:eastAsia="sk-SK"/>
              </w:rPr>
              <w:t>13 803</w:t>
            </w:r>
          </w:p>
        </w:tc>
        <w:tc>
          <w:tcPr>
            <w:tcW w:w="603" w:type="pct"/>
            <w:tcBorders>
              <w:top w:val="nil"/>
              <w:left w:val="nil"/>
              <w:bottom w:val="nil"/>
              <w:right w:val="nil"/>
            </w:tcBorders>
            <w:shd w:val="clear" w:color="auto" w:fill="auto"/>
            <w:noWrap/>
            <w:vAlign w:val="bottom"/>
            <w:hideMark/>
          </w:tcPr>
          <w:p w14:paraId="7F64B146" w14:textId="2E017AE2" w:rsidR="000F0520" w:rsidRPr="00A85E10" w:rsidRDefault="000F0520" w:rsidP="00F462DC">
            <w:pPr>
              <w:spacing w:after="0" w:line="240" w:lineRule="auto"/>
              <w:jc w:val="right"/>
              <w:rPr>
                <w:sz w:val="20"/>
                <w:szCs w:val="20"/>
                <w:lang w:eastAsia="sk-SK"/>
              </w:rPr>
            </w:pPr>
            <w:r w:rsidRPr="002A1EC7">
              <w:rPr>
                <w:sz w:val="20"/>
                <w:szCs w:val="20"/>
                <w:lang w:eastAsia="sk-SK"/>
              </w:rPr>
              <w:t>-</w:t>
            </w:r>
            <w:r w:rsidR="00F462DC">
              <w:rPr>
                <w:sz w:val="20"/>
                <w:szCs w:val="20"/>
                <w:lang w:eastAsia="sk-SK"/>
              </w:rPr>
              <w:t>11 368</w:t>
            </w:r>
          </w:p>
        </w:tc>
      </w:tr>
      <w:tr w:rsidR="000F0520" w:rsidRPr="00A85E10" w14:paraId="4DAAB31E"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5AD4FC26" w14:textId="77777777" w:rsidR="000F0520" w:rsidRPr="00A85E10" w:rsidRDefault="000F0520" w:rsidP="000F0520">
            <w:pPr>
              <w:spacing w:after="0" w:line="240" w:lineRule="auto"/>
              <w:rPr>
                <w:b/>
                <w:bCs/>
                <w:sz w:val="20"/>
                <w:szCs w:val="20"/>
                <w:lang w:eastAsia="sk-SK"/>
              </w:rPr>
            </w:pPr>
            <w:r w:rsidRPr="00A85E10">
              <w:rPr>
                <w:b/>
                <w:bCs/>
                <w:sz w:val="20"/>
                <w:szCs w:val="20"/>
                <w:lang w:eastAsia="sk-SK"/>
              </w:rPr>
              <w:t>Územná samospráva</w:t>
            </w:r>
          </w:p>
        </w:tc>
        <w:tc>
          <w:tcPr>
            <w:tcW w:w="612" w:type="pct"/>
            <w:gridSpan w:val="3"/>
            <w:tcBorders>
              <w:top w:val="nil"/>
              <w:left w:val="nil"/>
              <w:bottom w:val="nil"/>
              <w:right w:val="nil"/>
            </w:tcBorders>
            <w:shd w:val="clear" w:color="auto" w:fill="auto"/>
            <w:noWrap/>
            <w:vAlign w:val="bottom"/>
            <w:hideMark/>
          </w:tcPr>
          <w:p w14:paraId="37DA2941" w14:textId="609F5D04" w:rsidR="000F0520" w:rsidRPr="00A85E10" w:rsidRDefault="000F0520" w:rsidP="007812A0">
            <w:pPr>
              <w:spacing w:after="0" w:line="240" w:lineRule="auto"/>
              <w:jc w:val="right"/>
              <w:rPr>
                <w:b/>
                <w:bCs/>
                <w:sz w:val="20"/>
                <w:szCs w:val="20"/>
                <w:lang w:eastAsia="sk-SK"/>
              </w:rPr>
            </w:pPr>
            <w:r w:rsidRPr="002A1EC7">
              <w:rPr>
                <w:b/>
                <w:bCs/>
                <w:sz w:val="20"/>
                <w:szCs w:val="20"/>
                <w:lang w:eastAsia="sk-SK"/>
              </w:rPr>
              <w:t>2 230 52</w:t>
            </w:r>
            <w:r w:rsidR="007812A0">
              <w:rPr>
                <w:b/>
                <w:bCs/>
                <w:sz w:val="20"/>
                <w:szCs w:val="20"/>
                <w:lang w:eastAsia="sk-SK"/>
              </w:rPr>
              <w:t>2</w:t>
            </w:r>
          </w:p>
        </w:tc>
        <w:tc>
          <w:tcPr>
            <w:tcW w:w="556" w:type="pct"/>
            <w:gridSpan w:val="2"/>
            <w:tcBorders>
              <w:top w:val="nil"/>
              <w:left w:val="nil"/>
              <w:bottom w:val="nil"/>
              <w:right w:val="nil"/>
            </w:tcBorders>
            <w:shd w:val="clear" w:color="auto" w:fill="auto"/>
            <w:noWrap/>
            <w:vAlign w:val="bottom"/>
            <w:hideMark/>
          </w:tcPr>
          <w:p w14:paraId="476D6839" w14:textId="049D8658"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2</w:t>
            </w:r>
            <w:r w:rsidR="007812A0">
              <w:rPr>
                <w:b/>
                <w:bCs/>
                <w:sz w:val="20"/>
                <w:szCs w:val="20"/>
                <w:lang w:eastAsia="sk-SK"/>
              </w:rPr>
              <w:t xml:space="preserve"> 439 7</w:t>
            </w:r>
            <w:r w:rsidRPr="002A1EC7">
              <w:rPr>
                <w:b/>
                <w:bCs/>
                <w:sz w:val="20"/>
                <w:szCs w:val="20"/>
                <w:lang w:eastAsia="sk-SK"/>
              </w:rPr>
              <w:t>0</w:t>
            </w:r>
            <w:r w:rsidR="007812A0">
              <w:rPr>
                <w:b/>
                <w:bCs/>
                <w:sz w:val="20"/>
                <w:szCs w:val="20"/>
                <w:lang w:eastAsia="sk-SK"/>
              </w:rPr>
              <w:t>8</w:t>
            </w:r>
          </w:p>
        </w:tc>
        <w:tc>
          <w:tcPr>
            <w:tcW w:w="556" w:type="pct"/>
            <w:gridSpan w:val="2"/>
            <w:tcBorders>
              <w:top w:val="nil"/>
              <w:left w:val="nil"/>
              <w:bottom w:val="nil"/>
              <w:right w:val="nil"/>
            </w:tcBorders>
            <w:shd w:val="clear" w:color="auto" w:fill="auto"/>
            <w:noWrap/>
            <w:vAlign w:val="bottom"/>
            <w:hideMark/>
          </w:tcPr>
          <w:p w14:paraId="4B4422BB" w14:textId="05E29C10"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2 660 340</w:t>
            </w:r>
          </w:p>
        </w:tc>
        <w:tc>
          <w:tcPr>
            <w:tcW w:w="603" w:type="pct"/>
            <w:tcBorders>
              <w:top w:val="nil"/>
              <w:left w:val="nil"/>
              <w:bottom w:val="nil"/>
              <w:right w:val="nil"/>
            </w:tcBorders>
            <w:shd w:val="clear" w:color="auto" w:fill="auto"/>
            <w:noWrap/>
            <w:vAlign w:val="bottom"/>
            <w:hideMark/>
          </w:tcPr>
          <w:p w14:paraId="0FF5397A" w14:textId="244F77AA" w:rsidR="000F0520" w:rsidRPr="00A85E10" w:rsidRDefault="000F0520" w:rsidP="007812A0">
            <w:pPr>
              <w:spacing w:after="0" w:line="240" w:lineRule="auto"/>
              <w:jc w:val="right"/>
              <w:rPr>
                <w:b/>
                <w:bCs/>
                <w:sz w:val="20"/>
                <w:szCs w:val="20"/>
                <w:lang w:eastAsia="sk-SK"/>
              </w:rPr>
            </w:pPr>
            <w:r w:rsidRPr="002A1EC7">
              <w:rPr>
                <w:b/>
                <w:bCs/>
                <w:sz w:val="20"/>
                <w:szCs w:val="20"/>
                <w:lang w:eastAsia="sk-SK"/>
              </w:rPr>
              <w:t xml:space="preserve">220 </w:t>
            </w:r>
            <w:r w:rsidR="007812A0">
              <w:rPr>
                <w:b/>
                <w:bCs/>
                <w:sz w:val="20"/>
                <w:szCs w:val="20"/>
                <w:lang w:eastAsia="sk-SK"/>
              </w:rPr>
              <w:t>632</w:t>
            </w:r>
          </w:p>
        </w:tc>
      </w:tr>
      <w:tr w:rsidR="000F0520" w:rsidRPr="00A85E10" w14:paraId="42A350F5"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28A66FC6"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Obce a ich rozpočtové organizácie</w:t>
            </w:r>
          </w:p>
        </w:tc>
        <w:tc>
          <w:tcPr>
            <w:tcW w:w="612" w:type="pct"/>
            <w:gridSpan w:val="3"/>
            <w:tcBorders>
              <w:top w:val="nil"/>
              <w:left w:val="nil"/>
              <w:bottom w:val="nil"/>
              <w:right w:val="nil"/>
            </w:tcBorders>
            <w:shd w:val="clear" w:color="auto" w:fill="auto"/>
            <w:noWrap/>
            <w:vAlign w:val="bottom"/>
            <w:hideMark/>
          </w:tcPr>
          <w:p w14:paraId="141ACBA9" w14:textId="033B073F" w:rsidR="000F0520" w:rsidRPr="00A85E10" w:rsidRDefault="000F0520" w:rsidP="000F0520">
            <w:pPr>
              <w:spacing w:after="0" w:line="240" w:lineRule="auto"/>
              <w:jc w:val="right"/>
              <w:rPr>
                <w:sz w:val="20"/>
                <w:szCs w:val="20"/>
                <w:lang w:eastAsia="sk-SK"/>
              </w:rPr>
            </w:pPr>
            <w:r w:rsidRPr="002A1EC7">
              <w:rPr>
                <w:sz w:val="20"/>
                <w:szCs w:val="20"/>
                <w:lang w:eastAsia="sk-SK"/>
              </w:rPr>
              <w:t>1 644 707</w:t>
            </w:r>
          </w:p>
        </w:tc>
        <w:tc>
          <w:tcPr>
            <w:tcW w:w="556" w:type="pct"/>
            <w:gridSpan w:val="2"/>
            <w:tcBorders>
              <w:top w:val="nil"/>
              <w:left w:val="nil"/>
              <w:bottom w:val="nil"/>
              <w:right w:val="nil"/>
            </w:tcBorders>
            <w:shd w:val="clear" w:color="auto" w:fill="auto"/>
            <w:noWrap/>
            <w:vAlign w:val="bottom"/>
            <w:hideMark/>
          </w:tcPr>
          <w:p w14:paraId="6303C5DE" w14:textId="13ECDE59" w:rsidR="000F0520" w:rsidRPr="00A85E10" w:rsidRDefault="000F0520" w:rsidP="000F0520">
            <w:pPr>
              <w:spacing w:after="0" w:line="240" w:lineRule="auto"/>
              <w:jc w:val="right"/>
              <w:rPr>
                <w:sz w:val="20"/>
                <w:szCs w:val="20"/>
                <w:lang w:eastAsia="sk-SK"/>
              </w:rPr>
            </w:pPr>
            <w:r w:rsidRPr="002A1EC7">
              <w:rPr>
                <w:sz w:val="20"/>
                <w:szCs w:val="20"/>
                <w:lang w:eastAsia="sk-SK"/>
              </w:rPr>
              <w:t>1 751 497</w:t>
            </w:r>
          </w:p>
        </w:tc>
        <w:tc>
          <w:tcPr>
            <w:tcW w:w="556" w:type="pct"/>
            <w:gridSpan w:val="2"/>
            <w:tcBorders>
              <w:top w:val="nil"/>
              <w:left w:val="nil"/>
              <w:bottom w:val="nil"/>
              <w:right w:val="nil"/>
            </w:tcBorders>
            <w:shd w:val="clear" w:color="auto" w:fill="auto"/>
            <w:noWrap/>
            <w:vAlign w:val="bottom"/>
            <w:hideMark/>
          </w:tcPr>
          <w:p w14:paraId="22CACDB0" w14:textId="7918FF69" w:rsidR="000F0520" w:rsidRPr="00A85E10" w:rsidRDefault="000F0520" w:rsidP="000F0520">
            <w:pPr>
              <w:spacing w:after="0" w:line="240" w:lineRule="auto"/>
              <w:jc w:val="right"/>
              <w:rPr>
                <w:sz w:val="20"/>
                <w:szCs w:val="20"/>
                <w:lang w:eastAsia="sk-SK"/>
              </w:rPr>
            </w:pPr>
            <w:r w:rsidRPr="002A1EC7">
              <w:rPr>
                <w:sz w:val="20"/>
                <w:szCs w:val="20"/>
                <w:lang w:eastAsia="sk-SK"/>
              </w:rPr>
              <w:t>1 833 794</w:t>
            </w:r>
          </w:p>
        </w:tc>
        <w:tc>
          <w:tcPr>
            <w:tcW w:w="603" w:type="pct"/>
            <w:tcBorders>
              <w:top w:val="nil"/>
              <w:left w:val="nil"/>
              <w:bottom w:val="nil"/>
              <w:right w:val="nil"/>
            </w:tcBorders>
            <w:shd w:val="clear" w:color="auto" w:fill="auto"/>
            <w:noWrap/>
            <w:vAlign w:val="bottom"/>
            <w:hideMark/>
          </w:tcPr>
          <w:p w14:paraId="59418BF6" w14:textId="7F6BC823" w:rsidR="000F0520" w:rsidRPr="00A85E10" w:rsidRDefault="000F0520" w:rsidP="000F0520">
            <w:pPr>
              <w:spacing w:after="0" w:line="240" w:lineRule="auto"/>
              <w:jc w:val="right"/>
              <w:rPr>
                <w:sz w:val="20"/>
                <w:szCs w:val="20"/>
                <w:lang w:eastAsia="sk-SK"/>
              </w:rPr>
            </w:pPr>
            <w:r w:rsidRPr="002A1EC7">
              <w:rPr>
                <w:sz w:val="20"/>
                <w:szCs w:val="20"/>
                <w:lang w:eastAsia="sk-SK"/>
              </w:rPr>
              <w:t>82 297</w:t>
            </w:r>
          </w:p>
        </w:tc>
      </w:tr>
      <w:tr w:rsidR="000F0520" w:rsidRPr="00A85E10" w14:paraId="53475A90"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0E6592C2"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Vyššie územné celky a ich rozpočtové organizácie</w:t>
            </w:r>
          </w:p>
        </w:tc>
        <w:tc>
          <w:tcPr>
            <w:tcW w:w="612" w:type="pct"/>
            <w:gridSpan w:val="3"/>
            <w:tcBorders>
              <w:top w:val="nil"/>
              <w:left w:val="nil"/>
              <w:bottom w:val="nil"/>
              <w:right w:val="nil"/>
            </w:tcBorders>
            <w:shd w:val="clear" w:color="auto" w:fill="auto"/>
            <w:noWrap/>
            <w:vAlign w:val="bottom"/>
            <w:hideMark/>
          </w:tcPr>
          <w:p w14:paraId="69BBE874" w14:textId="7BE23BF9" w:rsidR="000F0520" w:rsidRPr="00A85E10" w:rsidRDefault="000F0520" w:rsidP="000F0520">
            <w:pPr>
              <w:spacing w:after="0" w:line="240" w:lineRule="auto"/>
              <w:jc w:val="right"/>
              <w:rPr>
                <w:sz w:val="20"/>
                <w:szCs w:val="20"/>
                <w:lang w:eastAsia="sk-SK"/>
              </w:rPr>
            </w:pPr>
            <w:r w:rsidRPr="002A1EC7">
              <w:rPr>
                <w:sz w:val="20"/>
                <w:szCs w:val="20"/>
                <w:lang w:eastAsia="sk-SK"/>
              </w:rPr>
              <w:t>507 705</w:t>
            </w:r>
          </w:p>
        </w:tc>
        <w:tc>
          <w:tcPr>
            <w:tcW w:w="556" w:type="pct"/>
            <w:gridSpan w:val="2"/>
            <w:tcBorders>
              <w:top w:val="nil"/>
              <w:left w:val="nil"/>
              <w:bottom w:val="nil"/>
              <w:right w:val="nil"/>
            </w:tcBorders>
            <w:shd w:val="clear" w:color="auto" w:fill="auto"/>
            <w:noWrap/>
            <w:vAlign w:val="bottom"/>
            <w:hideMark/>
          </w:tcPr>
          <w:p w14:paraId="68D18B05" w14:textId="455C929E" w:rsidR="000F0520" w:rsidRPr="00A85E10" w:rsidRDefault="000F0520" w:rsidP="000F0520">
            <w:pPr>
              <w:spacing w:after="0" w:line="240" w:lineRule="auto"/>
              <w:jc w:val="right"/>
              <w:rPr>
                <w:sz w:val="20"/>
                <w:szCs w:val="20"/>
                <w:lang w:eastAsia="sk-SK"/>
              </w:rPr>
            </w:pPr>
            <w:r w:rsidRPr="002A1EC7">
              <w:rPr>
                <w:sz w:val="20"/>
                <w:szCs w:val="20"/>
                <w:lang w:eastAsia="sk-SK"/>
              </w:rPr>
              <w:t>565 287</w:t>
            </w:r>
          </w:p>
        </w:tc>
        <w:tc>
          <w:tcPr>
            <w:tcW w:w="556" w:type="pct"/>
            <w:gridSpan w:val="2"/>
            <w:tcBorders>
              <w:top w:val="nil"/>
              <w:left w:val="nil"/>
              <w:bottom w:val="nil"/>
              <w:right w:val="nil"/>
            </w:tcBorders>
            <w:shd w:val="clear" w:color="auto" w:fill="auto"/>
            <w:noWrap/>
            <w:vAlign w:val="bottom"/>
            <w:hideMark/>
          </w:tcPr>
          <w:p w14:paraId="49CF39B3" w14:textId="213C278C" w:rsidR="000F0520" w:rsidRPr="00A85E10" w:rsidRDefault="000F0520" w:rsidP="000F0520">
            <w:pPr>
              <w:spacing w:after="0" w:line="240" w:lineRule="auto"/>
              <w:jc w:val="right"/>
              <w:rPr>
                <w:sz w:val="20"/>
                <w:szCs w:val="20"/>
                <w:lang w:eastAsia="sk-SK"/>
              </w:rPr>
            </w:pPr>
            <w:r w:rsidRPr="002A1EC7">
              <w:rPr>
                <w:sz w:val="20"/>
                <w:szCs w:val="20"/>
                <w:lang w:eastAsia="sk-SK"/>
              </w:rPr>
              <w:t>701 518</w:t>
            </w:r>
          </w:p>
        </w:tc>
        <w:tc>
          <w:tcPr>
            <w:tcW w:w="603" w:type="pct"/>
            <w:tcBorders>
              <w:top w:val="nil"/>
              <w:left w:val="nil"/>
              <w:bottom w:val="nil"/>
              <w:right w:val="nil"/>
            </w:tcBorders>
            <w:shd w:val="clear" w:color="auto" w:fill="auto"/>
            <w:noWrap/>
            <w:vAlign w:val="bottom"/>
            <w:hideMark/>
          </w:tcPr>
          <w:p w14:paraId="2DE55DAC" w14:textId="1209D494" w:rsidR="000F0520" w:rsidRPr="00A85E10" w:rsidRDefault="000F0520" w:rsidP="000F0520">
            <w:pPr>
              <w:spacing w:after="0" w:line="240" w:lineRule="auto"/>
              <w:jc w:val="right"/>
              <w:rPr>
                <w:sz w:val="20"/>
                <w:szCs w:val="20"/>
                <w:lang w:eastAsia="sk-SK"/>
              </w:rPr>
            </w:pPr>
            <w:r w:rsidRPr="002A1EC7">
              <w:rPr>
                <w:sz w:val="20"/>
                <w:szCs w:val="20"/>
                <w:lang w:eastAsia="sk-SK"/>
              </w:rPr>
              <w:t>136 231</w:t>
            </w:r>
          </w:p>
        </w:tc>
      </w:tr>
      <w:tr w:rsidR="000F0520" w:rsidRPr="00A85E10" w14:paraId="7886E2EB"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736A204C"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Dopravné podniky</w:t>
            </w:r>
          </w:p>
        </w:tc>
        <w:tc>
          <w:tcPr>
            <w:tcW w:w="612" w:type="pct"/>
            <w:gridSpan w:val="3"/>
            <w:tcBorders>
              <w:top w:val="nil"/>
              <w:left w:val="nil"/>
              <w:bottom w:val="nil"/>
              <w:right w:val="nil"/>
            </w:tcBorders>
            <w:shd w:val="clear" w:color="auto" w:fill="auto"/>
            <w:noWrap/>
            <w:vAlign w:val="bottom"/>
            <w:hideMark/>
          </w:tcPr>
          <w:p w14:paraId="49660995" w14:textId="3CE75BBD" w:rsidR="000F0520" w:rsidRPr="00A85E10" w:rsidRDefault="000F0520" w:rsidP="000F0520">
            <w:pPr>
              <w:spacing w:after="0" w:line="240" w:lineRule="auto"/>
              <w:jc w:val="right"/>
              <w:rPr>
                <w:sz w:val="20"/>
                <w:szCs w:val="20"/>
                <w:lang w:eastAsia="sk-SK"/>
              </w:rPr>
            </w:pPr>
            <w:r w:rsidRPr="002A1EC7">
              <w:rPr>
                <w:sz w:val="20"/>
                <w:szCs w:val="20"/>
                <w:lang w:eastAsia="sk-SK"/>
              </w:rPr>
              <w:t>2 270</w:t>
            </w:r>
          </w:p>
        </w:tc>
        <w:tc>
          <w:tcPr>
            <w:tcW w:w="556" w:type="pct"/>
            <w:gridSpan w:val="2"/>
            <w:tcBorders>
              <w:top w:val="nil"/>
              <w:left w:val="nil"/>
              <w:bottom w:val="nil"/>
              <w:right w:val="nil"/>
            </w:tcBorders>
            <w:shd w:val="clear" w:color="auto" w:fill="auto"/>
            <w:noWrap/>
            <w:vAlign w:val="bottom"/>
            <w:hideMark/>
          </w:tcPr>
          <w:p w14:paraId="6A8A6A46" w14:textId="177E7130" w:rsidR="000F0520" w:rsidRPr="00A85E10" w:rsidRDefault="000F0520" w:rsidP="000F0520">
            <w:pPr>
              <w:spacing w:after="0" w:line="240" w:lineRule="auto"/>
              <w:jc w:val="right"/>
              <w:rPr>
                <w:sz w:val="20"/>
                <w:szCs w:val="20"/>
                <w:lang w:eastAsia="sk-SK"/>
              </w:rPr>
            </w:pPr>
            <w:r w:rsidRPr="002A1EC7">
              <w:rPr>
                <w:sz w:val="20"/>
                <w:szCs w:val="20"/>
                <w:lang w:eastAsia="sk-SK"/>
              </w:rPr>
              <w:t>1 722</w:t>
            </w:r>
          </w:p>
        </w:tc>
        <w:tc>
          <w:tcPr>
            <w:tcW w:w="556" w:type="pct"/>
            <w:gridSpan w:val="2"/>
            <w:tcBorders>
              <w:top w:val="nil"/>
              <w:left w:val="nil"/>
              <w:bottom w:val="nil"/>
              <w:right w:val="nil"/>
            </w:tcBorders>
            <w:shd w:val="clear" w:color="auto" w:fill="auto"/>
            <w:noWrap/>
            <w:vAlign w:val="bottom"/>
            <w:hideMark/>
          </w:tcPr>
          <w:p w14:paraId="5B1BF4C4" w14:textId="0156FFC7" w:rsidR="000F0520" w:rsidRPr="00A85E10" w:rsidRDefault="000F0520" w:rsidP="000F0520">
            <w:pPr>
              <w:spacing w:after="0" w:line="240" w:lineRule="auto"/>
              <w:jc w:val="right"/>
              <w:rPr>
                <w:sz w:val="20"/>
                <w:szCs w:val="20"/>
                <w:lang w:eastAsia="sk-SK"/>
              </w:rPr>
            </w:pPr>
            <w:r w:rsidRPr="002A1EC7">
              <w:rPr>
                <w:sz w:val="20"/>
                <w:szCs w:val="20"/>
                <w:lang w:eastAsia="sk-SK"/>
              </w:rPr>
              <w:t>2 849</w:t>
            </w:r>
          </w:p>
        </w:tc>
        <w:tc>
          <w:tcPr>
            <w:tcW w:w="603" w:type="pct"/>
            <w:tcBorders>
              <w:top w:val="nil"/>
              <w:left w:val="nil"/>
              <w:bottom w:val="nil"/>
              <w:right w:val="nil"/>
            </w:tcBorders>
            <w:shd w:val="clear" w:color="auto" w:fill="auto"/>
            <w:noWrap/>
            <w:vAlign w:val="bottom"/>
            <w:hideMark/>
          </w:tcPr>
          <w:p w14:paraId="5A89EE46" w14:textId="50A14E1C" w:rsidR="000F0520" w:rsidRPr="00A85E10" w:rsidRDefault="000F0520" w:rsidP="000F0520">
            <w:pPr>
              <w:spacing w:after="0" w:line="240" w:lineRule="auto"/>
              <w:jc w:val="right"/>
              <w:rPr>
                <w:sz w:val="20"/>
                <w:szCs w:val="20"/>
                <w:lang w:eastAsia="sk-SK"/>
              </w:rPr>
            </w:pPr>
            <w:r w:rsidRPr="002A1EC7">
              <w:rPr>
                <w:sz w:val="20"/>
                <w:szCs w:val="20"/>
                <w:lang w:eastAsia="sk-SK"/>
              </w:rPr>
              <w:t>1 127</w:t>
            </w:r>
          </w:p>
        </w:tc>
      </w:tr>
      <w:tr w:rsidR="000F0520" w:rsidRPr="00A85E10" w14:paraId="6E38BBEB"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69BC5C5C"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Príspevkové organizácie obcí</w:t>
            </w:r>
          </w:p>
        </w:tc>
        <w:tc>
          <w:tcPr>
            <w:tcW w:w="612" w:type="pct"/>
            <w:gridSpan w:val="3"/>
            <w:tcBorders>
              <w:top w:val="nil"/>
              <w:left w:val="nil"/>
              <w:bottom w:val="nil"/>
              <w:right w:val="nil"/>
            </w:tcBorders>
            <w:shd w:val="clear" w:color="auto" w:fill="auto"/>
            <w:noWrap/>
            <w:vAlign w:val="bottom"/>
            <w:hideMark/>
          </w:tcPr>
          <w:p w14:paraId="7A303386" w14:textId="12F30D51" w:rsidR="000F0520" w:rsidRPr="00A85E10" w:rsidRDefault="000F0520" w:rsidP="000F0520">
            <w:pPr>
              <w:spacing w:after="0" w:line="240" w:lineRule="auto"/>
              <w:jc w:val="right"/>
              <w:rPr>
                <w:sz w:val="20"/>
                <w:szCs w:val="20"/>
                <w:lang w:eastAsia="sk-SK"/>
              </w:rPr>
            </w:pPr>
            <w:r w:rsidRPr="002A1EC7">
              <w:rPr>
                <w:sz w:val="20"/>
                <w:szCs w:val="20"/>
                <w:lang w:eastAsia="sk-SK"/>
              </w:rPr>
              <w:t>1 009</w:t>
            </w:r>
          </w:p>
        </w:tc>
        <w:tc>
          <w:tcPr>
            <w:tcW w:w="556" w:type="pct"/>
            <w:gridSpan w:val="2"/>
            <w:tcBorders>
              <w:top w:val="nil"/>
              <w:left w:val="nil"/>
              <w:bottom w:val="nil"/>
              <w:right w:val="nil"/>
            </w:tcBorders>
            <w:shd w:val="clear" w:color="auto" w:fill="auto"/>
            <w:noWrap/>
            <w:vAlign w:val="bottom"/>
            <w:hideMark/>
          </w:tcPr>
          <w:p w14:paraId="2635906B" w14:textId="278FA0C8" w:rsidR="000F0520" w:rsidRPr="00A85E10" w:rsidRDefault="000F0520" w:rsidP="000F0520">
            <w:pPr>
              <w:spacing w:after="0" w:line="240" w:lineRule="auto"/>
              <w:jc w:val="right"/>
              <w:rPr>
                <w:sz w:val="20"/>
                <w:szCs w:val="20"/>
                <w:lang w:eastAsia="sk-SK"/>
              </w:rPr>
            </w:pPr>
            <w:r w:rsidRPr="002A1EC7">
              <w:rPr>
                <w:sz w:val="20"/>
                <w:szCs w:val="20"/>
                <w:lang w:eastAsia="sk-SK"/>
              </w:rPr>
              <w:t>1 246</w:t>
            </w:r>
          </w:p>
        </w:tc>
        <w:tc>
          <w:tcPr>
            <w:tcW w:w="556" w:type="pct"/>
            <w:gridSpan w:val="2"/>
            <w:tcBorders>
              <w:top w:val="nil"/>
              <w:left w:val="nil"/>
              <w:bottom w:val="nil"/>
              <w:right w:val="nil"/>
            </w:tcBorders>
            <w:shd w:val="clear" w:color="auto" w:fill="auto"/>
            <w:noWrap/>
            <w:vAlign w:val="bottom"/>
            <w:hideMark/>
          </w:tcPr>
          <w:p w14:paraId="6FF232B5" w14:textId="4AC7E5F3" w:rsidR="000F0520" w:rsidRPr="00A85E10" w:rsidRDefault="000F0520" w:rsidP="000F0520">
            <w:pPr>
              <w:spacing w:after="0" w:line="240" w:lineRule="auto"/>
              <w:jc w:val="right"/>
              <w:rPr>
                <w:sz w:val="20"/>
                <w:szCs w:val="20"/>
                <w:lang w:eastAsia="sk-SK"/>
              </w:rPr>
            </w:pPr>
            <w:r w:rsidRPr="002A1EC7">
              <w:rPr>
                <w:sz w:val="20"/>
                <w:szCs w:val="20"/>
                <w:lang w:eastAsia="sk-SK"/>
              </w:rPr>
              <w:t>1 345</w:t>
            </w:r>
          </w:p>
        </w:tc>
        <w:tc>
          <w:tcPr>
            <w:tcW w:w="603" w:type="pct"/>
            <w:tcBorders>
              <w:top w:val="nil"/>
              <w:left w:val="nil"/>
              <w:bottom w:val="nil"/>
              <w:right w:val="nil"/>
            </w:tcBorders>
            <w:shd w:val="clear" w:color="auto" w:fill="auto"/>
            <w:noWrap/>
            <w:vAlign w:val="bottom"/>
            <w:hideMark/>
          </w:tcPr>
          <w:p w14:paraId="399041CA" w14:textId="74127A8C" w:rsidR="000F0520" w:rsidRPr="00A85E10" w:rsidRDefault="000F0520" w:rsidP="000F0520">
            <w:pPr>
              <w:spacing w:after="0" w:line="240" w:lineRule="auto"/>
              <w:jc w:val="right"/>
              <w:rPr>
                <w:sz w:val="20"/>
                <w:szCs w:val="20"/>
                <w:lang w:eastAsia="sk-SK"/>
              </w:rPr>
            </w:pPr>
            <w:r w:rsidRPr="002A1EC7">
              <w:rPr>
                <w:sz w:val="20"/>
                <w:szCs w:val="20"/>
                <w:lang w:eastAsia="sk-SK"/>
              </w:rPr>
              <w:t>99</w:t>
            </w:r>
          </w:p>
        </w:tc>
      </w:tr>
      <w:tr w:rsidR="000F0520" w:rsidRPr="00A85E10" w14:paraId="5ED767EE"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118E28E6"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lastRenderedPageBreak/>
              <w:t>Príspevkové organizácie VÚC</w:t>
            </w:r>
          </w:p>
        </w:tc>
        <w:tc>
          <w:tcPr>
            <w:tcW w:w="612" w:type="pct"/>
            <w:gridSpan w:val="3"/>
            <w:tcBorders>
              <w:top w:val="nil"/>
              <w:left w:val="nil"/>
              <w:bottom w:val="nil"/>
              <w:right w:val="nil"/>
            </w:tcBorders>
            <w:shd w:val="clear" w:color="auto" w:fill="auto"/>
            <w:noWrap/>
            <w:vAlign w:val="bottom"/>
            <w:hideMark/>
          </w:tcPr>
          <w:p w14:paraId="15C3C338" w14:textId="4D79B95A" w:rsidR="000F0520" w:rsidRPr="00A85E10" w:rsidRDefault="000F0520" w:rsidP="000F0520">
            <w:pPr>
              <w:spacing w:after="0" w:line="240" w:lineRule="auto"/>
              <w:jc w:val="right"/>
              <w:rPr>
                <w:sz w:val="20"/>
                <w:szCs w:val="20"/>
                <w:lang w:eastAsia="sk-SK"/>
              </w:rPr>
            </w:pPr>
            <w:r w:rsidRPr="002A1EC7">
              <w:rPr>
                <w:sz w:val="20"/>
                <w:szCs w:val="20"/>
                <w:lang w:eastAsia="sk-SK"/>
              </w:rPr>
              <w:t>65 327</w:t>
            </w:r>
          </w:p>
        </w:tc>
        <w:tc>
          <w:tcPr>
            <w:tcW w:w="556" w:type="pct"/>
            <w:gridSpan w:val="2"/>
            <w:tcBorders>
              <w:top w:val="nil"/>
              <w:left w:val="nil"/>
              <w:bottom w:val="nil"/>
              <w:right w:val="nil"/>
            </w:tcBorders>
            <w:shd w:val="clear" w:color="auto" w:fill="auto"/>
            <w:noWrap/>
            <w:vAlign w:val="bottom"/>
            <w:hideMark/>
          </w:tcPr>
          <w:p w14:paraId="1224EFA6" w14:textId="18585905" w:rsidR="000F0520" w:rsidRPr="00A85E10" w:rsidRDefault="000F0520" w:rsidP="000F0520">
            <w:pPr>
              <w:spacing w:after="0" w:line="240" w:lineRule="auto"/>
              <w:jc w:val="right"/>
              <w:rPr>
                <w:sz w:val="20"/>
                <w:szCs w:val="20"/>
                <w:lang w:eastAsia="sk-SK"/>
              </w:rPr>
            </w:pPr>
            <w:r w:rsidRPr="002A1EC7">
              <w:rPr>
                <w:sz w:val="20"/>
                <w:szCs w:val="20"/>
                <w:lang w:eastAsia="sk-SK"/>
              </w:rPr>
              <w:t>106 800</w:t>
            </w:r>
          </w:p>
        </w:tc>
        <w:tc>
          <w:tcPr>
            <w:tcW w:w="556" w:type="pct"/>
            <w:gridSpan w:val="2"/>
            <w:tcBorders>
              <w:top w:val="nil"/>
              <w:left w:val="nil"/>
              <w:bottom w:val="nil"/>
              <w:right w:val="nil"/>
            </w:tcBorders>
            <w:shd w:val="clear" w:color="auto" w:fill="auto"/>
            <w:noWrap/>
            <w:vAlign w:val="bottom"/>
            <w:hideMark/>
          </w:tcPr>
          <w:p w14:paraId="2E0A5E8A" w14:textId="2B761E8D" w:rsidR="000F0520" w:rsidRPr="00A85E10" w:rsidRDefault="000F0520" w:rsidP="000F0520">
            <w:pPr>
              <w:spacing w:after="0" w:line="240" w:lineRule="auto"/>
              <w:jc w:val="right"/>
              <w:rPr>
                <w:sz w:val="20"/>
                <w:szCs w:val="20"/>
                <w:lang w:eastAsia="sk-SK"/>
              </w:rPr>
            </w:pPr>
            <w:r w:rsidRPr="002A1EC7">
              <w:rPr>
                <w:sz w:val="20"/>
                <w:szCs w:val="20"/>
                <w:lang w:eastAsia="sk-SK"/>
              </w:rPr>
              <w:t>97 120</w:t>
            </w:r>
          </w:p>
        </w:tc>
        <w:tc>
          <w:tcPr>
            <w:tcW w:w="603" w:type="pct"/>
            <w:tcBorders>
              <w:top w:val="nil"/>
              <w:left w:val="nil"/>
              <w:bottom w:val="nil"/>
              <w:right w:val="nil"/>
            </w:tcBorders>
            <w:shd w:val="clear" w:color="auto" w:fill="auto"/>
            <w:noWrap/>
            <w:vAlign w:val="bottom"/>
            <w:hideMark/>
          </w:tcPr>
          <w:p w14:paraId="5ED9A68D" w14:textId="33AD411A" w:rsidR="000F0520" w:rsidRPr="00A85E10" w:rsidRDefault="000F0520" w:rsidP="000F0520">
            <w:pPr>
              <w:spacing w:after="0" w:line="240" w:lineRule="auto"/>
              <w:jc w:val="right"/>
              <w:rPr>
                <w:sz w:val="20"/>
                <w:szCs w:val="20"/>
                <w:lang w:eastAsia="sk-SK"/>
              </w:rPr>
            </w:pPr>
            <w:r w:rsidRPr="002A1EC7">
              <w:rPr>
                <w:sz w:val="20"/>
                <w:szCs w:val="20"/>
                <w:lang w:eastAsia="sk-SK"/>
              </w:rPr>
              <w:t>-9 680</w:t>
            </w:r>
          </w:p>
        </w:tc>
      </w:tr>
      <w:tr w:rsidR="000F0520" w:rsidRPr="00A85E10" w14:paraId="24EB6A73"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08BB0735"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Zdravotnícke zariadenia miestnej samosprávy</w:t>
            </w:r>
          </w:p>
        </w:tc>
        <w:tc>
          <w:tcPr>
            <w:tcW w:w="612" w:type="pct"/>
            <w:gridSpan w:val="3"/>
            <w:tcBorders>
              <w:top w:val="nil"/>
              <w:left w:val="nil"/>
              <w:bottom w:val="nil"/>
              <w:right w:val="nil"/>
            </w:tcBorders>
            <w:shd w:val="clear" w:color="auto" w:fill="auto"/>
            <w:noWrap/>
            <w:vAlign w:val="bottom"/>
            <w:hideMark/>
          </w:tcPr>
          <w:p w14:paraId="0A102565" w14:textId="67D6EAD4" w:rsidR="000F0520" w:rsidRPr="00A85E10" w:rsidRDefault="000F0520" w:rsidP="000F0520">
            <w:pPr>
              <w:spacing w:after="0" w:line="240" w:lineRule="auto"/>
              <w:jc w:val="right"/>
              <w:rPr>
                <w:sz w:val="20"/>
                <w:szCs w:val="20"/>
                <w:lang w:eastAsia="sk-SK"/>
              </w:rPr>
            </w:pPr>
            <w:r w:rsidRPr="002A1EC7">
              <w:rPr>
                <w:sz w:val="20"/>
                <w:szCs w:val="20"/>
                <w:lang w:eastAsia="sk-SK"/>
              </w:rPr>
              <w:t>3 321</w:t>
            </w:r>
          </w:p>
        </w:tc>
        <w:tc>
          <w:tcPr>
            <w:tcW w:w="556" w:type="pct"/>
            <w:gridSpan w:val="2"/>
            <w:tcBorders>
              <w:top w:val="nil"/>
              <w:left w:val="nil"/>
              <w:bottom w:val="nil"/>
              <w:right w:val="nil"/>
            </w:tcBorders>
            <w:shd w:val="clear" w:color="auto" w:fill="auto"/>
            <w:noWrap/>
            <w:vAlign w:val="bottom"/>
            <w:hideMark/>
          </w:tcPr>
          <w:p w14:paraId="28773C74" w14:textId="6376364C" w:rsidR="000F0520" w:rsidRPr="00A85E10" w:rsidRDefault="000F0520" w:rsidP="000F0520">
            <w:pPr>
              <w:spacing w:after="0" w:line="240" w:lineRule="auto"/>
              <w:jc w:val="right"/>
              <w:rPr>
                <w:sz w:val="20"/>
                <w:szCs w:val="20"/>
                <w:lang w:eastAsia="sk-SK"/>
              </w:rPr>
            </w:pPr>
            <w:r w:rsidRPr="002A1EC7">
              <w:rPr>
                <w:sz w:val="20"/>
                <w:szCs w:val="20"/>
                <w:lang w:eastAsia="sk-SK"/>
              </w:rPr>
              <w:t>3 362</w:t>
            </w:r>
          </w:p>
        </w:tc>
        <w:tc>
          <w:tcPr>
            <w:tcW w:w="556" w:type="pct"/>
            <w:gridSpan w:val="2"/>
            <w:tcBorders>
              <w:top w:val="nil"/>
              <w:left w:val="nil"/>
              <w:bottom w:val="nil"/>
              <w:right w:val="nil"/>
            </w:tcBorders>
            <w:shd w:val="clear" w:color="auto" w:fill="auto"/>
            <w:noWrap/>
            <w:vAlign w:val="bottom"/>
            <w:hideMark/>
          </w:tcPr>
          <w:p w14:paraId="015700CA" w14:textId="3512CC28" w:rsidR="000F0520" w:rsidRPr="00A85E10" w:rsidRDefault="000F0520" w:rsidP="000F0520">
            <w:pPr>
              <w:spacing w:after="0" w:line="240" w:lineRule="auto"/>
              <w:jc w:val="right"/>
              <w:rPr>
                <w:sz w:val="20"/>
                <w:szCs w:val="20"/>
                <w:lang w:eastAsia="sk-SK"/>
              </w:rPr>
            </w:pPr>
            <w:r w:rsidRPr="002A1EC7">
              <w:rPr>
                <w:sz w:val="20"/>
                <w:szCs w:val="20"/>
                <w:lang w:eastAsia="sk-SK"/>
              </w:rPr>
              <w:t>3 147</w:t>
            </w:r>
          </w:p>
        </w:tc>
        <w:tc>
          <w:tcPr>
            <w:tcW w:w="603" w:type="pct"/>
            <w:tcBorders>
              <w:top w:val="nil"/>
              <w:left w:val="nil"/>
              <w:bottom w:val="nil"/>
              <w:right w:val="nil"/>
            </w:tcBorders>
            <w:shd w:val="clear" w:color="auto" w:fill="auto"/>
            <w:noWrap/>
            <w:vAlign w:val="bottom"/>
            <w:hideMark/>
          </w:tcPr>
          <w:p w14:paraId="01C60646" w14:textId="7A3CD664" w:rsidR="000F0520" w:rsidRPr="00A85E10" w:rsidRDefault="000F0520" w:rsidP="000F0520">
            <w:pPr>
              <w:spacing w:after="0" w:line="240" w:lineRule="auto"/>
              <w:jc w:val="right"/>
              <w:rPr>
                <w:sz w:val="20"/>
                <w:szCs w:val="20"/>
                <w:lang w:eastAsia="sk-SK"/>
              </w:rPr>
            </w:pPr>
            <w:r w:rsidRPr="002A1EC7">
              <w:rPr>
                <w:sz w:val="20"/>
                <w:szCs w:val="20"/>
                <w:lang w:eastAsia="sk-SK"/>
              </w:rPr>
              <w:t>-215</w:t>
            </w:r>
          </w:p>
        </w:tc>
      </w:tr>
      <w:tr w:rsidR="000F0520" w:rsidRPr="00A85E10" w14:paraId="750464A5"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765F7388"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Ostatné subjekty miestnej samosprávy</w:t>
            </w:r>
          </w:p>
        </w:tc>
        <w:tc>
          <w:tcPr>
            <w:tcW w:w="612" w:type="pct"/>
            <w:gridSpan w:val="3"/>
            <w:tcBorders>
              <w:top w:val="nil"/>
              <w:left w:val="nil"/>
              <w:bottom w:val="nil"/>
              <w:right w:val="nil"/>
            </w:tcBorders>
            <w:shd w:val="clear" w:color="auto" w:fill="auto"/>
            <w:noWrap/>
            <w:vAlign w:val="bottom"/>
            <w:hideMark/>
          </w:tcPr>
          <w:p w14:paraId="46E03156" w14:textId="2B68F3A9" w:rsidR="000F0520" w:rsidRPr="00A85E10" w:rsidRDefault="000F0520" w:rsidP="00F462DC">
            <w:pPr>
              <w:spacing w:after="0" w:line="240" w:lineRule="auto"/>
              <w:jc w:val="right"/>
              <w:rPr>
                <w:sz w:val="20"/>
                <w:szCs w:val="20"/>
                <w:lang w:eastAsia="sk-SK"/>
              </w:rPr>
            </w:pPr>
            <w:r w:rsidRPr="002A1EC7">
              <w:rPr>
                <w:sz w:val="20"/>
                <w:szCs w:val="20"/>
                <w:lang w:eastAsia="sk-SK"/>
              </w:rPr>
              <w:t xml:space="preserve">6 </w:t>
            </w:r>
            <w:r w:rsidR="00F462DC">
              <w:rPr>
                <w:sz w:val="20"/>
                <w:szCs w:val="20"/>
                <w:lang w:eastAsia="sk-SK"/>
              </w:rPr>
              <w:t>183</w:t>
            </w:r>
          </w:p>
        </w:tc>
        <w:tc>
          <w:tcPr>
            <w:tcW w:w="556" w:type="pct"/>
            <w:gridSpan w:val="2"/>
            <w:tcBorders>
              <w:top w:val="nil"/>
              <w:left w:val="nil"/>
              <w:bottom w:val="nil"/>
              <w:right w:val="nil"/>
            </w:tcBorders>
            <w:shd w:val="clear" w:color="auto" w:fill="auto"/>
            <w:noWrap/>
            <w:vAlign w:val="bottom"/>
            <w:hideMark/>
          </w:tcPr>
          <w:p w14:paraId="21D19B51" w14:textId="542E456B" w:rsidR="000F0520" w:rsidRPr="00A85E10" w:rsidRDefault="000F0520" w:rsidP="00F462DC">
            <w:pPr>
              <w:spacing w:after="0" w:line="240" w:lineRule="auto"/>
              <w:jc w:val="right"/>
              <w:rPr>
                <w:sz w:val="20"/>
                <w:szCs w:val="20"/>
                <w:lang w:eastAsia="sk-SK"/>
              </w:rPr>
            </w:pPr>
            <w:r w:rsidRPr="002A1EC7">
              <w:rPr>
                <w:sz w:val="20"/>
                <w:szCs w:val="20"/>
                <w:lang w:eastAsia="sk-SK"/>
              </w:rPr>
              <w:t xml:space="preserve">9 </w:t>
            </w:r>
            <w:r w:rsidR="00F462DC">
              <w:rPr>
                <w:sz w:val="20"/>
                <w:szCs w:val="20"/>
                <w:lang w:eastAsia="sk-SK"/>
              </w:rPr>
              <w:t>794</w:t>
            </w:r>
          </w:p>
        </w:tc>
        <w:tc>
          <w:tcPr>
            <w:tcW w:w="556" w:type="pct"/>
            <w:gridSpan w:val="2"/>
            <w:tcBorders>
              <w:top w:val="nil"/>
              <w:left w:val="nil"/>
              <w:bottom w:val="nil"/>
              <w:right w:val="nil"/>
            </w:tcBorders>
            <w:shd w:val="clear" w:color="auto" w:fill="auto"/>
            <w:noWrap/>
            <w:vAlign w:val="bottom"/>
            <w:hideMark/>
          </w:tcPr>
          <w:p w14:paraId="01403B8F" w14:textId="602F3F19" w:rsidR="000F0520" w:rsidRPr="00A85E10" w:rsidRDefault="000F0520" w:rsidP="000F0520">
            <w:pPr>
              <w:spacing w:after="0" w:line="240" w:lineRule="auto"/>
              <w:jc w:val="right"/>
              <w:rPr>
                <w:sz w:val="20"/>
                <w:szCs w:val="20"/>
                <w:lang w:eastAsia="sk-SK"/>
              </w:rPr>
            </w:pPr>
            <w:r w:rsidRPr="002A1EC7">
              <w:rPr>
                <w:sz w:val="20"/>
                <w:szCs w:val="20"/>
                <w:lang w:eastAsia="sk-SK"/>
              </w:rPr>
              <w:t>20 567</w:t>
            </w:r>
          </w:p>
        </w:tc>
        <w:tc>
          <w:tcPr>
            <w:tcW w:w="603" w:type="pct"/>
            <w:tcBorders>
              <w:top w:val="nil"/>
              <w:left w:val="nil"/>
              <w:bottom w:val="nil"/>
              <w:right w:val="nil"/>
            </w:tcBorders>
            <w:shd w:val="clear" w:color="auto" w:fill="auto"/>
            <w:noWrap/>
            <w:vAlign w:val="bottom"/>
            <w:hideMark/>
          </w:tcPr>
          <w:p w14:paraId="18399B38" w14:textId="7321CB13" w:rsidR="000F0520" w:rsidRPr="00A85E10" w:rsidRDefault="000F0520" w:rsidP="00F462DC">
            <w:pPr>
              <w:spacing w:after="0" w:line="240" w:lineRule="auto"/>
              <w:jc w:val="right"/>
              <w:rPr>
                <w:sz w:val="20"/>
                <w:szCs w:val="20"/>
                <w:lang w:eastAsia="sk-SK"/>
              </w:rPr>
            </w:pPr>
            <w:r w:rsidRPr="002A1EC7">
              <w:rPr>
                <w:sz w:val="20"/>
                <w:szCs w:val="20"/>
                <w:lang w:eastAsia="sk-SK"/>
              </w:rPr>
              <w:t xml:space="preserve">10 </w:t>
            </w:r>
            <w:r w:rsidR="00F462DC">
              <w:rPr>
                <w:sz w:val="20"/>
                <w:szCs w:val="20"/>
                <w:lang w:eastAsia="sk-SK"/>
              </w:rPr>
              <w:t>773</w:t>
            </w:r>
          </w:p>
        </w:tc>
      </w:tr>
      <w:tr w:rsidR="000F0520" w:rsidRPr="00A85E10" w14:paraId="71CE4F77"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44960737" w14:textId="77777777" w:rsidR="000F0520" w:rsidRPr="00A85E10" w:rsidRDefault="000F0520" w:rsidP="000F0520">
            <w:pPr>
              <w:spacing w:after="0" w:line="240" w:lineRule="auto"/>
              <w:rPr>
                <w:b/>
                <w:bCs/>
                <w:sz w:val="20"/>
                <w:szCs w:val="20"/>
                <w:lang w:eastAsia="sk-SK"/>
              </w:rPr>
            </w:pPr>
            <w:r w:rsidRPr="00A85E10">
              <w:rPr>
                <w:b/>
                <w:bCs/>
                <w:sz w:val="20"/>
                <w:szCs w:val="20"/>
                <w:lang w:eastAsia="sk-SK"/>
              </w:rPr>
              <w:t>Fondy sociálneho zabezpečenia</w:t>
            </w:r>
          </w:p>
        </w:tc>
        <w:tc>
          <w:tcPr>
            <w:tcW w:w="612" w:type="pct"/>
            <w:gridSpan w:val="3"/>
            <w:tcBorders>
              <w:top w:val="nil"/>
              <w:left w:val="nil"/>
              <w:bottom w:val="nil"/>
              <w:right w:val="nil"/>
            </w:tcBorders>
            <w:shd w:val="clear" w:color="auto" w:fill="auto"/>
            <w:noWrap/>
            <w:vAlign w:val="bottom"/>
            <w:hideMark/>
          </w:tcPr>
          <w:p w14:paraId="4A9F8F30" w14:textId="32505445"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1 012</w:t>
            </w:r>
          </w:p>
        </w:tc>
        <w:tc>
          <w:tcPr>
            <w:tcW w:w="556" w:type="pct"/>
            <w:gridSpan w:val="2"/>
            <w:tcBorders>
              <w:top w:val="nil"/>
              <w:left w:val="nil"/>
              <w:bottom w:val="nil"/>
              <w:right w:val="nil"/>
            </w:tcBorders>
            <w:shd w:val="clear" w:color="auto" w:fill="auto"/>
            <w:noWrap/>
            <w:vAlign w:val="bottom"/>
            <w:hideMark/>
          </w:tcPr>
          <w:p w14:paraId="664505D8" w14:textId="5BC9DCDF"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931</w:t>
            </w:r>
          </w:p>
        </w:tc>
        <w:tc>
          <w:tcPr>
            <w:tcW w:w="556" w:type="pct"/>
            <w:gridSpan w:val="2"/>
            <w:tcBorders>
              <w:top w:val="nil"/>
              <w:left w:val="nil"/>
              <w:bottom w:val="nil"/>
              <w:right w:val="nil"/>
            </w:tcBorders>
            <w:shd w:val="clear" w:color="auto" w:fill="auto"/>
            <w:noWrap/>
            <w:vAlign w:val="bottom"/>
            <w:hideMark/>
          </w:tcPr>
          <w:p w14:paraId="00FE0E68" w14:textId="15F26D63"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546</w:t>
            </w:r>
          </w:p>
        </w:tc>
        <w:tc>
          <w:tcPr>
            <w:tcW w:w="603" w:type="pct"/>
            <w:tcBorders>
              <w:top w:val="nil"/>
              <w:left w:val="nil"/>
              <w:bottom w:val="nil"/>
              <w:right w:val="nil"/>
            </w:tcBorders>
            <w:shd w:val="clear" w:color="auto" w:fill="auto"/>
            <w:noWrap/>
            <w:vAlign w:val="bottom"/>
            <w:hideMark/>
          </w:tcPr>
          <w:p w14:paraId="2D7B6494" w14:textId="15AC3F0D"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-385</w:t>
            </w:r>
          </w:p>
        </w:tc>
      </w:tr>
      <w:tr w:rsidR="000F0520" w:rsidRPr="00A85E10" w14:paraId="186EDB30"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12CB7B70"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Sociálna poisťovňa</w:t>
            </w:r>
          </w:p>
        </w:tc>
        <w:tc>
          <w:tcPr>
            <w:tcW w:w="612" w:type="pct"/>
            <w:gridSpan w:val="3"/>
            <w:tcBorders>
              <w:top w:val="nil"/>
              <w:left w:val="nil"/>
              <w:bottom w:val="nil"/>
              <w:right w:val="nil"/>
            </w:tcBorders>
            <w:shd w:val="clear" w:color="auto" w:fill="auto"/>
            <w:noWrap/>
            <w:vAlign w:val="bottom"/>
            <w:hideMark/>
          </w:tcPr>
          <w:p w14:paraId="234B2279" w14:textId="302CF153" w:rsidR="000F0520" w:rsidRPr="00A85E10" w:rsidRDefault="000F0520" w:rsidP="000F0520">
            <w:pPr>
              <w:spacing w:after="0" w:line="240" w:lineRule="auto"/>
              <w:jc w:val="right"/>
              <w:rPr>
                <w:sz w:val="20"/>
                <w:szCs w:val="20"/>
                <w:lang w:eastAsia="sk-SK"/>
              </w:rPr>
            </w:pPr>
            <w:r w:rsidRPr="002A1EC7">
              <w:rPr>
                <w:sz w:val="20"/>
                <w:szCs w:val="20"/>
                <w:lang w:eastAsia="sk-SK"/>
              </w:rPr>
              <w:t>790</w:t>
            </w:r>
          </w:p>
        </w:tc>
        <w:tc>
          <w:tcPr>
            <w:tcW w:w="556" w:type="pct"/>
            <w:gridSpan w:val="2"/>
            <w:tcBorders>
              <w:top w:val="nil"/>
              <w:left w:val="nil"/>
              <w:bottom w:val="nil"/>
              <w:right w:val="nil"/>
            </w:tcBorders>
            <w:shd w:val="clear" w:color="auto" w:fill="auto"/>
            <w:noWrap/>
            <w:vAlign w:val="bottom"/>
            <w:hideMark/>
          </w:tcPr>
          <w:p w14:paraId="14764AEF" w14:textId="055D3537" w:rsidR="000F0520" w:rsidRPr="00A85E10" w:rsidRDefault="000F0520" w:rsidP="000F0520">
            <w:pPr>
              <w:spacing w:after="0" w:line="240" w:lineRule="auto"/>
              <w:jc w:val="right"/>
              <w:rPr>
                <w:sz w:val="20"/>
                <w:szCs w:val="20"/>
                <w:lang w:eastAsia="sk-SK"/>
              </w:rPr>
            </w:pPr>
            <w:r w:rsidRPr="002A1EC7">
              <w:rPr>
                <w:sz w:val="20"/>
                <w:szCs w:val="20"/>
                <w:lang w:eastAsia="sk-SK"/>
              </w:rPr>
              <w:t>586</w:t>
            </w:r>
          </w:p>
        </w:tc>
        <w:tc>
          <w:tcPr>
            <w:tcW w:w="556" w:type="pct"/>
            <w:gridSpan w:val="2"/>
            <w:tcBorders>
              <w:top w:val="nil"/>
              <w:left w:val="nil"/>
              <w:bottom w:val="nil"/>
              <w:right w:val="nil"/>
            </w:tcBorders>
            <w:shd w:val="clear" w:color="auto" w:fill="auto"/>
            <w:noWrap/>
            <w:vAlign w:val="bottom"/>
            <w:hideMark/>
          </w:tcPr>
          <w:p w14:paraId="19257789" w14:textId="1F39DF65" w:rsidR="000F0520" w:rsidRPr="00A85E10" w:rsidRDefault="000F0520" w:rsidP="000F0520">
            <w:pPr>
              <w:spacing w:after="0" w:line="240" w:lineRule="auto"/>
              <w:jc w:val="right"/>
              <w:rPr>
                <w:sz w:val="20"/>
                <w:szCs w:val="20"/>
                <w:lang w:eastAsia="sk-SK"/>
              </w:rPr>
            </w:pPr>
            <w:r w:rsidRPr="002A1EC7">
              <w:rPr>
                <w:sz w:val="20"/>
                <w:szCs w:val="20"/>
                <w:lang w:eastAsia="sk-SK"/>
              </w:rPr>
              <w:t>466</w:t>
            </w:r>
          </w:p>
        </w:tc>
        <w:tc>
          <w:tcPr>
            <w:tcW w:w="603" w:type="pct"/>
            <w:tcBorders>
              <w:top w:val="nil"/>
              <w:left w:val="nil"/>
              <w:bottom w:val="nil"/>
              <w:right w:val="nil"/>
            </w:tcBorders>
            <w:shd w:val="clear" w:color="auto" w:fill="auto"/>
            <w:noWrap/>
            <w:vAlign w:val="bottom"/>
            <w:hideMark/>
          </w:tcPr>
          <w:p w14:paraId="4D678BE6" w14:textId="351B3763" w:rsidR="000F0520" w:rsidRPr="00A85E10" w:rsidRDefault="000F0520" w:rsidP="000F0520">
            <w:pPr>
              <w:spacing w:after="0" w:line="240" w:lineRule="auto"/>
              <w:jc w:val="right"/>
              <w:rPr>
                <w:sz w:val="20"/>
                <w:szCs w:val="20"/>
                <w:lang w:eastAsia="sk-SK"/>
              </w:rPr>
            </w:pPr>
            <w:r w:rsidRPr="002A1EC7">
              <w:rPr>
                <w:sz w:val="20"/>
                <w:szCs w:val="20"/>
                <w:lang w:eastAsia="sk-SK"/>
              </w:rPr>
              <w:t>-120</w:t>
            </w:r>
          </w:p>
        </w:tc>
      </w:tr>
      <w:tr w:rsidR="000F0520" w:rsidRPr="00A85E10" w14:paraId="1768D88E"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6FDB71BD" w14:textId="77777777" w:rsidR="000F0520" w:rsidRPr="00A85E10" w:rsidRDefault="000F0520" w:rsidP="000F0520">
            <w:pPr>
              <w:spacing w:after="0" w:line="240" w:lineRule="auto"/>
              <w:ind w:firstLineChars="200" w:firstLine="400"/>
              <w:rPr>
                <w:sz w:val="20"/>
                <w:szCs w:val="20"/>
                <w:lang w:eastAsia="sk-SK"/>
              </w:rPr>
            </w:pPr>
            <w:r w:rsidRPr="00A85E10">
              <w:rPr>
                <w:sz w:val="20"/>
                <w:szCs w:val="20"/>
                <w:lang w:eastAsia="sk-SK"/>
              </w:rPr>
              <w:t>Verejné zdravotné poistenie</w:t>
            </w:r>
          </w:p>
        </w:tc>
        <w:tc>
          <w:tcPr>
            <w:tcW w:w="612" w:type="pct"/>
            <w:gridSpan w:val="3"/>
            <w:tcBorders>
              <w:top w:val="nil"/>
              <w:left w:val="nil"/>
              <w:bottom w:val="nil"/>
              <w:right w:val="nil"/>
            </w:tcBorders>
            <w:shd w:val="clear" w:color="auto" w:fill="auto"/>
            <w:noWrap/>
            <w:vAlign w:val="bottom"/>
            <w:hideMark/>
          </w:tcPr>
          <w:p w14:paraId="50A74D6E" w14:textId="648942DC" w:rsidR="000F0520" w:rsidRPr="00A85E10" w:rsidRDefault="000F0520" w:rsidP="000F0520">
            <w:pPr>
              <w:spacing w:after="0" w:line="240" w:lineRule="auto"/>
              <w:jc w:val="right"/>
              <w:rPr>
                <w:sz w:val="20"/>
                <w:szCs w:val="20"/>
                <w:lang w:eastAsia="sk-SK"/>
              </w:rPr>
            </w:pPr>
            <w:r w:rsidRPr="002A1EC7">
              <w:rPr>
                <w:sz w:val="20"/>
                <w:szCs w:val="20"/>
                <w:lang w:eastAsia="sk-SK"/>
              </w:rPr>
              <w:t>222</w:t>
            </w:r>
          </w:p>
        </w:tc>
        <w:tc>
          <w:tcPr>
            <w:tcW w:w="556" w:type="pct"/>
            <w:gridSpan w:val="2"/>
            <w:tcBorders>
              <w:top w:val="nil"/>
              <w:left w:val="nil"/>
              <w:bottom w:val="nil"/>
              <w:right w:val="nil"/>
            </w:tcBorders>
            <w:shd w:val="clear" w:color="auto" w:fill="auto"/>
            <w:noWrap/>
            <w:vAlign w:val="bottom"/>
            <w:hideMark/>
          </w:tcPr>
          <w:p w14:paraId="3D5252D9" w14:textId="4B484A07" w:rsidR="000F0520" w:rsidRPr="00A85E10" w:rsidRDefault="000F0520" w:rsidP="000F0520">
            <w:pPr>
              <w:spacing w:after="0" w:line="240" w:lineRule="auto"/>
              <w:jc w:val="right"/>
              <w:rPr>
                <w:sz w:val="20"/>
                <w:szCs w:val="20"/>
                <w:lang w:eastAsia="sk-SK"/>
              </w:rPr>
            </w:pPr>
            <w:r w:rsidRPr="002A1EC7">
              <w:rPr>
                <w:sz w:val="20"/>
                <w:szCs w:val="20"/>
                <w:lang w:eastAsia="sk-SK"/>
              </w:rPr>
              <w:t>345</w:t>
            </w:r>
          </w:p>
        </w:tc>
        <w:tc>
          <w:tcPr>
            <w:tcW w:w="556" w:type="pct"/>
            <w:gridSpan w:val="2"/>
            <w:tcBorders>
              <w:top w:val="nil"/>
              <w:left w:val="nil"/>
              <w:bottom w:val="nil"/>
              <w:right w:val="nil"/>
            </w:tcBorders>
            <w:shd w:val="clear" w:color="auto" w:fill="auto"/>
            <w:noWrap/>
            <w:vAlign w:val="bottom"/>
            <w:hideMark/>
          </w:tcPr>
          <w:p w14:paraId="1A41192A" w14:textId="32175910" w:rsidR="000F0520" w:rsidRPr="00A85E10" w:rsidRDefault="000F0520" w:rsidP="000F0520">
            <w:pPr>
              <w:spacing w:after="0" w:line="240" w:lineRule="auto"/>
              <w:jc w:val="right"/>
              <w:rPr>
                <w:sz w:val="20"/>
                <w:szCs w:val="20"/>
                <w:lang w:eastAsia="sk-SK"/>
              </w:rPr>
            </w:pPr>
            <w:r w:rsidRPr="002A1EC7">
              <w:rPr>
                <w:sz w:val="20"/>
                <w:szCs w:val="20"/>
                <w:lang w:eastAsia="sk-SK"/>
              </w:rPr>
              <w:t>80</w:t>
            </w:r>
          </w:p>
        </w:tc>
        <w:tc>
          <w:tcPr>
            <w:tcW w:w="603" w:type="pct"/>
            <w:tcBorders>
              <w:top w:val="nil"/>
              <w:left w:val="nil"/>
              <w:bottom w:val="nil"/>
              <w:right w:val="nil"/>
            </w:tcBorders>
            <w:shd w:val="clear" w:color="auto" w:fill="auto"/>
            <w:noWrap/>
            <w:vAlign w:val="bottom"/>
            <w:hideMark/>
          </w:tcPr>
          <w:p w14:paraId="4E6F1AED" w14:textId="29E00A2E" w:rsidR="000F0520" w:rsidRPr="00A85E10" w:rsidRDefault="000F0520" w:rsidP="000F0520">
            <w:pPr>
              <w:spacing w:after="0" w:line="240" w:lineRule="auto"/>
              <w:jc w:val="right"/>
              <w:rPr>
                <w:sz w:val="20"/>
                <w:szCs w:val="20"/>
                <w:lang w:eastAsia="sk-SK"/>
              </w:rPr>
            </w:pPr>
            <w:r w:rsidRPr="002A1EC7">
              <w:rPr>
                <w:sz w:val="20"/>
                <w:szCs w:val="20"/>
                <w:lang w:eastAsia="sk-SK"/>
              </w:rPr>
              <w:t>-265</w:t>
            </w:r>
          </w:p>
        </w:tc>
      </w:tr>
      <w:tr w:rsidR="000F0520" w:rsidRPr="00A85E10" w14:paraId="1E4B1257"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2C488CFD" w14:textId="77777777" w:rsidR="000F0520" w:rsidRPr="00A85E10" w:rsidRDefault="000F0520" w:rsidP="000F0520">
            <w:pPr>
              <w:spacing w:after="0" w:line="240" w:lineRule="auto"/>
              <w:rPr>
                <w:b/>
                <w:bCs/>
                <w:sz w:val="20"/>
                <w:szCs w:val="20"/>
                <w:lang w:eastAsia="sk-SK"/>
              </w:rPr>
            </w:pPr>
            <w:r w:rsidRPr="00A85E10">
              <w:rPr>
                <w:b/>
                <w:bCs/>
                <w:sz w:val="20"/>
                <w:szCs w:val="20"/>
                <w:lang w:eastAsia="sk-SK"/>
              </w:rPr>
              <w:t>Verejná správa spolu</w:t>
            </w:r>
          </w:p>
        </w:tc>
        <w:tc>
          <w:tcPr>
            <w:tcW w:w="612" w:type="pct"/>
            <w:gridSpan w:val="3"/>
            <w:tcBorders>
              <w:top w:val="nil"/>
              <w:left w:val="nil"/>
              <w:bottom w:val="nil"/>
              <w:right w:val="nil"/>
            </w:tcBorders>
            <w:shd w:val="clear" w:color="auto" w:fill="auto"/>
            <w:noWrap/>
            <w:vAlign w:val="bottom"/>
            <w:hideMark/>
          </w:tcPr>
          <w:p w14:paraId="765591BC" w14:textId="235690DB" w:rsidR="000F0520" w:rsidRPr="00A85E10" w:rsidRDefault="000F0520" w:rsidP="00F462DC">
            <w:pPr>
              <w:spacing w:after="0" w:line="240" w:lineRule="auto"/>
              <w:jc w:val="right"/>
              <w:rPr>
                <w:b/>
                <w:bCs/>
                <w:sz w:val="20"/>
                <w:szCs w:val="20"/>
                <w:lang w:eastAsia="sk-SK"/>
              </w:rPr>
            </w:pPr>
            <w:r w:rsidRPr="002A1EC7">
              <w:rPr>
                <w:b/>
                <w:bCs/>
                <w:sz w:val="20"/>
                <w:szCs w:val="20"/>
                <w:lang w:eastAsia="sk-SK"/>
              </w:rPr>
              <w:t xml:space="preserve">62 839 </w:t>
            </w:r>
            <w:r w:rsidR="00F462DC">
              <w:rPr>
                <w:b/>
                <w:bCs/>
                <w:sz w:val="20"/>
                <w:szCs w:val="20"/>
                <w:lang w:eastAsia="sk-SK"/>
              </w:rPr>
              <w:t>786</w:t>
            </w:r>
          </w:p>
        </w:tc>
        <w:tc>
          <w:tcPr>
            <w:tcW w:w="556" w:type="pct"/>
            <w:gridSpan w:val="2"/>
            <w:tcBorders>
              <w:top w:val="nil"/>
              <w:left w:val="nil"/>
              <w:bottom w:val="nil"/>
              <w:right w:val="nil"/>
            </w:tcBorders>
            <w:shd w:val="clear" w:color="auto" w:fill="auto"/>
            <w:noWrap/>
            <w:vAlign w:val="bottom"/>
            <w:hideMark/>
          </w:tcPr>
          <w:p w14:paraId="4BC4D29B" w14:textId="130C7869" w:rsidR="000F0520" w:rsidRPr="00A85E10" w:rsidRDefault="000F0520" w:rsidP="00F462DC">
            <w:pPr>
              <w:spacing w:after="0" w:line="240" w:lineRule="auto"/>
              <w:jc w:val="right"/>
              <w:rPr>
                <w:b/>
                <w:bCs/>
                <w:sz w:val="20"/>
                <w:szCs w:val="20"/>
                <w:lang w:eastAsia="sk-SK"/>
              </w:rPr>
            </w:pPr>
            <w:r w:rsidRPr="002A1EC7">
              <w:rPr>
                <w:b/>
                <w:bCs/>
                <w:sz w:val="20"/>
                <w:szCs w:val="20"/>
                <w:lang w:eastAsia="sk-SK"/>
              </w:rPr>
              <w:t xml:space="preserve">64 911 </w:t>
            </w:r>
            <w:r w:rsidR="00F462DC">
              <w:rPr>
                <w:b/>
                <w:bCs/>
                <w:sz w:val="20"/>
                <w:szCs w:val="20"/>
                <w:lang w:eastAsia="sk-SK"/>
              </w:rPr>
              <w:t>432</w:t>
            </w:r>
          </w:p>
        </w:tc>
        <w:tc>
          <w:tcPr>
            <w:tcW w:w="556" w:type="pct"/>
            <w:gridSpan w:val="2"/>
            <w:tcBorders>
              <w:top w:val="nil"/>
              <w:left w:val="nil"/>
              <w:bottom w:val="nil"/>
              <w:right w:val="nil"/>
            </w:tcBorders>
            <w:shd w:val="clear" w:color="auto" w:fill="auto"/>
            <w:noWrap/>
            <w:vAlign w:val="bottom"/>
            <w:hideMark/>
          </w:tcPr>
          <w:p w14:paraId="58D06125" w14:textId="1E8EA156"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70 558 433</w:t>
            </w:r>
          </w:p>
        </w:tc>
        <w:tc>
          <w:tcPr>
            <w:tcW w:w="603" w:type="pct"/>
            <w:tcBorders>
              <w:top w:val="nil"/>
              <w:left w:val="nil"/>
              <w:bottom w:val="nil"/>
              <w:right w:val="nil"/>
            </w:tcBorders>
            <w:shd w:val="clear" w:color="auto" w:fill="auto"/>
            <w:noWrap/>
            <w:vAlign w:val="bottom"/>
            <w:hideMark/>
          </w:tcPr>
          <w:p w14:paraId="4D2BA44E" w14:textId="13CFC18E" w:rsidR="000F0520" w:rsidRPr="00A85E10" w:rsidRDefault="000F0520" w:rsidP="00F462DC">
            <w:pPr>
              <w:spacing w:after="0" w:line="240" w:lineRule="auto"/>
              <w:jc w:val="right"/>
              <w:rPr>
                <w:b/>
                <w:bCs/>
                <w:sz w:val="20"/>
                <w:szCs w:val="20"/>
                <w:lang w:eastAsia="sk-SK"/>
              </w:rPr>
            </w:pPr>
            <w:r w:rsidRPr="002A1EC7">
              <w:rPr>
                <w:b/>
                <w:bCs/>
                <w:sz w:val="20"/>
                <w:szCs w:val="20"/>
                <w:lang w:eastAsia="sk-SK"/>
              </w:rPr>
              <w:t xml:space="preserve">5 647 </w:t>
            </w:r>
            <w:r w:rsidR="00F462DC">
              <w:rPr>
                <w:b/>
                <w:bCs/>
                <w:sz w:val="20"/>
                <w:szCs w:val="20"/>
                <w:lang w:eastAsia="sk-SK"/>
              </w:rPr>
              <w:t>001</w:t>
            </w:r>
          </w:p>
        </w:tc>
      </w:tr>
      <w:tr w:rsidR="000F0520" w:rsidRPr="00A85E10" w14:paraId="3C3FF23D" w14:textId="77777777" w:rsidTr="00536917">
        <w:trPr>
          <w:trHeight w:val="260"/>
        </w:trPr>
        <w:tc>
          <w:tcPr>
            <w:tcW w:w="2673" w:type="pct"/>
            <w:gridSpan w:val="2"/>
            <w:tcBorders>
              <w:top w:val="nil"/>
              <w:left w:val="nil"/>
              <w:bottom w:val="nil"/>
              <w:right w:val="nil"/>
            </w:tcBorders>
            <w:shd w:val="clear" w:color="auto" w:fill="auto"/>
            <w:noWrap/>
            <w:vAlign w:val="bottom"/>
            <w:hideMark/>
          </w:tcPr>
          <w:p w14:paraId="410B4A74" w14:textId="77777777" w:rsidR="000F0520" w:rsidRPr="00A85E10" w:rsidRDefault="000F0520" w:rsidP="000F0520">
            <w:pPr>
              <w:spacing w:after="0" w:line="240" w:lineRule="auto"/>
              <w:ind w:firstLineChars="200" w:firstLine="400"/>
              <w:rPr>
                <w:i/>
                <w:iCs/>
                <w:sz w:val="20"/>
                <w:szCs w:val="20"/>
                <w:lang w:eastAsia="sk-SK"/>
              </w:rPr>
            </w:pPr>
            <w:r w:rsidRPr="00A85E10">
              <w:rPr>
                <w:i/>
                <w:iCs/>
                <w:sz w:val="20"/>
                <w:szCs w:val="20"/>
                <w:lang w:eastAsia="sk-SK"/>
              </w:rPr>
              <w:t>Konsolidácia</w:t>
            </w:r>
          </w:p>
        </w:tc>
        <w:tc>
          <w:tcPr>
            <w:tcW w:w="612" w:type="pct"/>
            <w:gridSpan w:val="3"/>
            <w:tcBorders>
              <w:top w:val="nil"/>
              <w:left w:val="nil"/>
              <w:bottom w:val="nil"/>
              <w:right w:val="nil"/>
            </w:tcBorders>
            <w:shd w:val="clear" w:color="auto" w:fill="auto"/>
            <w:noWrap/>
            <w:vAlign w:val="bottom"/>
            <w:hideMark/>
          </w:tcPr>
          <w:p w14:paraId="69341C7B" w14:textId="4690878A" w:rsidR="000F0520" w:rsidRPr="00A85E10" w:rsidRDefault="000F0520" w:rsidP="000F0520">
            <w:pPr>
              <w:spacing w:after="0" w:line="240" w:lineRule="auto"/>
              <w:jc w:val="right"/>
              <w:rPr>
                <w:sz w:val="20"/>
                <w:szCs w:val="20"/>
                <w:lang w:eastAsia="sk-SK"/>
              </w:rPr>
            </w:pPr>
            <w:r w:rsidRPr="002A1EC7">
              <w:rPr>
                <w:sz w:val="20"/>
                <w:szCs w:val="20"/>
                <w:lang w:eastAsia="sk-SK"/>
              </w:rPr>
              <w:t>1 493 456</w:t>
            </w:r>
          </w:p>
        </w:tc>
        <w:tc>
          <w:tcPr>
            <w:tcW w:w="556" w:type="pct"/>
            <w:gridSpan w:val="2"/>
            <w:tcBorders>
              <w:top w:val="nil"/>
              <w:left w:val="nil"/>
              <w:bottom w:val="nil"/>
              <w:right w:val="nil"/>
            </w:tcBorders>
            <w:shd w:val="clear" w:color="auto" w:fill="auto"/>
            <w:noWrap/>
            <w:vAlign w:val="bottom"/>
            <w:hideMark/>
          </w:tcPr>
          <w:p w14:paraId="0F357A72" w14:textId="457801A7" w:rsidR="000F0520" w:rsidRPr="00A85E10" w:rsidRDefault="000F0520" w:rsidP="000F0520">
            <w:pPr>
              <w:spacing w:after="0" w:line="240" w:lineRule="auto"/>
              <w:jc w:val="right"/>
              <w:rPr>
                <w:sz w:val="20"/>
                <w:szCs w:val="20"/>
                <w:lang w:eastAsia="sk-SK"/>
              </w:rPr>
            </w:pPr>
            <w:r w:rsidRPr="002A1EC7">
              <w:rPr>
                <w:sz w:val="20"/>
                <w:szCs w:val="20"/>
                <w:lang w:eastAsia="sk-SK"/>
              </w:rPr>
              <w:t>1 412 462</w:t>
            </w:r>
          </w:p>
        </w:tc>
        <w:tc>
          <w:tcPr>
            <w:tcW w:w="556" w:type="pct"/>
            <w:gridSpan w:val="2"/>
            <w:tcBorders>
              <w:top w:val="nil"/>
              <w:left w:val="nil"/>
              <w:bottom w:val="nil"/>
              <w:right w:val="nil"/>
            </w:tcBorders>
            <w:shd w:val="clear" w:color="auto" w:fill="auto"/>
            <w:noWrap/>
            <w:vAlign w:val="bottom"/>
            <w:hideMark/>
          </w:tcPr>
          <w:p w14:paraId="11A72023" w14:textId="7BBF02E2" w:rsidR="000F0520" w:rsidRPr="00A85E10" w:rsidRDefault="000F0520" w:rsidP="000F0520">
            <w:pPr>
              <w:spacing w:after="0" w:line="240" w:lineRule="auto"/>
              <w:jc w:val="right"/>
              <w:rPr>
                <w:sz w:val="20"/>
                <w:szCs w:val="20"/>
                <w:lang w:eastAsia="sk-SK"/>
              </w:rPr>
            </w:pPr>
            <w:r w:rsidRPr="002A1EC7">
              <w:rPr>
                <w:sz w:val="20"/>
                <w:szCs w:val="20"/>
                <w:lang w:eastAsia="sk-SK"/>
              </w:rPr>
              <w:t>1 660 629</w:t>
            </w:r>
          </w:p>
        </w:tc>
        <w:tc>
          <w:tcPr>
            <w:tcW w:w="603" w:type="pct"/>
            <w:tcBorders>
              <w:top w:val="nil"/>
              <w:left w:val="nil"/>
              <w:bottom w:val="nil"/>
              <w:right w:val="nil"/>
            </w:tcBorders>
            <w:shd w:val="clear" w:color="auto" w:fill="auto"/>
            <w:noWrap/>
            <w:vAlign w:val="bottom"/>
            <w:hideMark/>
          </w:tcPr>
          <w:p w14:paraId="5388A572" w14:textId="1CA80CF3" w:rsidR="000F0520" w:rsidRPr="00A85E10" w:rsidRDefault="000F0520" w:rsidP="000F0520">
            <w:pPr>
              <w:spacing w:after="0" w:line="240" w:lineRule="auto"/>
              <w:jc w:val="right"/>
              <w:rPr>
                <w:sz w:val="20"/>
                <w:szCs w:val="20"/>
                <w:lang w:eastAsia="sk-SK"/>
              </w:rPr>
            </w:pPr>
            <w:r w:rsidRPr="002A1EC7">
              <w:rPr>
                <w:sz w:val="20"/>
                <w:szCs w:val="20"/>
                <w:lang w:eastAsia="sk-SK"/>
              </w:rPr>
              <w:t>248 167</w:t>
            </w:r>
          </w:p>
        </w:tc>
      </w:tr>
      <w:tr w:rsidR="000F0520" w:rsidRPr="00A85E10" w14:paraId="1EE0469D" w14:textId="77777777" w:rsidTr="00536917">
        <w:trPr>
          <w:trHeight w:val="260"/>
        </w:trPr>
        <w:tc>
          <w:tcPr>
            <w:tcW w:w="2673" w:type="pct"/>
            <w:gridSpan w:val="2"/>
            <w:tcBorders>
              <w:top w:val="single" w:sz="4" w:space="0" w:color="auto"/>
              <w:left w:val="nil"/>
              <w:bottom w:val="nil"/>
              <w:right w:val="nil"/>
            </w:tcBorders>
            <w:shd w:val="clear" w:color="auto" w:fill="auto"/>
            <w:noWrap/>
            <w:vAlign w:val="bottom"/>
            <w:hideMark/>
          </w:tcPr>
          <w:p w14:paraId="70377685" w14:textId="77777777" w:rsidR="000F0520" w:rsidRPr="00A85E10" w:rsidRDefault="000F0520" w:rsidP="000F0520">
            <w:pPr>
              <w:spacing w:after="0" w:line="240" w:lineRule="auto"/>
              <w:rPr>
                <w:b/>
                <w:bCs/>
                <w:sz w:val="20"/>
                <w:szCs w:val="20"/>
                <w:lang w:eastAsia="sk-SK"/>
              </w:rPr>
            </w:pPr>
            <w:r w:rsidRPr="00A85E10">
              <w:rPr>
                <w:b/>
                <w:bCs/>
                <w:sz w:val="20"/>
                <w:szCs w:val="20"/>
                <w:lang w:eastAsia="sk-SK"/>
              </w:rPr>
              <w:t>Verejná správa spolu konsolidovaná</w:t>
            </w:r>
          </w:p>
        </w:tc>
        <w:tc>
          <w:tcPr>
            <w:tcW w:w="612" w:type="pct"/>
            <w:gridSpan w:val="3"/>
            <w:tcBorders>
              <w:top w:val="single" w:sz="4" w:space="0" w:color="auto"/>
              <w:left w:val="nil"/>
              <w:bottom w:val="nil"/>
              <w:right w:val="nil"/>
            </w:tcBorders>
            <w:shd w:val="clear" w:color="auto" w:fill="auto"/>
            <w:noWrap/>
            <w:vAlign w:val="bottom"/>
            <w:hideMark/>
          </w:tcPr>
          <w:p w14:paraId="1ACAC195" w14:textId="674B2C24" w:rsidR="000F0520" w:rsidRPr="00A85E10" w:rsidRDefault="000F0520" w:rsidP="00F462DC">
            <w:pPr>
              <w:spacing w:after="0" w:line="240" w:lineRule="auto"/>
              <w:jc w:val="right"/>
              <w:rPr>
                <w:b/>
                <w:bCs/>
                <w:sz w:val="20"/>
                <w:szCs w:val="20"/>
                <w:lang w:eastAsia="sk-SK"/>
              </w:rPr>
            </w:pPr>
            <w:r w:rsidRPr="002A1EC7">
              <w:rPr>
                <w:b/>
                <w:bCs/>
                <w:sz w:val="20"/>
                <w:szCs w:val="20"/>
                <w:lang w:eastAsia="sk-SK"/>
              </w:rPr>
              <w:t xml:space="preserve">61 346 </w:t>
            </w:r>
            <w:r w:rsidR="00F462DC">
              <w:rPr>
                <w:b/>
                <w:bCs/>
                <w:sz w:val="20"/>
                <w:szCs w:val="20"/>
                <w:lang w:eastAsia="sk-SK"/>
              </w:rPr>
              <w:t>330</w:t>
            </w:r>
          </w:p>
        </w:tc>
        <w:tc>
          <w:tcPr>
            <w:tcW w:w="556" w:type="pct"/>
            <w:gridSpan w:val="2"/>
            <w:tcBorders>
              <w:top w:val="single" w:sz="4" w:space="0" w:color="auto"/>
              <w:left w:val="nil"/>
              <w:bottom w:val="nil"/>
              <w:right w:val="nil"/>
            </w:tcBorders>
            <w:shd w:val="clear" w:color="auto" w:fill="auto"/>
            <w:noWrap/>
            <w:vAlign w:val="bottom"/>
            <w:hideMark/>
          </w:tcPr>
          <w:p w14:paraId="6F712EF1" w14:textId="7C570A55" w:rsidR="000F0520" w:rsidRPr="00A85E10" w:rsidRDefault="000F0520" w:rsidP="00F462DC">
            <w:pPr>
              <w:spacing w:after="0" w:line="240" w:lineRule="auto"/>
              <w:jc w:val="right"/>
              <w:rPr>
                <w:b/>
                <w:bCs/>
                <w:sz w:val="20"/>
                <w:szCs w:val="20"/>
                <w:lang w:eastAsia="sk-SK"/>
              </w:rPr>
            </w:pPr>
            <w:r w:rsidRPr="002A1EC7">
              <w:rPr>
                <w:b/>
                <w:bCs/>
                <w:sz w:val="20"/>
                <w:szCs w:val="20"/>
                <w:lang w:eastAsia="sk-SK"/>
              </w:rPr>
              <w:t xml:space="preserve">63 498 </w:t>
            </w:r>
            <w:r w:rsidR="00F462DC">
              <w:rPr>
                <w:b/>
                <w:bCs/>
                <w:sz w:val="20"/>
                <w:szCs w:val="20"/>
                <w:lang w:eastAsia="sk-SK"/>
              </w:rPr>
              <w:t>970</w:t>
            </w:r>
          </w:p>
        </w:tc>
        <w:tc>
          <w:tcPr>
            <w:tcW w:w="556" w:type="pct"/>
            <w:gridSpan w:val="2"/>
            <w:tcBorders>
              <w:top w:val="single" w:sz="4" w:space="0" w:color="auto"/>
              <w:left w:val="nil"/>
              <w:bottom w:val="nil"/>
              <w:right w:val="nil"/>
            </w:tcBorders>
            <w:shd w:val="clear" w:color="auto" w:fill="auto"/>
            <w:noWrap/>
            <w:vAlign w:val="bottom"/>
            <w:hideMark/>
          </w:tcPr>
          <w:p w14:paraId="6422CE22" w14:textId="3A3A9A92"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68 897 804</w:t>
            </w:r>
          </w:p>
        </w:tc>
        <w:tc>
          <w:tcPr>
            <w:tcW w:w="603" w:type="pct"/>
            <w:tcBorders>
              <w:top w:val="single" w:sz="4" w:space="0" w:color="auto"/>
              <w:left w:val="nil"/>
              <w:bottom w:val="nil"/>
              <w:right w:val="nil"/>
            </w:tcBorders>
            <w:shd w:val="clear" w:color="auto" w:fill="auto"/>
            <w:noWrap/>
            <w:vAlign w:val="bottom"/>
            <w:hideMark/>
          </w:tcPr>
          <w:p w14:paraId="264ACE7D" w14:textId="702BFE10" w:rsidR="000F0520" w:rsidRPr="00A85E10" w:rsidRDefault="000F0520" w:rsidP="00F462DC">
            <w:pPr>
              <w:spacing w:after="0" w:line="240" w:lineRule="auto"/>
              <w:jc w:val="right"/>
              <w:rPr>
                <w:b/>
                <w:bCs/>
                <w:sz w:val="20"/>
                <w:szCs w:val="20"/>
                <w:lang w:eastAsia="sk-SK"/>
              </w:rPr>
            </w:pPr>
            <w:r w:rsidRPr="002A1EC7">
              <w:rPr>
                <w:b/>
                <w:bCs/>
                <w:sz w:val="20"/>
                <w:szCs w:val="20"/>
                <w:lang w:eastAsia="sk-SK"/>
              </w:rPr>
              <w:t xml:space="preserve">5 </w:t>
            </w:r>
            <w:r w:rsidR="00F462DC">
              <w:rPr>
                <w:b/>
                <w:bCs/>
                <w:sz w:val="20"/>
                <w:szCs w:val="20"/>
                <w:lang w:eastAsia="sk-SK"/>
              </w:rPr>
              <w:t>398</w:t>
            </w:r>
            <w:r w:rsidRPr="002A1EC7">
              <w:rPr>
                <w:b/>
                <w:bCs/>
                <w:sz w:val="20"/>
                <w:szCs w:val="20"/>
                <w:lang w:eastAsia="sk-SK"/>
              </w:rPr>
              <w:t xml:space="preserve"> </w:t>
            </w:r>
            <w:r w:rsidR="00F462DC">
              <w:rPr>
                <w:b/>
                <w:bCs/>
                <w:sz w:val="20"/>
                <w:szCs w:val="20"/>
                <w:lang w:eastAsia="sk-SK"/>
              </w:rPr>
              <w:t>834</w:t>
            </w:r>
          </w:p>
        </w:tc>
      </w:tr>
      <w:tr w:rsidR="000F0520" w:rsidRPr="00A85E10" w14:paraId="247E760B" w14:textId="77777777" w:rsidTr="00536917">
        <w:trPr>
          <w:trHeight w:val="260"/>
        </w:trPr>
        <w:tc>
          <w:tcPr>
            <w:tcW w:w="2673" w:type="pct"/>
            <w:gridSpan w:val="2"/>
            <w:tcBorders>
              <w:top w:val="nil"/>
              <w:left w:val="nil"/>
              <w:bottom w:val="single" w:sz="4" w:space="0" w:color="auto"/>
              <w:right w:val="nil"/>
            </w:tcBorders>
            <w:shd w:val="clear" w:color="auto" w:fill="auto"/>
            <w:noWrap/>
            <w:vAlign w:val="bottom"/>
            <w:hideMark/>
          </w:tcPr>
          <w:p w14:paraId="1D01A72A" w14:textId="77777777" w:rsidR="000F0520" w:rsidRPr="00A85E10" w:rsidRDefault="000F0520" w:rsidP="000F0520">
            <w:pPr>
              <w:spacing w:after="0" w:line="240" w:lineRule="auto"/>
              <w:ind w:firstLineChars="200" w:firstLine="402"/>
              <w:rPr>
                <w:b/>
                <w:bCs/>
                <w:sz w:val="20"/>
                <w:szCs w:val="20"/>
                <w:lang w:eastAsia="sk-SK"/>
              </w:rPr>
            </w:pPr>
            <w:r w:rsidRPr="00A85E10">
              <w:rPr>
                <w:b/>
                <w:bCs/>
                <w:sz w:val="20"/>
                <w:szCs w:val="20"/>
                <w:lang w:eastAsia="sk-SK"/>
              </w:rPr>
              <w:t>% z HDP</w:t>
            </w:r>
          </w:p>
        </w:tc>
        <w:tc>
          <w:tcPr>
            <w:tcW w:w="612" w:type="pct"/>
            <w:gridSpan w:val="3"/>
            <w:tcBorders>
              <w:top w:val="nil"/>
              <w:left w:val="nil"/>
              <w:bottom w:val="single" w:sz="4" w:space="0" w:color="auto"/>
              <w:right w:val="nil"/>
            </w:tcBorders>
            <w:shd w:val="clear" w:color="auto" w:fill="auto"/>
            <w:noWrap/>
            <w:vAlign w:val="bottom"/>
            <w:hideMark/>
          </w:tcPr>
          <w:p w14:paraId="6376BD96" w14:textId="413C720B"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60,2</w:t>
            </w:r>
          </w:p>
        </w:tc>
        <w:tc>
          <w:tcPr>
            <w:tcW w:w="556" w:type="pct"/>
            <w:gridSpan w:val="2"/>
            <w:tcBorders>
              <w:top w:val="nil"/>
              <w:left w:val="nil"/>
              <w:bottom w:val="single" w:sz="4" w:space="0" w:color="auto"/>
              <w:right w:val="nil"/>
            </w:tcBorders>
            <w:shd w:val="clear" w:color="auto" w:fill="auto"/>
            <w:noWrap/>
            <w:vAlign w:val="bottom"/>
            <w:hideMark/>
          </w:tcPr>
          <w:p w14:paraId="5D5420B2" w14:textId="7A49E6AC"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57,7</w:t>
            </w:r>
          </w:p>
        </w:tc>
        <w:tc>
          <w:tcPr>
            <w:tcW w:w="556" w:type="pct"/>
            <w:gridSpan w:val="2"/>
            <w:tcBorders>
              <w:top w:val="nil"/>
              <w:left w:val="nil"/>
              <w:bottom w:val="single" w:sz="4" w:space="0" w:color="auto"/>
              <w:right w:val="nil"/>
            </w:tcBorders>
            <w:shd w:val="clear" w:color="auto" w:fill="auto"/>
            <w:noWrap/>
            <w:vAlign w:val="bottom"/>
            <w:hideMark/>
          </w:tcPr>
          <w:p w14:paraId="7F773A81" w14:textId="672CAD68"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56,1</w:t>
            </w:r>
          </w:p>
        </w:tc>
        <w:tc>
          <w:tcPr>
            <w:tcW w:w="603" w:type="pct"/>
            <w:tcBorders>
              <w:top w:val="nil"/>
              <w:left w:val="nil"/>
              <w:bottom w:val="single" w:sz="4" w:space="0" w:color="auto"/>
              <w:right w:val="nil"/>
            </w:tcBorders>
            <w:shd w:val="clear" w:color="auto" w:fill="auto"/>
            <w:noWrap/>
            <w:vAlign w:val="bottom"/>
            <w:hideMark/>
          </w:tcPr>
          <w:p w14:paraId="1C0C7202" w14:textId="3F71E84B" w:rsidR="000F0520" w:rsidRPr="00A85E10" w:rsidRDefault="000F0520" w:rsidP="000F0520">
            <w:pPr>
              <w:spacing w:after="0" w:line="240" w:lineRule="auto"/>
              <w:jc w:val="right"/>
              <w:rPr>
                <w:b/>
                <w:bCs/>
                <w:sz w:val="20"/>
                <w:szCs w:val="20"/>
                <w:lang w:eastAsia="sk-SK"/>
              </w:rPr>
            </w:pPr>
            <w:r w:rsidRPr="002A1EC7">
              <w:rPr>
                <w:b/>
                <w:bCs/>
                <w:sz w:val="20"/>
                <w:szCs w:val="20"/>
                <w:lang w:eastAsia="sk-SK"/>
              </w:rPr>
              <w:t>-1,6</w:t>
            </w:r>
          </w:p>
        </w:tc>
      </w:tr>
    </w:tbl>
    <w:p w14:paraId="17D7EF77" w14:textId="2CF791F6" w:rsidR="00DC0F15" w:rsidRPr="00A85E10" w:rsidRDefault="00DC0F15" w:rsidP="00DC0F15">
      <w:pPr>
        <w:spacing w:after="120" w:line="240" w:lineRule="auto"/>
        <w:ind w:right="-284"/>
        <w:jc w:val="both"/>
        <w:rPr>
          <w:sz w:val="16"/>
          <w:szCs w:val="16"/>
          <w:lang w:eastAsia="sk-SK"/>
        </w:rPr>
      </w:pPr>
      <w:r w:rsidRPr="00A85E10">
        <w:rPr>
          <w:color w:val="000000"/>
          <w:sz w:val="16"/>
          <w:szCs w:val="16"/>
          <w:vertAlign w:val="superscript"/>
          <w:lang w:eastAsia="sk-SK"/>
        </w:rPr>
        <w:t xml:space="preserve">1) </w:t>
      </w:r>
      <w:r w:rsidRPr="00A85E10">
        <w:rPr>
          <w:color w:val="000000"/>
          <w:sz w:val="16"/>
          <w:szCs w:val="16"/>
          <w:lang w:eastAsia="sk-SK"/>
        </w:rPr>
        <w:t>Bez tzv. refinančného systému a záväzkov z vkladov subjektov verejnej správy v Štátnej pokladnici</w:t>
      </w:r>
      <w:r w:rsidRPr="00A85E10">
        <w:rPr>
          <w:color w:val="000000"/>
          <w:sz w:val="16"/>
          <w:szCs w:val="16"/>
          <w:lang w:eastAsia="sk-SK"/>
        </w:rPr>
        <w:tab/>
      </w:r>
      <w:r w:rsidRPr="00A85E10">
        <w:rPr>
          <w:color w:val="000000"/>
          <w:sz w:val="16"/>
          <w:szCs w:val="16"/>
          <w:lang w:eastAsia="sk-SK"/>
        </w:rPr>
        <w:tab/>
      </w:r>
      <w:r w:rsidR="0017089D">
        <w:rPr>
          <w:color w:val="000000"/>
          <w:sz w:val="16"/>
          <w:szCs w:val="16"/>
          <w:lang w:eastAsia="sk-SK"/>
        </w:rPr>
        <w:t xml:space="preserve">      </w:t>
      </w:r>
      <w:r w:rsidRPr="00A85E10">
        <w:rPr>
          <w:color w:val="000000"/>
          <w:sz w:val="16"/>
          <w:szCs w:val="16"/>
          <w:lang w:eastAsia="sk-SK"/>
        </w:rPr>
        <w:t xml:space="preserve">          </w:t>
      </w:r>
      <w:r w:rsidRPr="00A85E10">
        <w:rPr>
          <w:sz w:val="16"/>
          <w:szCs w:val="16"/>
          <w:lang w:eastAsia="sk-SK"/>
        </w:rPr>
        <w:t>Zdroj: MF SR</w:t>
      </w:r>
    </w:p>
    <w:p w14:paraId="2E679B6D" w14:textId="77777777" w:rsidR="004872D9" w:rsidRPr="002A1EC7" w:rsidRDefault="004872D9" w:rsidP="004872D9">
      <w:pPr>
        <w:keepNext/>
        <w:spacing w:before="120" w:after="0" w:line="240" w:lineRule="auto"/>
        <w:contextualSpacing/>
        <w:jc w:val="both"/>
        <w:rPr>
          <w:szCs w:val="22"/>
        </w:rPr>
      </w:pPr>
      <w:r w:rsidRPr="002A1EC7">
        <w:rPr>
          <w:b/>
          <w:szCs w:val="22"/>
        </w:rPr>
        <w:t xml:space="preserve">Na zvýšení </w:t>
      </w:r>
      <w:r w:rsidRPr="002A1EC7">
        <w:rPr>
          <w:szCs w:val="22"/>
        </w:rPr>
        <w:t>maastrichtského dlhu v roku 2023 mali vplyv najmä tieto skutočnosti:</w:t>
      </w:r>
    </w:p>
    <w:p w14:paraId="57C273A5" w14:textId="77777777" w:rsidR="004872D9" w:rsidRPr="002A1EC7" w:rsidRDefault="004872D9" w:rsidP="004872D9">
      <w:pPr>
        <w:numPr>
          <w:ilvl w:val="0"/>
          <w:numId w:val="9"/>
        </w:numPr>
        <w:spacing w:after="120" w:line="240" w:lineRule="auto"/>
        <w:contextualSpacing/>
        <w:jc w:val="both"/>
        <w:rPr>
          <w:szCs w:val="22"/>
        </w:rPr>
      </w:pPr>
      <w:r w:rsidRPr="002A1EC7">
        <w:rPr>
          <w:szCs w:val="22"/>
        </w:rPr>
        <w:t>schodok štátneho rozpočtu na hotovostnej báze a ďalšie požiadavky na cudzie zdroje vyplývajúce z riadenia dlhu a likvidity, ktoré vyvolali potrebu emitovať štátne dlhopisy v menovitej hodnote 10 442 100 tis. eur,</w:t>
      </w:r>
    </w:p>
    <w:p w14:paraId="59DB72FB" w14:textId="77777777" w:rsidR="004872D9" w:rsidRDefault="004872D9" w:rsidP="004872D9">
      <w:pPr>
        <w:numPr>
          <w:ilvl w:val="0"/>
          <w:numId w:val="9"/>
        </w:numPr>
        <w:spacing w:after="120" w:line="240" w:lineRule="auto"/>
        <w:contextualSpacing/>
        <w:jc w:val="both"/>
        <w:rPr>
          <w:szCs w:val="22"/>
        </w:rPr>
      </w:pPr>
      <w:r w:rsidRPr="008F3BE5">
        <w:rPr>
          <w:szCs w:val="22"/>
        </w:rPr>
        <w:t>čerpanie štvrtej tranže úverov od Rozvojovej banky Rady Európy vo výške 20 000 tis. eur v rámci štátneho dlhu,</w:t>
      </w:r>
    </w:p>
    <w:p w14:paraId="52D6F28E" w14:textId="6879C7E6" w:rsidR="004872D9" w:rsidRPr="008F3BE5" w:rsidRDefault="004872D9" w:rsidP="004872D9">
      <w:pPr>
        <w:numPr>
          <w:ilvl w:val="0"/>
          <w:numId w:val="9"/>
        </w:numPr>
        <w:spacing w:after="120" w:line="240" w:lineRule="auto"/>
        <w:contextualSpacing/>
        <w:jc w:val="both"/>
        <w:rPr>
          <w:szCs w:val="22"/>
        </w:rPr>
      </w:pPr>
      <w:r>
        <w:rPr>
          <w:szCs w:val="22"/>
        </w:rPr>
        <w:t xml:space="preserve">nárast štátneho dlhu z dôvodu zmeny metodiky vykazovania </w:t>
      </w:r>
      <w:r w:rsidR="00DC575C">
        <w:rPr>
          <w:szCs w:val="22"/>
        </w:rPr>
        <w:t xml:space="preserve">úrokov k istine </w:t>
      </w:r>
      <w:r>
        <w:rPr>
          <w:szCs w:val="22"/>
        </w:rPr>
        <w:t>záväzkov z EFSF o 132 106 tis. eur,</w:t>
      </w:r>
    </w:p>
    <w:p w14:paraId="1B241698" w14:textId="77777777" w:rsidR="004872D9" w:rsidRPr="00F95FA5" w:rsidRDefault="004872D9" w:rsidP="004872D9">
      <w:pPr>
        <w:numPr>
          <w:ilvl w:val="0"/>
          <w:numId w:val="9"/>
        </w:numPr>
        <w:spacing w:after="120" w:line="240" w:lineRule="auto"/>
        <w:contextualSpacing/>
        <w:jc w:val="both"/>
        <w:rPr>
          <w:szCs w:val="22"/>
        </w:rPr>
      </w:pPr>
      <w:r w:rsidRPr="00F95FA5">
        <w:rPr>
          <w:szCs w:val="22"/>
        </w:rPr>
        <w:t>zvýšenie úrovne zábezpek v štátnom dlhu o 53 702 tis. eur,</w:t>
      </w:r>
    </w:p>
    <w:p w14:paraId="52837300" w14:textId="77777777" w:rsidR="004872D9" w:rsidRDefault="004872D9" w:rsidP="004872D9">
      <w:pPr>
        <w:numPr>
          <w:ilvl w:val="0"/>
          <w:numId w:val="9"/>
        </w:numPr>
        <w:spacing w:after="120" w:line="240" w:lineRule="auto"/>
        <w:contextualSpacing/>
        <w:jc w:val="both"/>
        <w:rPr>
          <w:szCs w:val="22"/>
        </w:rPr>
      </w:pPr>
      <w:r w:rsidRPr="008F3BE5">
        <w:rPr>
          <w:szCs w:val="22"/>
        </w:rPr>
        <w:t>nárast konsolidovaného dlhu vyšších územných celkov o 97 715 tis. eur a obcí o 93 703 tis. eur,</w:t>
      </w:r>
    </w:p>
    <w:p w14:paraId="17DFA02B" w14:textId="0BAB334E" w:rsidR="004872D9" w:rsidRDefault="004872D9" w:rsidP="004872D9">
      <w:pPr>
        <w:numPr>
          <w:ilvl w:val="0"/>
          <w:numId w:val="9"/>
        </w:numPr>
        <w:spacing w:after="120" w:line="240" w:lineRule="auto"/>
        <w:contextualSpacing/>
        <w:jc w:val="both"/>
        <w:rPr>
          <w:szCs w:val="22"/>
        </w:rPr>
      </w:pPr>
      <w:r>
        <w:rPr>
          <w:szCs w:val="22"/>
        </w:rPr>
        <w:t xml:space="preserve">zvýšenie zadlženosti Železničnej spoločnosti Slovensko, a. s. </w:t>
      </w:r>
      <w:r w:rsidR="00B6008D">
        <w:rPr>
          <w:szCs w:val="22"/>
        </w:rPr>
        <w:t xml:space="preserve">(ZSSK) </w:t>
      </w:r>
      <w:r>
        <w:rPr>
          <w:szCs w:val="22"/>
        </w:rPr>
        <w:t>o 4 265 tis. eur.</w:t>
      </w:r>
    </w:p>
    <w:p w14:paraId="79104AF0" w14:textId="77777777" w:rsidR="004872D9" w:rsidRPr="008F3BE5" w:rsidRDefault="004872D9" w:rsidP="004872D9">
      <w:pPr>
        <w:spacing w:after="120" w:line="240" w:lineRule="auto"/>
        <w:ind w:left="360"/>
        <w:contextualSpacing/>
        <w:jc w:val="both"/>
        <w:rPr>
          <w:szCs w:val="22"/>
        </w:rPr>
      </w:pPr>
    </w:p>
    <w:p w14:paraId="0117D7AC" w14:textId="77777777" w:rsidR="004872D9" w:rsidRPr="008F3BE5" w:rsidRDefault="004872D9" w:rsidP="004872D9">
      <w:pPr>
        <w:spacing w:after="0" w:line="240" w:lineRule="auto"/>
        <w:jc w:val="both"/>
        <w:rPr>
          <w:szCs w:val="22"/>
        </w:rPr>
      </w:pPr>
      <w:r w:rsidRPr="008F3BE5">
        <w:rPr>
          <w:szCs w:val="22"/>
        </w:rPr>
        <w:t>Naopak</w:t>
      </w:r>
      <w:r w:rsidRPr="008F3BE5">
        <w:rPr>
          <w:b/>
          <w:szCs w:val="22"/>
        </w:rPr>
        <w:t>, zníženie</w:t>
      </w:r>
      <w:r w:rsidRPr="008F3BE5">
        <w:rPr>
          <w:szCs w:val="22"/>
        </w:rPr>
        <w:t xml:space="preserve"> maastrichtského dlhu v roku 2023 spôsobili najmä tieto skutočnosti:</w:t>
      </w:r>
    </w:p>
    <w:p w14:paraId="0AB985FA" w14:textId="77777777" w:rsidR="004872D9" w:rsidRDefault="004872D9" w:rsidP="004872D9">
      <w:pPr>
        <w:pStyle w:val="Odsekzoznamu"/>
        <w:numPr>
          <w:ilvl w:val="0"/>
          <w:numId w:val="20"/>
        </w:numPr>
        <w:ind w:left="426" w:hanging="426"/>
        <w:jc w:val="both"/>
        <w:rPr>
          <w:rFonts w:cs="Times New Roman"/>
        </w:rPr>
      </w:pPr>
      <w:r w:rsidRPr="008F3BE5">
        <w:rPr>
          <w:rFonts w:cs="Times New Roman"/>
        </w:rPr>
        <w:t>splátky záväzkov zo štátnych dlhopisov v menovitej hodnote 4 967 550 tis. eur,</w:t>
      </w:r>
    </w:p>
    <w:p w14:paraId="0A558CE9" w14:textId="77777777" w:rsidR="004872D9" w:rsidRDefault="004872D9" w:rsidP="004872D9">
      <w:pPr>
        <w:pStyle w:val="Odsekzoznamu"/>
        <w:numPr>
          <w:ilvl w:val="0"/>
          <w:numId w:val="20"/>
        </w:numPr>
        <w:ind w:left="426" w:hanging="426"/>
        <w:jc w:val="both"/>
        <w:rPr>
          <w:rFonts w:cs="Times New Roman"/>
        </w:rPr>
      </w:pPr>
      <w:r w:rsidRPr="00F95FA5">
        <w:rPr>
          <w:rFonts w:cs="Times New Roman"/>
        </w:rPr>
        <w:t>pokles úrovne vkladov dobrovoľných klientov nepatriacich do sektora verejnej správy v Štátnej pokladnici o 148 780 tis. eur,</w:t>
      </w:r>
    </w:p>
    <w:p w14:paraId="0F0B7165" w14:textId="77777777" w:rsidR="004872D9" w:rsidRPr="003E5E6B" w:rsidRDefault="004872D9" w:rsidP="004872D9">
      <w:pPr>
        <w:pStyle w:val="Odsekzoznamu"/>
        <w:numPr>
          <w:ilvl w:val="0"/>
          <w:numId w:val="20"/>
        </w:numPr>
        <w:ind w:left="426" w:hanging="426"/>
        <w:jc w:val="both"/>
        <w:rPr>
          <w:rFonts w:cs="Times New Roman"/>
        </w:rPr>
      </w:pPr>
      <w:r>
        <w:rPr>
          <w:rFonts w:cs="Times New Roman"/>
        </w:rPr>
        <w:t>vyššia hodnota</w:t>
      </w:r>
      <w:r w:rsidRPr="003E5E6B">
        <w:rPr>
          <w:rFonts w:cs="Times New Roman"/>
        </w:rPr>
        <w:t xml:space="preserve"> inkasovanej TPS, čo umožnilo umorenie dlhu z tzv. zelenej energie za predchádzajúce roky v hodnote 119 000 tis. eur,</w:t>
      </w:r>
    </w:p>
    <w:p w14:paraId="4509E800" w14:textId="77777777" w:rsidR="004872D9" w:rsidRDefault="004872D9" w:rsidP="004872D9">
      <w:pPr>
        <w:pStyle w:val="Odsekzoznamu"/>
        <w:numPr>
          <w:ilvl w:val="0"/>
          <w:numId w:val="20"/>
        </w:numPr>
        <w:ind w:left="426" w:hanging="426"/>
        <w:jc w:val="both"/>
        <w:rPr>
          <w:rFonts w:cs="Times New Roman"/>
        </w:rPr>
      </w:pPr>
      <w:r w:rsidRPr="00175C92">
        <w:rPr>
          <w:rFonts w:cs="Times New Roman"/>
        </w:rPr>
        <w:t>splátky úverov v štátnom dlhu v hodnote 8 550 tis. eur,</w:t>
      </w:r>
    </w:p>
    <w:p w14:paraId="281621F4" w14:textId="0331DC12" w:rsidR="004872D9" w:rsidRDefault="004872D9" w:rsidP="004872D9">
      <w:pPr>
        <w:pStyle w:val="Odsekzoznamu"/>
        <w:numPr>
          <w:ilvl w:val="0"/>
          <w:numId w:val="20"/>
        </w:numPr>
        <w:ind w:left="426" w:hanging="426"/>
        <w:jc w:val="both"/>
        <w:rPr>
          <w:rFonts w:cs="Times New Roman"/>
        </w:rPr>
      </w:pPr>
      <w:r>
        <w:rPr>
          <w:rFonts w:cs="Times New Roman"/>
        </w:rPr>
        <w:t xml:space="preserve">zníženie konsolidovaného dlhu z dôvodu zaradenia </w:t>
      </w:r>
      <w:r w:rsidR="003F0818">
        <w:rPr>
          <w:rFonts w:cs="Times New Roman"/>
        </w:rPr>
        <w:t>SZRB</w:t>
      </w:r>
      <w:r>
        <w:rPr>
          <w:rFonts w:cs="Times New Roman"/>
        </w:rPr>
        <w:t xml:space="preserve"> do sektora verejnej správy o 74 554 tis. eur,</w:t>
      </w:r>
    </w:p>
    <w:p w14:paraId="7421569E" w14:textId="690C1099" w:rsidR="004872D9" w:rsidRPr="004872D9" w:rsidRDefault="004872D9" w:rsidP="004872D9">
      <w:pPr>
        <w:pStyle w:val="Odsekzoznamu"/>
        <w:numPr>
          <w:ilvl w:val="0"/>
          <w:numId w:val="20"/>
        </w:numPr>
        <w:ind w:left="426" w:hanging="426"/>
        <w:jc w:val="both"/>
        <w:rPr>
          <w:rFonts w:cs="Times New Roman"/>
        </w:rPr>
      </w:pPr>
      <w:r w:rsidRPr="004872D9">
        <w:rPr>
          <w:rFonts w:cs="Times New Roman"/>
        </w:rPr>
        <w:t xml:space="preserve">zníženie konsolidovaného dlhu </w:t>
      </w:r>
      <w:r w:rsidR="00B6008D">
        <w:rPr>
          <w:rFonts w:cs="Times New Roman"/>
        </w:rPr>
        <w:t>ŽSR</w:t>
      </w:r>
      <w:r w:rsidRPr="004872D9">
        <w:rPr>
          <w:rFonts w:cs="Times New Roman"/>
        </w:rPr>
        <w:t xml:space="preserve"> o 12 796 tis. eur,</w:t>
      </w:r>
    </w:p>
    <w:p w14:paraId="3E04E874" w14:textId="77777777" w:rsidR="004872D9" w:rsidRPr="004872D9" w:rsidRDefault="004872D9" w:rsidP="004872D9">
      <w:pPr>
        <w:pStyle w:val="Odsekzoznamu"/>
        <w:numPr>
          <w:ilvl w:val="0"/>
          <w:numId w:val="20"/>
        </w:numPr>
        <w:ind w:left="426" w:hanging="426"/>
        <w:jc w:val="both"/>
        <w:rPr>
          <w:rFonts w:cs="Times New Roman"/>
        </w:rPr>
      </w:pPr>
      <w:r w:rsidRPr="004872D9">
        <w:rPr>
          <w:rFonts w:cs="Times New Roman"/>
        </w:rPr>
        <w:t>zníženie zadlženosti dopravných podnikov miestnej samosprávy o 9 680 tis. eur,</w:t>
      </w:r>
    </w:p>
    <w:p w14:paraId="1F282E9B" w14:textId="5D568A1F" w:rsidR="00DC0F15" w:rsidRPr="004872D9" w:rsidRDefault="004872D9" w:rsidP="004872D9">
      <w:pPr>
        <w:pStyle w:val="Odsekzoznamu"/>
        <w:numPr>
          <w:ilvl w:val="0"/>
          <w:numId w:val="20"/>
        </w:numPr>
        <w:ind w:left="426" w:hanging="426"/>
        <w:jc w:val="both"/>
        <w:rPr>
          <w:rFonts w:cs="Times New Roman"/>
        </w:rPr>
      </w:pPr>
      <w:r w:rsidRPr="004872D9">
        <w:rPr>
          <w:rFonts w:cs="Times New Roman"/>
        </w:rPr>
        <w:t>pokles konsolidovaného dlhu zdravotníckych zariadení spadajúcich pod ústrednú správu o 5 956 tis. eur.</w:t>
      </w:r>
    </w:p>
    <w:p w14:paraId="6390C0C8" w14:textId="77777777" w:rsidR="00DC0F15" w:rsidRPr="004872D9" w:rsidRDefault="00DC0F15" w:rsidP="00DC0F15">
      <w:pPr>
        <w:pStyle w:val="Odsekzoznamu"/>
        <w:ind w:left="426"/>
        <w:jc w:val="both"/>
        <w:rPr>
          <w:rFonts w:cs="Times New Roman"/>
        </w:rPr>
      </w:pPr>
    </w:p>
    <w:p w14:paraId="2EFDB4FF" w14:textId="73E658EA" w:rsidR="00DC0F15" w:rsidRPr="00AA10C1" w:rsidRDefault="005D250D" w:rsidP="00DC575C">
      <w:pPr>
        <w:spacing w:after="120" w:line="240" w:lineRule="auto"/>
        <w:jc w:val="both"/>
      </w:pPr>
      <w:r w:rsidRPr="006C68F0">
        <w:t>Štátny dlh vo výške </w:t>
      </w:r>
      <w:r w:rsidRPr="006C68F0">
        <w:rPr>
          <w:lang w:eastAsia="sk-SK"/>
        </w:rPr>
        <w:t>66 540 942 tis. eur</w:t>
      </w:r>
      <w:r w:rsidRPr="006C68F0">
        <w:t xml:space="preserve"> tvorí 96,6 % konsolidovaného dlhu verejnej správy. Z tejto hodnoty tvoria štátne dlhopisy 60 285 843 tis. eur, zahraničné úvery od finančných inštitúcií, ktorých beneficientom je Ministerstvo financií SR 4 024 090 tis. eur. </w:t>
      </w:r>
      <w:r w:rsidRPr="00855EAC">
        <w:t>Podiel Slovenska na pôžičkách Európskeho nást</w:t>
      </w:r>
      <w:r>
        <w:t xml:space="preserve">roja finančnej stability (EFSF) </w:t>
      </w:r>
      <w:r w:rsidRPr="00855EAC">
        <w:t xml:space="preserve">sa zvýšil </w:t>
      </w:r>
      <w:r w:rsidR="00E555A1">
        <w:t>o 132</w:t>
      </w:r>
      <w:r w:rsidR="009A35B5">
        <w:t> </w:t>
      </w:r>
      <w:r w:rsidR="00E555A1">
        <w:t>126</w:t>
      </w:r>
      <w:r w:rsidR="009A35B5">
        <w:t> </w:t>
      </w:r>
      <w:r w:rsidR="00E555A1">
        <w:t>tis.</w:t>
      </w:r>
      <w:r w:rsidR="009A35B5">
        <w:t> </w:t>
      </w:r>
      <w:r w:rsidR="00E555A1">
        <w:t xml:space="preserve">eur </w:t>
      </w:r>
      <w:r w:rsidRPr="00855EAC">
        <w:t>na úroveň 1 972 930 tis. eur.</w:t>
      </w:r>
    </w:p>
    <w:p w14:paraId="10C056E2" w14:textId="2691A8BF" w:rsidR="00DC0F15" w:rsidRPr="00DC575C" w:rsidRDefault="00DC0F15" w:rsidP="00DC0F15">
      <w:pPr>
        <w:spacing w:after="120" w:line="240" w:lineRule="auto"/>
        <w:jc w:val="both"/>
        <w:rPr>
          <w:b/>
          <w:color w:val="548DD4" w:themeColor="text2" w:themeTint="99"/>
          <w:szCs w:val="22"/>
        </w:rPr>
      </w:pPr>
      <w:r w:rsidRPr="00DC575C">
        <w:rPr>
          <w:b/>
          <w:color w:val="548DD4" w:themeColor="text2" w:themeTint="99"/>
          <w:szCs w:val="22"/>
        </w:rPr>
        <w:t>Štruktúra d</w:t>
      </w:r>
      <w:r w:rsidR="00AA10C1" w:rsidRPr="00DC575C">
        <w:rPr>
          <w:b/>
          <w:color w:val="548DD4" w:themeColor="text2" w:themeTint="99"/>
          <w:szCs w:val="22"/>
        </w:rPr>
        <w:t>lhu verejnej správy k 31.12.2023</w:t>
      </w:r>
      <w:r w:rsidRPr="00DC575C">
        <w:rPr>
          <w:b/>
          <w:color w:val="548DD4" w:themeColor="text2" w:themeTint="99"/>
          <w:szCs w:val="22"/>
        </w:rPr>
        <w:t xml:space="preserve"> bola nasledovná:</w:t>
      </w:r>
    </w:p>
    <w:p w14:paraId="56FB7674" w14:textId="77777777" w:rsidR="00AA10C1" w:rsidRPr="00B91B6A" w:rsidRDefault="00AA10C1" w:rsidP="00AA10C1">
      <w:pPr>
        <w:pStyle w:val="Odsekzoznamu"/>
        <w:numPr>
          <w:ilvl w:val="0"/>
          <w:numId w:val="9"/>
        </w:numPr>
        <w:ind w:left="357" w:hanging="357"/>
        <w:jc w:val="both"/>
        <w:rPr>
          <w:rFonts w:cs="Times New Roman"/>
        </w:rPr>
      </w:pPr>
      <w:r w:rsidRPr="00B91B6A">
        <w:rPr>
          <w:rFonts w:cs="Times New Roman"/>
        </w:rPr>
        <w:t>Z hľadiska zdrojov financovania bol dlh financovaný predovšetkým cennými papiermi (87,4 %) a bankovými úvermi a inými záväzkami (12,5 %), z ktorých 22,9 % predstavuje záväzok Slovenska z EFSF a 0,9 % tvoria dlhodobé záväzky z obchodného styku a prijaté preddavky. Zostávajúcich 0,1 % tvorili majoritne záväzky, ktoré vyplývajú z vkladov peňažných prostriedkov v Štátnej pokladnici tých klientov, ktorí nie sú súčasťou verejnej správy.</w:t>
      </w:r>
    </w:p>
    <w:p w14:paraId="3599A823" w14:textId="77777777" w:rsidR="00AA10C1" w:rsidRPr="00AA10C1" w:rsidRDefault="00AA10C1" w:rsidP="00AA10C1">
      <w:pPr>
        <w:pStyle w:val="Odsekzoznamu"/>
        <w:numPr>
          <w:ilvl w:val="0"/>
          <w:numId w:val="9"/>
        </w:numPr>
        <w:jc w:val="both"/>
        <w:rPr>
          <w:rFonts w:cs="Times New Roman"/>
        </w:rPr>
      </w:pPr>
      <w:r w:rsidRPr="00AA10C1">
        <w:rPr>
          <w:rFonts w:cs="Times New Roman"/>
        </w:rPr>
        <w:t>Z hľadiska meny bol dlh verejnej správy v roku 2023 tvorený z 99,4 % dlhom v eurách. Len 0,6 % dlhu pripadá na iné meny, najmä v prípade štátnych dlhopisov (americké doláre, nórske koruny a japonské jeny).</w:t>
      </w:r>
    </w:p>
    <w:p w14:paraId="62D40A87" w14:textId="77777777" w:rsidR="00AA10C1" w:rsidRPr="00AA10C1" w:rsidRDefault="00AA10C1" w:rsidP="00AA10C1">
      <w:pPr>
        <w:pStyle w:val="Odsekzoznamu"/>
        <w:numPr>
          <w:ilvl w:val="0"/>
          <w:numId w:val="9"/>
        </w:numPr>
        <w:jc w:val="both"/>
        <w:rPr>
          <w:rFonts w:cs="Times New Roman"/>
        </w:rPr>
      </w:pPr>
      <w:r w:rsidRPr="00AA10C1">
        <w:rPr>
          <w:rFonts w:cs="Times New Roman"/>
        </w:rPr>
        <w:lastRenderedPageBreak/>
        <w:t>Z hľadiska pôvodnej splatnosti je dlh verejnej správy takmer výlučne dlhodobý. Z celkovej výšky dlhu tvorí dlh so splatnosťou dlhšou ako jeden rok 99,4 %. Z toho 2,7 % dlhu je splatných v rozpätí 1 až 5 rokov, 11,0 % dlhu je splatných od 5 do 10 rokov, 39,7 % dlhu je splatných v intervale od 10 do 15 rokov a splatnosť 46,0 % dlhu je vyššia ako 15 rokov. Do jedného roka je pôvodne splatných 0,6 % dlhu verejnej správy.</w:t>
      </w:r>
    </w:p>
    <w:p w14:paraId="03A6C1CF" w14:textId="182F31EC" w:rsidR="00DC0F15" w:rsidRPr="00AA10C1" w:rsidRDefault="00AA10C1" w:rsidP="00AA10C1">
      <w:pPr>
        <w:pStyle w:val="Odsekzoznamu"/>
        <w:numPr>
          <w:ilvl w:val="0"/>
          <w:numId w:val="9"/>
        </w:numPr>
        <w:spacing w:after="120"/>
        <w:ind w:left="357" w:hanging="357"/>
        <w:jc w:val="both"/>
        <w:rPr>
          <w:rFonts w:cs="Times New Roman"/>
        </w:rPr>
      </w:pPr>
      <w:r w:rsidRPr="00AA10C1">
        <w:rPr>
          <w:rFonts w:cs="Times New Roman"/>
        </w:rPr>
        <w:t>Z hľadiska teritoriálnej štruktúry pripadalo na tuzemských veriteľov 47,9 % a na zahraničných veriteľov 52,1 % z celkového dlhu. Tuzemskými veriteľmi sú predovšetkým finančné korporácie, ktoré majú v držbe 47,4 % dlhu verejnej správy.</w:t>
      </w:r>
    </w:p>
    <w:p w14:paraId="2F65D0A8" w14:textId="24317393" w:rsidR="005E1070" w:rsidRPr="00AA10C1" w:rsidRDefault="00DC0F15" w:rsidP="00DC0F15">
      <w:pPr>
        <w:spacing w:after="0" w:line="240" w:lineRule="auto"/>
        <w:jc w:val="both"/>
      </w:pPr>
      <w:r w:rsidRPr="00AA10C1">
        <w:t xml:space="preserve">Ďalšie informácie k zahraničným úverom v správe Ministerstva financií SR ako aj k úverom </w:t>
      </w:r>
      <w:r w:rsidR="00E555A1">
        <w:t xml:space="preserve">rozhodujúcich </w:t>
      </w:r>
      <w:r w:rsidRPr="00AA10C1">
        <w:t>subjektov verejnej správy sú uvedené v prílohe č. 3 tejto správy, v súhrnnej účtovnej závierke.</w:t>
      </w:r>
    </w:p>
    <w:p w14:paraId="4CF9E9EF" w14:textId="34BD4E08" w:rsidR="005E1070" w:rsidRPr="00AA10C1" w:rsidRDefault="005E1070"/>
    <w:p w14:paraId="7002882F" w14:textId="77777777" w:rsidR="00DC0F15" w:rsidRPr="00FD7FD5" w:rsidRDefault="00DC0F15" w:rsidP="00AA46C8">
      <w:pPr>
        <w:pStyle w:val="Nadpis2"/>
        <w:numPr>
          <w:ilvl w:val="0"/>
          <w:numId w:val="0"/>
        </w:numPr>
        <w:ind w:left="896"/>
      </w:pPr>
      <w:bookmarkStart w:id="21" w:name="_Toc117251102"/>
      <w:bookmarkStart w:id="22" w:name="_Toc181095962"/>
      <w:r w:rsidRPr="00FD7FD5">
        <w:t>1.4.</w:t>
      </w:r>
      <w:r w:rsidRPr="00FD7FD5">
        <w:tab/>
        <w:t>Čistý dlh verejnej správy</w:t>
      </w:r>
      <w:bookmarkEnd w:id="21"/>
      <w:bookmarkEnd w:id="22"/>
    </w:p>
    <w:p w14:paraId="741DFEEB" w14:textId="7645156A" w:rsidR="00FD7FD5" w:rsidRPr="00DD4EC8" w:rsidRDefault="00FD7FD5" w:rsidP="00A605ED">
      <w:pPr>
        <w:spacing w:after="0" w:line="240" w:lineRule="auto"/>
        <w:jc w:val="both"/>
        <w:rPr>
          <w:szCs w:val="22"/>
        </w:rPr>
      </w:pPr>
      <w:r w:rsidRPr="00DD4EC8">
        <w:rPr>
          <w:szCs w:val="22"/>
        </w:rPr>
        <w:t>Pokým hrubý dlh dosia</w:t>
      </w:r>
      <w:r w:rsidR="00753A62">
        <w:rPr>
          <w:szCs w:val="22"/>
        </w:rPr>
        <w:t>hol k 31.12.2023 hodnotu 56,1 % </w:t>
      </w:r>
      <w:r w:rsidR="0000175E">
        <w:rPr>
          <w:szCs w:val="22"/>
        </w:rPr>
        <w:t>HDP a medziročne klesol o 1</w:t>
      </w:r>
      <w:r w:rsidRPr="00DD4EC8">
        <w:rPr>
          <w:szCs w:val="22"/>
        </w:rPr>
        <w:t>,6 p. b.,</w:t>
      </w:r>
      <w:r w:rsidRPr="00DD4EC8">
        <w:rPr>
          <w:color w:val="4F81BD" w:themeColor="accent1"/>
          <w:szCs w:val="22"/>
        </w:rPr>
        <w:t xml:space="preserve"> </w:t>
      </w:r>
      <w:r w:rsidRPr="00DC575C">
        <w:rPr>
          <w:b/>
          <w:color w:val="548DD4" w:themeColor="text2" w:themeTint="99"/>
          <w:szCs w:val="22"/>
        </w:rPr>
        <w:t>čistý dlh dosiahol k 31.12.2023 výšku 59 388 984 tis. eur (48,3 % HDP) a oproti roku 2022 vzrástol o 0,8 p. b.</w:t>
      </w:r>
      <w:r w:rsidRPr="00DD4EC8">
        <w:rPr>
          <w:b/>
          <w:color w:val="4F81BD" w:themeColor="accent1"/>
          <w:szCs w:val="22"/>
        </w:rPr>
        <w:t xml:space="preserve"> </w:t>
      </w:r>
      <w:r w:rsidRPr="00DD4EC8">
        <w:rPr>
          <w:szCs w:val="22"/>
        </w:rPr>
        <w:t>Čistý dlh verejnej správy je analyticky vhodnejší ukazovateľ ako hrubý dlh pri pohľade na medziročnú dynamiku dlhu, pretože na rozdiel od ukazovateľa hrubého dlhu eliminuje rozdiely vzniknuté nárastom alebo poklesom finančných aktív a tým vernejšie zobrazuje skutočný vývoj zadlženosti štátu.</w:t>
      </w:r>
    </w:p>
    <w:p w14:paraId="3ABC88D8" w14:textId="77777777" w:rsidR="002D19D1" w:rsidRPr="00DC575C" w:rsidRDefault="002D19D1" w:rsidP="002D19D1">
      <w:pPr>
        <w:pStyle w:val="Popis"/>
        <w:framePr w:wrap="around" w:x="844" w:y="1867"/>
      </w:pPr>
      <w:r w:rsidRPr="00DC575C">
        <w:t xml:space="preserve">Tabuľka </w:t>
      </w:r>
      <w:r w:rsidR="001F05DE">
        <w:fldChar w:fldCharType="begin"/>
      </w:r>
      <w:r w:rsidR="001F05DE">
        <w:instrText xml:space="preserve"> SEQ Tabuľka \* ARABIC </w:instrText>
      </w:r>
      <w:r w:rsidR="001F05DE">
        <w:fldChar w:fldCharType="separate"/>
      </w:r>
      <w:r w:rsidRPr="00DC575C">
        <w:rPr>
          <w:noProof/>
        </w:rPr>
        <w:t>7</w:t>
      </w:r>
      <w:r w:rsidR="001F05DE">
        <w:rPr>
          <w:noProof/>
        </w:rPr>
        <w:fldChar w:fldCharType="end"/>
      </w:r>
      <w:r w:rsidRPr="00DC575C">
        <w:t xml:space="preserve"> - Čistý a hrubý dlh verejnej správy</w:t>
      </w:r>
    </w:p>
    <w:p w14:paraId="3DC978EE" w14:textId="01CCB194" w:rsidR="00FD7FD5" w:rsidRDefault="00FD7FD5" w:rsidP="003724FD">
      <w:pPr>
        <w:spacing w:before="120" w:after="0" w:line="240" w:lineRule="auto"/>
        <w:jc w:val="both"/>
        <w:rPr>
          <w:szCs w:val="22"/>
        </w:rPr>
      </w:pPr>
      <w:r w:rsidRPr="00A464EF">
        <w:rPr>
          <w:szCs w:val="22"/>
        </w:rPr>
        <w:t>Čistý dlh ukazuje schopnosť štátu splatiť svoj hrubý dlh na základe speňaženia svojich najlikvidnejších finančných aktív</w:t>
      </w:r>
      <w:r w:rsidRPr="00A464EF">
        <w:rPr>
          <w:b/>
          <w:szCs w:val="22"/>
        </w:rPr>
        <w:t xml:space="preserve">. Pokiaľ hrubý dlh verejnej správy prezentovaný v prvej kapitole je </w:t>
      </w:r>
      <w:r w:rsidR="00753A62">
        <w:rPr>
          <w:b/>
          <w:szCs w:val="22"/>
        </w:rPr>
        <w:t>presne vymedzený v metodike ESA </w:t>
      </w:r>
      <w:r w:rsidRPr="00A464EF">
        <w:rPr>
          <w:b/>
          <w:szCs w:val="22"/>
        </w:rPr>
        <w:t xml:space="preserve">2010, metodiku čistého dlhu zatiaľ upravuje len definícia v usmernení Európskej komisie. </w:t>
      </w:r>
      <w:r w:rsidRPr="00A464EF">
        <w:rPr>
          <w:szCs w:val="22"/>
        </w:rPr>
        <w:t xml:space="preserve">Podľa tejto definície </w:t>
      </w:r>
      <w:r w:rsidRPr="00A464EF">
        <w:rPr>
          <w:szCs w:val="22"/>
          <w:u w:val="single"/>
        </w:rPr>
        <w:t>čistý dlh verejnej správy predstavuje rozdiel medzi hrubým maastrichtským dlhom a súčtom menového zlata a špeciálnych práv čerpania (SDR), hotovosti, cenných papierov v trhovej hodnote (okrem akcií) a kótovaných akcií v trhovej hodnote</w:t>
      </w:r>
      <w:r w:rsidRPr="00A464EF">
        <w:rPr>
          <w:szCs w:val="22"/>
        </w:rPr>
        <w:t>.</w:t>
      </w:r>
    </w:p>
    <w:tbl>
      <w:tblPr>
        <w:tblW w:w="5000" w:type="pct"/>
        <w:tblCellMar>
          <w:left w:w="70" w:type="dxa"/>
          <w:right w:w="70" w:type="dxa"/>
        </w:tblCellMar>
        <w:tblLook w:val="04A0" w:firstRow="1" w:lastRow="0" w:firstColumn="1" w:lastColumn="0" w:noHBand="0" w:noVBand="1"/>
      </w:tblPr>
      <w:tblGrid>
        <w:gridCol w:w="2613"/>
        <w:gridCol w:w="540"/>
        <w:gridCol w:w="1166"/>
        <w:gridCol w:w="1166"/>
        <w:gridCol w:w="1154"/>
        <w:gridCol w:w="904"/>
        <w:gridCol w:w="904"/>
        <w:gridCol w:w="907"/>
      </w:tblGrid>
      <w:tr w:rsidR="00743710" w:rsidRPr="00743710" w14:paraId="44CB0B82" w14:textId="77777777" w:rsidTr="001B5F32">
        <w:trPr>
          <w:trHeight w:val="255"/>
        </w:trPr>
        <w:tc>
          <w:tcPr>
            <w:tcW w:w="1397" w:type="pct"/>
            <w:tcBorders>
              <w:top w:val="single" w:sz="4" w:space="0" w:color="auto"/>
              <w:left w:val="nil"/>
              <w:bottom w:val="nil"/>
              <w:right w:val="nil"/>
            </w:tcBorders>
            <w:shd w:val="clear" w:color="auto" w:fill="auto"/>
            <w:noWrap/>
            <w:vAlign w:val="center"/>
            <w:hideMark/>
          </w:tcPr>
          <w:p w14:paraId="1A5095F6" w14:textId="77777777" w:rsidR="00743710" w:rsidRPr="00743710" w:rsidRDefault="00743710" w:rsidP="00743710">
            <w:pPr>
              <w:spacing w:after="0" w:line="240" w:lineRule="auto"/>
              <w:rPr>
                <w:b/>
                <w:bCs/>
                <w:color w:val="000000"/>
                <w:sz w:val="20"/>
                <w:szCs w:val="20"/>
                <w:lang w:eastAsia="sk-SK"/>
              </w:rPr>
            </w:pPr>
            <w:r w:rsidRPr="00743710">
              <w:rPr>
                <w:b/>
                <w:bCs/>
                <w:color w:val="000000"/>
                <w:sz w:val="20"/>
                <w:szCs w:val="20"/>
                <w:lang w:eastAsia="sk-SK"/>
              </w:rPr>
              <w:t> </w:t>
            </w:r>
          </w:p>
        </w:tc>
        <w:tc>
          <w:tcPr>
            <w:tcW w:w="289" w:type="pct"/>
            <w:tcBorders>
              <w:top w:val="single" w:sz="4" w:space="0" w:color="auto"/>
              <w:left w:val="nil"/>
              <w:bottom w:val="nil"/>
              <w:right w:val="nil"/>
            </w:tcBorders>
            <w:shd w:val="clear" w:color="auto" w:fill="auto"/>
            <w:noWrap/>
            <w:vAlign w:val="center"/>
            <w:hideMark/>
          </w:tcPr>
          <w:p w14:paraId="2095B178" w14:textId="77777777"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 </w:t>
            </w:r>
          </w:p>
        </w:tc>
        <w:tc>
          <w:tcPr>
            <w:tcW w:w="623" w:type="pct"/>
            <w:tcBorders>
              <w:top w:val="single" w:sz="4" w:space="0" w:color="auto"/>
              <w:left w:val="nil"/>
              <w:bottom w:val="nil"/>
              <w:right w:val="nil"/>
            </w:tcBorders>
            <w:shd w:val="clear" w:color="auto" w:fill="auto"/>
            <w:vAlign w:val="center"/>
            <w:hideMark/>
          </w:tcPr>
          <w:p w14:paraId="29C61DCA" w14:textId="05AED0D3"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 </w:t>
            </w:r>
          </w:p>
        </w:tc>
        <w:tc>
          <w:tcPr>
            <w:tcW w:w="623" w:type="pct"/>
            <w:tcBorders>
              <w:top w:val="single" w:sz="4" w:space="0" w:color="auto"/>
              <w:left w:val="nil"/>
              <w:bottom w:val="nil"/>
              <w:right w:val="nil"/>
            </w:tcBorders>
            <w:shd w:val="clear" w:color="auto" w:fill="auto"/>
            <w:noWrap/>
            <w:vAlign w:val="center"/>
            <w:hideMark/>
          </w:tcPr>
          <w:p w14:paraId="30719604" w14:textId="4262B218"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v tis. eur</w:t>
            </w:r>
          </w:p>
        </w:tc>
        <w:tc>
          <w:tcPr>
            <w:tcW w:w="617" w:type="pct"/>
            <w:tcBorders>
              <w:top w:val="single" w:sz="4" w:space="0" w:color="auto"/>
              <w:left w:val="nil"/>
              <w:bottom w:val="nil"/>
              <w:right w:val="single" w:sz="4" w:space="0" w:color="auto"/>
            </w:tcBorders>
            <w:shd w:val="clear" w:color="auto" w:fill="auto"/>
            <w:vAlign w:val="center"/>
            <w:hideMark/>
          </w:tcPr>
          <w:p w14:paraId="1094E3CF" w14:textId="2BB5EE36"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 </w:t>
            </w:r>
          </w:p>
        </w:tc>
        <w:tc>
          <w:tcPr>
            <w:tcW w:w="483" w:type="pct"/>
            <w:tcBorders>
              <w:top w:val="single" w:sz="4" w:space="0" w:color="auto"/>
              <w:left w:val="nil"/>
              <w:bottom w:val="nil"/>
              <w:right w:val="nil"/>
            </w:tcBorders>
            <w:shd w:val="clear" w:color="auto" w:fill="auto"/>
            <w:noWrap/>
            <w:vAlign w:val="center"/>
            <w:hideMark/>
          </w:tcPr>
          <w:p w14:paraId="3AF43332" w14:textId="3D173E57" w:rsidR="00743710" w:rsidRPr="00743710" w:rsidRDefault="00743710" w:rsidP="00743710">
            <w:pPr>
              <w:spacing w:after="0" w:line="240" w:lineRule="auto"/>
              <w:rPr>
                <w:color w:val="000000"/>
                <w:sz w:val="20"/>
                <w:szCs w:val="20"/>
                <w:lang w:eastAsia="sk-SK"/>
              </w:rPr>
            </w:pPr>
            <w:r w:rsidRPr="00743710">
              <w:rPr>
                <w:color w:val="000000"/>
                <w:sz w:val="20"/>
                <w:szCs w:val="20"/>
                <w:lang w:eastAsia="sk-SK"/>
              </w:rPr>
              <w:t> </w:t>
            </w:r>
          </w:p>
        </w:tc>
        <w:tc>
          <w:tcPr>
            <w:tcW w:w="483" w:type="pct"/>
            <w:tcBorders>
              <w:top w:val="single" w:sz="4" w:space="0" w:color="auto"/>
              <w:left w:val="nil"/>
              <w:bottom w:val="nil"/>
              <w:right w:val="nil"/>
            </w:tcBorders>
            <w:shd w:val="clear" w:color="auto" w:fill="auto"/>
            <w:noWrap/>
            <w:vAlign w:val="center"/>
            <w:hideMark/>
          </w:tcPr>
          <w:p w14:paraId="455CEB71" w14:textId="2A2F2F44"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 HDP</w:t>
            </w:r>
          </w:p>
        </w:tc>
        <w:tc>
          <w:tcPr>
            <w:tcW w:w="485" w:type="pct"/>
            <w:tcBorders>
              <w:top w:val="single" w:sz="4" w:space="0" w:color="auto"/>
              <w:left w:val="nil"/>
              <w:bottom w:val="nil"/>
              <w:right w:val="nil"/>
            </w:tcBorders>
            <w:shd w:val="clear" w:color="auto" w:fill="auto"/>
            <w:noWrap/>
            <w:vAlign w:val="center"/>
            <w:hideMark/>
          </w:tcPr>
          <w:p w14:paraId="18C12592" w14:textId="5F2C23AC" w:rsidR="00743710" w:rsidRPr="00743710" w:rsidRDefault="00743710" w:rsidP="00743710">
            <w:pPr>
              <w:spacing w:after="0" w:line="240" w:lineRule="auto"/>
              <w:rPr>
                <w:color w:val="000000"/>
                <w:sz w:val="20"/>
                <w:szCs w:val="20"/>
                <w:lang w:eastAsia="sk-SK"/>
              </w:rPr>
            </w:pPr>
            <w:r w:rsidRPr="00743710">
              <w:rPr>
                <w:color w:val="000000"/>
                <w:sz w:val="20"/>
                <w:szCs w:val="20"/>
                <w:lang w:eastAsia="sk-SK"/>
              </w:rPr>
              <w:t> </w:t>
            </w:r>
          </w:p>
        </w:tc>
      </w:tr>
      <w:tr w:rsidR="00743710" w:rsidRPr="00743710" w14:paraId="48E24C2A" w14:textId="77777777" w:rsidTr="001B5F32">
        <w:trPr>
          <w:trHeight w:val="255"/>
        </w:trPr>
        <w:tc>
          <w:tcPr>
            <w:tcW w:w="1397" w:type="pct"/>
            <w:tcBorders>
              <w:top w:val="nil"/>
              <w:left w:val="nil"/>
              <w:bottom w:val="single" w:sz="4" w:space="0" w:color="auto"/>
              <w:right w:val="nil"/>
            </w:tcBorders>
            <w:shd w:val="clear" w:color="auto" w:fill="auto"/>
            <w:noWrap/>
            <w:vAlign w:val="center"/>
            <w:hideMark/>
          </w:tcPr>
          <w:p w14:paraId="3C856048" w14:textId="77777777"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 </w:t>
            </w:r>
          </w:p>
        </w:tc>
        <w:tc>
          <w:tcPr>
            <w:tcW w:w="289" w:type="pct"/>
            <w:tcBorders>
              <w:top w:val="nil"/>
              <w:left w:val="nil"/>
              <w:bottom w:val="single" w:sz="4" w:space="0" w:color="auto"/>
              <w:right w:val="nil"/>
            </w:tcBorders>
            <w:shd w:val="clear" w:color="auto" w:fill="auto"/>
            <w:noWrap/>
            <w:vAlign w:val="center"/>
            <w:hideMark/>
          </w:tcPr>
          <w:p w14:paraId="63CB6CC4" w14:textId="77777777"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 </w:t>
            </w:r>
          </w:p>
        </w:tc>
        <w:tc>
          <w:tcPr>
            <w:tcW w:w="623" w:type="pct"/>
            <w:tcBorders>
              <w:top w:val="nil"/>
              <w:left w:val="nil"/>
              <w:bottom w:val="single" w:sz="4" w:space="0" w:color="auto"/>
              <w:right w:val="nil"/>
            </w:tcBorders>
            <w:shd w:val="clear" w:color="auto" w:fill="auto"/>
            <w:noWrap/>
            <w:vAlign w:val="bottom"/>
            <w:hideMark/>
          </w:tcPr>
          <w:p w14:paraId="0E188767" w14:textId="23D534FE"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2021 S</w:t>
            </w:r>
          </w:p>
        </w:tc>
        <w:tc>
          <w:tcPr>
            <w:tcW w:w="623" w:type="pct"/>
            <w:tcBorders>
              <w:top w:val="nil"/>
              <w:left w:val="nil"/>
              <w:bottom w:val="single" w:sz="4" w:space="0" w:color="auto"/>
              <w:right w:val="nil"/>
            </w:tcBorders>
            <w:shd w:val="clear" w:color="auto" w:fill="auto"/>
            <w:noWrap/>
            <w:vAlign w:val="bottom"/>
            <w:hideMark/>
          </w:tcPr>
          <w:p w14:paraId="5E0F38FB" w14:textId="608646AC"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2022 S</w:t>
            </w:r>
          </w:p>
        </w:tc>
        <w:tc>
          <w:tcPr>
            <w:tcW w:w="617" w:type="pct"/>
            <w:tcBorders>
              <w:top w:val="nil"/>
              <w:left w:val="nil"/>
              <w:bottom w:val="single" w:sz="4" w:space="0" w:color="auto"/>
              <w:right w:val="single" w:sz="4" w:space="0" w:color="auto"/>
            </w:tcBorders>
            <w:shd w:val="clear" w:color="auto" w:fill="auto"/>
            <w:noWrap/>
            <w:vAlign w:val="bottom"/>
            <w:hideMark/>
          </w:tcPr>
          <w:p w14:paraId="0909E8BA" w14:textId="5B0D4007"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2023 S</w:t>
            </w:r>
          </w:p>
        </w:tc>
        <w:tc>
          <w:tcPr>
            <w:tcW w:w="483" w:type="pct"/>
            <w:tcBorders>
              <w:top w:val="nil"/>
              <w:left w:val="nil"/>
              <w:bottom w:val="single" w:sz="4" w:space="0" w:color="auto"/>
              <w:right w:val="nil"/>
            </w:tcBorders>
            <w:shd w:val="clear" w:color="auto" w:fill="auto"/>
            <w:noWrap/>
            <w:vAlign w:val="bottom"/>
            <w:hideMark/>
          </w:tcPr>
          <w:p w14:paraId="5C31DE7E" w14:textId="063B0089"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2021 S</w:t>
            </w:r>
          </w:p>
        </w:tc>
        <w:tc>
          <w:tcPr>
            <w:tcW w:w="483" w:type="pct"/>
            <w:tcBorders>
              <w:top w:val="nil"/>
              <w:left w:val="nil"/>
              <w:bottom w:val="single" w:sz="4" w:space="0" w:color="auto"/>
              <w:right w:val="nil"/>
            </w:tcBorders>
            <w:shd w:val="clear" w:color="auto" w:fill="auto"/>
            <w:noWrap/>
            <w:vAlign w:val="bottom"/>
            <w:hideMark/>
          </w:tcPr>
          <w:p w14:paraId="00316716" w14:textId="56C242A1"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2022 S</w:t>
            </w:r>
          </w:p>
        </w:tc>
        <w:tc>
          <w:tcPr>
            <w:tcW w:w="485" w:type="pct"/>
            <w:tcBorders>
              <w:top w:val="nil"/>
              <w:left w:val="nil"/>
              <w:bottom w:val="single" w:sz="4" w:space="0" w:color="auto"/>
              <w:right w:val="nil"/>
            </w:tcBorders>
            <w:shd w:val="clear" w:color="auto" w:fill="auto"/>
            <w:noWrap/>
            <w:vAlign w:val="bottom"/>
            <w:hideMark/>
          </w:tcPr>
          <w:p w14:paraId="024C6C45" w14:textId="3CDB4111"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2023 S</w:t>
            </w:r>
          </w:p>
        </w:tc>
      </w:tr>
      <w:tr w:rsidR="00743710" w:rsidRPr="00743710" w14:paraId="3C6252D4" w14:textId="77777777" w:rsidTr="001B5F32">
        <w:trPr>
          <w:trHeight w:val="255"/>
        </w:trPr>
        <w:tc>
          <w:tcPr>
            <w:tcW w:w="1397" w:type="pct"/>
            <w:tcBorders>
              <w:top w:val="nil"/>
              <w:left w:val="nil"/>
              <w:bottom w:val="nil"/>
              <w:right w:val="nil"/>
            </w:tcBorders>
            <w:shd w:val="clear" w:color="auto" w:fill="auto"/>
            <w:noWrap/>
            <w:vAlign w:val="center"/>
            <w:hideMark/>
          </w:tcPr>
          <w:p w14:paraId="2C90B8D8" w14:textId="77777777" w:rsidR="00743710" w:rsidRPr="00743710" w:rsidRDefault="00743710" w:rsidP="00743710">
            <w:pPr>
              <w:spacing w:after="0" w:line="240" w:lineRule="auto"/>
              <w:rPr>
                <w:b/>
                <w:bCs/>
                <w:color w:val="000000"/>
                <w:sz w:val="20"/>
                <w:szCs w:val="20"/>
                <w:lang w:eastAsia="sk-SK"/>
              </w:rPr>
            </w:pPr>
            <w:r w:rsidRPr="00743710">
              <w:rPr>
                <w:b/>
                <w:bCs/>
                <w:color w:val="000000"/>
                <w:sz w:val="20"/>
                <w:szCs w:val="20"/>
                <w:lang w:eastAsia="sk-SK"/>
              </w:rPr>
              <w:t>Hrubý dlh verejnej správy</w:t>
            </w:r>
          </w:p>
        </w:tc>
        <w:tc>
          <w:tcPr>
            <w:tcW w:w="289" w:type="pct"/>
            <w:tcBorders>
              <w:top w:val="nil"/>
              <w:left w:val="nil"/>
              <w:bottom w:val="nil"/>
              <w:right w:val="nil"/>
            </w:tcBorders>
            <w:shd w:val="clear" w:color="auto" w:fill="auto"/>
            <w:noWrap/>
            <w:vAlign w:val="center"/>
            <w:hideMark/>
          </w:tcPr>
          <w:p w14:paraId="471008F7" w14:textId="1BAB0763"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(1)</w:t>
            </w:r>
          </w:p>
        </w:tc>
        <w:tc>
          <w:tcPr>
            <w:tcW w:w="623" w:type="pct"/>
            <w:tcBorders>
              <w:top w:val="nil"/>
              <w:left w:val="nil"/>
              <w:bottom w:val="nil"/>
              <w:right w:val="nil"/>
            </w:tcBorders>
            <w:shd w:val="clear" w:color="auto" w:fill="auto"/>
            <w:vAlign w:val="center"/>
            <w:hideMark/>
          </w:tcPr>
          <w:p w14:paraId="4D34C50B" w14:textId="5237EF1E" w:rsidR="00743710" w:rsidRPr="00743710" w:rsidRDefault="00743710" w:rsidP="0000175E">
            <w:pPr>
              <w:spacing w:after="0" w:line="240" w:lineRule="auto"/>
              <w:jc w:val="right"/>
              <w:rPr>
                <w:b/>
                <w:bCs/>
                <w:sz w:val="20"/>
                <w:szCs w:val="20"/>
                <w:lang w:eastAsia="sk-SK"/>
              </w:rPr>
            </w:pPr>
            <w:r w:rsidRPr="00743710">
              <w:rPr>
                <w:b/>
                <w:bCs/>
                <w:sz w:val="20"/>
                <w:szCs w:val="20"/>
                <w:lang w:eastAsia="sk-SK"/>
              </w:rPr>
              <w:t xml:space="preserve">61 346 </w:t>
            </w:r>
            <w:r w:rsidR="0000175E">
              <w:rPr>
                <w:b/>
                <w:bCs/>
                <w:sz w:val="20"/>
                <w:szCs w:val="20"/>
                <w:lang w:eastAsia="sk-SK"/>
              </w:rPr>
              <w:t>330</w:t>
            </w:r>
          </w:p>
        </w:tc>
        <w:tc>
          <w:tcPr>
            <w:tcW w:w="623" w:type="pct"/>
            <w:tcBorders>
              <w:top w:val="nil"/>
              <w:left w:val="nil"/>
              <w:bottom w:val="nil"/>
              <w:right w:val="nil"/>
            </w:tcBorders>
            <w:shd w:val="clear" w:color="auto" w:fill="auto"/>
            <w:vAlign w:val="center"/>
            <w:hideMark/>
          </w:tcPr>
          <w:p w14:paraId="7C78249D" w14:textId="4B7DCA27" w:rsidR="00743710" w:rsidRPr="00743710" w:rsidRDefault="00743710" w:rsidP="0000175E">
            <w:pPr>
              <w:spacing w:after="0" w:line="240" w:lineRule="auto"/>
              <w:jc w:val="right"/>
              <w:rPr>
                <w:b/>
                <w:bCs/>
                <w:sz w:val="20"/>
                <w:szCs w:val="20"/>
                <w:lang w:eastAsia="sk-SK"/>
              </w:rPr>
            </w:pPr>
            <w:r w:rsidRPr="00743710">
              <w:rPr>
                <w:b/>
                <w:bCs/>
                <w:sz w:val="20"/>
                <w:szCs w:val="20"/>
                <w:lang w:eastAsia="sk-SK"/>
              </w:rPr>
              <w:t xml:space="preserve">63 498 </w:t>
            </w:r>
            <w:r w:rsidR="0000175E">
              <w:rPr>
                <w:b/>
                <w:bCs/>
                <w:sz w:val="20"/>
                <w:szCs w:val="20"/>
                <w:lang w:eastAsia="sk-SK"/>
              </w:rPr>
              <w:t>970</w:t>
            </w:r>
          </w:p>
        </w:tc>
        <w:tc>
          <w:tcPr>
            <w:tcW w:w="617" w:type="pct"/>
            <w:tcBorders>
              <w:top w:val="nil"/>
              <w:left w:val="nil"/>
              <w:bottom w:val="nil"/>
              <w:right w:val="single" w:sz="4" w:space="0" w:color="auto"/>
            </w:tcBorders>
            <w:shd w:val="clear" w:color="auto" w:fill="auto"/>
            <w:vAlign w:val="center"/>
            <w:hideMark/>
          </w:tcPr>
          <w:p w14:paraId="28219146" w14:textId="42CFE29D" w:rsidR="00743710" w:rsidRPr="00743710" w:rsidRDefault="00743710" w:rsidP="00743710">
            <w:pPr>
              <w:spacing w:after="0" w:line="240" w:lineRule="auto"/>
              <w:jc w:val="right"/>
              <w:rPr>
                <w:b/>
                <w:bCs/>
                <w:sz w:val="20"/>
                <w:szCs w:val="20"/>
                <w:lang w:eastAsia="sk-SK"/>
              </w:rPr>
            </w:pPr>
            <w:r w:rsidRPr="00743710">
              <w:rPr>
                <w:b/>
                <w:bCs/>
                <w:sz w:val="20"/>
                <w:szCs w:val="20"/>
                <w:lang w:eastAsia="sk-SK"/>
              </w:rPr>
              <w:t>68 897 804</w:t>
            </w:r>
          </w:p>
        </w:tc>
        <w:tc>
          <w:tcPr>
            <w:tcW w:w="483" w:type="pct"/>
            <w:tcBorders>
              <w:top w:val="nil"/>
              <w:left w:val="nil"/>
              <w:bottom w:val="nil"/>
              <w:right w:val="nil"/>
            </w:tcBorders>
            <w:shd w:val="clear" w:color="auto" w:fill="auto"/>
            <w:vAlign w:val="center"/>
            <w:hideMark/>
          </w:tcPr>
          <w:p w14:paraId="2ACEF62F" w14:textId="6C8F1FD6"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60,2</w:t>
            </w:r>
          </w:p>
        </w:tc>
        <w:tc>
          <w:tcPr>
            <w:tcW w:w="483" w:type="pct"/>
            <w:tcBorders>
              <w:top w:val="nil"/>
              <w:left w:val="nil"/>
              <w:bottom w:val="nil"/>
              <w:right w:val="nil"/>
            </w:tcBorders>
            <w:shd w:val="clear" w:color="auto" w:fill="auto"/>
            <w:vAlign w:val="center"/>
            <w:hideMark/>
          </w:tcPr>
          <w:p w14:paraId="60C7350D" w14:textId="2EBB034E"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57,7</w:t>
            </w:r>
          </w:p>
        </w:tc>
        <w:tc>
          <w:tcPr>
            <w:tcW w:w="485" w:type="pct"/>
            <w:tcBorders>
              <w:top w:val="nil"/>
              <w:left w:val="nil"/>
              <w:bottom w:val="nil"/>
              <w:right w:val="nil"/>
            </w:tcBorders>
            <w:shd w:val="clear" w:color="auto" w:fill="auto"/>
            <w:vAlign w:val="center"/>
            <w:hideMark/>
          </w:tcPr>
          <w:p w14:paraId="554B149B" w14:textId="15247CEE"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56,1</w:t>
            </w:r>
          </w:p>
        </w:tc>
      </w:tr>
      <w:tr w:rsidR="00743710" w:rsidRPr="00743710" w14:paraId="55330D68" w14:textId="77777777" w:rsidTr="001B5F32">
        <w:trPr>
          <w:trHeight w:val="255"/>
        </w:trPr>
        <w:tc>
          <w:tcPr>
            <w:tcW w:w="1397" w:type="pct"/>
            <w:tcBorders>
              <w:top w:val="nil"/>
              <w:left w:val="nil"/>
              <w:bottom w:val="nil"/>
              <w:right w:val="nil"/>
            </w:tcBorders>
            <w:shd w:val="clear" w:color="auto" w:fill="auto"/>
            <w:noWrap/>
            <w:vAlign w:val="center"/>
            <w:hideMark/>
          </w:tcPr>
          <w:p w14:paraId="231064A9" w14:textId="77777777" w:rsidR="00743710" w:rsidRPr="00743710" w:rsidRDefault="00743710" w:rsidP="00743710">
            <w:pPr>
              <w:spacing w:after="0" w:line="240" w:lineRule="auto"/>
              <w:rPr>
                <w:b/>
                <w:bCs/>
                <w:color w:val="000000"/>
                <w:sz w:val="20"/>
                <w:szCs w:val="20"/>
                <w:lang w:eastAsia="sk-SK"/>
              </w:rPr>
            </w:pPr>
            <w:r w:rsidRPr="00743710">
              <w:rPr>
                <w:b/>
                <w:bCs/>
                <w:color w:val="000000"/>
                <w:sz w:val="20"/>
                <w:szCs w:val="20"/>
                <w:lang w:eastAsia="sk-SK"/>
              </w:rPr>
              <w:t xml:space="preserve">Likvidné finančné aktíva:    </w:t>
            </w:r>
          </w:p>
        </w:tc>
        <w:tc>
          <w:tcPr>
            <w:tcW w:w="289" w:type="pct"/>
            <w:tcBorders>
              <w:top w:val="nil"/>
              <w:left w:val="nil"/>
              <w:bottom w:val="nil"/>
              <w:right w:val="nil"/>
            </w:tcBorders>
            <w:shd w:val="clear" w:color="auto" w:fill="auto"/>
            <w:noWrap/>
            <w:vAlign w:val="center"/>
            <w:hideMark/>
          </w:tcPr>
          <w:p w14:paraId="46F27279" w14:textId="37EA008A"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(2)</w:t>
            </w:r>
          </w:p>
        </w:tc>
        <w:tc>
          <w:tcPr>
            <w:tcW w:w="623" w:type="pct"/>
            <w:tcBorders>
              <w:top w:val="nil"/>
              <w:left w:val="nil"/>
              <w:bottom w:val="nil"/>
              <w:right w:val="nil"/>
            </w:tcBorders>
            <w:shd w:val="clear" w:color="auto" w:fill="auto"/>
            <w:vAlign w:val="center"/>
            <w:hideMark/>
          </w:tcPr>
          <w:p w14:paraId="5E1E65F2" w14:textId="18B4122D" w:rsidR="00743710" w:rsidRPr="00743710" w:rsidRDefault="00743710" w:rsidP="00743710">
            <w:pPr>
              <w:spacing w:after="0" w:line="240" w:lineRule="auto"/>
              <w:jc w:val="right"/>
              <w:rPr>
                <w:b/>
                <w:bCs/>
                <w:sz w:val="20"/>
                <w:szCs w:val="20"/>
                <w:lang w:eastAsia="sk-SK"/>
              </w:rPr>
            </w:pPr>
            <w:r w:rsidRPr="00743710">
              <w:rPr>
                <w:b/>
                <w:bCs/>
                <w:sz w:val="20"/>
                <w:szCs w:val="20"/>
                <w:lang w:eastAsia="sk-SK"/>
              </w:rPr>
              <w:t>11 479 383</w:t>
            </w:r>
          </w:p>
        </w:tc>
        <w:tc>
          <w:tcPr>
            <w:tcW w:w="623" w:type="pct"/>
            <w:tcBorders>
              <w:top w:val="nil"/>
              <w:left w:val="nil"/>
              <w:bottom w:val="nil"/>
              <w:right w:val="nil"/>
            </w:tcBorders>
            <w:shd w:val="clear" w:color="auto" w:fill="auto"/>
            <w:vAlign w:val="center"/>
            <w:hideMark/>
          </w:tcPr>
          <w:p w14:paraId="4F39D486" w14:textId="19B4338F" w:rsidR="00743710" w:rsidRPr="00743710" w:rsidRDefault="00743710" w:rsidP="00743710">
            <w:pPr>
              <w:spacing w:after="0" w:line="240" w:lineRule="auto"/>
              <w:jc w:val="right"/>
              <w:rPr>
                <w:b/>
                <w:bCs/>
                <w:sz w:val="20"/>
                <w:szCs w:val="20"/>
                <w:lang w:eastAsia="sk-SK"/>
              </w:rPr>
            </w:pPr>
            <w:r w:rsidRPr="00743710">
              <w:rPr>
                <w:b/>
                <w:bCs/>
                <w:sz w:val="20"/>
                <w:szCs w:val="20"/>
                <w:lang w:eastAsia="sk-SK"/>
              </w:rPr>
              <w:t>11 141 810</w:t>
            </w:r>
          </w:p>
        </w:tc>
        <w:tc>
          <w:tcPr>
            <w:tcW w:w="617" w:type="pct"/>
            <w:tcBorders>
              <w:top w:val="nil"/>
              <w:left w:val="nil"/>
              <w:bottom w:val="nil"/>
              <w:right w:val="single" w:sz="4" w:space="0" w:color="auto"/>
            </w:tcBorders>
            <w:shd w:val="clear" w:color="auto" w:fill="auto"/>
            <w:vAlign w:val="center"/>
            <w:hideMark/>
          </w:tcPr>
          <w:p w14:paraId="789AE9D3" w14:textId="4DC5812C" w:rsidR="00743710" w:rsidRPr="00743710" w:rsidRDefault="00743710" w:rsidP="00743710">
            <w:pPr>
              <w:spacing w:after="0" w:line="240" w:lineRule="auto"/>
              <w:jc w:val="right"/>
              <w:rPr>
                <w:b/>
                <w:bCs/>
                <w:sz w:val="20"/>
                <w:szCs w:val="20"/>
                <w:lang w:eastAsia="sk-SK"/>
              </w:rPr>
            </w:pPr>
            <w:r w:rsidRPr="00743710">
              <w:rPr>
                <w:b/>
                <w:bCs/>
                <w:sz w:val="20"/>
                <w:szCs w:val="20"/>
                <w:lang w:eastAsia="sk-SK"/>
              </w:rPr>
              <w:t>9 508 820</w:t>
            </w:r>
          </w:p>
        </w:tc>
        <w:tc>
          <w:tcPr>
            <w:tcW w:w="483" w:type="pct"/>
            <w:tcBorders>
              <w:top w:val="nil"/>
              <w:left w:val="nil"/>
              <w:bottom w:val="nil"/>
              <w:right w:val="nil"/>
            </w:tcBorders>
            <w:shd w:val="clear" w:color="auto" w:fill="auto"/>
            <w:vAlign w:val="center"/>
            <w:hideMark/>
          </w:tcPr>
          <w:p w14:paraId="6A0938FD" w14:textId="74ECD3D4"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11,3</w:t>
            </w:r>
          </w:p>
        </w:tc>
        <w:tc>
          <w:tcPr>
            <w:tcW w:w="483" w:type="pct"/>
            <w:tcBorders>
              <w:top w:val="nil"/>
              <w:left w:val="nil"/>
              <w:bottom w:val="nil"/>
              <w:right w:val="nil"/>
            </w:tcBorders>
            <w:shd w:val="clear" w:color="auto" w:fill="auto"/>
            <w:vAlign w:val="center"/>
            <w:hideMark/>
          </w:tcPr>
          <w:p w14:paraId="7EDC2D21" w14:textId="302A6AB8"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10,1</w:t>
            </w:r>
          </w:p>
        </w:tc>
        <w:tc>
          <w:tcPr>
            <w:tcW w:w="485" w:type="pct"/>
            <w:tcBorders>
              <w:top w:val="nil"/>
              <w:left w:val="nil"/>
              <w:bottom w:val="nil"/>
              <w:right w:val="nil"/>
            </w:tcBorders>
            <w:shd w:val="clear" w:color="auto" w:fill="auto"/>
            <w:vAlign w:val="center"/>
            <w:hideMark/>
          </w:tcPr>
          <w:p w14:paraId="5FBC486B" w14:textId="2D9641F8"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7,7</w:t>
            </w:r>
          </w:p>
        </w:tc>
      </w:tr>
      <w:tr w:rsidR="00743710" w:rsidRPr="00743710" w14:paraId="25A160A9" w14:textId="77777777" w:rsidTr="001B5F32">
        <w:trPr>
          <w:trHeight w:val="330"/>
        </w:trPr>
        <w:tc>
          <w:tcPr>
            <w:tcW w:w="1397" w:type="pct"/>
            <w:tcBorders>
              <w:top w:val="nil"/>
              <w:left w:val="nil"/>
              <w:bottom w:val="nil"/>
              <w:right w:val="nil"/>
            </w:tcBorders>
            <w:shd w:val="clear" w:color="auto" w:fill="auto"/>
            <w:noWrap/>
            <w:vAlign w:val="center"/>
            <w:hideMark/>
          </w:tcPr>
          <w:p w14:paraId="22963523" w14:textId="77777777" w:rsidR="00743710" w:rsidRPr="00743710" w:rsidRDefault="00743710" w:rsidP="00743710">
            <w:pPr>
              <w:spacing w:after="0" w:line="240" w:lineRule="auto"/>
              <w:rPr>
                <w:color w:val="000000"/>
                <w:sz w:val="20"/>
                <w:szCs w:val="20"/>
                <w:lang w:eastAsia="sk-SK"/>
              </w:rPr>
            </w:pPr>
            <w:r w:rsidRPr="00743710">
              <w:rPr>
                <w:color w:val="000000"/>
                <w:sz w:val="20"/>
                <w:szCs w:val="20"/>
                <w:lang w:eastAsia="sk-SK"/>
              </w:rPr>
              <w:t xml:space="preserve">         - menové zlato a SDR </w:t>
            </w:r>
          </w:p>
        </w:tc>
        <w:tc>
          <w:tcPr>
            <w:tcW w:w="289" w:type="pct"/>
            <w:tcBorders>
              <w:top w:val="nil"/>
              <w:left w:val="nil"/>
              <w:bottom w:val="nil"/>
              <w:right w:val="nil"/>
            </w:tcBorders>
            <w:shd w:val="clear" w:color="auto" w:fill="auto"/>
            <w:noWrap/>
            <w:vAlign w:val="bottom"/>
            <w:hideMark/>
          </w:tcPr>
          <w:p w14:paraId="778137D5" w14:textId="77777777" w:rsidR="00743710" w:rsidRPr="00743710" w:rsidRDefault="00743710" w:rsidP="00743710">
            <w:pPr>
              <w:spacing w:after="0" w:line="240" w:lineRule="auto"/>
              <w:rPr>
                <w:color w:val="000000"/>
                <w:sz w:val="20"/>
                <w:szCs w:val="20"/>
                <w:lang w:eastAsia="sk-SK"/>
              </w:rPr>
            </w:pPr>
          </w:p>
        </w:tc>
        <w:tc>
          <w:tcPr>
            <w:tcW w:w="623" w:type="pct"/>
            <w:tcBorders>
              <w:top w:val="nil"/>
              <w:left w:val="nil"/>
              <w:bottom w:val="nil"/>
              <w:right w:val="nil"/>
            </w:tcBorders>
            <w:shd w:val="clear" w:color="auto" w:fill="auto"/>
            <w:vAlign w:val="center"/>
            <w:hideMark/>
          </w:tcPr>
          <w:p w14:paraId="3347E875" w14:textId="1BF859B9" w:rsidR="00743710" w:rsidRPr="00743710" w:rsidRDefault="00743710" w:rsidP="00743710">
            <w:pPr>
              <w:spacing w:after="0" w:line="240" w:lineRule="auto"/>
              <w:jc w:val="right"/>
              <w:rPr>
                <w:sz w:val="20"/>
                <w:szCs w:val="20"/>
                <w:lang w:eastAsia="sk-SK"/>
              </w:rPr>
            </w:pPr>
            <w:r w:rsidRPr="00743710">
              <w:rPr>
                <w:sz w:val="20"/>
                <w:szCs w:val="20"/>
                <w:lang w:eastAsia="sk-SK"/>
              </w:rPr>
              <w:t>0</w:t>
            </w:r>
          </w:p>
        </w:tc>
        <w:tc>
          <w:tcPr>
            <w:tcW w:w="623" w:type="pct"/>
            <w:tcBorders>
              <w:top w:val="nil"/>
              <w:left w:val="nil"/>
              <w:bottom w:val="nil"/>
              <w:right w:val="nil"/>
            </w:tcBorders>
            <w:shd w:val="clear" w:color="auto" w:fill="auto"/>
            <w:vAlign w:val="center"/>
            <w:hideMark/>
          </w:tcPr>
          <w:p w14:paraId="68AD9091" w14:textId="2EC2318F" w:rsidR="00743710" w:rsidRPr="00743710" w:rsidRDefault="00743710" w:rsidP="00743710">
            <w:pPr>
              <w:spacing w:after="0" w:line="240" w:lineRule="auto"/>
              <w:jc w:val="right"/>
              <w:rPr>
                <w:sz w:val="20"/>
                <w:szCs w:val="20"/>
                <w:lang w:eastAsia="sk-SK"/>
              </w:rPr>
            </w:pPr>
            <w:r w:rsidRPr="00743710">
              <w:rPr>
                <w:sz w:val="20"/>
                <w:szCs w:val="20"/>
                <w:lang w:eastAsia="sk-SK"/>
              </w:rPr>
              <w:t>0</w:t>
            </w:r>
          </w:p>
        </w:tc>
        <w:tc>
          <w:tcPr>
            <w:tcW w:w="617" w:type="pct"/>
            <w:tcBorders>
              <w:top w:val="nil"/>
              <w:left w:val="nil"/>
              <w:bottom w:val="nil"/>
              <w:right w:val="single" w:sz="4" w:space="0" w:color="auto"/>
            </w:tcBorders>
            <w:shd w:val="clear" w:color="auto" w:fill="auto"/>
            <w:vAlign w:val="center"/>
            <w:hideMark/>
          </w:tcPr>
          <w:p w14:paraId="658FF020" w14:textId="2F362D6C" w:rsidR="00743710" w:rsidRPr="00743710" w:rsidRDefault="00743710" w:rsidP="00743710">
            <w:pPr>
              <w:spacing w:after="0" w:line="240" w:lineRule="auto"/>
              <w:jc w:val="right"/>
              <w:rPr>
                <w:sz w:val="20"/>
                <w:szCs w:val="20"/>
                <w:lang w:eastAsia="sk-SK"/>
              </w:rPr>
            </w:pPr>
            <w:r w:rsidRPr="00743710">
              <w:rPr>
                <w:sz w:val="20"/>
                <w:szCs w:val="20"/>
                <w:lang w:eastAsia="sk-SK"/>
              </w:rPr>
              <w:t>0</w:t>
            </w:r>
          </w:p>
        </w:tc>
        <w:tc>
          <w:tcPr>
            <w:tcW w:w="483" w:type="pct"/>
            <w:tcBorders>
              <w:top w:val="nil"/>
              <w:left w:val="nil"/>
              <w:bottom w:val="nil"/>
              <w:right w:val="nil"/>
            </w:tcBorders>
            <w:shd w:val="clear" w:color="auto" w:fill="auto"/>
            <w:vAlign w:val="center"/>
            <w:hideMark/>
          </w:tcPr>
          <w:p w14:paraId="5DFBF994" w14:textId="6358F6C0"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0,0</w:t>
            </w:r>
          </w:p>
        </w:tc>
        <w:tc>
          <w:tcPr>
            <w:tcW w:w="483" w:type="pct"/>
            <w:tcBorders>
              <w:top w:val="nil"/>
              <w:left w:val="nil"/>
              <w:bottom w:val="nil"/>
              <w:right w:val="nil"/>
            </w:tcBorders>
            <w:shd w:val="clear" w:color="auto" w:fill="auto"/>
            <w:vAlign w:val="center"/>
            <w:hideMark/>
          </w:tcPr>
          <w:p w14:paraId="26A28992" w14:textId="632A6F4C"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0,0</w:t>
            </w:r>
          </w:p>
        </w:tc>
        <w:tc>
          <w:tcPr>
            <w:tcW w:w="485" w:type="pct"/>
            <w:tcBorders>
              <w:top w:val="nil"/>
              <w:left w:val="nil"/>
              <w:bottom w:val="nil"/>
              <w:right w:val="nil"/>
            </w:tcBorders>
            <w:shd w:val="clear" w:color="auto" w:fill="auto"/>
            <w:vAlign w:val="center"/>
            <w:hideMark/>
          </w:tcPr>
          <w:p w14:paraId="4484619B" w14:textId="0EAE4CE6"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0,0</w:t>
            </w:r>
          </w:p>
        </w:tc>
      </w:tr>
      <w:tr w:rsidR="00743710" w:rsidRPr="00743710" w14:paraId="72F4F4EA" w14:textId="77777777" w:rsidTr="001B5F32">
        <w:trPr>
          <w:trHeight w:val="330"/>
        </w:trPr>
        <w:tc>
          <w:tcPr>
            <w:tcW w:w="1397" w:type="pct"/>
            <w:tcBorders>
              <w:top w:val="nil"/>
              <w:left w:val="nil"/>
              <w:bottom w:val="nil"/>
              <w:right w:val="nil"/>
            </w:tcBorders>
            <w:shd w:val="clear" w:color="auto" w:fill="auto"/>
            <w:noWrap/>
            <w:vAlign w:val="center"/>
            <w:hideMark/>
          </w:tcPr>
          <w:p w14:paraId="3B05F5B5" w14:textId="77777777" w:rsidR="00743710" w:rsidRPr="00743710" w:rsidRDefault="00743710" w:rsidP="00743710">
            <w:pPr>
              <w:spacing w:after="0" w:line="240" w:lineRule="auto"/>
              <w:rPr>
                <w:color w:val="000000"/>
                <w:sz w:val="20"/>
                <w:szCs w:val="20"/>
                <w:lang w:eastAsia="sk-SK"/>
              </w:rPr>
            </w:pPr>
            <w:r w:rsidRPr="00743710">
              <w:rPr>
                <w:color w:val="000000"/>
                <w:sz w:val="20"/>
                <w:szCs w:val="20"/>
                <w:lang w:eastAsia="sk-SK"/>
              </w:rPr>
              <w:t xml:space="preserve">         - hotovosť na účtoch VS </w:t>
            </w:r>
          </w:p>
        </w:tc>
        <w:tc>
          <w:tcPr>
            <w:tcW w:w="289" w:type="pct"/>
            <w:tcBorders>
              <w:top w:val="nil"/>
              <w:left w:val="nil"/>
              <w:bottom w:val="nil"/>
              <w:right w:val="nil"/>
            </w:tcBorders>
            <w:shd w:val="clear" w:color="auto" w:fill="auto"/>
            <w:noWrap/>
            <w:vAlign w:val="bottom"/>
            <w:hideMark/>
          </w:tcPr>
          <w:p w14:paraId="6EAFF113" w14:textId="77777777" w:rsidR="00743710" w:rsidRPr="00743710" w:rsidRDefault="00743710" w:rsidP="00743710">
            <w:pPr>
              <w:spacing w:after="0" w:line="240" w:lineRule="auto"/>
              <w:rPr>
                <w:color w:val="000000"/>
                <w:sz w:val="20"/>
                <w:szCs w:val="20"/>
                <w:lang w:eastAsia="sk-SK"/>
              </w:rPr>
            </w:pPr>
          </w:p>
        </w:tc>
        <w:tc>
          <w:tcPr>
            <w:tcW w:w="623" w:type="pct"/>
            <w:tcBorders>
              <w:top w:val="nil"/>
              <w:left w:val="nil"/>
              <w:bottom w:val="nil"/>
              <w:right w:val="nil"/>
            </w:tcBorders>
            <w:shd w:val="clear" w:color="auto" w:fill="auto"/>
            <w:vAlign w:val="center"/>
            <w:hideMark/>
          </w:tcPr>
          <w:p w14:paraId="6EC05B50" w14:textId="65ECBF8A" w:rsidR="00743710" w:rsidRPr="00743710" w:rsidRDefault="00743710" w:rsidP="00743710">
            <w:pPr>
              <w:spacing w:after="0" w:line="240" w:lineRule="auto"/>
              <w:jc w:val="right"/>
              <w:rPr>
                <w:sz w:val="20"/>
                <w:szCs w:val="20"/>
                <w:lang w:eastAsia="sk-SK"/>
              </w:rPr>
            </w:pPr>
            <w:r w:rsidRPr="00743710">
              <w:rPr>
                <w:sz w:val="20"/>
                <w:szCs w:val="20"/>
                <w:lang w:eastAsia="sk-SK"/>
              </w:rPr>
              <w:t>11 474 503</w:t>
            </w:r>
          </w:p>
        </w:tc>
        <w:tc>
          <w:tcPr>
            <w:tcW w:w="623" w:type="pct"/>
            <w:tcBorders>
              <w:top w:val="nil"/>
              <w:left w:val="nil"/>
              <w:bottom w:val="nil"/>
              <w:right w:val="nil"/>
            </w:tcBorders>
            <w:shd w:val="clear" w:color="auto" w:fill="auto"/>
            <w:vAlign w:val="center"/>
            <w:hideMark/>
          </w:tcPr>
          <w:p w14:paraId="647BFE2D" w14:textId="452637E6" w:rsidR="00743710" w:rsidRPr="00743710" w:rsidRDefault="00743710" w:rsidP="00743710">
            <w:pPr>
              <w:spacing w:after="0" w:line="240" w:lineRule="auto"/>
              <w:jc w:val="right"/>
              <w:rPr>
                <w:sz w:val="20"/>
                <w:szCs w:val="20"/>
                <w:lang w:eastAsia="sk-SK"/>
              </w:rPr>
            </w:pPr>
            <w:r w:rsidRPr="00743710">
              <w:rPr>
                <w:sz w:val="20"/>
                <w:szCs w:val="20"/>
                <w:lang w:eastAsia="sk-SK"/>
              </w:rPr>
              <w:t>11 136 971</w:t>
            </w:r>
          </w:p>
        </w:tc>
        <w:tc>
          <w:tcPr>
            <w:tcW w:w="617" w:type="pct"/>
            <w:tcBorders>
              <w:top w:val="nil"/>
              <w:left w:val="nil"/>
              <w:bottom w:val="nil"/>
              <w:right w:val="single" w:sz="4" w:space="0" w:color="auto"/>
            </w:tcBorders>
            <w:shd w:val="clear" w:color="auto" w:fill="auto"/>
            <w:vAlign w:val="center"/>
            <w:hideMark/>
          </w:tcPr>
          <w:p w14:paraId="03D2F6C4" w14:textId="0D5E7FD0" w:rsidR="00743710" w:rsidRPr="00743710" w:rsidRDefault="00743710" w:rsidP="00743710">
            <w:pPr>
              <w:spacing w:after="0" w:line="240" w:lineRule="auto"/>
              <w:jc w:val="right"/>
              <w:rPr>
                <w:sz w:val="20"/>
                <w:szCs w:val="20"/>
                <w:lang w:eastAsia="sk-SK"/>
              </w:rPr>
            </w:pPr>
            <w:r w:rsidRPr="00743710">
              <w:rPr>
                <w:sz w:val="20"/>
                <w:szCs w:val="20"/>
                <w:lang w:eastAsia="sk-SK"/>
              </w:rPr>
              <w:t>9 503 994</w:t>
            </w:r>
          </w:p>
        </w:tc>
        <w:tc>
          <w:tcPr>
            <w:tcW w:w="483" w:type="pct"/>
            <w:tcBorders>
              <w:top w:val="nil"/>
              <w:left w:val="nil"/>
              <w:bottom w:val="nil"/>
              <w:right w:val="nil"/>
            </w:tcBorders>
            <w:shd w:val="clear" w:color="auto" w:fill="auto"/>
            <w:vAlign w:val="center"/>
            <w:hideMark/>
          </w:tcPr>
          <w:p w14:paraId="4F517EB1" w14:textId="026BBB88"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11,3</w:t>
            </w:r>
          </w:p>
        </w:tc>
        <w:tc>
          <w:tcPr>
            <w:tcW w:w="483" w:type="pct"/>
            <w:tcBorders>
              <w:top w:val="nil"/>
              <w:left w:val="nil"/>
              <w:bottom w:val="nil"/>
              <w:right w:val="nil"/>
            </w:tcBorders>
            <w:shd w:val="clear" w:color="auto" w:fill="auto"/>
            <w:vAlign w:val="center"/>
            <w:hideMark/>
          </w:tcPr>
          <w:p w14:paraId="04761CB4" w14:textId="53234E89"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10,1</w:t>
            </w:r>
          </w:p>
        </w:tc>
        <w:tc>
          <w:tcPr>
            <w:tcW w:w="485" w:type="pct"/>
            <w:tcBorders>
              <w:top w:val="nil"/>
              <w:left w:val="nil"/>
              <w:bottom w:val="nil"/>
              <w:right w:val="nil"/>
            </w:tcBorders>
            <w:shd w:val="clear" w:color="auto" w:fill="auto"/>
            <w:vAlign w:val="center"/>
            <w:hideMark/>
          </w:tcPr>
          <w:p w14:paraId="4237D50C" w14:textId="742C6B03"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7,7</w:t>
            </w:r>
          </w:p>
        </w:tc>
      </w:tr>
      <w:tr w:rsidR="00743710" w:rsidRPr="00743710" w14:paraId="451A966D" w14:textId="77777777" w:rsidTr="001B5F32">
        <w:trPr>
          <w:trHeight w:val="330"/>
        </w:trPr>
        <w:tc>
          <w:tcPr>
            <w:tcW w:w="1397" w:type="pct"/>
            <w:tcBorders>
              <w:top w:val="nil"/>
              <w:left w:val="nil"/>
              <w:bottom w:val="nil"/>
              <w:right w:val="nil"/>
            </w:tcBorders>
            <w:shd w:val="clear" w:color="auto" w:fill="auto"/>
            <w:noWrap/>
            <w:vAlign w:val="center"/>
            <w:hideMark/>
          </w:tcPr>
          <w:p w14:paraId="3A64A0C1" w14:textId="77777777" w:rsidR="00743710" w:rsidRPr="00743710" w:rsidRDefault="00743710" w:rsidP="00743710">
            <w:pPr>
              <w:spacing w:after="0" w:line="240" w:lineRule="auto"/>
              <w:rPr>
                <w:color w:val="000000"/>
                <w:sz w:val="20"/>
                <w:szCs w:val="20"/>
                <w:lang w:eastAsia="sk-SK"/>
              </w:rPr>
            </w:pPr>
            <w:r w:rsidRPr="00743710">
              <w:rPr>
                <w:color w:val="000000"/>
                <w:sz w:val="20"/>
                <w:szCs w:val="20"/>
                <w:lang w:eastAsia="sk-SK"/>
              </w:rPr>
              <w:t xml:space="preserve">         - cenné papiere</w:t>
            </w:r>
          </w:p>
        </w:tc>
        <w:tc>
          <w:tcPr>
            <w:tcW w:w="289" w:type="pct"/>
            <w:tcBorders>
              <w:top w:val="nil"/>
              <w:left w:val="nil"/>
              <w:bottom w:val="nil"/>
              <w:right w:val="nil"/>
            </w:tcBorders>
            <w:shd w:val="clear" w:color="auto" w:fill="auto"/>
            <w:noWrap/>
            <w:vAlign w:val="bottom"/>
            <w:hideMark/>
          </w:tcPr>
          <w:p w14:paraId="4177EDBF" w14:textId="77777777" w:rsidR="00743710" w:rsidRPr="00743710" w:rsidRDefault="00743710" w:rsidP="00743710">
            <w:pPr>
              <w:spacing w:after="0" w:line="240" w:lineRule="auto"/>
              <w:rPr>
                <w:color w:val="000000"/>
                <w:sz w:val="20"/>
                <w:szCs w:val="20"/>
                <w:lang w:eastAsia="sk-SK"/>
              </w:rPr>
            </w:pPr>
          </w:p>
        </w:tc>
        <w:tc>
          <w:tcPr>
            <w:tcW w:w="623" w:type="pct"/>
            <w:tcBorders>
              <w:top w:val="nil"/>
              <w:left w:val="nil"/>
              <w:bottom w:val="nil"/>
              <w:right w:val="nil"/>
            </w:tcBorders>
            <w:shd w:val="clear" w:color="auto" w:fill="auto"/>
            <w:vAlign w:val="center"/>
            <w:hideMark/>
          </w:tcPr>
          <w:p w14:paraId="30E885DD" w14:textId="453C555F" w:rsidR="00743710" w:rsidRPr="00743710" w:rsidRDefault="00743710" w:rsidP="00743710">
            <w:pPr>
              <w:spacing w:after="0" w:line="240" w:lineRule="auto"/>
              <w:jc w:val="right"/>
              <w:rPr>
                <w:sz w:val="20"/>
                <w:szCs w:val="20"/>
                <w:lang w:eastAsia="sk-SK"/>
              </w:rPr>
            </w:pPr>
            <w:r w:rsidRPr="00743710">
              <w:rPr>
                <w:sz w:val="20"/>
                <w:szCs w:val="20"/>
                <w:lang w:eastAsia="sk-SK"/>
              </w:rPr>
              <w:t>4 880</w:t>
            </w:r>
          </w:p>
        </w:tc>
        <w:tc>
          <w:tcPr>
            <w:tcW w:w="623" w:type="pct"/>
            <w:tcBorders>
              <w:top w:val="nil"/>
              <w:left w:val="nil"/>
              <w:bottom w:val="nil"/>
              <w:right w:val="nil"/>
            </w:tcBorders>
            <w:shd w:val="clear" w:color="auto" w:fill="auto"/>
            <w:vAlign w:val="center"/>
            <w:hideMark/>
          </w:tcPr>
          <w:p w14:paraId="63644214" w14:textId="4C439EA2" w:rsidR="00743710" w:rsidRPr="00743710" w:rsidRDefault="00743710" w:rsidP="00743710">
            <w:pPr>
              <w:spacing w:after="0" w:line="240" w:lineRule="auto"/>
              <w:jc w:val="right"/>
              <w:rPr>
                <w:sz w:val="20"/>
                <w:szCs w:val="20"/>
                <w:lang w:eastAsia="sk-SK"/>
              </w:rPr>
            </w:pPr>
            <w:r w:rsidRPr="00743710">
              <w:rPr>
                <w:sz w:val="20"/>
                <w:szCs w:val="20"/>
                <w:lang w:eastAsia="sk-SK"/>
              </w:rPr>
              <w:t>4 839</w:t>
            </w:r>
          </w:p>
        </w:tc>
        <w:tc>
          <w:tcPr>
            <w:tcW w:w="617" w:type="pct"/>
            <w:tcBorders>
              <w:top w:val="nil"/>
              <w:left w:val="nil"/>
              <w:bottom w:val="nil"/>
              <w:right w:val="single" w:sz="4" w:space="0" w:color="auto"/>
            </w:tcBorders>
            <w:shd w:val="clear" w:color="auto" w:fill="auto"/>
            <w:vAlign w:val="center"/>
            <w:hideMark/>
          </w:tcPr>
          <w:p w14:paraId="1847EE75" w14:textId="298B6130" w:rsidR="00743710" w:rsidRPr="00743710" w:rsidRDefault="00743710" w:rsidP="00743710">
            <w:pPr>
              <w:spacing w:after="0" w:line="240" w:lineRule="auto"/>
              <w:jc w:val="right"/>
              <w:rPr>
                <w:sz w:val="20"/>
                <w:szCs w:val="20"/>
                <w:lang w:eastAsia="sk-SK"/>
              </w:rPr>
            </w:pPr>
            <w:r w:rsidRPr="00743710">
              <w:rPr>
                <w:sz w:val="20"/>
                <w:szCs w:val="20"/>
                <w:lang w:eastAsia="sk-SK"/>
              </w:rPr>
              <w:t>4 826</w:t>
            </w:r>
          </w:p>
        </w:tc>
        <w:tc>
          <w:tcPr>
            <w:tcW w:w="483" w:type="pct"/>
            <w:tcBorders>
              <w:top w:val="nil"/>
              <w:left w:val="nil"/>
              <w:bottom w:val="nil"/>
              <w:right w:val="nil"/>
            </w:tcBorders>
            <w:shd w:val="clear" w:color="auto" w:fill="auto"/>
            <w:vAlign w:val="center"/>
            <w:hideMark/>
          </w:tcPr>
          <w:p w14:paraId="1A93B547" w14:textId="4F21BC8F"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0,0</w:t>
            </w:r>
          </w:p>
        </w:tc>
        <w:tc>
          <w:tcPr>
            <w:tcW w:w="483" w:type="pct"/>
            <w:tcBorders>
              <w:top w:val="nil"/>
              <w:left w:val="nil"/>
              <w:bottom w:val="nil"/>
              <w:right w:val="nil"/>
            </w:tcBorders>
            <w:shd w:val="clear" w:color="auto" w:fill="auto"/>
            <w:vAlign w:val="center"/>
            <w:hideMark/>
          </w:tcPr>
          <w:p w14:paraId="2F9E362B" w14:textId="5BCD4E68"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0,0</w:t>
            </w:r>
          </w:p>
        </w:tc>
        <w:tc>
          <w:tcPr>
            <w:tcW w:w="485" w:type="pct"/>
            <w:tcBorders>
              <w:top w:val="nil"/>
              <w:left w:val="nil"/>
              <w:bottom w:val="nil"/>
              <w:right w:val="nil"/>
            </w:tcBorders>
            <w:shd w:val="clear" w:color="auto" w:fill="auto"/>
            <w:vAlign w:val="center"/>
            <w:hideMark/>
          </w:tcPr>
          <w:p w14:paraId="6390CD23" w14:textId="05ACD716"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0,0</w:t>
            </w:r>
          </w:p>
        </w:tc>
      </w:tr>
      <w:tr w:rsidR="00743710" w:rsidRPr="00743710" w14:paraId="56ECA1EA" w14:textId="77777777" w:rsidTr="001B5F32">
        <w:trPr>
          <w:trHeight w:val="330"/>
        </w:trPr>
        <w:tc>
          <w:tcPr>
            <w:tcW w:w="1397" w:type="pct"/>
            <w:tcBorders>
              <w:top w:val="nil"/>
              <w:left w:val="nil"/>
              <w:bottom w:val="nil"/>
              <w:right w:val="nil"/>
            </w:tcBorders>
            <w:shd w:val="clear" w:color="auto" w:fill="auto"/>
            <w:noWrap/>
            <w:vAlign w:val="center"/>
            <w:hideMark/>
          </w:tcPr>
          <w:p w14:paraId="28099DDA" w14:textId="77777777" w:rsidR="00743710" w:rsidRPr="00743710" w:rsidRDefault="00743710" w:rsidP="00743710">
            <w:pPr>
              <w:spacing w:after="0" w:line="240" w:lineRule="auto"/>
              <w:rPr>
                <w:color w:val="000000"/>
                <w:sz w:val="20"/>
                <w:szCs w:val="20"/>
                <w:lang w:eastAsia="sk-SK"/>
              </w:rPr>
            </w:pPr>
            <w:r w:rsidRPr="00743710">
              <w:rPr>
                <w:color w:val="000000"/>
                <w:sz w:val="20"/>
                <w:szCs w:val="20"/>
                <w:lang w:eastAsia="sk-SK"/>
              </w:rPr>
              <w:t xml:space="preserve">         - kótované akcie</w:t>
            </w:r>
          </w:p>
        </w:tc>
        <w:tc>
          <w:tcPr>
            <w:tcW w:w="289" w:type="pct"/>
            <w:tcBorders>
              <w:top w:val="nil"/>
              <w:left w:val="nil"/>
              <w:bottom w:val="nil"/>
              <w:right w:val="nil"/>
            </w:tcBorders>
            <w:shd w:val="clear" w:color="auto" w:fill="auto"/>
            <w:noWrap/>
            <w:vAlign w:val="bottom"/>
            <w:hideMark/>
          </w:tcPr>
          <w:p w14:paraId="13F98E43" w14:textId="77777777" w:rsidR="00743710" w:rsidRPr="00743710" w:rsidRDefault="00743710" w:rsidP="00743710">
            <w:pPr>
              <w:spacing w:after="0" w:line="240" w:lineRule="auto"/>
              <w:rPr>
                <w:color w:val="000000"/>
                <w:sz w:val="20"/>
                <w:szCs w:val="20"/>
                <w:lang w:eastAsia="sk-SK"/>
              </w:rPr>
            </w:pPr>
          </w:p>
        </w:tc>
        <w:tc>
          <w:tcPr>
            <w:tcW w:w="623" w:type="pct"/>
            <w:tcBorders>
              <w:top w:val="nil"/>
              <w:left w:val="nil"/>
              <w:bottom w:val="nil"/>
              <w:right w:val="nil"/>
            </w:tcBorders>
            <w:shd w:val="clear" w:color="auto" w:fill="auto"/>
            <w:vAlign w:val="center"/>
            <w:hideMark/>
          </w:tcPr>
          <w:p w14:paraId="67D3608D" w14:textId="45809E90" w:rsidR="00743710" w:rsidRPr="00743710" w:rsidRDefault="00743710" w:rsidP="00743710">
            <w:pPr>
              <w:spacing w:after="0" w:line="240" w:lineRule="auto"/>
              <w:jc w:val="right"/>
              <w:rPr>
                <w:sz w:val="20"/>
                <w:szCs w:val="20"/>
                <w:lang w:eastAsia="sk-SK"/>
              </w:rPr>
            </w:pPr>
            <w:r w:rsidRPr="00743710">
              <w:rPr>
                <w:sz w:val="20"/>
                <w:szCs w:val="20"/>
                <w:lang w:eastAsia="sk-SK"/>
              </w:rPr>
              <w:t>0</w:t>
            </w:r>
          </w:p>
        </w:tc>
        <w:tc>
          <w:tcPr>
            <w:tcW w:w="623" w:type="pct"/>
            <w:tcBorders>
              <w:top w:val="nil"/>
              <w:left w:val="nil"/>
              <w:bottom w:val="nil"/>
              <w:right w:val="nil"/>
            </w:tcBorders>
            <w:shd w:val="clear" w:color="auto" w:fill="auto"/>
            <w:vAlign w:val="center"/>
            <w:hideMark/>
          </w:tcPr>
          <w:p w14:paraId="332BF49D" w14:textId="7B73AEDF" w:rsidR="00743710" w:rsidRPr="00743710" w:rsidRDefault="00743710" w:rsidP="00743710">
            <w:pPr>
              <w:spacing w:after="0" w:line="240" w:lineRule="auto"/>
              <w:jc w:val="right"/>
              <w:rPr>
                <w:sz w:val="20"/>
                <w:szCs w:val="20"/>
                <w:lang w:eastAsia="sk-SK"/>
              </w:rPr>
            </w:pPr>
            <w:r w:rsidRPr="00743710">
              <w:rPr>
                <w:sz w:val="20"/>
                <w:szCs w:val="20"/>
                <w:lang w:eastAsia="sk-SK"/>
              </w:rPr>
              <w:t>0</w:t>
            </w:r>
          </w:p>
        </w:tc>
        <w:tc>
          <w:tcPr>
            <w:tcW w:w="617" w:type="pct"/>
            <w:tcBorders>
              <w:top w:val="nil"/>
              <w:left w:val="nil"/>
              <w:bottom w:val="nil"/>
              <w:right w:val="single" w:sz="4" w:space="0" w:color="auto"/>
            </w:tcBorders>
            <w:shd w:val="clear" w:color="auto" w:fill="auto"/>
            <w:vAlign w:val="center"/>
            <w:hideMark/>
          </w:tcPr>
          <w:p w14:paraId="3853FA63" w14:textId="0543168F" w:rsidR="00743710" w:rsidRPr="00743710" w:rsidRDefault="00743710" w:rsidP="00743710">
            <w:pPr>
              <w:spacing w:after="0" w:line="240" w:lineRule="auto"/>
              <w:jc w:val="right"/>
              <w:rPr>
                <w:sz w:val="20"/>
                <w:szCs w:val="20"/>
                <w:lang w:eastAsia="sk-SK"/>
              </w:rPr>
            </w:pPr>
            <w:r w:rsidRPr="00743710">
              <w:rPr>
                <w:sz w:val="20"/>
                <w:szCs w:val="20"/>
                <w:lang w:eastAsia="sk-SK"/>
              </w:rPr>
              <w:t>0</w:t>
            </w:r>
          </w:p>
        </w:tc>
        <w:tc>
          <w:tcPr>
            <w:tcW w:w="483" w:type="pct"/>
            <w:tcBorders>
              <w:top w:val="nil"/>
              <w:left w:val="nil"/>
              <w:bottom w:val="nil"/>
              <w:right w:val="nil"/>
            </w:tcBorders>
            <w:shd w:val="clear" w:color="auto" w:fill="auto"/>
            <w:vAlign w:val="center"/>
            <w:hideMark/>
          </w:tcPr>
          <w:p w14:paraId="08B96928" w14:textId="1C3EF428"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0,0</w:t>
            </w:r>
          </w:p>
        </w:tc>
        <w:tc>
          <w:tcPr>
            <w:tcW w:w="483" w:type="pct"/>
            <w:tcBorders>
              <w:top w:val="nil"/>
              <w:left w:val="nil"/>
              <w:bottom w:val="nil"/>
              <w:right w:val="nil"/>
            </w:tcBorders>
            <w:shd w:val="clear" w:color="auto" w:fill="auto"/>
            <w:vAlign w:val="center"/>
            <w:hideMark/>
          </w:tcPr>
          <w:p w14:paraId="4C03D80E" w14:textId="6E677345"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0,0</w:t>
            </w:r>
          </w:p>
        </w:tc>
        <w:tc>
          <w:tcPr>
            <w:tcW w:w="485" w:type="pct"/>
            <w:tcBorders>
              <w:top w:val="nil"/>
              <w:left w:val="nil"/>
              <w:bottom w:val="nil"/>
              <w:right w:val="nil"/>
            </w:tcBorders>
            <w:shd w:val="clear" w:color="auto" w:fill="auto"/>
            <w:vAlign w:val="center"/>
            <w:hideMark/>
          </w:tcPr>
          <w:p w14:paraId="4A847796" w14:textId="449F1A32" w:rsidR="00743710" w:rsidRPr="00743710" w:rsidRDefault="00743710" w:rsidP="00743710">
            <w:pPr>
              <w:spacing w:after="0" w:line="240" w:lineRule="auto"/>
              <w:jc w:val="center"/>
              <w:rPr>
                <w:color w:val="000000"/>
                <w:sz w:val="20"/>
                <w:szCs w:val="20"/>
                <w:lang w:eastAsia="sk-SK"/>
              </w:rPr>
            </w:pPr>
            <w:r w:rsidRPr="00743710">
              <w:rPr>
                <w:color w:val="000000"/>
                <w:sz w:val="20"/>
                <w:szCs w:val="20"/>
                <w:lang w:eastAsia="sk-SK"/>
              </w:rPr>
              <w:t>0,0</w:t>
            </w:r>
          </w:p>
        </w:tc>
      </w:tr>
      <w:tr w:rsidR="00743710" w:rsidRPr="00ED61F5" w14:paraId="670FDF28" w14:textId="77777777" w:rsidTr="001B5F32">
        <w:trPr>
          <w:trHeight w:val="255"/>
        </w:trPr>
        <w:tc>
          <w:tcPr>
            <w:tcW w:w="1397" w:type="pct"/>
            <w:tcBorders>
              <w:top w:val="single" w:sz="4" w:space="0" w:color="auto"/>
              <w:left w:val="nil"/>
              <w:bottom w:val="single" w:sz="4" w:space="0" w:color="auto"/>
              <w:right w:val="nil"/>
            </w:tcBorders>
            <w:shd w:val="clear" w:color="auto" w:fill="auto"/>
            <w:noWrap/>
            <w:vAlign w:val="center"/>
            <w:hideMark/>
          </w:tcPr>
          <w:p w14:paraId="4F0C617A" w14:textId="77777777" w:rsidR="00743710" w:rsidRPr="00743710" w:rsidRDefault="00743710" w:rsidP="00743710">
            <w:pPr>
              <w:spacing w:after="0" w:line="240" w:lineRule="auto"/>
              <w:rPr>
                <w:b/>
                <w:bCs/>
                <w:color w:val="000000"/>
                <w:sz w:val="20"/>
                <w:szCs w:val="20"/>
                <w:lang w:eastAsia="sk-SK"/>
              </w:rPr>
            </w:pPr>
            <w:r w:rsidRPr="00743710">
              <w:rPr>
                <w:b/>
                <w:bCs/>
                <w:color w:val="000000"/>
                <w:sz w:val="20"/>
                <w:szCs w:val="20"/>
                <w:lang w:eastAsia="sk-SK"/>
              </w:rPr>
              <w:t xml:space="preserve">Čistý dlh verejnej správy </w:t>
            </w:r>
            <w:r w:rsidRPr="00743710">
              <w:rPr>
                <w:color w:val="000000"/>
                <w:sz w:val="20"/>
                <w:szCs w:val="20"/>
                <w:lang w:eastAsia="sk-SK"/>
              </w:rPr>
              <w:t xml:space="preserve">                              </w:t>
            </w:r>
          </w:p>
        </w:tc>
        <w:tc>
          <w:tcPr>
            <w:tcW w:w="289" w:type="pct"/>
            <w:tcBorders>
              <w:top w:val="single" w:sz="4" w:space="0" w:color="auto"/>
              <w:left w:val="nil"/>
              <w:bottom w:val="single" w:sz="4" w:space="0" w:color="auto"/>
              <w:right w:val="nil"/>
            </w:tcBorders>
            <w:shd w:val="clear" w:color="auto" w:fill="auto"/>
            <w:noWrap/>
            <w:vAlign w:val="center"/>
            <w:hideMark/>
          </w:tcPr>
          <w:p w14:paraId="29046C80" w14:textId="317392FF"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(1-2)</w:t>
            </w:r>
          </w:p>
        </w:tc>
        <w:tc>
          <w:tcPr>
            <w:tcW w:w="623" w:type="pct"/>
            <w:tcBorders>
              <w:top w:val="single" w:sz="4" w:space="0" w:color="auto"/>
              <w:left w:val="nil"/>
              <w:bottom w:val="single" w:sz="4" w:space="0" w:color="auto"/>
              <w:right w:val="nil"/>
            </w:tcBorders>
            <w:shd w:val="clear" w:color="auto" w:fill="auto"/>
            <w:vAlign w:val="center"/>
            <w:hideMark/>
          </w:tcPr>
          <w:p w14:paraId="29C3228C" w14:textId="467F289A" w:rsidR="00743710" w:rsidRPr="00743710" w:rsidRDefault="00743710" w:rsidP="00AD1C3A">
            <w:pPr>
              <w:spacing w:after="0" w:line="240" w:lineRule="auto"/>
              <w:jc w:val="right"/>
              <w:rPr>
                <w:b/>
                <w:bCs/>
                <w:color w:val="000000"/>
                <w:sz w:val="20"/>
                <w:szCs w:val="20"/>
                <w:lang w:eastAsia="sk-SK"/>
              </w:rPr>
            </w:pPr>
            <w:r w:rsidRPr="00743710">
              <w:rPr>
                <w:b/>
                <w:bCs/>
                <w:color w:val="000000"/>
                <w:sz w:val="20"/>
                <w:szCs w:val="20"/>
                <w:lang w:eastAsia="sk-SK"/>
              </w:rPr>
              <w:t xml:space="preserve">49 866 </w:t>
            </w:r>
            <w:r w:rsidR="00AD1C3A">
              <w:rPr>
                <w:b/>
                <w:bCs/>
                <w:color w:val="000000"/>
                <w:sz w:val="20"/>
                <w:szCs w:val="20"/>
                <w:lang w:eastAsia="sk-SK"/>
              </w:rPr>
              <w:t>947</w:t>
            </w:r>
          </w:p>
        </w:tc>
        <w:tc>
          <w:tcPr>
            <w:tcW w:w="623" w:type="pct"/>
            <w:tcBorders>
              <w:top w:val="single" w:sz="4" w:space="0" w:color="auto"/>
              <w:left w:val="nil"/>
              <w:bottom w:val="single" w:sz="4" w:space="0" w:color="auto"/>
              <w:right w:val="nil"/>
            </w:tcBorders>
            <w:shd w:val="clear" w:color="auto" w:fill="auto"/>
            <w:vAlign w:val="center"/>
            <w:hideMark/>
          </w:tcPr>
          <w:p w14:paraId="3E11299B" w14:textId="3FF6BA92" w:rsidR="00743710" w:rsidRPr="00743710" w:rsidRDefault="00743710" w:rsidP="00AD1C3A">
            <w:pPr>
              <w:spacing w:after="0" w:line="240" w:lineRule="auto"/>
              <w:jc w:val="right"/>
              <w:rPr>
                <w:b/>
                <w:bCs/>
                <w:color w:val="000000"/>
                <w:sz w:val="20"/>
                <w:szCs w:val="20"/>
                <w:lang w:eastAsia="sk-SK"/>
              </w:rPr>
            </w:pPr>
            <w:r w:rsidRPr="00743710">
              <w:rPr>
                <w:b/>
                <w:bCs/>
                <w:color w:val="000000"/>
                <w:sz w:val="20"/>
                <w:szCs w:val="20"/>
                <w:lang w:eastAsia="sk-SK"/>
              </w:rPr>
              <w:t>5</w:t>
            </w:r>
            <w:r w:rsidR="00AD1C3A">
              <w:rPr>
                <w:b/>
                <w:bCs/>
                <w:color w:val="000000"/>
                <w:sz w:val="20"/>
                <w:szCs w:val="20"/>
                <w:lang w:eastAsia="sk-SK"/>
              </w:rPr>
              <w:t>2 357</w:t>
            </w:r>
            <w:r w:rsidRPr="00743710">
              <w:rPr>
                <w:b/>
                <w:bCs/>
                <w:color w:val="000000"/>
                <w:sz w:val="20"/>
                <w:szCs w:val="20"/>
                <w:lang w:eastAsia="sk-SK"/>
              </w:rPr>
              <w:t xml:space="preserve"> </w:t>
            </w:r>
            <w:r w:rsidR="00AD1C3A">
              <w:rPr>
                <w:b/>
                <w:bCs/>
                <w:color w:val="000000"/>
                <w:sz w:val="20"/>
                <w:szCs w:val="20"/>
                <w:lang w:eastAsia="sk-SK"/>
              </w:rPr>
              <w:t>160</w:t>
            </w:r>
          </w:p>
        </w:tc>
        <w:tc>
          <w:tcPr>
            <w:tcW w:w="617" w:type="pct"/>
            <w:tcBorders>
              <w:top w:val="single" w:sz="4" w:space="0" w:color="auto"/>
              <w:left w:val="nil"/>
              <w:bottom w:val="single" w:sz="4" w:space="0" w:color="auto"/>
              <w:right w:val="single" w:sz="4" w:space="0" w:color="auto"/>
            </w:tcBorders>
            <w:shd w:val="clear" w:color="auto" w:fill="auto"/>
            <w:vAlign w:val="center"/>
            <w:hideMark/>
          </w:tcPr>
          <w:p w14:paraId="3375E37F" w14:textId="5C71B054" w:rsidR="00743710" w:rsidRPr="00743710" w:rsidRDefault="00743710" w:rsidP="00743710">
            <w:pPr>
              <w:spacing w:after="0" w:line="240" w:lineRule="auto"/>
              <w:jc w:val="right"/>
              <w:rPr>
                <w:b/>
                <w:bCs/>
                <w:color w:val="000000"/>
                <w:sz w:val="20"/>
                <w:szCs w:val="20"/>
                <w:lang w:eastAsia="sk-SK"/>
              </w:rPr>
            </w:pPr>
            <w:r w:rsidRPr="00743710">
              <w:rPr>
                <w:b/>
                <w:bCs/>
                <w:color w:val="000000"/>
                <w:sz w:val="20"/>
                <w:szCs w:val="20"/>
                <w:lang w:eastAsia="sk-SK"/>
              </w:rPr>
              <w:t>59 388 984</w:t>
            </w:r>
          </w:p>
        </w:tc>
        <w:tc>
          <w:tcPr>
            <w:tcW w:w="483" w:type="pct"/>
            <w:tcBorders>
              <w:top w:val="single" w:sz="4" w:space="0" w:color="auto"/>
              <w:left w:val="nil"/>
              <w:bottom w:val="single" w:sz="4" w:space="0" w:color="auto"/>
              <w:right w:val="nil"/>
            </w:tcBorders>
            <w:shd w:val="clear" w:color="auto" w:fill="auto"/>
            <w:vAlign w:val="center"/>
            <w:hideMark/>
          </w:tcPr>
          <w:p w14:paraId="4CA53DDA" w14:textId="0F53676A"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48,9</w:t>
            </w:r>
          </w:p>
        </w:tc>
        <w:tc>
          <w:tcPr>
            <w:tcW w:w="483" w:type="pct"/>
            <w:tcBorders>
              <w:top w:val="single" w:sz="4" w:space="0" w:color="auto"/>
              <w:left w:val="nil"/>
              <w:bottom w:val="single" w:sz="4" w:space="0" w:color="auto"/>
              <w:right w:val="nil"/>
            </w:tcBorders>
            <w:shd w:val="clear" w:color="auto" w:fill="auto"/>
            <w:vAlign w:val="center"/>
            <w:hideMark/>
          </w:tcPr>
          <w:p w14:paraId="7A42AF4E" w14:textId="26C97A44"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47,6</w:t>
            </w:r>
          </w:p>
        </w:tc>
        <w:tc>
          <w:tcPr>
            <w:tcW w:w="485" w:type="pct"/>
            <w:tcBorders>
              <w:top w:val="single" w:sz="4" w:space="0" w:color="auto"/>
              <w:left w:val="nil"/>
              <w:bottom w:val="single" w:sz="4" w:space="0" w:color="auto"/>
              <w:right w:val="nil"/>
            </w:tcBorders>
            <w:shd w:val="clear" w:color="auto" w:fill="auto"/>
            <w:vAlign w:val="center"/>
            <w:hideMark/>
          </w:tcPr>
          <w:p w14:paraId="6B4C3EBE" w14:textId="1284E89E" w:rsidR="00743710" w:rsidRPr="00743710" w:rsidRDefault="00743710" w:rsidP="00743710">
            <w:pPr>
              <w:spacing w:after="0" w:line="240" w:lineRule="auto"/>
              <w:jc w:val="center"/>
              <w:rPr>
                <w:b/>
                <w:bCs/>
                <w:color w:val="000000"/>
                <w:sz w:val="20"/>
                <w:szCs w:val="20"/>
                <w:lang w:eastAsia="sk-SK"/>
              </w:rPr>
            </w:pPr>
            <w:r w:rsidRPr="00743710">
              <w:rPr>
                <w:b/>
                <w:bCs/>
                <w:color w:val="000000"/>
                <w:sz w:val="20"/>
                <w:szCs w:val="20"/>
                <w:lang w:eastAsia="sk-SK"/>
              </w:rPr>
              <w:t>48,3</w:t>
            </w:r>
          </w:p>
        </w:tc>
      </w:tr>
    </w:tbl>
    <w:p w14:paraId="6BB6998E" w14:textId="2CF40F61" w:rsidR="00042DE4" w:rsidRPr="009C4C76" w:rsidRDefault="00042DE4" w:rsidP="00042DE4">
      <w:pPr>
        <w:spacing w:after="0" w:line="240" w:lineRule="auto"/>
        <w:jc w:val="right"/>
        <w:rPr>
          <w:sz w:val="16"/>
          <w:szCs w:val="16"/>
        </w:rPr>
      </w:pPr>
      <w:r w:rsidRPr="009C4C76">
        <w:rPr>
          <w:sz w:val="16"/>
          <w:szCs w:val="16"/>
          <w:lang w:eastAsia="sk-SK"/>
        </w:rPr>
        <w:t>Zdroj: ŠÚ SR</w:t>
      </w:r>
    </w:p>
    <w:p w14:paraId="2F06004B" w14:textId="438A1A4D" w:rsidR="0090119D" w:rsidRPr="008271E1" w:rsidRDefault="0090119D" w:rsidP="0090119D">
      <w:pPr>
        <w:spacing w:before="120" w:after="120" w:line="240" w:lineRule="auto"/>
        <w:jc w:val="both"/>
      </w:pPr>
      <w:r w:rsidRPr="00B65190">
        <w:t xml:space="preserve">V prípade verejnej správy je súčasťou likvidných aktív najmä hotovosť na účtoch subjektov verejnej správy a v menšej </w:t>
      </w:r>
      <w:r w:rsidRPr="00B65190">
        <w:rPr>
          <w:szCs w:val="22"/>
        </w:rPr>
        <w:t>miere</w:t>
      </w:r>
      <w:r w:rsidRPr="00B65190">
        <w:t xml:space="preserve"> cenné papiere. </w:t>
      </w:r>
      <w:r w:rsidRPr="00B65190">
        <w:rPr>
          <w:b/>
        </w:rPr>
        <w:t>V roku 2023 oproti roku 2022 úroveň vkladov a obeživa poklesla o vyše 1 632 977 </w:t>
      </w:r>
      <w:r>
        <w:rPr>
          <w:b/>
        </w:rPr>
        <w:t xml:space="preserve">tis. eur, </w:t>
      </w:r>
      <w:r>
        <w:t>najmä</w:t>
      </w:r>
      <w:r w:rsidRPr="00B65190">
        <w:t xml:space="preserve"> u rozpočtových organizácií štátu. </w:t>
      </w:r>
      <w:r w:rsidR="006E3CC6">
        <w:t xml:space="preserve">Hotovostná rezerva štátu k 31. 12. 2023 dosiahla 6 612 910 tis. eur a jej úroveň sa oproti predchádzajúcemu roku znížila o 1 944 000 tis. eur. </w:t>
      </w:r>
      <w:r>
        <w:t>Ďalšie výrazné medziročné poklesy zaznamenali Sociálna poisťovňa a ŠFRB. Naopak najväčší medziročný nárast hotovosti zaznamenali Enviro</w:t>
      </w:r>
      <w:r w:rsidR="00281479">
        <w:t xml:space="preserve">nmentálny </w:t>
      </w:r>
      <w:r>
        <w:t>fond</w:t>
      </w:r>
      <w:r w:rsidR="00201F29">
        <w:t xml:space="preserve"> (o </w:t>
      </w:r>
      <w:r w:rsidR="00654004" w:rsidRPr="004B11B3">
        <w:t>277</w:t>
      </w:r>
      <w:r w:rsidR="00201F29">
        <w:t> </w:t>
      </w:r>
      <w:r w:rsidR="00654004" w:rsidRPr="004B11B3">
        <w:t>00</w:t>
      </w:r>
      <w:r w:rsidR="004B11B3" w:rsidRPr="004B11B3">
        <w:t>2</w:t>
      </w:r>
      <w:r w:rsidR="00201F29">
        <w:t> </w:t>
      </w:r>
      <w:r w:rsidR="00654004" w:rsidRPr="004B11B3">
        <w:t>tis</w:t>
      </w:r>
      <w:r w:rsidR="00654004">
        <w:t>.</w:t>
      </w:r>
      <w:r w:rsidR="00201F29">
        <w:t> </w:t>
      </w:r>
      <w:r w:rsidR="00654004">
        <w:t>eur</w:t>
      </w:r>
      <w:r w:rsidR="003C3610">
        <w:t>, najmä z príjmov z predaja emisných k</w:t>
      </w:r>
      <w:r w:rsidR="000421E4">
        <w:t>v</w:t>
      </w:r>
      <w:r w:rsidR="003C3610">
        <w:t>ót</w:t>
      </w:r>
      <w:r w:rsidR="00654004">
        <w:t>)</w:t>
      </w:r>
      <w:r>
        <w:t xml:space="preserve">, zdravotné poisťovne </w:t>
      </w:r>
      <w:r w:rsidR="00201F29">
        <w:t>(o </w:t>
      </w:r>
      <w:r w:rsidR="00654004" w:rsidRPr="00201F29">
        <w:t>176</w:t>
      </w:r>
      <w:r w:rsidR="00201F29">
        <w:t> </w:t>
      </w:r>
      <w:r w:rsidR="00654004" w:rsidRPr="00201F29">
        <w:t>0</w:t>
      </w:r>
      <w:r w:rsidR="00201F29" w:rsidRPr="00201F29">
        <w:t>37</w:t>
      </w:r>
      <w:r w:rsidR="00201F29">
        <w:t> </w:t>
      </w:r>
      <w:r w:rsidR="00654004" w:rsidRPr="00201F29">
        <w:t>tis.</w:t>
      </w:r>
      <w:r w:rsidR="00201F29">
        <w:t> </w:t>
      </w:r>
      <w:r w:rsidR="00654004">
        <w:t>eur)</w:t>
      </w:r>
      <w:r w:rsidR="00201F29">
        <w:t>.</w:t>
      </w:r>
      <w:r>
        <w:t xml:space="preserve"> Mierny pokles obeživa a vkladov v roku 2023 spôsobila najmä konsolidácia súvisiaca so zaradením SZRB do sektora verejnej správy. </w:t>
      </w:r>
      <w:r w:rsidRPr="008271E1">
        <w:t>Oproti jarnej notifikácii prišlo k aktualizácii údajov, pričom vplyv na</w:t>
      </w:r>
      <w:r>
        <w:t xml:space="preserve"> </w:t>
      </w:r>
      <w:r w:rsidRPr="008271E1">
        <w:t>rast obeživa a vkladov za sledované obdobie 2021 – 2022 mala reklasifikácia</w:t>
      </w:r>
      <w:r w:rsidR="0084361E">
        <w:t xml:space="preserve"> miestnych akčných skupín (ďalej len</w:t>
      </w:r>
      <w:r w:rsidRPr="008271E1">
        <w:t xml:space="preserve"> MAS</w:t>
      </w:r>
      <w:r w:rsidR="0084361E">
        <w:t>)</w:t>
      </w:r>
      <w:r w:rsidRPr="008271E1">
        <w:t>.</w:t>
      </w:r>
    </w:p>
    <w:p w14:paraId="57898554" w14:textId="3C5450F7" w:rsidR="00042DE4" w:rsidRPr="00042DE4" w:rsidRDefault="003A4DE6" w:rsidP="00042DE4">
      <w:pPr>
        <w:spacing w:after="0" w:line="240" w:lineRule="auto"/>
        <w:jc w:val="both"/>
      </w:pPr>
      <w:r w:rsidRPr="008271E1">
        <w:t>Cenné papiere v aktívach predstavujú najmä cenné papiere obcí. I keď do sektora bola reklasifikovaná SZRB, ktorá mala na aktívach cenné papiere za 50 110 tis. eur,</w:t>
      </w:r>
      <w:r>
        <w:t xml:space="preserve"> </w:t>
      </w:r>
      <w:r w:rsidRPr="008271E1">
        <w:t>vďaka konsolidácii sa celkový stav cenných papierov medziročne takmer vôbec nezmenil</w:t>
      </w:r>
      <w:r>
        <w:t>.</w:t>
      </w:r>
    </w:p>
    <w:p w14:paraId="6D19D152" w14:textId="19C2107F" w:rsidR="003D050C" w:rsidRPr="00442DE1" w:rsidRDefault="00042DE4" w:rsidP="00AA46C8">
      <w:pPr>
        <w:pStyle w:val="Nadpis2"/>
        <w:numPr>
          <w:ilvl w:val="0"/>
          <w:numId w:val="0"/>
        </w:numPr>
        <w:ind w:left="896"/>
      </w:pPr>
      <w:bookmarkStart w:id="23" w:name="_Toc496786978"/>
      <w:bookmarkStart w:id="24" w:name="_Toc181095963"/>
      <w:r w:rsidRPr="00442DE1">
        <w:lastRenderedPageBreak/>
        <w:t>1</w:t>
      </w:r>
      <w:r w:rsidR="00A615D3" w:rsidRPr="00442DE1">
        <w:t>.</w:t>
      </w:r>
      <w:r w:rsidR="000231EB" w:rsidRPr="00442DE1">
        <w:t>5</w:t>
      </w:r>
      <w:r w:rsidR="00A615D3" w:rsidRPr="00442DE1">
        <w:t>.</w:t>
      </w:r>
      <w:r w:rsidR="00A615D3" w:rsidRPr="00442DE1">
        <w:tab/>
      </w:r>
      <w:r w:rsidR="003D050C" w:rsidRPr="00442DE1">
        <w:t>Porovnanie salda a dlhu verejnej správy v rámci Európskej únie</w:t>
      </w:r>
      <w:bookmarkEnd w:id="23"/>
      <w:bookmarkEnd w:id="24"/>
    </w:p>
    <w:p w14:paraId="37B37781" w14:textId="4220B2E1" w:rsidR="00442DE1" w:rsidRPr="00442DE1" w:rsidRDefault="00442DE1" w:rsidP="00442DE1">
      <w:pPr>
        <w:spacing w:after="120" w:line="240" w:lineRule="auto"/>
        <w:jc w:val="both"/>
        <w:rPr>
          <w:b/>
          <w:bCs/>
          <w:szCs w:val="22"/>
          <w:lang w:eastAsia="sk-SK"/>
        </w:rPr>
      </w:pPr>
      <w:r w:rsidRPr="00442DE1">
        <w:rPr>
          <w:szCs w:val="22"/>
        </w:rPr>
        <w:t xml:space="preserve">V rámci Európskej únie (27 krajín) v roku 2023 dosiahlo 5 krajín vyšší schodok a 13 krajín dosiahlo vyšší dlh verejnej správy ako Slovenská republika. </w:t>
      </w:r>
      <w:r w:rsidRPr="00442DE1">
        <w:rPr>
          <w:b/>
          <w:bCs/>
          <w:szCs w:val="22"/>
          <w:lang w:eastAsia="sk-SK"/>
        </w:rPr>
        <w:t>Priemerný schodok EÚ27 bol 3,5 % HDP (Slovensko schodok 5,2 % HDP) a priemerný dlh verejnej správy EÚ27 bol 80,8 % HDP (Slovensko 56,1 % HDP) v roku 2023.</w:t>
      </w:r>
    </w:p>
    <w:p w14:paraId="7AFC6461" w14:textId="2694B1B9" w:rsidR="00442DE1" w:rsidRPr="00442DE1" w:rsidRDefault="00442DE1" w:rsidP="00442DE1">
      <w:pPr>
        <w:spacing w:line="240" w:lineRule="auto"/>
        <w:jc w:val="both"/>
        <w:rPr>
          <w:szCs w:val="22"/>
        </w:rPr>
      </w:pPr>
      <w:r w:rsidRPr="00442DE1">
        <w:rPr>
          <w:szCs w:val="22"/>
        </w:rPr>
        <w:t>V rámci krajín EÚ27 došlo medziročne k nárastu HDP o 1 050 026 mil. eur (o 6,1 %) a nárastu dlhu o 581 906 mil. eur (o 4,2 %). Slovenská republika dosiahla v porovnaní s priemerom krajín EÚ aj Eurozóny horšie hodnoty deficitu a lepšie hodnoty dlhu. Medziročne v porovnaní s ostatnými EÚ krajinami dosiahla Slovenská republika najvyššie medziročné zhoršenie deficitu oproti roku 2022 a na druhej strane sa len mierne zníži</w:t>
      </w:r>
      <w:r w:rsidR="005D6EB6">
        <w:rPr>
          <w:szCs w:val="22"/>
        </w:rPr>
        <w:t>l</w:t>
      </w:r>
      <w:r w:rsidRPr="00442DE1">
        <w:rPr>
          <w:szCs w:val="22"/>
        </w:rPr>
        <w:t xml:space="preserve"> podiel </w:t>
      </w:r>
      <w:r w:rsidR="005D6EB6">
        <w:rPr>
          <w:szCs w:val="22"/>
        </w:rPr>
        <w:t xml:space="preserve">verejného </w:t>
      </w:r>
      <w:r w:rsidRPr="00442DE1">
        <w:rPr>
          <w:szCs w:val="22"/>
        </w:rPr>
        <w:t>dlhu</w:t>
      </w:r>
      <w:r w:rsidR="005D6EB6">
        <w:rPr>
          <w:szCs w:val="22"/>
        </w:rPr>
        <w:t>, najmä vďaka rastúcej báze HDP</w:t>
      </w:r>
      <w:r w:rsidRPr="00442DE1">
        <w:rPr>
          <w:szCs w:val="22"/>
        </w:rPr>
        <w:t>.</w:t>
      </w:r>
    </w:p>
    <w:p w14:paraId="3FA3D93F" w14:textId="62659CFE" w:rsidR="00442DE1" w:rsidRPr="00442DE1" w:rsidRDefault="00442DE1" w:rsidP="00442DE1">
      <w:pPr>
        <w:spacing w:after="120" w:line="240" w:lineRule="auto"/>
        <w:jc w:val="both"/>
        <w:rPr>
          <w:szCs w:val="22"/>
        </w:rPr>
      </w:pPr>
      <w:r w:rsidRPr="00442DE1">
        <w:rPr>
          <w:szCs w:val="22"/>
        </w:rPr>
        <w:t>V Eurozóne (20</w:t>
      </w:r>
      <w:r w:rsidR="00AD6226">
        <w:rPr>
          <w:szCs w:val="22"/>
        </w:rPr>
        <w:t xml:space="preserve"> krajín</w:t>
      </w:r>
      <w:r w:rsidRPr="00442DE1">
        <w:rPr>
          <w:szCs w:val="22"/>
        </w:rPr>
        <w:t xml:space="preserve">) podiel deficitu k HDP </w:t>
      </w:r>
      <w:r w:rsidR="00AD6226">
        <w:rPr>
          <w:szCs w:val="22"/>
        </w:rPr>
        <w:t>v</w:t>
      </w:r>
      <w:r w:rsidRPr="00442DE1">
        <w:rPr>
          <w:szCs w:val="22"/>
        </w:rPr>
        <w:t>zrástol z 3,5 % v roku 2022 na 3,6 % HDP v roku 2023 (t. j. zhoršenie o 0,1 p. b.) a v rámci EÚ z 3,2 % HDP na 3,5 % HDP (t. j. zhoršenie o 0,3 p. b.). V Eurozóne podiel vládneho dlhu klesol z 89,5 % ku koncu roka 2022 na 87,4 % HDP (t. j. zlepšenie o 2,1 p. b.) ku</w:t>
      </w:r>
      <w:r w:rsidR="00053376">
        <w:rPr>
          <w:szCs w:val="22"/>
        </w:rPr>
        <w:t> </w:t>
      </w:r>
      <w:r w:rsidRPr="00442DE1">
        <w:rPr>
          <w:szCs w:val="22"/>
        </w:rPr>
        <w:t>koncu roka 2023 a v rámci EÚ z 82,5 % na 80,8 % HDP (t. j. zlepšenie o 1,7 p. b.).</w:t>
      </w:r>
    </w:p>
    <w:p w14:paraId="0BD2110B" w14:textId="298FED98" w:rsidR="00442DE1" w:rsidRPr="00442DE1" w:rsidRDefault="00442DE1" w:rsidP="00442DE1">
      <w:pPr>
        <w:spacing w:after="120" w:line="240" w:lineRule="auto"/>
        <w:jc w:val="both"/>
        <w:rPr>
          <w:szCs w:val="22"/>
        </w:rPr>
      </w:pPr>
      <w:r w:rsidRPr="00442DE1">
        <w:rPr>
          <w:szCs w:val="22"/>
        </w:rPr>
        <w:t>Najvyššie schodky verejnej správy v rámci EÚ 27 v roku 2023 vyk</w:t>
      </w:r>
      <w:r w:rsidR="00C765EA">
        <w:rPr>
          <w:szCs w:val="22"/>
        </w:rPr>
        <w:t>ázali krajiny ako Taliansko 7,2</w:t>
      </w:r>
      <w:r w:rsidRPr="00442DE1">
        <w:rPr>
          <w:szCs w:val="22"/>
        </w:rPr>
        <w:t>%, Maďarsko 6,7</w:t>
      </w:r>
      <w:r w:rsidR="00C765EA">
        <w:t> </w:t>
      </w:r>
      <w:r w:rsidRPr="00442DE1">
        <w:rPr>
          <w:szCs w:val="22"/>
        </w:rPr>
        <w:t>%, Rumunsko 6,5 %, Francúzsko 5,5 %, Poľsko 5,3 %, Slovensko 5,2</w:t>
      </w:r>
      <w:r w:rsidR="00C765EA">
        <w:rPr>
          <w:szCs w:val="22"/>
        </w:rPr>
        <w:t> </w:t>
      </w:r>
      <w:r w:rsidRPr="00442DE1">
        <w:rPr>
          <w:szCs w:val="22"/>
        </w:rPr>
        <w:t>%, Malta 4,5</w:t>
      </w:r>
      <w:r w:rsidR="00C765EA">
        <w:rPr>
          <w:szCs w:val="22"/>
        </w:rPr>
        <w:t> </w:t>
      </w:r>
      <w:r w:rsidRPr="00442DE1">
        <w:rPr>
          <w:szCs w:val="22"/>
        </w:rPr>
        <w:t>% a Belgicko 4,2 %. Medziročné zlepšenie dosiahlo Lotyšsko o 2,5 p. b., Portugalsko o 1,5 p. b., Grécko o 1,2  p. b., Španielsko o 1,1 p. b. a Bulharsko a Taliansko o 0,9 p. b. Medziročné zhoršenie dosiahli</w:t>
      </w:r>
      <w:r w:rsidR="00AD6226">
        <w:rPr>
          <w:szCs w:val="22"/>
        </w:rPr>
        <w:t>, okrem Slovenska</w:t>
      </w:r>
      <w:r w:rsidRPr="00442DE1">
        <w:rPr>
          <w:szCs w:val="22"/>
        </w:rPr>
        <w:t xml:space="preserve"> o 3,5 p. b.,</w:t>
      </w:r>
      <w:r w:rsidR="00AD6226">
        <w:rPr>
          <w:szCs w:val="22"/>
        </w:rPr>
        <w:t xml:space="preserve"> aj krajiny ako</w:t>
      </w:r>
      <w:r w:rsidRPr="00442DE1">
        <w:rPr>
          <w:szCs w:val="22"/>
        </w:rPr>
        <w:t xml:space="preserve"> F</w:t>
      </w:r>
      <w:r w:rsidR="00C765EA">
        <w:rPr>
          <w:szCs w:val="22"/>
        </w:rPr>
        <w:t>ínsko o 2,8 p. b., Poľsko o 1,9 </w:t>
      </w:r>
      <w:r w:rsidRPr="00442DE1">
        <w:rPr>
          <w:szCs w:val="22"/>
        </w:rPr>
        <w:t xml:space="preserve">p. b., Estónsko o 1,7 p. b. a Švédsko o 1,6 p. b. </w:t>
      </w:r>
    </w:p>
    <w:p w14:paraId="0A98E082" w14:textId="17485651" w:rsidR="00AD6226" w:rsidRDefault="00442DE1" w:rsidP="000D6986">
      <w:pPr>
        <w:spacing w:line="240" w:lineRule="auto"/>
        <w:jc w:val="both"/>
        <w:rPr>
          <w:szCs w:val="22"/>
        </w:rPr>
      </w:pPr>
      <w:r w:rsidRPr="00442DE1">
        <w:rPr>
          <w:szCs w:val="22"/>
        </w:rPr>
        <w:t>Medzi krajinami s najvyšším dlhom sa nachádzajú krajiny s dlhodobo vysokými dlhmi ako Grécko, Taliansko a Španielsko. Päť krajín dosiahlo úroveň zadlženosti nad 100</w:t>
      </w:r>
      <w:r w:rsidR="004D02C1">
        <w:rPr>
          <w:szCs w:val="22"/>
        </w:rPr>
        <w:t>,0</w:t>
      </w:r>
      <w:r w:rsidRPr="00442DE1">
        <w:rPr>
          <w:szCs w:val="22"/>
        </w:rPr>
        <w:t xml:space="preserve"> % HDP. Najvyšší dlh verejnej správy v roku 2023 opäť vykázalo Grécko 163,9 % HDP, Taliansko 134,8 % HDP, Francúzsko 109,9 %, Španielsko 105,1 % HDP, Belgicko 103,1 % a Portugalsko 97,9 % HDP. Medziročný nárast dlhu dosiahlo desať krajín, a to najmä Fínsko o 3,1 p. b., Estónsko o 1,1 p. b., Rumunsko o 1,0 p. b. a Luxembursko a Poľsko o 0,9 p. b. K najvýraznejšiemu medziročnému zníženiu zadlženia došlo v krajinách ako Portugalsko o 13,3 p. b., Grécko o 13,1 p. b., Cyprus o 7,4 p. b., Chorvátsko o 6,7 p. b., Španielsko o 4,4 p. b. a Taliansko o 3,5 p. b. Najnižší dlh vykázalo opäť Estónsko vo výške 20,2 % HDP, Bulharsko 22,9 % HDP, Luxembursko 25,5 % HDP a Švédsko 31,5 % HDP.</w:t>
      </w:r>
    </w:p>
    <w:p w14:paraId="2E2FA958" w14:textId="77777777" w:rsidR="00AD6226" w:rsidRDefault="00AD6226">
      <w:pPr>
        <w:rPr>
          <w:szCs w:val="22"/>
        </w:rPr>
      </w:pPr>
      <w:r>
        <w:rPr>
          <w:szCs w:val="22"/>
        </w:rPr>
        <w:br w:type="page"/>
      </w:r>
    </w:p>
    <w:p w14:paraId="53D8DE51" w14:textId="53ED2D45" w:rsidR="001760DB" w:rsidRDefault="001760DB" w:rsidP="002D19D1">
      <w:pPr>
        <w:pStyle w:val="Popis"/>
        <w:framePr w:wrap="around" w:x="880" w:y="191"/>
      </w:pPr>
      <w:r>
        <w:lastRenderedPageBreak/>
        <w:t xml:space="preserve">Tabuľka </w:t>
      </w:r>
      <w:r w:rsidR="001F05DE">
        <w:fldChar w:fldCharType="begin"/>
      </w:r>
      <w:r w:rsidR="001F05DE">
        <w:instrText xml:space="preserve"> SEQ Tabuľka \* ARABIC </w:instrText>
      </w:r>
      <w:r w:rsidR="001F05DE">
        <w:fldChar w:fldCharType="separate"/>
      </w:r>
      <w:r w:rsidR="001348DE">
        <w:rPr>
          <w:noProof/>
        </w:rPr>
        <w:t>8</w:t>
      </w:r>
      <w:r w:rsidR="001F05DE">
        <w:rPr>
          <w:noProof/>
        </w:rPr>
        <w:fldChar w:fldCharType="end"/>
      </w:r>
      <w:r>
        <w:t xml:space="preserve"> - </w:t>
      </w:r>
      <w:r w:rsidRPr="005F636F">
        <w:t>Saldo a dlh verejnej správy v E</w:t>
      </w:r>
      <w:r>
        <w:t xml:space="preserve">Ú27 </w:t>
      </w:r>
      <w:r>
        <w:tab/>
      </w:r>
      <w:r>
        <w:tab/>
      </w:r>
      <w:r>
        <w:tab/>
      </w:r>
      <w:r>
        <w:tab/>
      </w:r>
      <w:r>
        <w:tab/>
      </w:r>
      <w:r>
        <w:tab/>
        <w:t xml:space="preserve">            </w:t>
      </w:r>
      <w:r w:rsidRPr="005F636F">
        <w:t>v % HDP</w:t>
      </w:r>
      <w:r w:rsidR="0048253F">
        <w:rPr>
          <w:vertAlign w:val="superscript"/>
        </w:rPr>
        <w:t>*</w:t>
      </w:r>
      <w:r w:rsidRPr="001760DB">
        <w:rPr>
          <w:vertAlign w:val="superscript"/>
        </w:rPr>
        <w:t>)</w:t>
      </w:r>
    </w:p>
    <w:tbl>
      <w:tblPr>
        <w:tblW w:w="9404" w:type="dxa"/>
        <w:tblCellMar>
          <w:left w:w="70" w:type="dxa"/>
          <w:right w:w="70" w:type="dxa"/>
        </w:tblCellMar>
        <w:tblLook w:val="04A0" w:firstRow="1" w:lastRow="0" w:firstColumn="1" w:lastColumn="0" w:noHBand="0" w:noVBand="1"/>
      </w:tblPr>
      <w:tblGrid>
        <w:gridCol w:w="1542"/>
        <w:gridCol w:w="764"/>
        <w:gridCol w:w="826"/>
        <w:gridCol w:w="742"/>
        <w:gridCol w:w="728"/>
        <w:gridCol w:w="1453"/>
        <w:gridCol w:w="843"/>
        <w:gridCol w:w="843"/>
        <w:gridCol w:w="864"/>
        <w:gridCol w:w="799"/>
      </w:tblGrid>
      <w:tr w:rsidR="00CB64EF" w:rsidRPr="00442DE1" w14:paraId="15E28C47" w14:textId="77777777" w:rsidTr="0034650C">
        <w:trPr>
          <w:trHeight w:val="259"/>
          <w:tblHeader/>
        </w:trPr>
        <w:tc>
          <w:tcPr>
            <w:tcW w:w="460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E32B113" w14:textId="77777777" w:rsidR="00CB64EF" w:rsidRPr="00442DE1" w:rsidRDefault="00CB64EF" w:rsidP="002847E9">
            <w:pPr>
              <w:spacing w:after="0" w:line="240" w:lineRule="auto"/>
              <w:jc w:val="center"/>
              <w:rPr>
                <w:b/>
                <w:bCs/>
                <w:sz w:val="20"/>
                <w:szCs w:val="20"/>
                <w:lang w:eastAsia="sk-SK"/>
              </w:rPr>
            </w:pPr>
            <w:r w:rsidRPr="00442DE1">
              <w:rPr>
                <w:b/>
                <w:bCs/>
                <w:sz w:val="20"/>
                <w:szCs w:val="20"/>
                <w:lang w:eastAsia="sk-SK"/>
              </w:rPr>
              <w:t xml:space="preserve">Saldo verejnej správy </w:t>
            </w:r>
          </w:p>
        </w:tc>
        <w:tc>
          <w:tcPr>
            <w:tcW w:w="4802" w:type="dxa"/>
            <w:gridSpan w:val="5"/>
            <w:tcBorders>
              <w:top w:val="single" w:sz="4" w:space="0" w:color="auto"/>
              <w:left w:val="nil"/>
              <w:bottom w:val="single" w:sz="4" w:space="0" w:color="auto"/>
              <w:right w:val="single" w:sz="4" w:space="0" w:color="auto"/>
            </w:tcBorders>
            <w:shd w:val="clear" w:color="auto" w:fill="auto"/>
            <w:vAlign w:val="center"/>
            <w:hideMark/>
          </w:tcPr>
          <w:p w14:paraId="39C00091" w14:textId="77777777" w:rsidR="00CB64EF" w:rsidRPr="00442DE1" w:rsidRDefault="00CB64EF" w:rsidP="002847E9">
            <w:pPr>
              <w:spacing w:after="0" w:line="240" w:lineRule="auto"/>
              <w:jc w:val="center"/>
              <w:rPr>
                <w:b/>
                <w:bCs/>
                <w:sz w:val="20"/>
                <w:szCs w:val="20"/>
                <w:lang w:eastAsia="sk-SK"/>
              </w:rPr>
            </w:pPr>
            <w:r w:rsidRPr="00442DE1">
              <w:rPr>
                <w:b/>
                <w:bCs/>
                <w:sz w:val="20"/>
                <w:szCs w:val="20"/>
                <w:lang w:eastAsia="sk-SK"/>
              </w:rPr>
              <w:t xml:space="preserve">Hrubý dlh verejnej správy </w:t>
            </w:r>
          </w:p>
        </w:tc>
      </w:tr>
      <w:tr w:rsidR="00442DE1" w:rsidRPr="00442DE1" w14:paraId="36C0DD24" w14:textId="77777777" w:rsidTr="0034650C">
        <w:trPr>
          <w:trHeight w:val="477"/>
          <w:tblHeader/>
        </w:trPr>
        <w:tc>
          <w:tcPr>
            <w:tcW w:w="1542" w:type="dxa"/>
            <w:tcBorders>
              <w:top w:val="nil"/>
              <w:left w:val="single" w:sz="4" w:space="0" w:color="auto"/>
              <w:bottom w:val="single" w:sz="4" w:space="0" w:color="auto"/>
              <w:right w:val="nil"/>
            </w:tcBorders>
            <w:shd w:val="clear" w:color="auto" w:fill="auto"/>
            <w:vAlign w:val="center"/>
            <w:hideMark/>
          </w:tcPr>
          <w:p w14:paraId="2F2C2BDA" w14:textId="57746D93" w:rsidR="00442DE1" w:rsidRPr="00442DE1" w:rsidRDefault="00442DE1" w:rsidP="00442DE1">
            <w:pPr>
              <w:spacing w:after="0" w:line="240" w:lineRule="auto"/>
              <w:rPr>
                <w:b/>
                <w:bCs/>
                <w:sz w:val="20"/>
                <w:szCs w:val="20"/>
                <w:lang w:eastAsia="sk-SK"/>
              </w:rPr>
            </w:pPr>
            <w:r w:rsidRPr="00442DE1">
              <w:rPr>
                <w:b/>
                <w:bCs/>
                <w:sz w:val="20"/>
                <w:szCs w:val="20"/>
                <w:lang w:eastAsia="sk-SK"/>
              </w:rPr>
              <w:t> </w:t>
            </w:r>
          </w:p>
        </w:tc>
        <w:tc>
          <w:tcPr>
            <w:tcW w:w="764" w:type="dxa"/>
            <w:tcBorders>
              <w:top w:val="nil"/>
              <w:left w:val="nil"/>
              <w:bottom w:val="single" w:sz="4" w:space="0" w:color="auto"/>
              <w:right w:val="nil"/>
            </w:tcBorders>
            <w:shd w:val="clear" w:color="auto" w:fill="auto"/>
            <w:vAlign w:val="center"/>
            <w:hideMark/>
          </w:tcPr>
          <w:p w14:paraId="4C9B1C8B" w14:textId="1968C766" w:rsidR="00442DE1" w:rsidRPr="00442DE1" w:rsidRDefault="00442DE1" w:rsidP="00442DE1">
            <w:pPr>
              <w:spacing w:after="0" w:line="240" w:lineRule="auto"/>
              <w:jc w:val="center"/>
              <w:rPr>
                <w:b/>
                <w:bCs/>
                <w:sz w:val="20"/>
                <w:szCs w:val="20"/>
                <w:lang w:eastAsia="sk-SK"/>
              </w:rPr>
            </w:pPr>
            <w:r w:rsidRPr="00442DE1">
              <w:rPr>
                <w:b/>
                <w:bCs/>
                <w:sz w:val="20"/>
                <w:szCs w:val="20"/>
                <w:lang w:eastAsia="sk-SK"/>
              </w:rPr>
              <w:t>2021</w:t>
            </w:r>
          </w:p>
        </w:tc>
        <w:tc>
          <w:tcPr>
            <w:tcW w:w="826" w:type="dxa"/>
            <w:tcBorders>
              <w:top w:val="nil"/>
              <w:left w:val="nil"/>
              <w:bottom w:val="single" w:sz="4" w:space="0" w:color="auto"/>
              <w:right w:val="nil"/>
            </w:tcBorders>
            <w:shd w:val="clear" w:color="auto" w:fill="auto"/>
            <w:vAlign w:val="center"/>
            <w:hideMark/>
          </w:tcPr>
          <w:p w14:paraId="75A2CBDF" w14:textId="67440BA4" w:rsidR="00442DE1" w:rsidRPr="00442DE1" w:rsidRDefault="00442DE1" w:rsidP="00442DE1">
            <w:pPr>
              <w:spacing w:after="0" w:line="240" w:lineRule="auto"/>
              <w:jc w:val="center"/>
              <w:rPr>
                <w:b/>
                <w:bCs/>
                <w:sz w:val="20"/>
                <w:szCs w:val="20"/>
                <w:lang w:eastAsia="sk-SK"/>
              </w:rPr>
            </w:pPr>
            <w:r w:rsidRPr="00442DE1">
              <w:rPr>
                <w:b/>
                <w:bCs/>
                <w:sz w:val="20"/>
                <w:szCs w:val="20"/>
                <w:lang w:eastAsia="sk-SK"/>
              </w:rPr>
              <w:t>2022</w:t>
            </w:r>
          </w:p>
        </w:tc>
        <w:tc>
          <w:tcPr>
            <w:tcW w:w="742" w:type="dxa"/>
            <w:tcBorders>
              <w:top w:val="nil"/>
              <w:left w:val="nil"/>
              <w:bottom w:val="single" w:sz="4" w:space="0" w:color="auto"/>
              <w:right w:val="nil"/>
            </w:tcBorders>
            <w:shd w:val="clear" w:color="auto" w:fill="auto"/>
            <w:vAlign w:val="center"/>
            <w:hideMark/>
          </w:tcPr>
          <w:p w14:paraId="01741FE1" w14:textId="0BF91057" w:rsidR="00442DE1" w:rsidRPr="00442DE1" w:rsidRDefault="00442DE1" w:rsidP="00442DE1">
            <w:pPr>
              <w:spacing w:after="0" w:line="240" w:lineRule="auto"/>
              <w:jc w:val="center"/>
              <w:rPr>
                <w:b/>
                <w:bCs/>
                <w:sz w:val="20"/>
                <w:szCs w:val="20"/>
                <w:lang w:eastAsia="sk-SK"/>
              </w:rPr>
            </w:pPr>
            <w:r w:rsidRPr="00442DE1">
              <w:rPr>
                <w:b/>
                <w:bCs/>
                <w:sz w:val="20"/>
                <w:szCs w:val="20"/>
                <w:lang w:eastAsia="sk-SK"/>
              </w:rPr>
              <w:t>2023</w:t>
            </w:r>
          </w:p>
        </w:tc>
        <w:tc>
          <w:tcPr>
            <w:tcW w:w="728" w:type="dxa"/>
            <w:tcBorders>
              <w:top w:val="nil"/>
              <w:left w:val="nil"/>
              <w:bottom w:val="single" w:sz="4" w:space="0" w:color="auto"/>
              <w:right w:val="nil"/>
            </w:tcBorders>
            <w:shd w:val="clear" w:color="auto" w:fill="auto"/>
            <w:vAlign w:val="center"/>
            <w:hideMark/>
          </w:tcPr>
          <w:p w14:paraId="5EF7A393" w14:textId="7BDDFB6B" w:rsidR="00442DE1" w:rsidRPr="00442DE1" w:rsidRDefault="00442DE1" w:rsidP="00442DE1">
            <w:pPr>
              <w:spacing w:after="0" w:line="240" w:lineRule="auto"/>
              <w:jc w:val="center"/>
              <w:rPr>
                <w:b/>
                <w:bCs/>
                <w:sz w:val="20"/>
                <w:szCs w:val="20"/>
                <w:lang w:eastAsia="sk-SK"/>
              </w:rPr>
            </w:pPr>
            <w:r w:rsidRPr="00442DE1">
              <w:rPr>
                <w:b/>
                <w:bCs/>
                <w:sz w:val="20"/>
                <w:szCs w:val="20"/>
                <w:lang w:eastAsia="sk-SK"/>
              </w:rPr>
              <w:t>Δ 2023 -2022</w:t>
            </w:r>
          </w:p>
        </w:tc>
        <w:tc>
          <w:tcPr>
            <w:tcW w:w="1453" w:type="dxa"/>
            <w:tcBorders>
              <w:top w:val="nil"/>
              <w:left w:val="single" w:sz="4" w:space="0" w:color="auto"/>
              <w:bottom w:val="single" w:sz="4" w:space="0" w:color="auto"/>
              <w:right w:val="nil"/>
            </w:tcBorders>
            <w:shd w:val="clear" w:color="auto" w:fill="auto"/>
            <w:noWrap/>
            <w:vAlign w:val="center"/>
            <w:hideMark/>
          </w:tcPr>
          <w:p w14:paraId="5D4B1804" w14:textId="2DD873A6" w:rsidR="00442DE1" w:rsidRPr="00442DE1" w:rsidRDefault="00442DE1" w:rsidP="00442DE1">
            <w:pPr>
              <w:spacing w:after="0" w:line="240" w:lineRule="auto"/>
              <w:ind w:firstLineChars="100" w:firstLine="201"/>
              <w:jc w:val="right"/>
              <w:rPr>
                <w:b/>
                <w:bCs/>
                <w:sz w:val="20"/>
                <w:szCs w:val="20"/>
                <w:lang w:eastAsia="sk-SK"/>
              </w:rPr>
            </w:pPr>
            <w:r w:rsidRPr="00442DE1">
              <w:rPr>
                <w:b/>
                <w:bCs/>
                <w:sz w:val="20"/>
                <w:szCs w:val="20"/>
                <w:lang w:eastAsia="sk-SK"/>
              </w:rPr>
              <w:t> </w:t>
            </w:r>
          </w:p>
        </w:tc>
        <w:tc>
          <w:tcPr>
            <w:tcW w:w="843" w:type="dxa"/>
            <w:tcBorders>
              <w:top w:val="nil"/>
              <w:left w:val="nil"/>
              <w:bottom w:val="single" w:sz="4" w:space="0" w:color="auto"/>
              <w:right w:val="nil"/>
            </w:tcBorders>
            <w:shd w:val="clear" w:color="auto" w:fill="auto"/>
            <w:vAlign w:val="center"/>
            <w:hideMark/>
          </w:tcPr>
          <w:p w14:paraId="24E5400D" w14:textId="288FED62" w:rsidR="00442DE1" w:rsidRPr="00442DE1" w:rsidRDefault="00442DE1" w:rsidP="00442DE1">
            <w:pPr>
              <w:spacing w:after="0" w:line="240" w:lineRule="auto"/>
              <w:jc w:val="center"/>
              <w:rPr>
                <w:b/>
                <w:bCs/>
                <w:sz w:val="20"/>
                <w:szCs w:val="20"/>
                <w:lang w:eastAsia="sk-SK"/>
              </w:rPr>
            </w:pPr>
            <w:r w:rsidRPr="00442DE1">
              <w:rPr>
                <w:b/>
                <w:bCs/>
                <w:sz w:val="20"/>
                <w:szCs w:val="20"/>
                <w:lang w:eastAsia="sk-SK"/>
              </w:rPr>
              <w:t>2021</w:t>
            </w:r>
          </w:p>
        </w:tc>
        <w:tc>
          <w:tcPr>
            <w:tcW w:w="843" w:type="dxa"/>
            <w:tcBorders>
              <w:top w:val="nil"/>
              <w:left w:val="nil"/>
              <w:bottom w:val="single" w:sz="4" w:space="0" w:color="auto"/>
              <w:right w:val="nil"/>
            </w:tcBorders>
            <w:shd w:val="clear" w:color="auto" w:fill="auto"/>
            <w:vAlign w:val="center"/>
            <w:hideMark/>
          </w:tcPr>
          <w:p w14:paraId="09D6EA19" w14:textId="7865FB1C" w:rsidR="00442DE1" w:rsidRPr="00442DE1" w:rsidRDefault="00442DE1" w:rsidP="00442DE1">
            <w:pPr>
              <w:spacing w:after="0" w:line="240" w:lineRule="auto"/>
              <w:jc w:val="center"/>
              <w:rPr>
                <w:b/>
                <w:bCs/>
                <w:sz w:val="20"/>
                <w:szCs w:val="20"/>
                <w:lang w:eastAsia="sk-SK"/>
              </w:rPr>
            </w:pPr>
            <w:r w:rsidRPr="00442DE1">
              <w:rPr>
                <w:b/>
                <w:bCs/>
                <w:sz w:val="20"/>
                <w:szCs w:val="20"/>
                <w:lang w:eastAsia="sk-SK"/>
              </w:rPr>
              <w:t>2022</w:t>
            </w:r>
          </w:p>
        </w:tc>
        <w:tc>
          <w:tcPr>
            <w:tcW w:w="864" w:type="dxa"/>
            <w:tcBorders>
              <w:top w:val="nil"/>
              <w:left w:val="nil"/>
              <w:bottom w:val="single" w:sz="4" w:space="0" w:color="auto"/>
              <w:right w:val="nil"/>
            </w:tcBorders>
            <w:shd w:val="clear" w:color="auto" w:fill="auto"/>
            <w:vAlign w:val="center"/>
            <w:hideMark/>
          </w:tcPr>
          <w:p w14:paraId="14DF7D7A" w14:textId="1130BF5A" w:rsidR="00442DE1" w:rsidRPr="00442DE1" w:rsidRDefault="00442DE1" w:rsidP="00442DE1">
            <w:pPr>
              <w:spacing w:after="0" w:line="240" w:lineRule="auto"/>
              <w:jc w:val="center"/>
              <w:rPr>
                <w:b/>
                <w:bCs/>
                <w:sz w:val="20"/>
                <w:szCs w:val="20"/>
                <w:lang w:eastAsia="sk-SK"/>
              </w:rPr>
            </w:pPr>
            <w:r w:rsidRPr="00442DE1">
              <w:rPr>
                <w:b/>
                <w:bCs/>
                <w:sz w:val="20"/>
                <w:szCs w:val="20"/>
                <w:lang w:eastAsia="sk-SK"/>
              </w:rPr>
              <w:t>2023</w:t>
            </w: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5CDD743B" w14:textId="55923E8D" w:rsidR="00442DE1" w:rsidRPr="00442DE1" w:rsidRDefault="00442DE1" w:rsidP="00442DE1">
            <w:pPr>
              <w:spacing w:after="0" w:line="240" w:lineRule="auto"/>
              <w:jc w:val="center"/>
              <w:rPr>
                <w:b/>
                <w:bCs/>
                <w:sz w:val="20"/>
                <w:szCs w:val="20"/>
                <w:lang w:eastAsia="sk-SK"/>
              </w:rPr>
            </w:pPr>
            <w:r w:rsidRPr="00442DE1">
              <w:rPr>
                <w:b/>
                <w:bCs/>
                <w:sz w:val="20"/>
                <w:szCs w:val="20"/>
                <w:lang w:eastAsia="sk-SK"/>
              </w:rPr>
              <w:t>Δ 2023 -2022</w:t>
            </w:r>
          </w:p>
        </w:tc>
      </w:tr>
      <w:tr w:rsidR="00442DE1" w:rsidRPr="00442DE1" w14:paraId="2812BF94"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1FF08286" w14:textId="354B55D0" w:rsidR="00442DE1" w:rsidRPr="00442DE1" w:rsidRDefault="00442DE1" w:rsidP="00442DE1">
            <w:pPr>
              <w:spacing w:after="0" w:line="240" w:lineRule="auto"/>
              <w:rPr>
                <w:b/>
                <w:bCs/>
                <w:sz w:val="20"/>
                <w:szCs w:val="20"/>
                <w:lang w:eastAsia="sk-SK"/>
              </w:rPr>
            </w:pPr>
            <w:r w:rsidRPr="00442DE1">
              <w:rPr>
                <w:b/>
                <w:bCs/>
                <w:sz w:val="20"/>
                <w:szCs w:val="20"/>
              </w:rPr>
              <w:t>EÚ (27 krajín)</w:t>
            </w:r>
          </w:p>
        </w:tc>
        <w:tc>
          <w:tcPr>
            <w:tcW w:w="764" w:type="dxa"/>
            <w:tcBorders>
              <w:top w:val="nil"/>
              <w:left w:val="nil"/>
              <w:bottom w:val="nil"/>
              <w:right w:val="nil"/>
            </w:tcBorders>
            <w:shd w:val="clear" w:color="auto" w:fill="auto"/>
            <w:noWrap/>
            <w:vAlign w:val="center"/>
            <w:hideMark/>
          </w:tcPr>
          <w:p w14:paraId="68CC1D5A" w14:textId="64A7A49D"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-4,6</w:t>
            </w:r>
          </w:p>
        </w:tc>
        <w:tc>
          <w:tcPr>
            <w:tcW w:w="826" w:type="dxa"/>
            <w:tcBorders>
              <w:top w:val="nil"/>
              <w:left w:val="nil"/>
              <w:bottom w:val="nil"/>
              <w:right w:val="nil"/>
            </w:tcBorders>
            <w:shd w:val="clear" w:color="auto" w:fill="auto"/>
            <w:noWrap/>
            <w:vAlign w:val="center"/>
            <w:hideMark/>
          </w:tcPr>
          <w:p w14:paraId="798EFB41" w14:textId="06FF940A"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-3,2</w:t>
            </w:r>
          </w:p>
        </w:tc>
        <w:tc>
          <w:tcPr>
            <w:tcW w:w="742" w:type="dxa"/>
            <w:tcBorders>
              <w:top w:val="nil"/>
              <w:left w:val="nil"/>
              <w:bottom w:val="nil"/>
              <w:right w:val="nil"/>
            </w:tcBorders>
            <w:shd w:val="clear" w:color="auto" w:fill="auto"/>
            <w:noWrap/>
            <w:vAlign w:val="center"/>
            <w:hideMark/>
          </w:tcPr>
          <w:p w14:paraId="7D49EC96" w14:textId="26DD11C9"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-3,5</w:t>
            </w:r>
          </w:p>
        </w:tc>
        <w:tc>
          <w:tcPr>
            <w:tcW w:w="728" w:type="dxa"/>
            <w:tcBorders>
              <w:top w:val="nil"/>
              <w:left w:val="nil"/>
              <w:bottom w:val="nil"/>
              <w:right w:val="nil"/>
            </w:tcBorders>
            <w:shd w:val="clear" w:color="auto" w:fill="auto"/>
            <w:noWrap/>
            <w:vAlign w:val="center"/>
            <w:hideMark/>
          </w:tcPr>
          <w:p w14:paraId="18063FFD" w14:textId="3DC593A0" w:rsidR="00442DE1" w:rsidRPr="00442DE1" w:rsidRDefault="00442DE1" w:rsidP="00442DE1">
            <w:pPr>
              <w:spacing w:after="0" w:line="240" w:lineRule="auto"/>
              <w:ind w:firstLineChars="100" w:firstLine="201"/>
              <w:jc w:val="center"/>
              <w:rPr>
                <w:b/>
                <w:bCs/>
                <w:color w:val="00B050"/>
                <w:sz w:val="20"/>
                <w:szCs w:val="20"/>
                <w:lang w:eastAsia="sk-SK"/>
              </w:rPr>
            </w:pPr>
            <w:r w:rsidRPr="00442DE1">
              <w:rPr>
                <w:b/>
                <w:bCs/>
                <w:color w:val="FF0000"/>
                <w:sz w:val="20"/>
                <w:szCs w:val="20"/>
              </w:rPr>
              <w:t>-0,3</w:t>
            </w:r>
          </w:p>
        </w:tc>
        <w:tc>
          <w:tcPr>
            <w:tcW w:w="1453" w:type="dxa"/>
            <w:tcBorders>
              <w:top w:val="nil"/>
              <w:left w:val="single" w:sz="4" w:space="0" w:color="auto"/>
              <w:bottom w:val="nil"/>
              <w:right w:val="nil"/>
            </w:tcBorders>
            <w:shd w:val="clear" w:color="auto" w:fill="auto"/>
            <w:noWrap/>
            <w:vAlign w:val="center"/>
            <w:hideMark/>
          </w:tcPr>
          <w:p w14:paraId="42D18C60" w14:textId="7B9FAF79" w:rsidR="00442DE1" w:rsidRPr="00442DE1" w:rsidRDefault="00442DE1" w:rsidP="00442DE1">
            <w:pPr>
              <w:spacing w:after="0" w:line="240" w:lineRule="auto"/>
              <w:ind w:right="-349"/>
              <w:rPr>
                <w:b/>
                <w:bCs/>
                <w:sz w:val="20"/>
                <w:szCs w:val="20"/>
                <w:lang w:eastAsia="sk-SK"/>
              </w:rPr>
            </w:pPr>
            <w:r w:rsidRPr="00442DE1">
              <w:rPr>
                <w:b/>
                <w:bCs/>
                <w:sz w:val="20"/>
                <w:szCs w:val="20"/>
              </w:rPr>
              <w:t>EÚ (27 krajín)</w:t>
            </w:r>
          </w:p>
        </w:tc>
        <w:tc>
          <w:tcPr>
            <w:tcW w:w="843" w:type="dxa"/>
            <w:tcBorders>
              <w:top w:val="nil"/>
              <w:left w:val="nil"/>
              <w:bottom w:val="nil"/>
              <w:right w:val="nil"/>
            </w:tcBorders>
            <w:shd w:val="clear" w:color="auto" w:fill="auto"/>
            <w:noWrap/>
            <w:vAlign w:val="center"/>
            <w:hideMark/>
          </w:tcPr>
          <w:p w14:paraId="7C0312F1" w14:textId="1AAB5017"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86,7</w:t>
            </w:r>
          </w:p>
        </w:tc>
        <w:tc>
          <w:tcPr>
            <w:tcW w:w="843" w:type="dxa"/>
            <w:tcBorders>
              <w:top w:val="nil"/>
              <w:left w:val="nil"/>
              <w:bottom w:val="nil"/>
              <w:right w:val="nil"/>
            </w:tcBorders>
            <w:shd w:val="clear" w:color="auto" w:fill="auto"/>
            <w:noWrap/>
            <w:vAlign w:val="center"/>
            <w:hideMark/>
          </w:tcPr>
          <w:p w14:paraId="1CFAA01D" w14:textId="702E1D25"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82,5</w:t>
            </w:r>
          </w:p>
        </w:tc>
        <w:tc>
          <w:tcPr>
            <w:tcW w:w="864" w:type="dxa"/>
            <w:tcBorders>
              <w:top w:val="nil"/>
              <w:left w:val="nil"/>
              <w:bottom w:val="nil"/>
              <w:right w:val="nil"/>
            </w:tcBorders>
            <w:shd w:val="clear" w:color="auto" w:fill="auto"/>
            <w:noWrap/>
            <w:vAlign w:val="center"/>
            <w:hideMark/>
          </w:tcPr>
          <w:p w14:paraId="55DD360D" w14:textId="6FBDE22D"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80,8</w:t>
            </w:r>
          </w:p>
        </w:tc>
        <w:tc>
          <w:tcPr>
            <w:tcW w:w="799" w:type="dxa"/>
            <w:tcBorders>
              <w:top w:val="nil"/>
              <w:left w:val="nil"/>
              <w:bottom w:val="nil"/>
              <w:right w:val="single" w:sz="4" w:space="0" w:color="auto"/>
            </w:tcBorders>
            <w:shd w:val="clear" w:color="auto" w:fill="auto"/>
            <w:noWrap/>
            <w:vAlign w:val="center"/>
            <w:hideMark/>
          </w:tcPr>
          <w:p w14:paraId="226F6F6F" w14:textId="69640BB0" w:rsidR="00442DE1" w:rsidRPr="00442DE1" w:rsidRDefault="00442DE1" w:rsidP="00442DE1">
            <w:pPr>
              <w:tabs>
                <w:tab w:val="decimal" w:pos="230"/>
              </w:tabs>
              <w:spacing w:after="0" w:line="240" w:lineRule="auto"/>
              <w:ind w:right="32" w:firstLineChars="100" w:firstLine="201"/>
              <w:jc w:val="right"/>
              <w:rPr>
                <w:b/>
                <w:bCs/>
                <w:color w:val="00B050"/>
                <w:sz w:val="20"/>
                <w:szCs w:val="20"/>
                <w:lang w:eastAsia="sk-SK"/>
              </w:rPr>
            </w:pPr>
            <w:r w:rsidRPr="00442DE1">
              <w:rPr>
                <w:b/>
                <w:bCs/>
                <w:color w:val="00B050"/>
                <w:sz w:val="20"/>
                <w:szCs w:val="20"/>
              </w:rPr>
              <w:t>-1,7</w:t>
            </w:r>
          </w:p>
        </w:tc>
      </w:tr>
      <w:tr w:rsidR="00442DE1" w:rsidRPr="00442DE1" w14:paraId="76279A44" w14:textId="77777777" w:rsidTr="002847E9">
        <w:trPr>
          <w:trHeight w:val="307"/>
        </w:trPr>
        <w:tc>
          <w:tcPr>
            <w:tcW w:w="1542" w:type="dxa"/>
            <w:tcBorders>
              <w:top w:val="nil"/>
              <w:left w:val="single" w:sz="4" w:space="0" w:color="auto"/>
              <w:bottom w:val="nil"/>
              <w:right w:val="nil"/>
            </w:tcBorders>
            <w:shd w:val="clear" w:color="auto" w:fill="auto"/>
            <w:noWrap/>
            <w:vAlign w:val="center"/>
          </w:tcPr>
          <w:p w14:paraId="1E5D72FB" w14:textId="7286D961" w:rsidR="00442DE1" w:rsidRPr="00442DE1" w:rsidRDefault="00DB73B8" w:rsidP="00442DE1">
            <w:pPr>
              <w:spacing w:after="0" w:line="240" w:lineRule="auto"/>
              <w:rPr>
                <w:b/>
                <w:bCs/>
                <w:sz w:val="20"/>
                <w:szCs w:val="20"/>
                <w:lang w:eastAsia="sk-SK"/>
              </w:rPr>
            </w:pPr>
            <w:r>
              <w:rPr>
                <w:b/>
                <w:bCs/>
                <w:sz w:val="20"/>
                <w:szCs w:val="20"/>
              </w:rPr>
              <w:t>Euro</w:t>
            </w:r>
            <w:r w:rsidR="00442DE1" w:rsidRPr="00442DE1">
              <w:rPr>
                <w:b/>
                <w:bCs/>
                <w:sz w:val="20"/>
                <w:szCs w:val="20"/>
              </w:rPr>
              <w:t>zóna (20)</w:t>
            </w:r>
          </w:p>
        </w:tc>
        <w:tc>
          <w:tcPr>
            <w:tcW w:w="764" w:type="dxa"/>
            <w:tcBorders>
              <w:top w:val="nil"/>
              <w:left w:val="nil"/>
              <w:bottom w:val="nil"/>
              <w:right w:val="nil"/>
            </w:tcBorders>
            <w:shd w:val="clear" w:color="auto" w:fill="auto"/>
            <w:noWrap/>
            <w:vAlign w:val="center"/>
          </w:tcPr>
          <w:p w14:paraId="0210C96D" w14:textId="7DD65BBE"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-5,1</w:t>
            </w:r>
          </w:p>
        </w:tc>
        <w:tc>
          <w:tcPr>
            <w:tcW w:w="826" w:type="dxa"/>
            <w:tcBorders>
              <w:top w:val="nil"/>
              <w:left w:val="nil"/>
              <w:bottom w:val="nil"/>
              <w:right w:val="nil"/>
            </w:tcBorders>
            <w:shd w:val="clear" w:color="auto" w:fill="auto"/>
            <w:noWrap/>
            <w:vAlign w:val="center"/>
          </w:tcPr>
          <w:p w14:paraId="590BFD97" w14:textId="13D293D2"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-3,5</w:t>
            </w:r>
          </w:p>
        </w:tc>
        <w:tc>
          <w:tcPr>
            <w:tcW w:w="742" w:type="dxa"/>
            <w:tcBorders>
              <w:top w:val="nil"/>
              <w:left w:val="nil"/>
              <w:bottom w:val="nil"/>
              <w:right w:val="nil"/>
            </w:tcBorders>
            <w:shd w:val="clear" w:color="auto" w:fill="auto"/>
            <w:noWrap/>
            <w:vAlign w:val="center"/>
          </w:tcPr>
          <w:p w14:paraId="3C0C5D07" w14:textId="3B186A86"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-3,6</w:t>
            </w:r>
          </w:p>
        </w:tc>
        <w:tc>
          <w:tcPr>
            <w:tcW w:w="728" w:type="dxa"/>
            <w:tcBorders>
              <w:top w:val="nil"/>
              <w:left w:val="nil"/>
              <w:bottom w:val="nil"/>
              <w:right w:val="nil"/>
            </w:tcBorders>
            <w:shd w:val="clear" w:color="auto" w:fill="auto"/>
            <w:noWrap/>
            <w:vAlign w:val="center"/>
          </w:tcPr>
          <w:p w14:paraId="4159B7D9" w14:textId="5BC450E4" w:rsidR="00442DE1" w:rsidRPr="00442DE1" w:rsidRDefault="00442DE1" w:rsidP="00442DE1">
            <w:pPr>
              <w:spacing w:after="0" w:line="240" w:lineRule="auto"/>
              <w:ind w:firstLineChars="100" w:firstLine="201"/>
              <w:jc w:val="center"/>
              <w:rPr>
                <w:b/>
                <w:bCs/>
                <w:color w:val="00B050"/>
                <w:sz w:val="20"/>
                <w:szCs w:val="20"/>
                <w:lang w:eastAsia="sk-SK"/>
              </w:rPr>
            </w:pPr>
            <w:r w:rsidRPr="00442DE1">
              <w:rPr>
                <w:b/>
                <w:bCs/>
                <w:color w:val="FF0000"/>
                <w:sz w:val="20"/>
                <w:szCs w:val="20"/>
              </w:rPr>
              <w:t>-0,1</w:t>
            </w:r>
          </w:p>
        </w:tc>
        <w:tc>
          <w:tcPr>
            <w:tcW w:w="1453" w:type="dxa"/>
            <w:tcBorders>
              <w:top w:val="nil"/>
              <w:left w:val="single" w:sz="4" w:space="0" w:color="auto"/>
              <w:bottom w:val="nil"/>
              <w:right w:val="nil"/>
            </w:tcBorders>
            <w:shd w:val="clear" w:color="auto" w:fill="auto"/>
            <w:noWrap/>
            <w:vAlign w:val="center"/>
          </w:tcPr>
          <w:p w14:paraId="29EEE5A9" w14:textId="7D0FD819" w:rsidR="00442DE1" w:rsidRPr="00442DE1" w:rsidRDefault="00DB73B8" w:rsidP="00442DE1">
            <w:pPr>
              <w:spacing w:after="0" w:line="240" w:lineRule="auto"/>
              <w:ind w:right="-66"/>
              <w:rPr>
                <w:b/>
                <w:bCs/>
                <w:sz w:val="20"/>
                <w:szCs w:val="20"/>
                <w:lang w:eastAsia="sk-SK"/>
              </w:rPr>
            </w:pPr>
            <w:r>
              <w:rPr>
                <w:b/>
                <w:bCs/>
                <w:sz w:val="20"/>
                <w:szCs w:val="20"/>
              </w:rPr>
              <w:t>Euro</w:t>
            </w:r>
            <w:r w:rsidR="00442DE1" w:rsidRPr="00442DE1">
              <w:rPr>
                <w:b/>
                <w:bCs/>
                <w:sz w:val="20"/>
                <w:szCs w:val="20"/>
              </w:rPr>
              <w:t>zóna (20)</w:t>
            </w:r>
          </w:p>
        </w:tc>
        <w:tc>
          <w:tcPr>
            <w:tcW w:w="843" w:type="dxa"/>
            <w:tcBorders>
              <w:top w:val="nil"/>
              <w:left w:val="nil"/>
              <w:bottom w:val="nil"/>
              <w:right w:val="nil"/>
            </w:tcBorders>
            <w:shd w:val="clear" w:color="auto" w:fill="auto"/>
            <w:noWrap/>
            <w:vAlign w:val="center"/>
          </w:tcPr>
          <w:p w14:paraId="4CED5877" w14:textId="401EF7CA"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93,8</w:t>
            </w:r>
          </w:p>
        </w:tc>
        <w:tc>
          <w:tcPr>
            <w:tcW w:w="843" w:type="dxa"/>
            <w:tcBorders>
              <w:top w:val="nil"/>
              <w:left w:val="nil"/>
              <w:bottom w:val="nil"/>
              <w:right w:val="nil"/>
            </w:tcBorders>
            <w:shd w:val="clear" w:color="auto" w:fill="auto"/>
            <w:noWrap/>
            <w:vAlign w:val="center"/>
          </w:tcPr>
          <w:p w14:paraId="48679F6D" w14:textId="5D1BB8DA"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89,5</w:t>
            </w:r>
          </w:p>
        </w:tc>
        <w:tc>
          <w:tcPr>
            <w:tcW w:w="864" w:type="dxa"/>
            <w:tcBorders>
              <w:top w:val="nil"/>
              <w:left w:val="nil"/>
              <w:bottom w:val="nil"/>
              <w:right w:val="nil"/>
            </w:tcBorders>
            <w:shd w:val="clear" w:color="auto" w:fill="auto"/>
            <w:noWrap/>
            <w:vAlign w:val="center"/>
          </w:tcPr>
          <w:p w14:paraId="4A5BFC67" w14:textId="19EA862A"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87,4</w:t>
            </w:r>
          </w:p>
        </w:tc>
        <w:tc>
          <w:tcPr>
            <w:tcW w:w="799" w:type="dxa"/>
            <w:tcBorders>
              <w:top w:val="nil"/>
              <w:left w:val="nil"/>
              <w:bottom w:val="nil"/>
              <w:right w:val="single" w:sz="4" w:space="0" w:color="auto"/>
            </w:tcBorders>
            <w:shd w:val="clear" w:color="auto" w:fill="auto"/>
            <w:noWrap/>
            <w:vAlign w:val="center"/>
          </w:tcPr>
          <w:p w14:paraId="45EED329" w14:textId="3A9AFC8E" w:rsidR="00442DE1" w:rsidRPr="00442DE1" w:rsidRDefault="00442DE1" w:rsidP="00442DE1">
            <w:pPr>
              <w:tabs>
                <w:tab w:val="decimal" w:pos="230"/>
              </w:tabs>
              <w:spacing w:after="0" w:line="240" w:lineRule="auto"/>
              <w:ind w:right="32" w:firstLineChars="100" w:firstLine="201"/>
              <w:jc w:val="right"/>
              <w:rPr>
                <w:b/>
                <w:bCs/>
                <w:color w:val="00B050"/>
                <w:sz w:val="20"/>
                <w:szCs w:val="20"/>
                <w:lang w:eastAsia="sk-SK"/>
              </w:rPr>
            </w:pPr>
            <w:r w:rsidRPr="00442DE1">
              <w:rPr>
                <w:b/>
                <w:bCs/>
                <w:color w:val="00B050"/>
                <w:sz w:val="20"/>
                <w:szCs w:val="20"/>
              </w:rPr>
              <w:t>-2,1</w:t>
            </w:r>
          </w:p>
        </w:tc>
      </w:tr>
      <w:tr w:rsidR="00442DE1" w:rsidRPr="00442DE1" w14:paraId="58F2A5C5"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685622C1" w14:textId="7BEE3737" w:rsidR="00442DE1" w:rsidRPr="00442DE1" w:rsidRDefault="00442DE1" w:rsidP="00442DE1">
            <w:pPr>
              <w:spacing w:after="0" w:line="240" w:lineRule="auto"/>
              <w:rPr>
                <w:sz w:val="20"/>
                <w:szCs w:val="20"/>
                <w:lang w:eastAsia="sk-SK"/>
              </w:rPr>
            </w:pPr>
            <w:r w:rsidRPr="00442DE1">
              <w:rPr>
                <w:sz w:val="20"/>
                <w:szCs w:val="20"/>
              </w:rPr>
              <w:t>Taliansko</w:t>
            </w:r>
          </w:p>
        </w:tc>
        <w:tc>
          <w:tcPr>
            <w:tcW w:w="764" w:type="dxa"/>
            <w:tcBorders>
              <w:top w:val="nil"/>
              <w:left w:val="nil"/>
              <w:bottom w:val="nil"/>
              <w:right w:val="nil"/>
            </w:tcBorders>
            <w:shd w:val="clear" w:color="auto" w:fill="auto"/>
            <w:noWrap/>
            <w:vAlign w:val="center"/>
            <w:hideMark/>
          </w:tcPr>
          <w:p w14:paraId="4B803049" w14:textId="4B95B4F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-8,9</w:t>
            </w:r>
          </w:p>
        </w:tc>
        <w:tc>
          <w:tcPr>
            <w:tcW w:w="826" w:type="dxa"/>
            <w:tcBorders>
              <w:top w:val="nil"/>
              <w:left w:val="nil"/>
              <w:bottom w:val="nil"/>
              <w:right w:val="nil"/>
            </w:tcBorders>
            <w:shd w:val="clear" w:color="auto" w:fill="auto"/>
            <w:noWrap/>
            <w:vAlign w:val="center"/>
            <w:hideMark/>
          </w:tcPr>
          <w:p w14:paraId="0FC9491F" w14:textId="3DB92421"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-8,1</w:t>
            </w:r>
          </w:p>
        </w:tc>
        <w:tc>
          <w:tcPr>
            <w:tcW w:w="742" w:type="dxa"/>
            <w:tcBorders>
              <w:top w:val="nil"/>
              <w:left w:val="nil"/>
              <w:bottom w:val="nil"/>
              <w:right w:val="nil"/>
            </w:tcBorders>
            <w:shd w:val="clear" w:color="auto" w:fill="auto"/>
            <w:noWrap/>
            <w:vAlign w:val="center"/>
            <w:hideMark/>
          </w:tcPr>
          <w:p w14:paraId="3806F39E" w14:textId="13DC7A8A"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-7,2</w:t>
            </w:r>
          </w:p>
        </w:tc>
        <w:tc>
          <w:tcPr>
            <w:tcW w:w="728" w:type="dxa"/>
            <w:tcBorders>
              <w:top w:val="nil"/>
              <w:left w:val="nil"/>
              <w:bottom w:val="nil"/>
              <w:right w:val="nil"/>
            </w:tcBorders>
            <w:shd w:val="clear" w:color="auto" w:fill="auto"/>
            <w:noWrap/>
            <w:vAlign w:val="center"/>
            <w:hideMark/>
          </w:tcPr>
          <w:p w14:paraId="7DBCC791" w14:textId="506ABE3E"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00B050"/>
                <w:sz w:val="20"/>
                <w:szCs w:val="20"/>
              </w:rPr>
              <w:t>0,9</w:t>
            </w:r>
          </w:p>
        </w:tc>
        <w:tc>
          <w:tcPr>
            <w:tcW w:w="1453" w:type="dxa"/>
            <w:tcBorders>
              <w:top w:val="nil"/>
              <w:left w:val="single" w:sz="4" w:space="0" w:color="auto"/>
              <w:bottom w:val="nil"/>
              <w:right w:val="nil"/>
            </w:tcBorders>
            <w:shd w:val="clear" w:color="auto" w:fill="auto"/>
            <w:noWrap/>
            <w:vAlign w:val="center"/>
            <w:hideMark/>
          </w:tcPr>
          <w:p w14:paraId="4E40F757" w14:textId="6DEC7677" w:rsidR="00442DE1" w:rsidRPr="00442DE1" w:rsidRDefault="00442DE1" w:rsidP="00442DE1">
            <w:pPr>
              <w:spacing w:after="0" w:line="240" w:lineRule="auto"/>
              <w:rPr>
                <w:sz w:val="20"/>
                <w:szCs w:val="20"/>
                <w:lang w:eastAsia="sk-SK"/>
              </w:rPr>
            </w:pPr>
            <w:r w:rsidRPr="00442DE1">
              <w:rPr>
                <w:sz w:val="20"/>
                <w:szCs w:val="20"/>
              </w:rPr>
              <w:t>Grécko</w:t>
            </w:r>
          </w:p>
        </w:tc>
        <w:tc>
          <w:tcPr>
            <w:tcW w:w="843" w:type="dxa"/>
            <w:tcBorders>
              <w:top w:val="nil"/>
              <w:left w:val="nil"/>
              <w:bottom w:val="nil"/>
              <w:right w:val="nil"/>
            </w:tcBorders>
            <w:shd w:val="clear" w:color="auto" w:fill="auto"/>
            <w:noWrap/>
            <w:vAlign w:val="center"/>
            <w:hideMark/>
          </w:tcPr>
          <w:p w14:paraId="2D5DB393" w14:textId="7370A9C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197,3</w:t>
            </w:r>
          </w:p>
        </w:tc>
        <w:tc>
          <w:tcPr>
            <w:tcW w:w="843" w:type="dxa"/>
            <w:tcBorders>
              <w:top w:val="nil"/>
              <w:left w:val="nil"/>
              <w:bottom w:val="nil"/>
              <w:right w:val="nil"/>
            </w:tcBorders>
            <w:shd w:val="clear" w:color="auto" w:fill="auto"/>
            <w:noWrap/>
            <w:vAlign w:val="center"/>
            <w:hideMark/>
          </w:tcPr>
          <w:p w14:paraId="7EBEE89D" w14:textId="1C66E1CA"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177,0</w:t>
            </w:r>
          </w:p>
        </w:tc>
        <w:tc>
          <w:tcPr>
            <w:tcW w:w="864" w:type="dxa"/>
            <w:tcBorders>
              <w:top w:val="nil"/>
              <w:left w:val="nil"/>
              <w:bottom w:val="nil"/>
              <w:right w:val="nil"/>
            </w:tcBorders>
            <w:shd w:val="clear" w:color="auto" w:fill="auto"/>
            <w:noWrap/>
            <w:vAlign w:val="center"/>
            <w:hideMark/>
          </w:tcPr>
          <w:p w14:paraId="7CEEC38C" w14:textId="7CB990D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163,9</w:t>
            </w:r>
          </w:p>
        </w:tc>
        <w:tc>
          <w:tcPr>
            <w:tcW w:w="799" w:type="dxa"/>
            <w:tcBorders>
              <w:top w:val="nil"/>
              <w:left w:val="nil"/>
              <w:bottom w:val="nil"/>
              <w:right w:val="single" w:sz="4" w:space="0" w:color="auto"/>
            </w:tcBorders>
            <w:shd w:val="clear" w:color="auto" w:fill="auto"/>
            <w:noWrap/>
            <w:vAlign w:val="center"/>
            <w:hideMark/>
          </w:tcPr>
          <w:p w14:paraId="6ED0BD14" w14:textId="229B0140"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-13,1</w:t>
            </w:r>
          </w:p>
        </w:tc>
      </w:tr>
      <w:tr w:rsidR="00442DE1" w:rsidRPr="00442DE1" w14:paraId="2567F6AC"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6FCE59FE" w14:textId="1DCAC3EE" w:rsidR="00442DE1" w:rsidRPr="00442DE1" w:rsidRDefault="00442DE1" w:rsidP="00442DE1">
            <w:pPr>
              <w:spacing w:after="0" w:line="240" w:lineRule="auto"/>
              <w:rPr>
                <w:sz w:val="20"/>
                <w:szCs w:val="20"/>
                <w:lang w:eastAsia="sk-SK"/>
              </w:rPr>
            </w:pPr>
            <w:r w:rsidRPr="00442DE1">
              <w:rPr>
                <w:sz w:val="20"/>
                <w:szCs w:val="20"/>
              </w:rPr>
              <w:t>Maďarsko</w:t>
            </w:r>
          </w:p>
        </w:tc>
        <w:tc>
          <w:tcPr>
            <w:tcW w:w="764" w:type="dxa"/>
            <w:tcBorders>
              <w:top w:val="nil"/>
              <w:left w:val="nil"/>
              <w:bottom w:val="nil"/>
              <w:right w:val="nil"/>
            </w:tcBorders>
            <w:shd w:val="clear" w:color="auto" w:fill="auto"/>
            <w:noWrap/>
            <w:vAlign w:val="center"/>
            <w:hideMark/>
          </w:tcPr>
          <w:p w14:paraId="5A5F66E6" w14:textId="4149B85A"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-7,1</w:t>
            </w:r>
          </w:p>
        </w:tc>
        <w:tc>
          <w:tcPr>
            <w:tcW w:w="826" w:type="dxa"/>
            <w:tcBorders>
              <w:top w:val="nil"/>
              <w:left w:val="nil"/>
              <w:bottom w:val="nil"/>
              <w:right w:val="nil"/>
            </w:tcBorders>
            <w:shd w:val="clear" w:color="auto" w:fill="auto"/>
            <w:noWrap/>
            <w:vAlign w:val="center"/>
            <w:hideMark/>
          </w:tcPr>
          <w:p w14:paraId="18FB68B0" w14:textId="5657F69C"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-6,2</w:t>
            </w:r>
          </w:p>
        </w:tc>
        <w:tc>
          <w:tcPr>
            <w:tcW w:w="742" w:type="dxa"/>
            <w:tcBorders>
              <w:top w:val="nil"/>
              <w:left w:val="nil"/>
              <w:bottom w:val="nil"/>
              <w:right w:val="nil"/>
            </w:tcBorders>
            <w:shd w:val="clear" w:color="auto" w:fill="auto"/>
            <w:noWrap/>
            <w:vAlign w:val="center"/>
            <w:hideMark/>
          </w:tcPr>
          <w:p w14:paraId="7FEBE753" w14:textId="1FAA5336"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-6,7</w:t>
            </w:r>
          </w:p>
        </w:tc>
        <w:tc>
          <w:tcPr>
            <w:tcW w:w="728" w:type="dxa"/>
            <w:tcBorders>
              <w:top w:val="nil"/>
              <w:left w:val="nil"/>
              <w:bottom w:val="nil"/>
              <w:right w:val="nil"/>
            </w:tcBorders>
            <w:shd w:val="clear" w:color="auto" w:fill="auto"/>
            <w:noWrap/>
            <w:vAlign w:val="center"/>
            <w:hideMark/>
          </w:tcPr>
          <w:p w14:paraId="18164E9F" w14:textId="10CDD3E0"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-0,5</w:t>
            </w:r>
          </w:p>
        </w:tc>
        <w:tc>
          <w:tcPr>
            <w:tcW w:w="1453" w:type="dxa"/>
            <w:tcBorders>
              <w:top w:val="nil"/>
              <w:left w:val="single" w:sz="4" w:space="0" w:color="auto"/>
              <w:bottom w:val="nil"/>
              <w:right w:val="nil"/>
            </w:tcBorders>
            <w:shd w:val="clear" w:color="auto" w:fill="auto"/>
            <w:noWrap/>
            <w:vAlign w:val="center"/>
            <w:hideMark/>
          </w:tcPr>
          <w:p w14:paraId="2AD2D9CB" w14:textId="6FABF6E1" w:rsidR="00442DE1" w:rsidRPr="00442DE1" w:rsidRDefault="00442DE1" w:rsidP="00442DE1">
            <w:pPr>
              <w:spacing w:after="0" w:line="240" w:lineRule="auto"/>
              <w:rPr>
                <w:sz w:val="20"/>
                <w:szCs w:val="20"/>
                <w:lang w:eastAsia="sk-SK"/>
              </w:rPr>
            </w:pPr>
            <w:r w:rsidRPr="00442DE1">
              <w:rPr>
                <w:sz w:val="20"/>
                <w:szCs w:val="20"/>
              </w:rPr>
              <w:t>Taliansko</w:t>
            </w:r>
          </w:p>
        </w:tc>
        <w:tc>
          <w:tcPr>
            <w:tcW w:w="843" w:type="dxa"/>
            <w:tcBorders>
              <w:top w:val="nil"/>
              <w:left w:val="nil"/>
              <w:bottom w:val="nil"/>
              <w:right w:val="nil"/>
            </w:tcBorders>
            <w:shd w:val="clear" w:color="auto" w:fill="auto"/>
            <w:noWrap/>
            <w:vAlign w:val="center"/>
            <w:hideMark/>
          </w:tcPr>
          <w:p w14:paraId="75FA04C7" w14:textId="12BCC0ED"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145,7</w:t>
            </w:r>
          </w:p>
        </w:tc>
        <w:tc>
          <w:tcPr>
            <w:tcW w:w="843" w:type="dxa"/>
            <w:tcBorders>
              <w:top w:val="nil"/>
              <w:left w:val="nil"/>
              <w:bottom w:val="nil"/>
              <w:right w:val="nil"/>
            </w:tcBorders>
            <w:shd w:val="clear" w:color="auto" w:fill="auto"/>
            <w:noWrap/>
            <w:vAlign w:val="center"/>
            <w:hideMark/>
          </w:tcPr>
          <w:p w14:paraId="139643CD" w14:textId="76FC8EF4"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138,3</w:t>
            </w:r>
          </w:p>
        </w:tc>
        <w:tc>
          <w:tcPr>
            <w:tcW w:w="864" w:type="dxa"/>
            <w:tcBorders>
              <w:top w:val="nil"/>
              <w:left w:val="nil"/>
              <w:bottom w:val="nil"/>
              <w:right w:val="nil"/>
            </w:tcBorders>
            <w:shd w:val="clear" w:color="auto" w:fill="auto"/>
            <w:noWrap/>
            <w:vAlign w:val="center"/>
            <w:hideMark/>
          </w:tcPr>
          <w:p w14:paraId="06B3CC8B" w14:textId="2B9BB39D"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134,8</w:t>
            </w:r>
          </w:p>
        </w:tc>
        <w:tc>
          <w:tcPr>
            <w:tcW w:w="799" w:type="dxa"/>
            <w:tcBorders>
              <w:top w:val="nil"/>
              <w:left w:val="nil"/>
              <w:bottom w:val="nil"/>
              <w:right w:val="single" w:sz="4" w:space="0" w:color="auto"/>
            </w:tcBorders>
            <w:shd w:val="clear" w:color="auto" w:fill="auto"/>
            <w:noWrap/>
            <w:vAlign w:val="center"/>
            <w:hideMark/>
          </w:tcPr>
          <w:p w14:paraId="3ABAA565" w14:textId="175FD857"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-3,5</w:t>
            </w:r>
          </w:p>
        </w:tc>
      </w:tr>
      <w:tr w:rsidR="00442DE1" w:rsidRPr="00442DE1" w14:paraId="3484C0DF"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206EFC4D" w14:textId="0AD9D0AD" w:rsidR="00442DE1" w:rsidRPr="00442DE1" w:rsidRDefault="00442DE1" w:rsidP="00442DE1">
            <w:pPr>
              <w:spacing w:after="0" w:line="240" w:lineRule="auto"/>
              <w:rPr>
                <w:sz w:val="20"/>
                <w:szCs w:val="20"/>
                <w:lang w:eastAsia="sk-SK"/>
              </w:rPr>
            </w:pPr>
            <w:r w:rsidRPr="00442DE1">
              <w:rPr>
                <w:sz w:val="20"/>
                <w:szCs w:val="20"/>
              </w:rPr>
              <w:t>Rumunsko</w:t>
            </w:r>
          </w:p>
        </w:tc>
        <w:tc>
          <w:tcPr>
            <w:tcW w:w="764" w:type="dxa"/>
            <w:tcBorders>
              <w:top w:val="nil"/>
              <w:left w:val="nil"/>
              <w:bottom w:val="nil"/>
              <w:right w:val="nil"/>
            </w:tcBorders>
            <w:shd w:val="clear" w:color="auto" w:fill="auto"/>
            <w:noWrap/>
            <w:vAlign w:val="center"/>
            <w:hideMark/>
          </w:tcPr>
          <w:p w14:paraId="5CD1EB51" w14:textId="357328F9"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-7,1</w:t>
            </w:r>
          </w:p>
        </w:tc>
        <w:tc>
          <w:tcPr>
            <w:tcW w:w="826" w:type="dxa"/>
            <w:tcBorders>
              <w:top w:val="nil"/>
              <w:left w:val="nil"/>
              <w:bottom w:val="nil"/>
              <w:right w:val="nil"/>
            </w:tcBorders>
            <w:shd w:val="clear" w:color="auto" w:fill="auto"/>
            <w:noWrap/>
            <w:vAlign w:val="center"/>
            <w:hideMark/>
          </w:tcPr>
          <w:p w14:paraId="7C3D57FE" w14:textId="43BEF0ED"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-6,4</w:t>
            </w:r>
          </w:p>
        </w:tc>
        <w:tc>
          <w:tcPr>
            <w:tcW w:w="742" w:type="dxa"/>
            <w:tcBorders>
              <w:top w:val="nil"/>
              <w:left w:val="nil"/>
              <w:bottom w:val="nil"/>
              <w:right w:val="nil"/>
            </w:tcBorders>
            <w:shd w:val="clear" w:color="auto" w:fill="auto"/>
            <w:noWrap/>
            <w:vAlign w:val="center"/>
            <w:hideMark/>
          </w:tcPr>
          <w:p w14:paraId="586595BF" w14:textId="6209DD97"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-6,5</w:t>
            </w:r>
          </w:p>
        </w:tc>
        <w:tc>
          <w:tcPr>
            <w:tcW w:w="728" w:type="dxa"/>
            <w:tcBorders>
              <w:top w:val="nil"/>
              <w:left w:val="nil"/>
              <w:bottom w:val="nil"/>
              <w:right w:val="nil"/>
            </w:tcBorders>
            <w:shd w:val="clear" w:color="auto" w:fill="auto"/>
            <w:noWrap/>
            <w:vAlign w:val="center"/>
            <w:hideMark/>
          </w:tcPr>
          <w:p w14:paraId="4C2E9E92" w14:textId="629AD7FA"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-0,1</w:t>
            </w:r>
          </w:p>
        </w:tc>
        <w:tc>
          <w:tcPr>
            <w:tcW w:w="1453" w:type="dxa"/>
            <w:tcBorders>
              <w:top w:val="nil"/>
              <w:left w:val="single" w:sz="4" w:space="0" w:color="auto"/>
              <w:bottom w:val="nil"/>
              <w:right w:val="nil"/>
            </w:tcBorders>
            <w:shd w:val="clear" w:color="auto" w:fill="auto"/>
            <w:noWrap/>
            <w:vAlign w:val="center"/>
            <w:hideMark/>
          </w:tcPr>
          <w:p w14:paraId="33862D3E" w14:textId="1D133C1B" w:rsidR="00442DE1" w:rsidRPr="00442DE1" w:rsidRDefault="00442DE1" w:rsidP="00442DE1">
            <w:pPr>
              <w:spacing w:after="0" w:line="240" w:lineRule="auto"/>
              <w:rPr>
                <w:sz w:val="20"/>
                <w:szCs w:val="20"/>
                <w:lang w:eastAsia="sk-SK"/>
              </w:rPr>
            </w:pPr>
            <w:r w:rsidRPr="00442DE1">
              <w:rPr>
                <w:sz w:val="20"/>
                <w:szCs w:val="20"/>
              </w:rPr>
              <w:t>Francúzsko</w:t>
            </w:r>
          </w:p>
        </w:tc>
        <w:tc>
          <w:tcPr>
            <w:tcW w:w="843" w:type="dxa"/>
            <w:tcBorders>
              <w:top w:val="nil"/>
              <w:left w:val="nil"/>
              <w:bottom w:val="nil"/>
              <w:right w:val="nil"/>
            </w:tcBorders>
            <w:shd w:val="clear" w:color="auto" w:fill="auto"/>
            <w:noWrap/>
            <w:vAlign w:val="center"/>
            <w:hideMark/>
          </w:tcPr>
          <w:p w14:paraId="3D827412" w14:textId="3C7F2C8E"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112,7</w:t>
            </w:r>
          </w:p>
        </w:tc>
        <w:tc>
          <w:tcPr>
            <w:tcW w:w="843" w:type="dxa"/>
            <w:tcBorders>
              <w:top w:val="nil"/>
              <w:left w:val="nil"/>
              <w:bottom w:val="nil"/>
              <w:right w:val="nil"/>
            </w:tcBorders>
            <w:shd w:val="clear" w:color="auto" w:fill="auto"/>
            <w:noWrap/>
            <w:vAlign w:val="center"/>
            <w:hideMark/>
          </w:tcPr>
          <w:p w14:paraId="50ABBA7E" w14:textId="40487E8D"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111,2</w:t>
            </w:r>
          </w:p>
        </w:tc>
        <w:tc>
          <w:tcPr>
            <w:tcW w:w="864" w:type="dxa"/>
            <w:tcBorders>
              <w:top w:val="nil"/>
              <w:left w:val="nil"/>
              <w:bottom w:val="nil"/>
              <w:right w:val="nil"/>
            </w:tcBorders>
            <w:shd w:val="clear" w:color="auto" w:fill="auto"/>
            <w:noWrap/>
            <w:vAlign w:val="center"/>
            <w:hideMark/>
          </w:tcPr>
          <w:p w14:paraId="671E5973" w14:textId="032CC26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109,9</w:t>
            </w:r>
          </w:p>
        </w:tc>
        <w:tc>
          <w:tcPr>
            <w:tcW w:w="799" w:type="dxa"/>
            <w:tcBorders>
              <w:top w:val="nil"/>
              <w:left w:val="nil"/>
              <w:bottom w:val="nil"/>
              <w:right w:val="single" w:sz="4" w:space="0" w:color="auto"/>
            </w:tcBorders>
            <w:shd w:val="clear" w:color="auto" w:fill="auto"/>
            <w:noWrap/>
            <w:vAlign w:val="center"/>
            <w:hideMark/>
          </w:tcPr>
          <w:p w14:paraId="125A7D47" w14:textId="4BC85D4D"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-1,3</w:t>
            </w:r>
          </w:p>
        </w:tc>
      </w:tr>
      <w:tr w:rsidR="00442DE1" w:rsidRPr="00442DE1" w14:paraId="4075AE1A"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63E7E7B4" w14:textId="63E48004" w:rsidR="00442DE1" w:rsidRPr="00442DE1" w:rsidRDefault="00442DE1" w:rsidP="00442DE1">
            <w:pPr>
              <w:spacing w:after="0" w:line="240" w:lineRule="auto"/>
              <w:rPr>
                <w:sz w:val="20"/>
                <w:szCs w:val="20"/>
                <w:lang w:eastAsia="sk-SK"/>
              </w:rPr>
            </w:pPr>
            <w:r w:rsidRPr="00442DE1">
              <w:rPr>
                <w:sz w:val="20"/>
                <w:szCs w:val="20"/>
              </w:rPr>
              <w:t>Francúzsko</w:t>
            </w:r>
          </w:p>
        </w:tc>
        <w:tc>
          <w:tcPr>
            <w:tcW w:w="764" w:type="dxa"/>
            <w:tcBorders>
              <w:top w:val="nil"/>
              <w:left w:val="nil"/>
              <w:bottom w:val="nil"/>
              <w:right w:val="nil"/>
            </w:tcBorders>
            <w:shd w:val="clear" w:color="auto" w:fill="auto"/>
            <w:noWrap/>
            <w:vAlign w:val="center"/>
            <w:hideMark/>
          </w:tcPr>
          <w:p w14:paraId="52B0C32D" w14:textId="0F31B335"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-6,6</w:t>
            </w:r>
          </w:p>
        </w:tc>
        <w:tc>
          <w:tcPr>
            <w:tcW w:w="826" w:type="dxa"/>
            <w:tcBorders>
              <w:top w:val="nil"/>
              <w:left w:val="nil"/>
              <w:bottom w:val="nil"/>
              <w:right w:val="nil"/>
            </w:tcBorders>
            <w:shd w:val="clear" w:color="auto" w:fill="auto"/>
            <w:noWrap/>
            <w:vAlign w:val="center"/>
            <w:hideMark/>
          </w:tcPr>
          <w:p w14:paraId="623C6691" w14:textId="2CA3285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-4,7</w:t>
            </w:r>
          </w:p>
        </w:tc>
        <w:tc>
          <w:tcPr>
            <w:tcW w:w="742" w:type="dxa"/>
            <w:tcBorders>
              <w:top w:val="nil"/>
              <w:left w:val="nil"/>
              <w:bottom w:val="nil"/>
              <w:right w:val="nil"/>
            </w:tcBorders>
            <w:shd w:val="clear" w:color="auto" w:fill="auto"/>
            <w:noWrap/>
            <w:vAlign w:val="center"/>
            <w:hideMark/>
          </w:tcPr>
          <w:p w14:paraId="4237C4FB" w14:textId="0B28CDF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-5,5</w:t>
            </w:r>
          </w:p>
        </w:tc>
        <w:tc>
          <w:tcPr>
            <w:tcW w:w="728" w:type="dxa"/>
            <w:tcBorders>
              <w:top w:val="nil"/>
              <w:left w:val="nil"/>
              <w:bottom w:val="nil"/>
              <w:right w:val="nil"/>
            </w:tcBorders>
            <w:shd w:val="clear" w:color="auto" w:fill="auto"/>
            <w:noWrap/>
            <w:vAlign w:val="center"/>
            <w:hideMark/>
          </w:tcPr>
          <w:p w14:paraId="708CB822" w14:textId="4754F529"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-0,8</w:t>
            </w:r>
          </w:p>
        </w:tc>
        <w:tc>
          <w:tcPr>
            <w:tcW w:w="1453" w:type="dxa"/>
            <w:tcBorders>
              <w:top w:val="nil"/>
              <w:left w:val="single" w:sz="4" w:space="0" w:color="auto"/>
              <w:bottom w:val="nil"/>
              <w:right w:val="nil"/>
            </w:tcBorders>
            <w:shd w:val="clear" w:color="auto" w:fill="auto"/>
            <w:noWrap/>
            <w:vAlign w:val="center"/>
            <w:hideMark/>
          </w:tcPr>
          <w:p w14:paraId="6180E038" w14:textId="4850015B" w:rsidR="00442DE1" w:rsidRPr="00442DE1" w:rsidRDefault="00442DE1" w:rsidP="00442DE1">
            <w:pPr>
              <w:spacing w:after="0" w:line="240" w:lineRule="auto"/>
              <w:rPr>
                <w:sz w:val="20"/>
                <w:szCs w:val="20"/>
                <w:lang w:eastAsia="sk-SK"/>
              </w:rPr>
            </w:pPr>
            <w:r w:rsidRPr="00442DE1">
              <w:rPr>
                <w:sz w:val="20"/>
                <w:szCs w:val="20"/>
              </w:rPr>
              <w:t>Španielsko</w:t>
            </w:r>
          </w:p>
        </w:tc>
        <w:tc>
          <w:tcPr>
            <w:tcW w:w="843" w:type="dxa"/>
            <w:tcBorders>
              <w:top w:val="nil"/>
              <w:left w:val="nil"/>
              <w:bottom w:val="nil"/>
              <w:right w:val="nil"/>
            </w:tcBorders>
            <w:shd w:val="clear" w:color="auto" w:fill="auto"/>
            <w:noWrap/>
            <w:vAlign w:val="center"/>
            <w:hideMark/>
          </w:tcPr>
          <w:p w14:paraId="2826A587" w14:textId="7A8D29A9"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115,7</w:t>
            </w:r>
          </w:p>
        </w:tc>
        <w:tc>
          <w:tcPr>
            <w:tcW w:w="843" w:type="dxa"/>
            <w:tcBorders>
              <w:top w:val="nil"/>
              <w:left w:val="nil"/>
              <w:bottom w:val="nil"/>
              <w:right w:val="nil"/>
            </w:tcBorders>
            <w:shd w:val="clear" w:color="auto" w:fill="auto"/>
            <w:noWrap/>
            <w:vAlign w:val="center"/>
            <w:hideMark/>
          </w:tcPr>
          <w:p w14:paraId="6DA8F612" w14:textId="2EF4FD55"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109,5</w:t>
            </w:r>
          </w:p>
        </w:tc>
        <w:tc>
          <w:tcPr>
            <w:tcW w:w="864" w:type="dxa"/>
            <w:tcBorders>
              <w:top w:val="nil"/>
              <w:left w:val="nil"/>
              <w:bottom w:val="nil"/>
              <w:right w:val="nil"/>
            </w:tcBorders>
            <w:shd w:val="clear" w:color="auto" w:fill="auto"/>
            <w:noWrap/>
            <w:vAlign w:val="center"/>
            <w:hideMark/>
          </w:tcPr>
          <w:p w14:paraId="05F4FC11" w14:textId="4012250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105,1</w:t>
            </w:r>
          </w:p>
        </w:tc>
        <w:tc>
          <w:tcPr>
            <w:tcW w:w="799" w:type="dxa"/>
            <w:tcBorders>
              <w:top w:val="nil"/>
              <w:left w:val="nil"/>
              <w:bottom w:val="nil"/>
              <w:right w:val="single" w:sz="4" w:space="0" w:color="auto"/>
            </w:tcBorders>
            <w:shd w:val="clear" w:color="auto" w:fill="auto"/>
            <w:noWrap/>
            <w:vAlign w:val="center"/>
            <w:hideMark/>
          </w:tcPr>
          <w:p w14:paraId="2276BE77" w14:textId="7B8C6E0B"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-4,4</w:t>
            </w:r>
          </w:p>
        </w:tc>
      </w:tr>
      <w:tr w:rsidR="00442DE1" w:rsidRPr="00442DE1" w14:paraId="7DCCEAC0"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7DA4F13C" w14:textId="5BDF49B8" w:rsidR="00442DE1" w:rsidRPr="00442DE1" w:rsidRDefault="00442DE1" w:rsidP="00442DE1">
            <w:pPr>
              <w:spacing w:after="0" w:line="240" w:lineRule="auto"/>
              <w:rPr>
                <w:sz w:val="20"/>
                <w:szCs w:val="20"/>
                <w:lang w:eastAsia="sk-SK"/>
              </w:rPr>
            </w:pPr>
            <w:r w:rsidRPr="00442DE1">
              <w:rPr>
                <w:sz w:val="20"/>
                <w:szCs w:val="20"/>
              </w:rPr>
              <w:t>Poľsko</w:t>
            </w:r>
          </w:p>
        </w:tc>
        <w:tc>
          <w:tcPr>
            <w:tcW w:w="764" w:type="dxa"/>
            <w:tcBorders>
              <w:top w:val="nil"/>
              <w:left w:val="nil"/>
              <w:bottom w:val="nil"/>
              <w:right w:val="nil"/>
            </w:tcBorders>
            <w:shd w:val="clear" w:color="auto" w:fill="auto"/>
            <w:noWrap/>
            <w:vAlign w:val="center"/>
            <w:hideMark/>
          </w:tcPr>
          <w:p w14:paraId="3BC78A2D" w14:textId="6DCE18D1"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-1,7</w:t>
            </w:r>
          </w:p>
        </w:tc>
        <w:tc>
          <w:tcPr>
            <w:tcW w:w="826" w:type="dxa"/>
            <w:tcBorders>
              <w:top w:val="nil"/>
              <w:left w:val="nil"/>
              <w:bottom w:val="nil"/>
              <w:right w:val="nil"/>
            </w:tcBorders>
            <w:shd w:val="clear" w:color="auto" w:fill="auto"/>
            <w:noWrap/>
            <w:vAlign w:val="center"/>
            <w:hideMark/>
          </w:tcPr>
          <w:p w14:paraId="710CB217" w14:textId="5436CD4A"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-3,4</w:t>
            </w:r>
          </w:p>
        </w:tc>
        <w:tc>
          <w:tcPr>
            <w:tcW w:w="742" w:type="dxa"/>
            <w:tcBorders>
              <w:top w:val="nil"/>
              <w:left w:val="nil"/>
              <w:bottom w:val="nil"/>
              <w:right w:val="nil"/>
            </w:tcBorders>
            <w:shd w:val="clear" w:color="auto" w:fill="auto"/>
            <w:noWrap/>
            <w:vAlign w:val="center"/>
            <w:hideMark/>
          </w:tcPr>
          <w:p w14:paraId="0F192314" w14:textId="09BABA49"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-5,3</w:t>
            </w:r>
          </w:p>
        </w:tc>
        <w:tc>
          <w:tcPr>
            <w:tcW w:w="728" w:type="dxa"/>
            <w:tcBorders>
              <w:top w:val="nil"/>
              <w:left w:val="nil"/>
              <w:bottom w:val="nil"/>
              <w:right w:val="nil"/>
            </w:tcBorders>
            <w:shd w:val="clear" w:color="auto" w:fill="auto"/>
            <w:noWrap/>
            <w:vAlign w:val="center"/>
            <w:hideMark/>
          </w:tcPr>
          <w:p w14:paraId="52638085" w14:textId="3A312613"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-1,9</w:t>
            </w:r>
          </w:p>
        </w:tc>
        <w:tc>
          <w:tcPr>
            <w:tcW w:w="1453" w:type="dxa"/>
            <w:tcBorders>
              <w:top w:val="nil"/>
              <w:left w:val="single" w:sz="4" w:space="0" w:color="auto"/>
              <w:bottom w:val="nil"/>
              <w:right w:val="nil"/>
            </w:tcBorders>
            <w:shd w:val="clear" w:color="auto" w:fill="auto"/>
            <w:noWrap/>
            <w:vAlign w:val="center"/>
            <w:hideMark/>
          </w:tcPr>
          <w:p w14:paraId="4E464861" w14:textId="19AB56A7" w:rsidR="00442DE1" w:rsidRPr="00442DE1" w:rsidRDefault="00442DE1" w:rsidP="00442DE1">
            <w:pPr>
              <w:spacing w:after="0" w:line="240" w:lineRule="auto"/>
              <w:rPr>
                <w:sz w:val="20"/>
                <w:szCs w:val="20"/>
                <w:lang w:eastAsia="sk-SK"/>
              </w:rPr>
            </w:pPr>
            <w:r w:rsidRPr="00442DE1">
              <w:rPr>
                <w:sz w:val="20"/>
                <w:szCs w:val="20"/>
              </w:rPr>
              <w:t>Belgicko</w:t>
            </w:r>
          </w:p>
        </w:tc>
        <w:tc>
          <w:tcPr>
            <w:tcW w:w="843" w:type="dxa"/>
            <w:tcBorders>
              <w:top w:val="nil"/>
              <w:left w:val="nil"/>
              <w:bottom w:val="nil"/>
              <w:right w:val="nil"/>
            </w:tcBorders>
            <w:shd w:val="clear" w:color="auto" w:fill="auto"/>
            <w:noWrap/>
            <w:vAlign w:val="center"/>
            <w:hideMark/>
          </w:tcPr>
          <w:p w14:paraId="795397D0" w14:textId="6358BEBD"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108,4</w:t>
            </w:r>
          </w:p>
        </w:tc>
        <w:tc>
          <w:tcPr>
            <w:tcW w:w="843" w:type="dxa"/>
            <w:tcBorders>
              <w:top w:val="nil"/>
              <w:left w:val="nil"/>
              <w:bottom w:val="nil"/>
              <w:right w:val="nil"/>
            </w:tcBorders>
            <w:shd w:val="clear" w:color="auto" w:fill="auto"/>
            <w:noWrap/>
            <w:vAlign w:val="center"/>
            <w:hideMark/>
          </w:tcPr>
          <w:p w14:paraId="16F3F9F4" w14:textId="5EE32F66"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102,6</w:t>
            </w:r>
          </w:p>
        </w:tc>
        <w:tc>
          <w:tcPr>
            <w:tcW w:w="864" w:type="dxa"/>
            <w:tcBorders>
              <w:top w:val="nil"/>
              <w:left w:val="nil"/>
              <w:bottom w:val="nil"/>
              <w:right w:val="nil"/>
            </w:tcBorders>
            <w:shd w:val="clear" w:color="auto" w:fill="auto"/>
            <w:noWrap/>
            <w:vAlign w:val="center"/>
            <w:hideMark/>
          </w:tcPr>
          <w:p w14:paraId="28C8D4FE" w14:textId="70D9121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103,1</w:t>
            </w:r>
          </w:p>
        </w:tc>
        <w:tc>
          <w:tcPr>
            <w:tcW w:w="799" w:type="dxa"/>
            <w:tcBorders>
              <w:top w:val="nil"/>
              <w:left w:val="nil"/>
              <w:bottom w:val="nil"/>
              <w:right w:val="single" w:sz="4" w:space="0" w:color="auto"/>
            </w:tcBorders>
            <w:shd w:val="clear" w:color="auto" w:fill="auto"/>
            <w:noWrap/>
            <w:vAlign w:val="center"/>
            <w:hideMark/>
          </w:tcPr>
          <w:p w14:paraId="3B9FD576" w14:textId="0CE2CF4B"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FF0000"/>
                <w:sz w:val="20"/>
                <w:szCs w:val="20"/>
              </w:rPr>
              <w:t>0,5</w:t>
            </w:r>
          </w:p>
        </w:tc>
      </w:tr>
      <w:tr w:rsidR="00442DE1" w:rsidRPr="00442DE1" w14:paraId="46CDABF4" w14:textId="77777777" w:rsidTr="00103121">
        <w:trPr>
          <w:trHeight w:val="307"/>
        </w:trPr>
        <w:tc>
          <w:tcPr>
            <w:tcW w:w="1542" w:type="dxa"/>
            <w:tcBorders>
              <w:top w:val="nil"/>
              <w:left w:val="single" w:sz="4" w:space="0" w:color="auto"/>
              <w:bottom w:val="nil"/>
              <w:right w:val="nil"/>
            </w:tcBorders>
            <w:shd w:val="clear" w:color="auto" w:fill="D9D9D9" w:themeFill="background1" w:themeFillShade="D9"/>
            <w:noWrap/>
            <w:vAlign w:val="center"/>
            <w:hideMark/>
          </w:tcPr>
          <w:p w14:paraId="3956D49E" w14:textId="006578C6" w:rsidR="00442DE1" w:rsidRPr="00442DE1" w:rsidRDefault="00442DE1" w:rsidP="00442DE1">
            <w:pPr>
              <w:spacing w:after="0" w:line="240" w:lineRule="auto"/>
              <w:rPr>
                <w:sz w:val="20"/>
                <w:szCs w:val="20"/>
                <w:lang w:eastAsia="sk-SK"/>
              </w:rPr>
            </w:pPr>
            <w:r w:rsidRPr="00442DE1">
              <w:rPr>
                <w:b/>
                <w:bCs/>
                <w:sz w:val="20"/>
                <w:szCs w:val="20"/>
              </w:rPr>
              <w:t>Slovensko</w:t>
            </w:r>
          </w:p>
        </w:tc>
        <w:tc>
          <w:tcPr>
            <w:tcW w:w="764" w:type="dxa"/>
            <w:tcBorders>
              <w:top w:val="nil"/>
              <w:left w:val="nil"/>
              <w:bottom w:val="nil"/>
              <w:right w:val="nil"/>
            </w:tcBorders>
            <w:shd w:val="clear" w:color="auto" w:fill="D9D9D9" w:themeFill="background1" w:themeFillShade="D9"/>
            <w:noWrap/>
            <w:vAlign w:val="center"/>
            <w:hideMark/>
          </w:tcPr>
          <w:p w14:paraId="53277775" w14:textId="04E3E233" w:rsidR="00442DE1" w:rsidRPr="00442DE1" w:rsidRDefault="00442DE1" w:rsidP="00442DE1">
            <w:pPr>
              <w:spacing w:after="0" w:line="240" w:lineRule="auto"/>
              <w:ind w:firstLineChars="100" w:firstLine="201"/>
              <w:jc w:val="right"/>
              <w:rPr>
                <w:color w:val="000000"/>
                <w:sz w:val="20"/>
                <w:szCs w:val="20"/>
                <w:lang w:eastAsia="sk-SK"/>
              </w:rPr>
            </w:pPr>
            <w:r w:rsidRPr="00442DE1">
              <w:rPr>
                <w:b/>
                <w:bCs/>
                <w:color w:val="000000"/>
                <w:sz w:val="20"/>
                <w:szCs w:val="20"/>
              </w:rPr>
              <w:t>-5,1</w:t>
            </w:r>
          </w:p>
        </w:tc>
        <w:tc>
          <w:tcPr>
            <w:tcW w:w="826" w:type="dxa"/>
            <w:tcBorders>
              <w:top w:val="nil"/>
              <w:left w:val="nil"/>
              <w:bottom w:val="nil"/>
              <w:right w:val="nil"/>
            </w:tcBorders>
            <w:shd w:val="clear" w:color="auto" w:fill="D9D9D9" w:themeFill="background1" w:themeFillShade="D9"/>
            <w:noWrap/>
            <w:vAlign w:val="center"/>
            <w:hideMark/>
          </w:tcPr>
          <w:p w14:paraId="2C1E96FA" w14:textId="2A21D835" w:rsidR="00442DE1" w:rsidRPr="00442DE1" w:rsidRDefault="00442DE1" w:rsidP="00442DE1">
            <w:pPr>
              <w:spacing w:after="0" w:line="240" w:lineRule="auto"/>
              <w:ind w:firstLineChars="100" w:firstLine="201"/>
              <w:jc w:val="right"/>
              <w:rPr>
                <w:color w:val="000000"/>
                <w:sz w:val="20"/>
                <w:szCs w:val="20"/>
                <w:lang w:eastAsia="sk-SK"/>
              </w:rPr>
            </w:pPr>
            <w:r w:rsidRPr="00442DE1">
              <w:rPr>
                <w:b/>
                <w:bCs/>
                <w:color w:val="000000"/>
                <w:sz w:val="20"/>
                <w:szCs w:val="20"/>
              </w:rPr>
              <w:t>-1,7</w:t>
            </w:r>
          </w:p>
        </w:tc>
        <w:tc>
          <w:tcPr>
            <w:tcW w:w="742" w:type="dxa"/>
            <w:tcBorders>
              <w:top w:val="nil"/>
              <w:left w:val="nil"/>
              <w:bottom w:val="nil"/>
              <w:right w:val="nil"/>
            </w:tcBorders>
            <w:shd w:val="clear" w:color="auto" w:fill="D9D9D9" w:themeFill="background1" w:themeFillShade="D9"/>
            <w:noWrap/>
            <w:vAlign w:val="center"/>
            <w:hideMark/>
          </w:tcPr>
          <w:p w14:paraId="2C92B5A3" w14:textId="3FC80D08" w:rsidR="00442DE1" w:rsidRPr="00442DE1" w:rsidRDefault="00442DE1" w:rsidP="00442DE1">
            <w:pPr>
              <w:spacing w:after="0" w:line="240" w:lineRule="auto"/>
              <w:ind w:firstLineChars="100" w:firstLine="201"/>
              <w:jc w:val="right"/>
              <w:rPr>
                <w:color w:val="000000"/>
                <w:sz w:val="20"/>
                <w:szCs w:val="20"/>
                <w:lang w:eastAsia="sk-SK"/>
              </w:rPr>
            </w:pPr>
            <w:r w:rsidRPr="00442DE1">
              <w:rPr>
                <w:b/>
                <w:bCs/>
                <w:color w:val="000000"/>
                <w:sz w:val="20"/>
                <w:szCs w:val="20"/>
              </w:rPr>
              <w:t>-5,2</w:t>
            </w:r>
          </w:p>
        </w:tc>
        <w:tc>
          <w:tcPr>
            <w:tcW w:w="728" w:type="dxa"/>
            <w:tcBorders>
              <w:top w:val="nil"/>
              <w:left w:val="nil"/>
              <w:bottom w:val="nil"/>
              <w:right w:val="nil"/>
            </w:tcBorders>
            <w:shd w:val="clear" w:color="auto" w:fill="D9D9D9" w:themeFill="background1" w:themeFillShade="D9"/>
            <w:noWrap/>
            <w:vAlign w:val="center"/>
            <w:hideMark/>
          </w:tcPr>
          <w:p w14:paraId="134EE644" w14:textId="7BBD18D1" w:rsidR="00442DE1" w:rsidRPr="00442DE1" w:rsidRDefault="00442DE1" w:rsidP="00442DE1">
            <w:pPr>
              <w:spacing w:after="0" w:line="240" w:lineRule="auto"/>
              <w:ind w:firstLineChars="100" w:firstLine="200"/>
              <w:jc w:val="center"/>
              <w:rPr>
                <w:color w:val="FF0000"/>
                <w:sz w:val="20"/>
                <w:szCs w:val="20"/>
                <w:lang w:eastAsia="sk-SK"/>
              </w:rPr>
            </w:pPr>
            <w:r w:rsidRPr="00442DE1">
              <w:rPr>
                <w:color w:val="FF0000"/>
                <w:sz w:val="20"/>
                <w:szCs w:val="20"/>
              </w:rPr>
              <w:t>-3,5</w:t>
            </w:r>
          </w:p>
        </w:tc>
        <w:tc>
          <w:tcPr>
            <w:tcW w:w="1453" w:type="dxa"/>
            <w:tcBorders>
              <w:top w:val="nil"/>
              <w:left w:val="single" w:sz="4" w:space="0" w:color="auto"/>
              <w:bottom w:val="nil"/>
              <w:right w:val="nil"/>
            </w:tcBorders>
            <w:shd w:val="clear" w:color="auto" w:fill="auto"/>
            <w:noWrap/>
            <w:vAlign w:val="center"/>
            <w:hideMark/>
          </w:tcPr>
          <w:p w14:paraId="54E46D15" w14:textId="37F1EC76" w:rsidR="00442DE1" w:rsidRPr="00442DE1" w:rsidRDefault="00442DE1" w:rsidP="00442DE1">
            <w:pPr>
              <w:spacing w:after="0" w:line="240" w:lineRule="auto"/>
              <w:rPr>
                <w:sz w:val="20"/>
                <w:szCs w:val="20"/>
                <w:lang w:eastAsia="sk-SK"/>
              </w:rPr>
            </w:pPr>
            <w:r w:rsidRPr="00442DE1">
              <w:rPr>
                <w:sz w:val="20"/>
                <w:szCs w:val="20"/>
              </w:rPr>
              <w:t>Portugalsko</w:t>
            </w:r>
          </w:p>
        </w:tc>
        <w:tc>
          <w:tcPr>
            <w:tcW w:w="843" w:type="dxa"/>
            <w:tcBorders>
              <w:top w:val="nil"/>
              <w:left w:val="nil"/>
              <w:bottom w:val="nil"/>
              <w:right w:val="nil"/>
            </w:tcBorders>
            <w:shd w:val="clear" w:color="auto" w:fill="auto"/>
            <w:noWrap/>
            <w:vAlign w:val="center"/>
            <w:hideMark/>
          </w:tcPr>
          <w:p w14:paraId="5A39A92D" w14:textId="18365598"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123,9</w:t>
            </w:r>
          </w:p>
        </w:tc>
        <w:tc>
          <w:tcPr>
            <w:tcW w:w="843" w:type="dxa"/>
            <w:tcBorders>
              <w:top w:val="nil"/>
              <w:left w:val="nil"/>
              <w:bottom w:val="nil"/>
              <w:right w:val="nil"/>
            </w:tcBorders>
            <w:shd w:val="clear" w:color="auto" w:fill="auto"/>
            <w:noWrap/>
            <w:vAlign w:val="center"/>
            <w:hideMark/>
          </w:tcPr>
          <w:p w14:paraId="711C086C" w14:textId="47F4D1CA"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111,2</w:t>
            </w:r>
          </w:p>
        </w:tc>
        <w:tc>
          <w:tcPr>
            <w:tcW w:w="864" w:type="dxa"/>
            <w:tcBorders>
              <w:top w:val="nil"/>
              <w:left w:val="nil"/>
              <w:bottom w:val="nil"/>
              <w:right w:val="nil"/>
            </w:tcBorders>
            <w:shd w:val="clear" w:color="auto" w:fill="auto"/>
            <w:noWrap/>
            <w:vAlign w:val="center"/>
            <w:hideMark/>
          </w:tcPr>
          <w:p w14:paraId="5B7C18B6" w14:textId="0D7FB124"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97,9</w:t>
            </w:r>
          </w:p>
        </w:tc>
        <w:tc>
          <w:tcPr>
            <w:tcW w:w="799" w:type="dxa"/>
            <w:tcBorders>
              <w:top w:val="nil"/>
              <w:left w:val="nil"/>
              <w:bottom w:val="nil"/>
              <w:right w:val="single" w:sz="4" w:space="0" w:color="auto"/>
            </w:tcBorders>
            <w:shd w:val="clear" w:color="auto" w:fill="auto"/>
            <w:noWrap/>
            <w:vAlign w:val="center"/>
            <w:hideMark/>
          </w:tcPr>
          <w:p w14:paraId="42CCD329" w14:textId="0E0B8C12"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-13,3</w:t>
            </w:r>
          </w:p>
        </w:tc>
      </w:tr>
      <w:tr w:rsidR="00442DE1" w:rsidRPr="00442DE1" w14:paraId="5645D2F3"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5B4A843C" w14:textId="3D0AC489" w:rsidR="00442DE1" w:rsidRPr="00442DE1" w:rsidRDefault="00442DE1" w:rsidP="00442DE1">
            <w:pPr>
              <w:spacing w:after="0" w:line="240" w:lineRule="auto"/>
              <w:rPr>
                <w:sz w:val="20"/>
                <w:szCs w:val="20"/>
                <w:lang w:eastAsia="sk-SK"/>
              </w:rPr>
            </w:pPr>
            <w:r w:rsidRPr="00442DE1">
              <w:rPr>
                <w:sz w:val="20"/>
                <w:szCs w:val="20"/>
              </w:rPr>
              <w:t>Malta</w:t>
            </w:r>
          </w:p>
        </w:tc>
        <w:tc>
          <w:tcPr>
            <w:tcW w:w="764" w:type="dxa"/>
            <w:tcBorders>
              <w:top w:val="nil"/>
              <w:left w:val="nil"/>
              <w:bottom w:val="nil"/>
              <w:right w:val="nil"/>
            </w:tcBorders>
            <w:shd w:val="clear" w:color="auto" w:fill="auto"/>
            <w:noWrap/>
            <w:vAlign w:val="center"/>
            <w:hideMark/>
          </w:tcPr>
          <w:p w14:paraId="54BFCE68" w14:textId="065F5885"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-7,0</w:t>
            </w:r>
          </w:p>
        </w:tc>
        <w:tc>
          <w:tcPr>
            <w:tcW w:w="826" w:type="dxa"/>
            <w:tcBorders>
              <w:top w:val="nil"/>
              <w:left w:val="nil"/>
              <w:bottom w:val="nil"/>
              <w:right w:val="nil"/>
            </w:tcBorders>
            <w:shd w:val="clear" w:color="auto" w:fill="auto"/>
            <w:noWrap/>
            <w:vAlign w:val="center"/>
            <w:hideMark/>
          </w:tcPr>
          <w:p w14:paraId="5D5E591A" w14:textId="5C637F89"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-5,2</w:t>
            </w:r>
          </w:p>
        </w:tc>
        <w:tc>
          <w:tcPr>
            <w:tcW w:w="742" w:type="dxa"/>
            <w:tcBorders>
              <w:top w:val="nil"/>
              <w:left w:val="nil"/>
              <w:bottom w:val="nil"/>
              <w:right w:val="nil"/>
            </w:tcBorders>
            <w:shd w:val="clear" w:color="auto" w:fill="auto"/>
            <w:noWrap/>
            <w:vAlign w:val="center"/>
            <w:hideMark/>
          </w:tcPr>
          <w:p w14:paraId="078D14D0" w14:textId="2C4C922C"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-4,5</w:t>
            </w:r>
          </w:p>
        </w:tc>
        <w:tc>
          <w:tcPr>
            <w:tcW w:w="728" w:type="dxa"/>
            <w:tcBorders>
              <w:top w:val="nil"/>
              <w:left w:val="nil"/>
              <w:bottom w:val="nil"/>
              <w:right w:val="nil"/>
            </w:tcBorders>
            <w:shd w:val="clear" w:color="auto" w:fill="auto"/>
            <w:noWrap/>
            <w:vAlign w:val="center"/>
            <w:hideMark/>
          </w:tcPr>
          <w:p w14:paraId="4A642549" w14:textId="0D845206"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00B050"/>
                <w:sz w:val="20"/>
                <w:szCs w:val="20"/>
              </w:rPr>
              <w:t>0,7</w:t>
            </w:r>
          </w:p>
        </w:tc>
        <w:tc>
          <w:tcPr>
            <w:tcW w:w="1453" w:type="dxa"/>
            <w:tcBorders>
              <w:top w:val="nil"/>
              <w:left w:val="single" w:sz="4" w:space="0" w:color="auto"/>
              <w:bottom w:val="nil"/>
              <w:right w:val="nil"/>
            </w:tcBorders>
            <w:shd w:val="clear" w:color="auto" w:fill="auto"/>
            <w:noWrap/>
            <w:vAlign w:val="center"/>
            <w:hideMark/>
          </w:tcPr>
          <w:p w14:paraId="7EF7446C" w14:textId="6FCAAF3C" w:rsidR="00442DE1" w:rsidRPr="00442DE1" w:rsidRDefault="00442DE1" w:rsidP="00442DE1">
            <w:pPr>
              <w:spacing w:after="0" w:line="240" w:lineRule="auto"/>
              <w:rPr>
                <w:sz w:val="20"/>
                <w:szCs w:val="20"/>
                <w:lang w:eastAsia="sk-SK"/>
              </w:rPr>
            </w:pPr>
            <w:r w:rsidRPr="00442DE1">
              <w:rPr>
                <w:sz w:val="20"/>
                <w:szCs w:val="20"/>
              </w:rPr>
              <w:t>Rakúsko</w:t>
            </w:r>
          </w:p>
        </w:tc>
        <w:tc>
          <w:tcPr>
            <w:tcW w:w="843" w:type="dxa"/>
            <w:tcBorders>
              <w:top w:val="nil"/>
              <w:left w:val="nil"/>
              <w:bottom w:val="nil"/>
              <w:right w:val="nil"/>
            </w:tcBorders>
            <w:shd w:val="clear" w:color="auto" w:fill="auto"/>
            <w:noWrap/>
            <w:vAlign w:val="center"/>
            <w:hideMark/>
          </w:tcPr>
          <w:p w14:paraId="6F08DA71" w14:textId="2DE11819"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82,4</w:t>
            </w:r>
          </w:p>
        </w:tc>
        <w:tc>
          <w:tcPr>
            <w:tcW w:w="843" w:type="dxa"/>
            <w:tcBorders>
              <w:top w:val="nil"/>
              <w:left w:val="nil"/>
              <w:bottom w:val="nil"/>
              <w:right w:val="nil"/>
            </w:tcBorders>
            <w:shd w:val="clear" w:color="auto" w:fill="auto"/>
            <w:noWrap/>
            <w:vAlign w:val="center"/>
            <w:hideMark/>
          </w:tcPr>
          <w:p w14:paraId="41B120F4" w14:textId="7EC612B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78,4</w:t>
            </w:r>
          </w:p>
        </w:tc>
        <w:tc>
          <w:tcPr>
            <w:tcW w:w="864" w:type="dxa"/>
            <w:tcBorders>
              <w:top w:val="nil"/>
              <w:left w:val="nil"/>
              <w:bottom w:val="nil"/>
              <w:right w:val="nil"/>
            </w:tcBorders>
            <w:shd w:val="clear" w:color="auto" w:fill="auto"/>
            <w:noWrap/>
            <w:vAlign w:val="center"/>
            <w:hideMark/>
          </w:tcPr>
          <w:p w14:paraId="434A0CE1" w14:textId="5790CFB6"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78,6</w:t>
            </w:r>
          </w:p>
        </w:tc>
        <w:tc>
          <w:tcPr>
            <w:tcW w:w="799" w:type="dxa"/>
            <w:tcBorders>
              <w:top w:val="nil"/>
              <w:left w:val="nil"/>
              <w:bottom w:val="nil"/>
              <w:right w:val="single" w:sz="4" w:space="0" w:color="auto"/>
            </w:tcBorders>
            <w:shd w:val="clear" w:color="auto" w:fill="auto"/>
            <w:noWrap/>
            <w:vAlign w:val="center"/>
            <w:hideMark/>
          </w:tcPr>
          <w:p w14:paraId="0ADCDE38" w14:textId="08546DA3"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FF0000"/>
                <w:sz w:val="20"/>
                <w:szCs w:val="20"/>
              </w:rPr>
              <w:t>0,2</w:t>
            </w:r>
          </w:p>
        </w:tc>
      </w:tr>
      <w:tr w:rsidR="00442DE1" w:rsidRPr="00442DE1" w14:paraId="37F38C54"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4FBA8E7E" w14:textId="2AFE7A4B" w:rsidR="00442DE1" w:rsidRPr="00442DE1" w:rsidRDefault="00442DE1" w:rsidP="00442DE1">
            <w:pPr>
              <w:spacing w:after="0" w:line="240" w:lineRule="auto"/>
              <w:rPr>
                <w:sz w:val="20"/>
                <w:szCs w:val="20"/>
                <w:lang w:eastAsia="sk-SK"/>
              </w:rPr>
            </w:pPr>
            <w:r w:rsidRPr="00442DE1">
              <w:rPr>
                <w:sz w:val="20"/>
                <w:szCs w:val="20"/>
              </w:rPr>
              <w:t>Belgicko</w:t>
            </w:r>
          </w:p>
        </w:tc>
        <w:tc>
          <w:tcPr>
            <w:tcW w:w="764" w:type="dxa"/>
            <w:tcBorders>
              <w:top w:val="nil"/>
              <w:left w:val="nil"/>
              <w:bottom w:val="nil"/>
              <w:right w:val="nil"/>
            </w:tcBorders>
            <w:shd w:val="clear" w:color="auto" w:fill="auto"/>
            <w:noWrap/>
            <w:vAlign w:val="center"/>
            <w:hideMark/>
          </w:tcPr>
          <w:p w14:paraId="42F945EC" w14:textId="2E67DF2C"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-5,4</w:t>
            </w:r>
          </w:p>
        </w:tc>
        <w:tc>
          <w:tcPr>
            <w:tcW w:w="826" w:type="dxa"/>
            <w:tcBorders>
              <w:top w:val="nil"/>
              <w:left w:val="nil"/>
              <w:bottom w:val="nil"/>
              <w:right w:val="nil"/>
            </w:tcBorders>
            <w:shd w:val="clear" w:color="auto" w:fill="auto"/>
            <w:noWrap/>
            <w:vAlign w:val="center"/>
            <w:hideMark/>
          </w:tcPr>
          <w:p w14:paraId="6FFC59E1" w14:textId="54B7CE60"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-3,6</w:t>
            </w:r>
          </w:p>
        </w:tc>
        <w:tc>
          <w:tcPr>
            <w:tcW w:w="742" w:type="dxa"/>
            <w:tcBorders>
              <w:top w:val="nil"/>
              <w:left w:val="nil"/>
              <w:bottom w:val="nil"/>
              <w:right w:val="nil"/>
            </w:tcBorders>
            <w:shd w:val="clear" w:color="auto" w:fill="auto"/>
            <w:noWrap/>
            <w:vAlign w:val="center"/>
            <w:hideMark/>
          </w:tcPr>
          <w:p w14:paraId="3F110333" w14:textId="68A0C50C"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-4,2</w:t>
            </w:r>
          </w:p>
        </w:tc>
        <w:tc>
          <w:tcPr>
            <w:tcW w:w="728" w:type="dxa"/>
            <w:tcBorders>
              <w:top w:val="nil"/>
              <w:left w:val="nil"/>
              <w:bottom w:val="nil"/>
              <w:right w:val="nil"/>
            </w:tcBorders>
            <w:shd w:val="clear" w:color="auto" w:fill="auto"/>
            <w:noWrap/>
            <w:vAlign w:val="center"/>
            <w:hideMark/>
          </w:tcPr>
          <w:p w14:paraId="0AB49C1D" w14:textId="7112160A"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-0,6</w:t>
            </w:r>
          </w:p>
        </w:tc>
        <w:tc>
          <w:tcPr>
            <w:tcW w:w="1453" w:type="dxa"/>
            <w:tcBorders>
              <w:top w:val="nil"/>
              <w:left w:val="single" w:sz="4" w:space="0" w:color="auto"/>
              <w:bottom w:val="nil"/>
              <w:right w:val="nil"/>
            </w:tcBorders>
            <w:shd w:val="clear" w:color="auto" w:fill="auto"/>
            <w:noWrap/>
            <w:vAlign w:val="center"/>
            <w:hideMark/>
          </w:tcPr>
          <w:p w14:paraId="4DD5BD2E" w14:textId="1E74F241" w:rsidR="00442DE1" w:rsidRPr="00442DE1" w:rsidRDefault="00442DE1" w:rsidP="00442DE1">
            <w:pPr>
              <w:spacing w:after="0" w:line="240" w:lineRule="auto"/>
              <w:rPr>
                <w:sz w:val="20"/>
                <w:szCs w:val="20"/>
                <w:lang w:eastAsia="sk-SK"/>
              </w:rPr>
            </w:pPr>
            <w:r w:rsidRPr="00442DE1">
              <w:rPr>
                <w:sz w:val="20"/>
                <w:szCs w:val="20"/>
              </w:rPr>
              <w:t>Fínsko</w:t>
            </w:r>
          </w:p>
        </w:tc>
        <w:tc>
          <w:tcPr>
            <w:tcW w:w="843" w:type="dxa"/>
            <w:tcBorders>
              <w:top w:val="nil"/>
              <w:left w:val="nil"/>
              <w:bottom w:val="nil"/>
              <w:right w:val="nil"/>
            </w:tcBorders>
            <w:shd w:val="clear" w:color="auto" w:fill="auto"/>
            <w:noWrap/>
            <w:vAlign w:val="center"/>
            <w:hideMark/>
          </w:tcPr>
          <w:p w14:paraId="1BC773D7" w14:textId="188FCF77"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73,2</w:t>
            </w:r>
          </w:p>
        </w:tc>
        <w:tc>
          <w:tcPr>
            <w:tcW w:w="843" w:type="dxa"/>
            <w:tcBorders>
              <w:top w:val="nil"/>
              <w:left w:val="nil"/>
              <w:bottom w:val="nil"/>
              <w:right w:val="nil"/>
            </w:tcBorders>
            <w:shd w:val="clear" w:color="auto" w:fill="auto"/>
            <w:noWrap/>
            <w:vAlign w:val="center"/>
            <w:hideMark/>
          </w:tcPr>
          <w:p w14:paraId="4DB3C8AF" w14:textId="65BE22C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74,0</w:t>
            </w:r>
          </w:p>
        </w:tc>
        <w:tc>
          <w:tcPr>
            <w:tcW w:w="864" w:type="dxa"/>
            <w:tcBorders>
              <w:top w:val="nil"/>
              <w:left w:val="nil"/>
              <w:bottom w:val="nil"/>
              <w:right w:val="nil"/>
            </w:tcBorders>
            <w:shd w:val="clear" w:color="auto" w:fill="auto"/>
            <w:noWrap/>
            <w:vAlign w:val="center"/>
            <w:hideMark/>
          </w:tcPr>
          <w:p w14:paraId="0526C9A7" w14:textId="1EB70C9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77,1</w:t>
            </w:r>
          </w:p>
        </w:tc>
        <w:tc>
          <w:tcPr>
            <w:tcW w:w="799" w:type="dxa"/>
            <w:tcBorders>
              <w:top w:val="nil"/>
              <w:left w:val="nil"/>
              <w:bottom w:val="nil"/>
              <w:right w:val="single" w:sz="4" w:space="0" w:color="auto"/>
            </w:tcBorders>
            <w:shd w:val="clear" w:color="auto" w:fill="auto"/>
            <w:noWrap/>
            <w:vAlign w:val="center"/>
            <w:hideMark/>
          </w:tcPr>
          <w:p w14:paraId="3C12CA9C" w14:textId="51C08125"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FF0000"/>
                <w:sz w:val="20"/>
                <w:szCs w:val="20"/>
              </w:rPr>
              <w:t>3,1</w:t>
            </w:r>
          </w:p>
        </w:tc>
      </w:tr>
      <w:tr w:rsidR="00442DE1" w:rsidRPr="00442DE1" w14:paraId="1AA95EC2"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155B3B33" w14:textId="3C42FD84" w:rsidR="00442DE1" w:rsidRPr="00442DE1" w:rsidRDefault="00442DE1" w:rsidP="00442DE1">
            <w:pPr>
              <w:spacing w:after="0" w:line="240" w:lineRule="auto"/>
              <w:rPr>
                <w:sz w:val="20"/>
                <w:szCs w:val="20"/>
                <w:lang w:eastAsia="sk-SK"/>
              </w:rPr>
            </w:pPr>
            <w:r w:rsidRPr="00442DE1">
              <w:rPr>
                <w:sz w:val="20"/>
                <w:szCs w:val="20"/>
              </w:rPr>
              <w:t>Česká republika</w:t>
            </w:r>
          </w:p>
        </w:tc>
        <w:tc>
          <w:tcPr>
            <w:tcW w:w="764" w:type="dxa"/>
            <w:tcBorders>
              <w:top w:val="nil"/>
              <w:left w:val="nil"/>
              <w:bottom w:val="nil"/>
              <w:right w:val="nil"/>
            </w:tcBorders>
            <w:shd w:val="clear" w:color="auto" w:fill="auto"/>
            <w:noWrap/>
            <w:vAlign w:val="center"/>
            <w:hideMark/>
          </w:tcPr>
          <w:p w14:paraId="67FACE58" w14:textId="551CAD20"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-5,0</w:t>
            </w:r>
          </w:p>
        </w:tc>
        <w:tc>
          <w:tcPr>
            <w:tcW w:w="826" w:type="dxa"/>
            <w:tcBorders>
              <w:top w:val="nil"/>
              <w:left w:val="nil"/>
              <w:bottom w:val="nil"/>
              <w:right w:val="nil"/>
            </w:tcBorders>
            <w:shd w:val="clear" w:color="auto" w:fill="auto"/>
            <w:noWrap/>
            <w:vAlign w:val="center"/>
            <w:hideMark/>
          </w:tcPr>
          <w:p w14:paraId="1BCAF65D" w14:textId="236A541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-3,1</w:t>
            </w:r>
          </w:p>
        </w:tc>
        <w:tc>
          <w:tcPr>
            <w:tcW w:w="742" w:type="dxa"/>
            <w:tcBorders>
              <w:top w:val="nil"/>
              <w:left w:val="nil"/>
              <w:bottom w:val="nil"/>
              <w:right w:val="nil"/>
            </w:tcBorders>
            <w:shd w:val="clear" w:color="auto" w:fill="auto"/>
            <w:noWrap/>
            <w:vAlign w:val="center"/>
            <w:hideMark/>
          </w:tcPr>
          <w:p w14:paraId="545A12F1" w14:textId="3B1FD2D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-3,8</w:t>
            </w:r>
          </w:p>
        </w:tc>
        <w:tc>
          <w:tcPr>
            <w:tcW w:w="728" w:type="dxa"/>
            <w:tcBorders>
              <w:top w:val="nil"/>
              <w:left w:val="nil"/>
              <w:bottom w:val="nil"/>
              <w:right w:val="nil"/>
            </w:tcBorders>
            <w:shd w:val="clear" w:color="auto" w:fill="auto"/>
            <w:noWrap/>
            <w:vAlign w:val="center"/>
            <w:hideMark/>
          </w:tcPr>
          <w:p w14:paraId="1E959A7E" w14:textId="5A269B35"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-0,7</w:t>
            </w:r>
          </w:p>
        </w:tc>
        <w:tc>
          <w:tcPr>
            <w:tcW w:w="1453" w:type="dxa"/>
            <w:tcBorders>
              <w:top w:val="nil"/>
              <w:left w:val="single" w:sz="4" w:space="0" w:color="auto"/>
              <w:bottom w:val="nil"/>
              <w:right w:val="nil"/>
            </w:tcBorders>
            <w:shd w:val="clear" w:color="auto" w:fill="auto"/>
            <w:noWrap/>
            <w:vAlign w:val="center"/>
            <w:hideMark/>
          </w:tcPr>
          <w:p w14:paraId="6C549FAC" w14:textId="78B4F766" w:rsidR="00442DE1" w:rsidRPr="00442DE1" w:rsidRDefault="00442DE1" w:rsidP="00442DE1">
            <w:pPr>
              <w:spacing w:after="0" w:line="240" w:lineRule="auto"/>
              <w:rPr>
                <w:sz w:val="20"/>
                <w:szCs w:val="20"/>
                <w:lang w:eastAsia="sk-SK"/>
              </w:rPr>
            </w:pPr>
            <w:r w:rsidRPr="00442DE1">
              <w:rPr>
                <w:sz w:val="20"/>
                <w:szCs w:val="20"/>
              </w:rPr>
              <w:t>Cyprus</w:t>
            </w:r>
          </w:p>
        </w:tc>
        <w:tc>
          <w:tcPr>
            <w:tcW w:w="843" w:type="dxa"/>
            <w:tcBorders>
              <w:top w:val="nil"/>
              <w:left w:val="nil"/>
              <w:bottom w:val="nil"/>
              <w:right w:val="nil"/>
            </w:tcBorders>
            <w:shd w:val="clear" w:color="auto" w:fill="auto"/>
            <w:noWrap/>
            <w:vAlign w:val="center"/>
            <w:hideMark/>
          </w:tcPr>
          <w:p w14:paraId="057E89C4" w14:textId="522B182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96,5</w:t>
            </w:r>
          </w:p>
        </w:tc>
        <w:tc>
          <w:tcPr>
            <w:tcW w:w="843" w:type="dxa"/>
            <w:tcBorders>
              <w:top w:val="nil"/>
              <w:left w:val="nil"/>
              <w:bottom w:val="nil"/>
              <w:right w:val="nil"/>
            </w:tcBorders>
            <w:shd w:val="clear" w:color="auto" w:fill="auto"/>
            <w:noWrap/>
            <w:vAlign w:val="center"/>
            <w:hideMark/>
          </w:tcPr>
          <w:p w14:paraId="6277D67A" w14:textId="5A4BE65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81,0</w:t>
            </w:r>
          </w:p>
        </w:tc>
        <w:tc>
          <w:tcPr>
            <w:tcW w:w="864" w:type="dxa"/>
            <w:tcBorders>
              <w:top w:val="nil"/>
              <w:left w:val="nil"/>
              <w:bottom w:val="nil"/>
              <w:right w:val="nil"/>
            </w:tcBorders>
            <w:shd w:val="clear" w:color="auto" w:fill="auto"/>
            <w:noWrap/>
            <w:vAlign w:val="center"/>
            <w:hideMark/>
          </w:tcPr>
          <w:p w14:paraId="2A6C01F4" w14:textId="6B84C0C0"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73,6</w:t>
            </w:r>
          </w:p>
        </w:tc>
        <w:tc>
          <w:tcPr>
            <w:tcW w:w="799" w:type="dxa"/>
            <w:tcBorders>
              <w:top w:val="nil"/>
              <w:left w:val="nil"/>
              <w:bottom w:val="nil"/>
              <w:right w:val="single" w:sz="4" w:space="0" w:color="auto"/>
            </w:tcBorders>
            <w:shd w:val="clear" w:color="auto" w:fill="auto"/>
            <w:noWrap/>
            <w:vAlign w:val="center"/>
            <w:hideMark/>
          </w:tcPr>
          <w:p w14:paraId="0C93BC3E" w14:textId="557D82AA"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-7,4</w:t>
            </w:r>
          </w:p>
        </w:tc>
      </w:tr>
      <w:tr w:rsidR="00442DE1" w:rsidRPr="00442DE1" w14:paraId="3EAED0BD"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6EA4EFD9" w14:textId="721FF322" w:rsidR="00442DE1" w:rsidRPr="00442DE1" w:rsidRDefault="00442DE1" w:rsidP="00442DE1">
            <w:pPr>
              <w:spacing w:after="0" w:line="240" w:lineRule="auto"/>
              <w:rPr>
                <w:sz w:val="20"/>
                <w:szCs w:val="20"/>
                <w:lang w:eastAsia="sk-SK"/>
              </w:rPr>
            </w:pPr>
            <w:r w:rsidRPr="00442DE1">
              <w:rPr>
                <w:sz w:val="20"/>
                <w:szCs w:val="20"/>
              </w:rPr>
              <w:t>Španielsko</w:t>
            </w:r>
          </w:p>
        </w:tc>
        <w:tc>
          <w:tcPr>
            <w:tcW w:w="764" w:type="dxa"/>
            <w:tcBorders>
              <w:top w:val="nil"/>
              <w:left w:val="nil"/>
              <w:bottom w:val="nil"/>
              <w:right w:val="nil"/>
            </w:tcBorders>
            <w:shd w:val="clear" w:color="auto" w:fill="auto"/>
            <w:noWrap/>
            <w:vAlign w:val="center"/>
            <w:hideMark/>
          </w:tcPr>
          <w:p w14:paraId="48923A96" w14:textId="1FAA71C9"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-6,7</w:t>
            </w:r>
          </w:p>
        </w:tc>
        <w:tc>
          <w:tcPr>
            <w:tcW w:w="826" w:type="dxa"/>
            <w:tcBorders>
              <w:top w:val="nil"/>
              <w:left w:val="nil"/>
              <w:bottom w:val="nil"/>
              <w:right w:val="nil"/>
            </w:tcBorders>
            <w:shd w:val="clear" w:color="auto" w:fill="auto"/>
            <w:noWrap/>
            <w:vAlign w:val="center"/>
            <w:hideMark/>
          </w:tcPr>
          <w:p w14:paraId="2CDE75EB" w14:textId="57C069CC"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-4,6</w:t>
            </w:r>
          </w:p>
        </w:tc>
        <w:tc>
          <w:tcPr>
            <w:tcW w:w="742" w:type="dxa"/>
            <w:tcBorders>
              <w:top w:val="nil"/>
              <w:left w:val="nil"/>
              <w:bottom w:val="nil"/>
              <w:right w:val="nil"/>
            </w:tcBorders>
            <w:shd w:val="clear" w:color="auto" w:fill="auto"/>
            <w:noWrap/>
            <w:vAlign w:val="center"/>
            <w:hideMark/>
          </w:tcPr>
          <w:p w14:paraId="6D5E81A6" w14:textId="3792DEE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-3,5</w:t>
            </w:r>
          </w:p>
        </w:tc>
        <w:tc>
          <w:tcPr>
            <w:tcW w:w="728" w:type="dxa"/>
            <w:tcBorders>
              <w:top w:val="nil"/>
              <w:left w:val="nil"/>
              <w:bottom w:val="nil"/>
              <w:right w:val="nil"/>
            </w:tcBorders>
            <w:shd w:val="clear" w:color="auto" w:fill="auto"/>
            <w:noWrap/>
            <w:vAlign w:val="center"/>
            <w:hideMark/>
          </w:tcPr>
          <w:p w14:paraId="5DA0AFDE" w14:textId="23158CD4"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00B050"/>
                <w:sz w:val="20"/>
                <w:szCs w:val="20"/>
              </w:rPr>
              <w:t>1,1</w:t>
            </w:r>
          </w:p>
        </w:tc>
        <w:tc>
          <w:tcPr>
            <w:tcW w:w="1453" w:type="dxa"/>
            <w:tcBorders>
              <w:top w:val="nil"/>
              <w:left w:val="single" w:sz="4" w:space="0" w:color="auto"/>
              <w:bottom w:val="nil"/>
              <w:right w:val="nil"/>
            </w:tcBorders>
            <w:shd w:val="clear" w:color="auto" w:fill="auto"/>
            <w:noWrap/>
            <w:vAlign w:val="center"/>
            <w:hideMark/>
          </w:tcPr>
          <w:p w14:paraId="7887CD82" w14:textId="7E71FF84" w:rsidR="00442DE1" w:rsidRPr="00442DE1" w:rsidRDefault="00442DE1" w:rsidP="00442DE1">
            <w:pPr>
              <w:spacing w:after="0" w:line="240" w:lineRule="auto"/>
              <w:rPr>
                <w:sz w:val="20"/>
                <w:szCs w:val="20"/>
                <w:lang w:eastAsia="sk-SK"/>
              </w:rPr>
            </w:pPr>
            <w:r w:rsidRPr="00442DE1">
              <w:rPr>
                <w:sz w:val="20"/>
                <w:szCs w:val="20"/>
              </w:rPr>
              <w:t>Maďarsko</w:t>
            </w:r>
          </w:p>
        </w:tc>
        <w:tc>
          <w:tcPr>
            <w:tcW w:w="843" w:type="dxa"/>
            <w:tcBorders>
              <w:top w:val="nil"/>
              <w:left w:val="nil"/>
              <w:bottom w:val="nil"/>
              <w:right w:val="nil"/>
            </w:tcBorders>
            <w:shd w:val="clear" w:color="auto" w:fill="auto"/>
            <w:noWrap/>
            <w:vAlign w:val="center"/>
            <w:hideMark/>
          </w:tcPr>
          <w:p w14:paraId="0CE3E9B8" w14:textId="061947BA"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76,2</w:t>
            </w:r>
          </w:p>
        </w:tc>
        <w:tc>
          <w:tcPr>
            <w:tcW w:w="843" w:type="dxa"/>
            <w:tcBorders>
              <w:top w:val="nil"/>
              <w:left w:val="nil"/>
              <w:bottom w:val="nil"/>
              <w:right w:val="nil"/>
            </w:tcBorders>
            <w:shd w:val="clear" w:color="auto" w:fill="auto"/>
            <w:noWrap/>
            <w:vAlign w:val="center"/>
            <w:hideMark/>
          </w:tcPr>
          <w:p w14:paraId="1E89E421" w14:textId="6AF8C2F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73,8</w:t>
            </w:r>
          </w:p>
        </w:tc>
        <w:tc>
          <w:tcPr>
            <w:tcW w:w="864" w:type="dxa"/>
            <w:tcBorders>
              <w:top w:val="nil"/>
              <w:left w:val="nil"/>
              <w:bottom w:val="nil"/>
              <w:right w:val="nil"/>
            </w:tcBorders>
            <w:shd w:val="clear" w:color="auto" w:fill="auto"/>
            <w:noWrap/>
            <w:vAlign w:val="center"/>
            <w:hideMark/>
          </w:tcPr>
          <w:p w14:paraId="2B0186E1" w14:textId="7453F387"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73,4</w:t>
            </w:r>
          </w:p>
        </w:tc>
        <w:tc>
          <w:tcPr>
            <w:tcW w:w="799" w:type="dxa"/>
            <w:tcBorders>
              <w:top w:val="nil"/>
              <w:left w:val="nil"/>
              <w:bottom w:val="nil"/>
              <w:right w:val="single" w:sz="4" w:space="0" w:color="auto"/>
            </w:tcBorders>
            <w:shd w:val="clear" w:color="auto" w:fill="auto"/>
            <w:noWrap/>
            <w:vAlign w:val="center"/>
            <w:hideMark/>
          </w:tcPr>
          <w:p w14:paraId="74A024C0" w14:textId="02B15743"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-0,4</w:t>
            </w:r>
          </w:p>
        </w:tc>
      </w:tr>
      <w:tr w:rsidR="00442DE1" w:rsidRPr="00442DE1" w14:paraId="40843D77"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538AA738" w14:textId="4390D725" w:rsidR="00442DE1" w:rsidRPr="00442DE1" w:rsidRDefault="00442DE1" w:rsidP="00442DE1">
            <w:pPr>
              <w:spacing w:after="0" w:line="240" w:lineRule="auto"/>
              <w:rPr>
                <w:b/>
                <w:bCs/>
                <w:sz w:val="20"/>
                <w:szCs w:val="20"/>
                <w:lang w:eastAsia="sk-SK"/>
              </w:rPr>
            </w:pPr>
            <w:r w:rsidRPr="00442DE1">
              <w:rPr>
                <w:sz w:val="20"/>
                <w:szCs w:val="20"/>
              </w:rPr>
              <w:t>Fínsko</w:t>
            </w:r>
          </w:p>
        </w:tc>
        <w:tc>
          <w:tcPr>
            <w:tcW w:w="764" w:type="dxa"/>
            <w:tcBorders>
              <w:top w:val="nil"/>
              <w:left w:val="nil"/>
              <w:bottom w:val="nil"/>
              <w:right w:val="nil"/>
            </w:tcBorders>
            <w:shd w:val="clear" w:color="auto" w:fill="auto"/>
            <w:noWrap/>
            <w:vAlign w:val="center"/>
            <w:hideMark/>
          </w:tcPr>
          <w:p w14:paraId="093DF0E7" w14:textId="12E9FCCB" w:rsidR="00442DE1" w:rsidRPr="00442DE1" w:rsidRDefault="00442DE1" w:rsidP="00442DE1">
            <w:pPr>
              <w:spacing w:after="0" w:line="240" w:lineRule="auto"/>
              <w:ind w:firstLineChars="100" w:firstLine="200"/>
              <w:jc w:val="right"/>
              <w:rPr>
                <w:b/>
                <w:bCs/>
                <w:color w:val="000000"/>
                <w:sz w:val="20"/>
                <w:szCs w:val="20"/>
                <w:lang w:eastAsia="sk-SK"/>
              </w:rPr>
            </w:pPr>
            <w:r w:rsidRPr="00442DE1">
              <w:rPr>
                <w:color w:val="000000"/>
                <w:sz w:val="20"/>
                <w:szCs w:val="20"/>
              </w:rPr>
              <w:t>-2,7</w:t>
            </w:r>
          </w:p>
        </w:tc>
        <w:tc>
          <w:tcPr>
            <w:tcW w:w="826" w:type="dxa"/>
            <w:tcBorders>
              <w:top w:val="nil"/>
              <w:left w:val="nil"/>
              <w:bottom w:val="nil"/>
              <w:right w:val="nil"/>
            </w:tcBorders>
            <w:shd w:val="clear" w:color="auto" w:fill="auto"/>
            <w:noWrap/>
            <w:vAlign w:val="center"/>
            <w:hideMark/>
          </w:tcPr>
          <w:p w14:paraId="284F946D" w14:textId="7E4D2DAB" w:rsidR="00442DE1" w:rsidRPr="00442DE1" w:rsidRDefault="00442DE1" w:rsidP="00442DE1">
            <w:pPr>
              <w:spacing w:after="0" w:line="240" w:lineRule="auto"/>
              <w:ind w:firstLineChars="100" w:firstLine="200"/>
              <w:jc w:val="right"/>
              <w:rPr>
                <w:b/>
                <w:bCs/>
                <w:color w:val="000000"/>
                <w:sz w:val="20"/>
                <w:szCs w:val="20"/>
                <w:lang w:eastAsia="sk-SK"/>
              </w:rPr>
            </w:pPr>
            <w:r w:rsidRPr="00442DE1">
              <w:rPr>
                <w:color w:val="000000"/>
                <w:sz w:val="20"/>
                <w:szCs w:val="20"/>
              </w:rPr>
              <w:t>-0,2</w:t>
            </w:r>
          </w:p>
        </w:tc>
        <w:tc>
          <w:tcPr>
            <w:tcW w:w="742" w:type="dxa"/>
            <w:tcBorders>
              <w:top w:val="nil"/>
              <w:left w:val="nil"/>
              <w:bottom w:val="nil"/>
              <w:right w:val="nil"/>
            </w:tcBorders>
            <w:shd w:val="clear" w:color="auto" w:fill="auto"/>
            <w:noWrap/>
            <w:vAlign w:val="center"/>
            <w:hideMark/>
          </w:tcPr>
          <w:p w14:paraId="0FFDF085" w14:textId="69685148" w:rsidR="00442DE1" w:rsidRPr="00442DE1" w:rsidRDefault="00442DE1" w:rsidP="00442DE1">
            <w:pPr>
              <w:spacing w:after="0" w:line="240" w:lineRule="auto"/>
              <w:ind w:firstLineChars="100" w:firstLine="200"/>
              <w:jc w:val="right"/>
              <w:rPr>
                <w:b/>
                <w:bCs/>
                <w:color w:val="000000"/>
                <w:sz w:val="20"/>
                <w:szCs w:val="20"/>
                <w:lang w:eastAsia="sk-SK"/>
              </w:rPr>
            </w:pPr>
            <w:r w:rsidRPr="00442DE1">
              <w:rPr>
                <w:color w:val="000000"/>
                <w:sz w:val="20"/>
                <w:szCs w:val="20"/>
              </w:rPr>
              <w:t>-3,0</w:t>
            </w:r>
          </w:p>
        </w:tc>
        <w:tc>
          <w:tcPr>
            <w:tcW w:w="728" w:type="dxa"/>
            <w:tcBorders>
              <w:top w:val="nil"/>
              <w:left w:val="nil"/>
              <w:bottom w:val="nil"/>
              <w:right w:val="nil"/>
            </w:tcBorders>
            <w:shd w:val="clear" w:color="auto" w:fill="auto"/>
            <w:noWrap/>
            <w:vAlign w:val="center"/>
            <w:hideMark/>
          </w:tcPr>
          <w:p w14:paraId="1C00C668" w14:textId="2B2E529F" w:rsidR="00442DE1" w:rsidRPr="00442DE1" w:rsidRDefault="00442DE1" w:rsidP="00442DE1">
            <w:pPr>
              <w:spacing w:after="0" w:line="240" w:lineRule="auto"/>
              <w:ind w:firstLineChars="100" w:firstLine="200"/>
              <w:jc w:val="center"/>
              <w:rPr>
                <w:b/>
                <w:color w:val="FF0000"/>
                <w:sz w:val="20"/>
                <w:szCs w:val="20"/>
                <w:lang w:eastAsia="sk-SK"/>
              </w:rPr>
            </w:pPr>
            <w:r w:rsidRPr="00442DE1">
              <w:rPr>
                <w:color w:val="FF0000"/>
                <w:sz w:val="20"/>
                <w:szCs w:val="20"/>
              </w:rPr>
              <w:t>-2,8</w:t>
            </w:r>
          </w:p>
        </w:tc>
        <w:tc>
          <w:tcPr>
            <w:tcW w:w="1453" w:type="dxa"/>
            <w:tcBorders>
              <w:top w:val="nil"/>
              <w:left w:val="single" w:sz="4" w:space="0" w:color="auto"/>
              <w:bottom w:val="nil"/>
              <w:right w:val="nil"/>
            </w:tcBorders>
            <w:shd w:val="clear" w:color="auto" w:fill="auto"/>
            <w:noWrap/>
            <w:vAlign w:val="center"/>
            <w:hideMark/>
          </w:tcPr>
          <w:p w14:paraId="64C83E13" w14:textId="2CCE9181" w:rsidR="00442DE1" w:rsidRPr="00442DE1" w:rsidRDefault="00442DE1" w:rsidP="00442DE1">
            <w:pPr>
              <w:spacing w:after="0" w:line="240" w:lineRule="auto"/>
              <w:rPr>
                <w:sz w:val="20"/>
                <w:szCs w:val="20"/>
                <w:lang w:eastAsia="sk-SK"/>
              </w:rPr>
            </w:pPr>
            <w:r w:rsidRPr="00442DE1">
              <w:rPr>
                <w:sz w:val="20"/>
                <w:szCs w:val="20"/>
              </w:rPr>
              <w:t>Slovinsko</w:t>
            </w:r>
          </w:p>
        </w:tc>
        <w:tc>
          <w:tcPr>
            <w:tcW w:w="843" w:type="dxa"/>
            <w:tcBorders>
              <w:top w:val="nil"/>
              <w:left w:val="nil"/>
              <w:bottom w:val="nil"/>
              <w:right w:val="nil"/>
            </w:tcBorders>
            <w:shd w:val="clear" w:color="auto" w:fill="auto"/>
            <w:noWrap/>
            <w:vAlign w:val="center"/>
            <w:hideMark/>
          </w:tcPr>
          <w:p w14:paraId="710244E1" w14:textId="189374F7"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74,8</w:t>
            </w:r>
          </w:p>
        </w:tc>
        <w:tc>
          <w:tcPr>
            <w:tcW w:w="843" w:type="dxa"/>
            <w:tcBorders>
              <w:top w:val="nil"/>
              <w:left w:val="nil"/>
              <w:bottom w:val="nil"/>
              <w:right w:val="nil"/>
            </w:tcBorders>
            <w:shd w:val="clear" w:color="auto" w:fill="auto"/>
            <w:noWrap/>
            <w:vAlign w:val="center"/>
            <w:hideMark/>
          </w:tcPr>
          <w:p w14:paraId="7F194DBE" w14:textId="13A0FBF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72,7</w:t>
            </w:r>
          </w:p>
        </w:tc>
        <w:tc>
          <w:tcPr>
            <w:tcW w:w="864" w:type="dxa"/>
            <w:tcBorders>
              <w:top w:val="nil"/>
              <w:left w:val="nil"/>
              <w:bottom w:val="nil"/>
              <w:right w:val="nil"/>
            </w:tcBorders>
            <w:shd w:val="clear" w:color="auto" w:fill="auto"/>
            <w:noWrap/>
            <w:vAlign w:val="center"/>
            <w:hideMark/>
          </w:tcPr>
          <w:p w14:paraId="08C86258" w14:textId="46B12E1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68,4</w:t>
            </w:r>
          </w:p>
        </w:tc>
        <w:tc>
          <w:tcPr>
            <w:tcW w:w="799" w:type="dxa"/>
            <w:tcBorders>
              <w:top w:val="nil"/>
              <w:left w:val="nil"/>
              <w:bottom w:val="nil"/>
              <w:right w:val="single" w:sz="4" w:space="0" w:color="auto"/>
            </w:tcBorders>
            <w:shd w:val="clear" w:color="auto" w:fill="auto"/>
            <w:noWrap/>
            <w:vAlign w:val="center"/>
            <w:hideMark/>
          </w:tcPr>
          <w:p w14:paraId="0A71883D" w14:textId="14823F2B"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-4,3</w:t>
            </w:r>
          </w:p>
        </w:tc>
      </w:tr>
      <w:tr w:rsidR="00442DE1" w:rsidRPr="00442DE1" w14:paraId="0EDFC8EA"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2C36C5A3" w14:textId="0F1258AF" w:rsidR="00442DE1" w:rsidRPr="00442DE1" w:rsidRDefault="00442DE1" w:rsidP="00442DE1">
            <w:pPr>
              <w:spacing w:after="0" w:line="240" w:lineRule="auto"/>
              <w:ind w:right="-81"/>
              <w:rPr>
                <w:sz w:val="20"/>
                <w:szCs w:val="20"/>
                <w:lang w:eastAsia="sk-SK"/>
              </w:rPr>
            </w:pPr>
            <w:r w:rsidRPr="00442DE1">
              <w:rPr>
                <w:sz w:val="20"/>
                <w:szCs w:val="20"/>
              </w:rPr>
              <w:t>Estónsko</w:t>
            </w:r>
          </w:p>
        </w:tc>
        <w:tc>
          <w:tcPr>
            <w:tcW w:w="764" w:type="dxa"/>
            <w:tcBorders>
              <w:top w:val="nil"/>
              <w:left w:val="nil"/>
              <w:bottom w:val="nil"/>
              <w:right w:val="nil"/>
            </w:tcBorders>
            <w:shd w:val="clear" w:color="auto" w:fill="auto"/>
            <w:noWrap/>
            <w:vAlign w:val="center"/>
            <w:hideMark/>
          </w:tcPr>
          <w:p w14:paraId="4C48DC06" w14:textId="49BF9E60"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-2,6</w:t>
            </w:r>
          </w:p>
        </w:tc>
        <w:tc>
          <w:tcPr>
            <w:tcW w:w="826" w:type="dxa"/>
            <w:tcBorders>
              <w:top w:val="nil"/>
              <w:left w:val="nil"/>
              <w:bottom w:val="nil"/>
              <w:right w:val="nil"/>
            </w:tcBorders>
            <w:shd w:val="clear" w:color="auto" w:fill="auto"/>
            <w:noWrap/>
            <w:vAlign w:val="center"/>
            <w:hideMark/>
          </w:tcPr>
          <w:p w14:paraId="222DBBE8" w14:textId="3F4AA0F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-1,1</w:t>
            </w:r>
          </w:p>
        </w:tc>
        <w:tc>
          <w:tcPr>
            <w:tcW w:w="742" w:type="dxa"/>
            <w:tcBorders>
              <w:top w:val="nil"/>
              <w:left w:val="nil"/>
              <w:bottom w:val="nil"/>
              <w:right w:val="nil"/>
            </w:tcBorders>
            <w:shd w:val="clear" w:color="auto" w:fill="auto"/>
            <w:noWrap/>
            <w:vAlign w:val="center"/>
            <w:hideMark/>
          </w:tcPr>
          <w:p w14:paraId="4F8E7212" w14:textId="71B6136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-2,8</w:t>
            </w:r>
          </w:p>
        </w:tc>
        <w:tc>
          <w:tcPr>
            <w:tcW w:w="728" w:type="dxa"/>
            <w:tcBorders>
              <w:top w:val="nil"/>
              <w:left w:val="nil"/>
              <w:bottom w:val="nil"/>
              <w:right w:val="nil"/>
            </w:tcBorders>
            <w:shd w:val="clear" w:color="auto" w:fill="auto"/>
            <w:noWrap/>
            <w:vAlign w:val="center"/>
            <w:hideMark/>
          </w:tcPr>
          <w:p w14:paraId="26BAFE9F" w14:textId="707836DB"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-1,7</w:t>
            </w:r>
          </w:p>
        </w:tc>
        <w:tc>
          <w:tcPr>
            <w:tcW w:w="1453" w:type="dxa"/>
            <w:tcBorders>
              <w:top w:val="nil"/>
              <w:left w:val="single" w:sz="4" w:space="0" w:color="auto"/>
              <w:bottom w:val="nil"/>
              <w:right w:val="nil"/>
            </w:tcBorders>
            <w:shd w:val="clear" w:color="auto" w:fill="auto"/>
            <w:noWrap/>
            <w:vAlign w:val="center"/>
            <w:hideMark/>
          </w:tcPr>
          <w:p w14:paraId="6EC6EAAF" w14:textId="205A5A7C" w:rsidR="00442DE1" w:rsidRPr="00442DE1" w:rsidRDefault="00442DE1" w:rsidP="00442DE1">
            <w:pPr>
              <w:spacing w:after="0" w:line="240" w:lineRule="auto"/>
              <w:rPr>
                <w:sz w:val="20"/>
                <w:szCs w:val="20"/>
                <w:lang w:eastAsia="sk-SK"/>
              </w:rPr>
            </w:pPr>
            <w:r w:rsidRPr="00442DE1">
              <w:rPr>
                <w:sz w:val="20"/>
                <w:szCs w:val="20"/>
              </w:rPr>
              <w:t>Nemecko</w:t>
            </w:r>
          </w:p>
        </w:tc>
        <w:tc>
          <w:tcPr>
            <w:tcW w:w="843" w:type="dxa"/>
            <w:tcBorders>
              <w:top w:val="nil"/>
              <w:left w:val="nil"/>
              <w:bottom w:val="nil"/>
              <w:right w:val="nil"/>
            </w:tcBorders>
            <w:shd w:val="clear" w:color="auto" w:fill="auto"/>
            <w:noWrap/>
            <w:vAlign w:val="center"/>
            <w:hideMark/>
          </w:tcPr>
          <w:p w14:paraId="60261C01" w14:textId="5EF7B12A"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68,1</w:t>
            </w:r>
          </w:p>
        </w:tc>
        <w:tc>
          <w:tcPr>
            <w:tcW w:w="843" w:type="dxa"/>
            <w:tcBorders>
              <w:top w:val="nil"/>
              <w:left w:val="nil"/>
              <w:bottom w:val="nil"/>
              <w:right w:val="nil"/>
            </w:tcBorders>
            <w:shd w:val="clear" w:color="auto" w:fill="auto"/>
            <w:noWrap/>
            <w:vAlign w:val="center"/>
            <w:hideMark/>
          </w:tcPr>
          <w:p w14:paraId="310D49E0" w14:textId="4830BDA8"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65,0</w:t>
            </w:r>
          </w:p>
        </w:tc>
        <w:tc>
          <w:tcPr>
            <w:tcW w:w="864" w:type="dxa"/>
            <w:tcBorders>
              <w:top w:val="nil"/>
              <w:left w:val="nil"/>
              <w:bottom w:val="nil"/>
              <w:right w:val="nil"/>
            </w:tcBorders>
            <w:shd w:val="clear" w:color="auto" w:fill="auto"/>
            <w:noWrap/>
            <w:vAlign w:val="center"/>
            <w:hideMark/>
          </w:tcPr>
          <w:p w14:paraId="65D7E559" w14:textId="48A47BB6"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62,9</w:t>
            </w:r>
          </w:p>
        </w:tc>
        <w:tc>
          <w:tcPr>
            <w:tcW w:w="799" w:type="dxa"/>
            <w:tcBorders>
              <w:top w:val="nil"/>
              <w:left w:val="nil"/>
              <w:bottom w:val="nil"/>
              <w:right w:val="single" w:sz="4" w:space="0" w:color="auto"/>
            </w:tcBorders>
            <w:shd w:val="clear" w:color="auto" w:fill="auto"/>
            <w:noWrap/>
            <w:vAlign w:val="center"/>
            <w:hideMark/>
          </w:tcPr>
          <w:p w14:paraId="26867268" w14:textId="2A32C01A"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-2,1</w:t>
            </w:r>
          </w:p>
        </w:tc>
      </w:tr>
      <w:tr w:rsidR="00442DE1" w:rsidRPr="00442DE1" w14:paraId="5354D17C"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3A2B7746" w14:textId="415A3C28" w:rsidR="00442DE1" w:rsidRPr="00442DE1" w:rsidRDefault="00442DE1" w:rsidP="00442DE1">
            <w:pPr>
              <w:spacing w:after="0" w:line="240" w:lineRule="auto"/>
              <w:rPr>
                <w:sz w:val="20"/>
                <w:szCs w:val="20"/>
                <w:lang w:eastAsia="sk-SK"/>
              </w:rPr>
            </w:pPr>
            <w:r w:rsidRPr="00442DE1">
              <w:rPr>
                <w:sz w:val="20"/>
                <w:szCs w:val="20"/>
              </w:rPr>
              <w:t>Nemecko</w:t>
            </w:r>
          </w:p>
        </w:tc>
        <w:tc>
          <w:tcPr>
            <w:tcW w:w="764" w:type="dxa"/>
            <w:tcBorders>
              <w:top w:val="nil"/>
              <w:left w:val="nil"/>
              <w:bottom w:val="nil"/>
              <w:right w:val="nil"/>
            </w:tcBorders>
            <w:shd w:val="clear" w:color="auto" w:fill="auto"/>
            <w:noWrap/>
            <w:vAlign w:val="center"/>
            <w:hideMark/>
          </w:tcPr>
          <w:p w14:paraId="308B9019" w14:textId="6D1D79B8"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-3,2</w:t>
            </w:r>
          </w:p>
        </w:tc>
        <w:tc>
          <w:tcPr>
            <w:tcW w:w="826" w:type="dxa"/>
            <w:tcBorders>
              <w:top w:val="nil"/>
              <w:left w:val="nil"/>
              <w:bottom w:val="nil"/>
              <w:right w:val="nil"/>
            </w:tcBorders>
            <w:shd w:val="clear" w:color="auto" w:fill="auto"/>
            <w:noWrap/>
            <w:vAlign w:val="center"/>
            <w:hideMark/>
          </w:tcPr>
          <w:p w14:paraId="7523D67C" w14:textId="3170A4A1"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-2,1</w:t>
            </w:r>
          </w:p>
        </w:tc>
        <w:tc>
          <w:tcPr>
            <w:tcW w:w="742" w:type="dxa"/>
            <w:tcBorders>
              <w:top w:val="nil"/>
              <w:left w:val="nil"/>
              <w:bottom w:val="nil"/>
              <w:right w:val="nil"/>
            </w:tcBorders>
            <w:shd w:val="clear" w:color="auto" w:fill="auto"/>
            <w:noWrap/>
            <w:vAlign w:val="center"/>
            <w:hideMark/>
          </w:tcPr>
          <w:p w14:paraId="7AE85738" w14:textId="4868BDD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-2,6</w:t>
            </w:r>
          </w:p>
        </w:tc>
        <w:tc>
          <w:tcPr>
            <w:tcW w:w="728" w:type="dxa"/>
            <w:tcBorders>
              <w:top w:val="nil"/>
              <w:left w:val="nil"/>
              <w:bottom w:val="nil"/>
              <w:right w:val="nil"/>
            </w:tcBorders>
            <w:shd w:val="clear" w:color="auto" w:fill="auto"/>
            <w:noWrap/>
            <w:vAlign w:val="center"/>
            <w:hideMark/>
          </w:tcPr>
          <w:p w14:paraId="3E66E911" w14:textId="0B9CE191"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-0,5</w:t>
            </w:r>
          </w:p>
        </w:tc>
        <w:tc>
          <w:tcPr>
            <w:tcW w:w="1453" w:type="dxa"/>
            <w:tcBorders>
              <w:top w:val="nil"/>
              <w:left w:val="single" w:sz="4" w:space="0" w:color="auto"/>
              <w:bottom w:val="nil"/>
              <w:right w:val="nil"/>
            </w:tcBorders>
            <w:shd w:val="clear" w:color="auto" w:fill="auto"/>
            <w:noWrap/>
            <w:vAlign w:val="center"/>
            <w:hideMark/>
          </w:tcPr>
          <w:p w14:paraId="0D081668" w14:textId="62EA4090" w:rsidR="00442DE1" w:rsidRPr="00442DE1" w:rsidRDefault="00442DE1" w:rsidP="00442DE1">
            <w:pPr>
              <w:spacing w:after="0" w:line="240" w:lineRule="auto"/>
              <w:rPr>
                <w:sz w:val="20"/>
                <w:szCs w:val="20"/>
                <w:lang w:eastAsia="sk-SK"/>
              </w:rPr>
            </w:pPr>
            <w:r w:rsidRPr="00442DE1">
              <w:rPr>
                <w:sz w:val="20"/>
                <w:szCs w:val="20"/>
              </w:rPr>
              <w:t>Chorvátsko</w:t>
            </w:r>
          </w:p>
        </w:tc>
        <w:tc>
          <w:tcPr>
            <w:tcW w:w="843" w:type="dxa"/>
            <w:tcBorders>
              <w:top w:val="nil"/>
              <w:left w:val="nil"/>
              <w:bottom w:val="nil"/>
              <w:right w:val="nil"/>
            </w:tcBorders>
            <w:shd w:val="clear" w:color="auto" w:fill="auto"/>
            <w:noWrap/>
            <w:vAlign w:val="center"/>
            <w:hideMark/>
          </w:tcPr>
          <w:p w14:paraId="0A505679" w14:textId="6EBB9856"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78,2</w:t>
            </w:r>
          </w:p>
        </w:tc>
        <w:tc>
          <w:tcPr>
            <w:tcW w:w="843" w:type="dxa"/>
            <w:tcBorders>
              <w:top w:val="nil"/>
              <w:left w:val="nil"/>
              <w:bottom w:val="nil"/>
              <w:right w:val="nil"/>
            </w:tcBorders>
            <w:shd w:val="clear" w:color="auto" w:fill="auto"/>
            <w:noWrap/>
            <w:vAlign w:val="center"/>
            <w:hideMark/>
          </w:tcPr>
          <w:p w14:paraId="47120665" w14:textId="2255463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68,5</w:t>
            </w:r>
          </w:p>
        </w:tc>
        <w:tc>
          <w:tcPr>
            <w:tcW w:w="864" w:type="dxa"/>
            <w:tcBorders>
              <w:top w:val="nil"/>
              <w:left w:val="nil"/>
              <w:bottom w:val="nil"/>
              <w:right w:val="nil"/>
            </w:tcBorders>
            <w:shd w:val="clear" w:color="auto" w:fill="auto"/>
            <w:noWrap/>
            <w:vAlign w:val="center"/>
            <w:hideMark/>
          </w:tcPr>
          <w:p w14:paraId="198C3180" w14:textId="1CF46594"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61,8</w:t>
            </w:r>
          </w:p>
        </w:tc>
        <w:tc>
          <w:tcPr>
            <w:tcW w:w="799" w:type="dxa"/>
            <w:tcBorders>
              <w:top w:val="nil"/>
              <w:left w:val="nil"/>
              <w:bottom w:val="nil"/>
              <w:right w:val="single" w:sz="4" w:space="0" w:color="auto"/>
            </w:tcBorders>
            <w:shd w:val="clear" w:color="auto" w:fill="auto"/>
            <w:noWrap/>
            <w:vAlign w:val="center"/>
            <w:hideMark/>
          </w:tcPr>
          <w:p w14:paraId="3253C90D" w14:textId="29C18484" w:rsidR="00442DE1" w:rsidRPr="00442DE1" w:rsidRDefault="00442DE1" w:rsidP="00442DE1">
            <w:pPr>
              <w:tabs>
                <w:tab w:val="decimal" w:pos="230"/>
              </w:tabs>
              <w:spacing w:after="0" w:line="240" w:lineRule="auto"/>
              <w:ind w:right="32" w:firstLineChars="100" w:firstLine="200"/>
              <w:jc w:val="right"/>
              <w:rPr>
                <w:color w:val="FF0000"/>
                <w:sz w:val="20"/>
                <w:szCs w:val="20"/>
                <w:lang w:eastAsia="sk-SK"/>
              </w:rPr>
            </w:pPr>
            <w:r w:rsidRPr="00442DE1">
              <w:rPr>
                <w:color w:val="00B050"/>
                <w:sz w:val="20"/>
                <w:szCs w:val="20"/>
              </w:rPr>
              <w:t>-6,7</w:t>
            </w:r>
          </w:p>
        </w:tc>
      </w:tr>
      <w:tr w:rsidR="00442DE1" w:rsidRPr="00442DE1" w14:paraId="42743BD9" w14:textId="77777777" w:rsidTr="00103121">
        <w:trPr>
          <w:trHeight w:val="307"/>
        </w:trPr>
        <w:tc>
          <w:tcPr>
            <w:tcW w:w="1542" w:type="dxa"/>
            <w:tcBorders>
              <w:top w:val="nil"/>
              <w:left w:val="single" w:sz="4" w:space="0" w:color="auto"/>
              <w:bottom w:val="nil"/>
              <w:right w:val="nil"/>
            </w:tcBorders>
            <w:shd w:val="clear" w:color="auto" w:fill="auto"/>
            <w:noWrap/>
            <w:vAlign w:val="center"/>
            <w:hideMark/>
          </w:tcPr>
          <w:p w14:paraId="77F5731C" w14:textId="6EF79972" w:rsidR="00442DE1" w:rsidRPr="00442DE1" w:rsidRDefault="00442DE1" w:rsidP="00442DE1">
            <w:pPr>
              <w:spacing w:after="0" w:line="240" w:lineRule="auto"/>
              <w:rPr>
                <w:sz w:val="20"/>
                <w:szCs w:val="20"/>
                <w:lang w:eastAsia="sk-SK"/>
              </w:rPr>
            </w:pPr>
            <w:r w:rsidRPr="00442DE1">
              <w:rPr>
                <w:sz w:val="20"/>
                <w:szCs w:val="20"/>
              </w:rPr>
              <w:t>Rakúsko</w:t>
            </w:r>
          </w:p>
        </w:tc>
        <w:tc>
          <w:tcPr>
            <w:tcW w:w="764" w:type="dxa"/>
            <w:tcBorders>
              <w:top w:val="nil"/>
              <w:left w:val="nil"/>
              <w:bottom w:val="nil"/>
              <w:right w:val="nil"/>
            </w:tcBorders>
            <w:shd w:val="clear" w:color="auto" w:fill="auto"/>
            <w:noWrap/>
            <w:vAlign w:val="center"/>
            <w:hideMark/>
          </w:tcPr>
          <w:p w14:paraId="1E4DFD0C" w14:textId="7C53541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-5,7</w:t>
            </w:r>
          </w:p>
        </w:tc>
        <w:tc>
          <w:tcPr>
            <w:tcW w:w="826" w:type="dxa"/>
            <w:tcBorders>
              <w:top w:val="nil"/>
              <w:left w:val="nil"/>
              <w:bottom w:val="nil"/>
              <w:right w:val="nil"/>
            </w:tcBorders>
            <w:shd w:val="clear" w:color="auto" w:fill="auto"/>
            <w:noWrap/>
            <w:vAlign w:val="center"/>
            <w:hideMark/>
          </w:tcPr>
          <w:p w14:paraId="30F18336" w14:textId="5B2F0627"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-3,3</w:t>
            </w:r>
          </w:p>
        </w:tc>
        <w:tc>
          <w:tcPr>
            <w:tcW w:w="742" w:type="dxa"/>
            <w:tcBorders>
              <w:top w:val="nil"/>
              <w:left w:val="nil"/>
              <w:bottom w:val="nil"/>
              <w:right w:val="nil"/>
            </w:tcBorders>
            <w:shd w:val="clear" w:color="auto" w:fill="auto"/>
            <w:noWrap/>
            <w:vAlign w:val="center"/>
            <w:hideMark/>
          </w:tcPr>
          <w:p w14:paraId="3C437DE4" w14:textId="052F69C4"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-2,6</w:t>
            </w:r>
          </w:p>
        </w:tc>
        <w:tc>
          <w:tcPr>
            <w:tcW w:w="728" w:type="dxa"/>
            <w:tcBorders>
              <w:top w:val="nil"/>
              <w:left w:val="nil"/>
              <w:bottom w:val="nil"/>
              <w:right w:val="nil"/>
            </w:tcBorders>
            <w:shd w:val="clear" w:color="auto" w:fill="auto"/>
            <w:noWrap/>
            <w:vAlign w:val="center"/>
            <w:hideMark/>
          </w:tcPr>
          <w:p w14:paraId="0441746A" w14:textId="2363AE2B" w:rsidR="00442DE1" w:rsidRPr="00442DE1" w:rsidRDefault="00442DE1" w:rsidP="00442DE1">
            <w:pPr>
              <w:spacing w:after="0" w:line="240" w:lineRule="auto"/>
              <w:ind w:firstLineChars="100" w:firstLine="200"/>
              <w:jc w:val="center"/>
              <w:rPr>
                <w:color w:val="FF0000"/>
                <w:sz w:val="20"/>
                <w:szCs w:val="20"/>
                <w:lang w:eastAsia="sk-SK"/>
              </w:rPr>
            </w:pPr>
            <w:r w:rsidRPr="00442DE1">
              <w:rPr>
                <w:color w:val="00B050"/>
                <w:sz w:val="20"/>
                <w:szCs w:val="20"/>
              </w:rPr>
              <w:t>0,7</w:t>
            </w:r>
          </w:p>
        </w:tc>
        <w:tc>
          <w:tcPr>
            <w:tcW w:w="1453" w:type="dxa"/>
            <w:tcBorders>
              <w:top w:val="nil"/>
              <w:left w:val="single" w:sz="4" w:space="0" w:color="auto"/>
              <w:bottom w:val="nil"/>
              <w:right w:val="nil"/>
            </w:tcBorders>
            <w:shd w:val="clear" w:color="auto" w:fill="D9D9D9" w:themeFill="background1" w:themeFillShade="D9"/>
            <w:noWrap/>
            <w:vAlign w:val="center"/>
            <w:hideMark/>
          </w:tcPr>
          <w:p w14:paraId="5E1BBF27" w14:textId="7CCC2DC6" w:rsidR="00442DE1" w:rsidRPr="00442DE1" w:rsidRDefault="00442DE1" w:rsidP="00442DE1">
            <w:pPr>
              <w:spacing w:after="0" w:line="240" w:lineRule="auto"/>
              <w:rPr>
                <w:b/>
                <w:bCs/>
                <w:sz w:val="20"/>
                <w:szCs w:val="20"/>
                <w:lang w:eastAsia="sk-SK"/>
              </w:rPr>
            </w:pPr>
            <w:r w:rsidRPr="00442DE1">
              <w:rPr>
                <w:b/>
                <w:bCs/>
                <w:sz w:val="20"/>
                <w:szCs w:val="20"/>
              </w:rPr>
              <w:t>Slovensko</w:t>
            </w:r>
          </w:p>
        </w:tc>
        <w:tc>
          <w:tcPr>
            <w:tcW w:w="843" w:type="dxa"/>
            <w:tcBorders>
              <w:top w:val="nil"/>
              <w:left w:val="nil"/>
              <w:bottom w:val="nil"/>
              <w:right w:val="nil"/>
            </w:tcBorders>
            <w:shd w:val="clear" w:color="auto" w:fill="D9D9D9" w:themeFill="background1" w:themeFillShade="D9"/>
            <w:noWrap/>
            <w:vAlign w:val="center"/>
            <w:hideMark/>
          </w:tcPr>
          <w:p w14:paraId="6981214B" w14:textId="1BF61747"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60,2</w:t>
            </w:r>
          </w:p>
        </w:tc>
        <w:tc>
          <w:tcPr>
            <w:tcW w:w="843" w:type="dxa"/>
            <w:tcBorders>
              <w:top w:val="nil"/>
              <w:left w:val="nil"/>
              <w:bottom w:val="nil"/>
              <w:right w:val="nil"/>
            </w:tcBorders>
            <w:shd w:val="clear" w:color="auto" w:fill="D9D9D9" w:themeFill="background1" w:themeFillShade="D9"/>
            <w:noWrap/>
            <w:vAlign w:val="center"/>
            <w:hideMark/>
          </w:tcPr>
          <w:p w14:paraId="19E72A31" w14:textId="34F3FB25"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57,7</w:t>
            </w:r>
          </w:p>
        </w:tc>
        <w:tc>
          <w:tcPr>
            <w:tcW w:w="864" w:type="dxa"/>
            <w:tcBorders>
              <w:top w:val="nil"/>
              <w:left w:val="nil"/>
              <w:bottom w:val="nil"/>
              <w:right w:val="nil"/>
            </w:tcBorders>
            <w:shd w:val="clear" w:color="auto" w:fill="D9D9D9" w:themeFill="background1" w:themeFillShade="D9"/>
            <w:noWrap/>
            <w:vAlign w:val="center"/>
            <w:hideMark/>
          </w:tcPr>
          <w:p w14:paraId="544A5B83" w14:textId="247841C5" w:rsidR="00442DE1" w:rsidRPr="00442DE1" w:rsidRDefault="00442DE1" w:rsidP="00442DE1">
            <w:pPr>
              <w:spacing w:after="0" w:line="240" w:lineRule="auto"/>
              <w:ind w:firstLineChars="100" w:firstLine="201"/>
              <w:jc w:val="right"/>
              <w:rPr>
                <w:b/>
                <w:bCs/>
                <w:color w:val="000000"/>
                <w:sz w:val="20"/>
                <w:szCs w:val="20"/>
                <w:lang w:eastAsia="sk-SK"/>
              </w:rPr>
            </w:pPr>
            <w:r w:rsidRPr="00442DE1">
              <w:rPr>
                <w:b/>
                <w:bCs/>
                <w:color w:val="000000"/>
                <w:sz w:val="20"/>
                <w:szCs w:val="20"/>
              </w:rPr>
              <w:t>56,1</w:t>
            </w:r>
          </w:p>
        </w:tc>
        <w:tc>
          <w:tcPr>
            <w:tcW w:w="799" w:type="dxa"/>
            <w:tcBorders>
              <w:top w:val="nil"/>
              <w:left w:val="nil"/>
              <w:bottom w:val="nil"/>
              <w:right w:val="single" w:sz="4" w:space="0" w:color="auto"/>
            </w:tcBorders>
            <w:shd w:val="clear" w:color="auto" w:fill="D9D9D9" w:themeFill="background1" w:themeFillShade="D9"/>
            <w:noWrap/>
            <w:vAlign w:val="center"/>
            <w:hideMark/>
          </w:tcPr>
          <w:p w14:paraId="43A595E5" w14:textId="2AB5ADF7" w:rsidR="00442DE1" w:rsidRPr="00442DE1" w:rsidRDefault="00442DE1" w:rsidP="00442DE1">
            <w:pPr>
              <w:tabs>
                <w:tab w:val="decimal" w:pos="230"/>
              </w:tabs>
              <w:spacing w:after="0" w:line="240" w:lineRule="auto"/>
              <w:ind w:right="32" w:firstLineChars="100" w:firstLine="200"/>
              <w:jc w:val="right"/>
              <w:rPr>
                <w:b/>
                <w:color w:val="FF0000"/>
                <w:sz w:val="20"/>
                <w:szCs w:val="20"/>
                <w:lang w:eastAsia="sk-SK"/>
              </w:rPr>
            </w:pPr>
            <w:r w:rsidRPr="00442DE1">
              <w:rPr>
                <w:color w:val="00B050"/>
                <w:sz w:val="20"/>
                <w:szCs w:val="20"/>
              </w:rPr>
              <w:t>-1,6</w:t>
            </w:r>
          </w:p>
        </w:tc>
      </w:tr>
      <w:tr w:rsidR="00442DE1" w:rsidRPr="00442DE1" w14:paraId="7C2DD494"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0028BC84" w14:textId="1F7A3011" w:rsidR="00442DE1" w:rsidRPr="00442DE1" w:rsidRDefault="00442DE1" w:rsidP="00442DE1">
            <w:pPr>
              <w:spacing w:after="0" w:line="240" w:lineRule="auto"/>
              <w:rPr>
                <w:sz w:val="20"/>
                <w:szCs w:val="20"/>
                <w:lang w:eastAsia="sk-SK"/>
              </w:rPr>
            </w:pPr>
            <w:r w:rsidRPr="00442DE1">
              <w:rPr>
                <w:sz w:val="20"/>
                <w:szCs w:val="20"/>
              </w:rPr>
              <w:t>Slovinsko</w:t>
            </w:r>
          </w:p>
        </w:tc>
        <w:tc>
          <w:tcPr>
            <w:tcW w:w="764" w:type="dxa"/>
            <w:tcBorders>
              <w:top w:val="nil"/>
              <w:left w:val="nil"/>
              <w:bottom w:val="nil"/>
              <w:right w:val="nil"/>
            </w:tcBorders>
            <w:shd w:val="clear" w:color="auto" w:fill="auto"/>
            <w:noWrap/>
            <w:vAlign w:val="center"/>
            <w:hideMark/>
          </w:tcPr>
          <w:p w14:paraId="35D4CEC6" w14:textId="72016D76"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-4,6</w:t>
            </w:r>
          </w:p>
        </w:tc>
        <w:tc>
          <w:tcPr>
            <w:tcW w:w="826" w:type="dxa"/>
            <w:tcBorders>
              <w:top w:val="nil"/>
              <w:left w:val="nil"/>
              <w:bottom w:val="nil"/>
              <w:right w:val="nil"/>
            </w:tcBorders>
            <w:shd w:val="clear" w:color="auto" w:fill="auto"/>
            <w:noWrap/>
            <w:vAlign w:val="center"/>
            <w:hideMark/>
          </w:tcPr>
          <w:p w14:paraId="400D4BF6" w14:textId="67C680B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-3,0</w:t>
            </w:r>
          </w:p>
        </w:tc>
        <w:tc>
          <w:tcPr>
            <w:tcW w:w="742" w:type="dxa"/>
            <w:tcBorders>
              <w:top w:val="nil"/>
              <w:left w:val="nil"/>
              <w:bottom w:val="nil"/>
              <w:right w:val="nil"/>
            </w:tcBorders>
            <w:shd w:val="clear" w:color="auto" w:fill="auto"/>
            <w:noWrap/>
            <w:vAlign w:val="center"/>
            <w:hideMark/>
          </w:tcPr>
          <w:p w14:paraId="5927EFE9" w14:textId="65EF95F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-2,6</w:t>
            </w:r>
          </w:p>
        </w:tc>
        <w:tc>
          <w:tcPr>
            <w:tcW w:w="728" w:type="dxa"/>
            <w:tcBorders>
              <w:top w:val="nil"/>
              <w:left w:val="nil"/>
              <w:bottom w:val="nil"/>
              <w:right w:val="nil"/>
            </w:tcBorders>
            <w:shd w:val="clear" w:color="auto" w:fill="auto"/>
            <w:noWrap/>
            <w:vAlign w:val="center"/>
            <w:hideMark/>
          </w:tcPr>
          <w:p w14:paraId="6C2BABC9" w14:textId="28D22858"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00B050"/>
                <w:sz w:val="20"/>
                <w:szCs w:val="20"/>
              </w:rPr>
              <w:t>0,4</w:t>
            </w:r>
          </w:p>
        </w:tc>
        <w:tc>
          <w:tcPr>
            <w:tcW w:w="1453" w:type="dxa"/>
            <w:tcBorders>
              <w:top w:val="nil"/>
              <w:left w:val="single" w:sz="4" w:space="0" w:color="auto"/>
              <w:bottom w:val="nil"/>
              <w:right w:val="nil"/>
            </w:tcBorders>
            <w:shd w:val="clear" w:color="auto" w:fill="auto"/>
            <w:noWrap/>
            <w:vAlign w:val="center"/>
            <w:hideMark/>
          </w:tcPr>
          <w:p w14:paraId="626A3EAB" w14:textId="5ACBC30A" w:rsidR="00442DE1" w:rsidRPr="00442DE1" w:rsidRDefault="00442DE1" w:rsidP="00442DE1">
            <w:pPr>
              <w:spacing w:after="0" w:line="240" w:lineRule="auto"/>
              <w:rPr>
                <w:sz w:val="20"/>
                <w:szCs w:val="20"/>
                <w:lang w:eastAsia="sk-SK"/>
              </w:rPr>
            </w:pPr>
            <w:r w:rsidRPr="00442DE1">
              <w:rPr>
                <w:sz w:val="20"/>
                <w:szCs w:val="20"/>
              </w:rPr>
              <w:t>Poľsko</w:t>
            </w:r>
          </w:p>
        </w:tc>
        <w:tc>
          <w:tcPr>
            <w:tcW w:w="843" w:type="dxa"/>
            <w:tcBorders>
              <w:top w:val="nil"/>
              <w:left w:val="nil"/>
              <w:bottom w:val="nil"/>
              <w:right w:val="nil"/>
            </w:tcBorders>
            <w:shd w:val="clear" w:color="auto" w:fill="auto"/>
            <w:noWrap/>
            <w:vAlign w:val="center"/>
            <w:hideMark/>
          </w:tcPr>
          <w:p w14:paraId="20F321AE" w14:textId="45C94BC7"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53,0</w:t>
            </w:r>
          </w:p>
        </w:tc>
        <w:tc>
          <w:tcPr>
            <w:tcW w:w="843" w:type="dxa"/>
            <w:tcBorders>
              <w:top w:val="nil"/>
              <w:left w:val="nil"/>
              <w:bottom w:val="nil"/>
              <w:right w:val="nil"/>
            </w:tcBorders>
            <w:shd w:val="clear" w:color="auto" w:fill="auto"/>
            <w:noWrap/>
            <w:vAlign w:val="center"/>
            <w:hideMark/>
          </w:tcPr>
          <w:p w14:paraId="2A5FD7D8" w14:textId="2A1DF931"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48,8</w:t>
            </w:r>
          </w:p>
        </w:tc>
        <w:tc>
          <w:tcPr>
            <w:tcW w:w="864" w:type="dxa"/>
            <w:tcBorders>
              <w:top w:val="nil"/>
              <w:left w:val="nil"/>
              <w:bottom w:val="nil"/>
              <w:right w:val="nil"/>
            </w:tcBorders>
            <w:shd w:val="clear" w:color="auto" w:fill="auto"/>
            <w:noWrap/>
            <w:vAlign w:val="center"/>
            <w:hideMark/>
          </w:tcPr>
          <w:p w14:paraId="39E845D2" w14:textId="66C339E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49,7</w:t>
            </w:r>
          </w:p>
        </w:tc>
        <w:tc>
          <w:tcPr>
            <w:tcW w:w="799" w:type="dxa"/>
            <w:tcBorders>
              <w:top w:val="nil"/>
              <w:left w:val="nil"/>
              <w:bottom w:val="nil"/>
              <w:right w:val="single" w:sz="4" w:space="0" w:color="auto"/>
            </w:tcBorders>
            <w:shd w:val="clear" w:color="auto" w:fill="auto"/>
            <w:noWrap/>
            <w:vAlign w:val="center"/>
            <w:hideMark/>
          </w:tcPr>
          <w:p w14:paraId="1ECB66A7" w14:textId="760BF02C" w:rsidR="00442DE1" w:rsidRPr="00442DE1" w:rsidRDefault="00442DE1" w:rsidP="00442DE1">
            <w:pPr>
              <w:tabs>
                <w:tab w:val="decimal" w:pos="230"/>
              </w:tabs>
              <w:spacing w:after="0" w:line="240" w:lineRule="auto"/>
              <w:ind w:right="32" w:firstLineChars="100" w:firstLine="200"/>
              <w:jc w:val="right"/>
              <w:rPr>
                <w:color w:val="FF0000"/>
                <w:sz w:val="20"/>
                <w:szCs w:val="20"/>
                <w:lang w:eastAsia="sk-SK"/>
              </w:rPr>
            </w:pPr>
            <w:r w:rsidRPr="00442DE1">
              <w:rPr>
                <w:color w:val="FF0000"/>
                <w:sz w:val="20"/>
                <w:szCs w:val="20"/>
              </w:rPr>
              <w:t>0,9</w:t>
            </w:r>
          </w:p>
        </w:tc>
      </w:tr>
      <w:tr w:rsidR="00442DE1" w:rsidRPr="00442DE1" w14:paraId="1AD76A5E"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05412FA6" w14:textId="69C785CE" w:rsidR="00442DE1" w:rsidRPr="00442DE1" w:rsidRDefault="00442DE1" w:rsidP="00442DE1">
            <w:pPr>
              <w:spacing w:after="0" w:line="240" w:lineRule="auto"/>
              <w:rPr>
                <w:sz w:val="20"/>
                <w:szCs w:val="20"/>
                <w:lang w:eastAsia="sk-SK"/>
              </w:rPr>
            </w:pPr>
            <w:r w:rsidRPr="00442DE1">
              <w:rPr>
                <w:sz w:val="20"/>
                <w:szCs w:val="20"/>
              </w:rPr>
              <w:t>Lotyšsko</w:t>
            </w:r>
          </w:p>
        </w:tc>
        <w:tc>
          <w:tcPr>
            <w:tcW w:w="764" w:type="dxa"/>
            <w:tcBorders>
              <w:top w:val="nil"/>
              <w:left w:val="nil"/>
              <w:bottom w:val="nil"/>
              <w:right w:val="nil"/>
            </w:tcBorders>
            <w:shd w:val="clear" w:color="auto" w:fill="auto"/>
            <w:noWrap/>
            <w:vAlign w:val="center"/>
            <w:hideMark/>
          </w:tcPr>
          <w:p w14:paraId="30CDACC7" w14:textId="108C7CD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-7,2</w:t>
            </w:r>
          </w:p>
        </w:tc>
        <w:tc>
          <w:tcPr>
            <w:tcW w:w="826" w:type="dxa"/>
            <w:tcBorders>
              <w:top w:val="nil"/>
              <w:left w:val="nil"/>
              <w:bottom w:val="nil"/>
              <w:right w:val="nil"/>
            </w:tcBorders>
            <w:shd w:val="clear" w:color="auto" w:fill="auto"/>
            <w:noWrap/>
            <w:vAlign w:val="center"/>
            <w:hideMark/>
          </w:tcPr>
          <w:p w14:paraId="5D6A0DFB" w14:textId="756E409A"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-4,9</w:t>
            </w:r>
          </w:p>
        </w:tc>
        <w:tc>
          <w:tcPr>
            <w:tcW w:w="742" w:type="dxa"/>
            <w:tcBorders>
              <w:top w:val="nil"/>
              <w:left w:val="nil"/>
              <w:bottom w:val="nil"/>
              <w:right w:val="nil"/>
            </w:tcBorders>
            <w:shd w:val="clear" w:color="auto" w:fill="auto"/>
            <w:noWrap/>
            <w:vAlign w:val="center"/>
            <w:hideMark/>
          </w:tcPr>
          <w:p w14:paraId="48A73F28" w14:textId="2C09FB2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-2,4</w:t>
            </w:r>
          </w:p>
        </w:tc>
        <w:tc>
          <w:tcPr>
            <w:tcW w:w="728" w:type="dxa"/>
            <w:tcBorders>
              <w:top w:val="nil"/>
              <w:left w:val="nil"/>
              <w:bottom w:val="nil"/>
              <w:right w:val="nil"/>
            </w:tcBorders>
            <w:shd w:val="clear" w:color="auto" w:fill="auto"/>
            <w:noWrap/>
            <w:vAlign w:val="center"/>
            <w:hideMark/>
          </w:tcPr>
          <w:p w14:paraId="532ECDBA" w14:textId="56980DB3" w:rsidR="00442DE1" w:rsidRPr="00442DE1" w:rsidRDefault="00442DE1" w:rsidP="00442DE1">
            <w:pPr>
              <w:spacing w:after="0" w:line="240" w:lineRule="auto"/>
              <w:ind w:firstLineChars="100" w:firstLine="200"/>
              <w:jc w:val="center"/>
              <w:rPr>
                <w:b/>
                <w:color w:val="00B050"/>
                <w:sz w:val="20"/>
                <w:szCs w:val="20"/>
                <w:lang w:eastAsia="sk-SK"/>
              </w:rPr>
            </w:pPr>
            <w:r w:rsidRPr="00442DE1">
              <w:rPr>
                <w:color w:val="00B050"/>
                <w:sz w:val="20"/>
                <w:szCs w:val="20"/>
              </w:rPr>
              <w:t>2,5</w:t>
            </w:r>
          </w:p>
        </w:tc>
        <w:tc>
          <w:tcPr>
            <w:tcW w:w="1453" w:type="dxa"/>
            <w:tcBorders>
              <w:top w:val="nil"/>
              <w:left w:val="single" w:sz="4" w:space="0" w:color="auto"/>
              <w:bottom w:val="nil"/>
              <w:right w:val="nil"/>
            </w:tcBorders>
            <w:shd w:val="clear" w:color="auto" w:fill="auto"/>
            <w:noWrap/>
            <w:vAlign w:val="center"/>
            <w:hideMark/>
          </w:tcPr>
          <w:p w14:paraId="45973D80" w14:textId="4D20B292" w:rsidR="00442DE1" w:rsidRPr="00442DE1" w:rsidRDefault="00442DE1" w:rsidP="00442DE1">
            <w:pPr>
              <w:spacing w:after="0" w:line="240" w:lineRule="auto"/>
              <w:rPr>
                <w:sz w:val="20"/>
                <w:szCs w:val="20"/>
                <w:lang w:eastAsia="sk-SK"/>
              </w:rPr>
            </w:pPr>
            <w:r w:rsidRPr="00442DE1">
              <w:rPr>
                <w:sz w:val="20"/>
                <w:szCs w:val="20"/>
              </w:rPr>
              <w:t>Rumunsko</w:t>
            </w:r>
          </w:p>
        </w:tc>
        <w:tc>
          <w:tcPr>
            <w:tcW w:w="843" w:type="dxa"/>
            <w:tcBorders>
              <w:top w:val="nil"/>
              <w:left w:val="nil"/>
              <w:bottom w:val="nil"/>
              <w:right w:val="nil"/>
            </w:tcBorders>
            <w:shd w:val="clear" w:color="auto" w:fill="auto"/>
            <w:noWrap/>
            <w:vAlign w:val="center"/>
            <w:hideMark/>
          </w:tcPr>
          <w:p w14:paraId="561F24AD" w14:textId="2069674C"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48,3</w:t>
            </w:r>
          </w:p>
        </w:tc>
        <w:tc>
          <w:tcPr>
            <w:tcW w:w="843" w:type="dxa"/>
            <w:tcBorders>
              <w:top w:val="nil"/>
              <w:left w:val="nil"/>
              <w:bottom w:val="nil"/>
              <w:right w:val="nil"/>
            </w:tcBorders>
            <w:shd w:val="clear" w:color="auto" w:fill="auto"/>
            <w:noWrap/>
            <w:vAlign w:val="center"/>
            <w:hideMark/>
          </w:tcPr>
          <w:p w14:paraId="03CEDE23" w14:textId="26996E8A"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47,9</w:t>
            </w:r>
          </w:p>
        </w:tc>
        <w:tc>
          <w:tcPr>
            <w:tcW w:w="864" w:type="dxa"/>
            <w:tcBorders>
              <w:top w:val="nil"/>
              <w:left w:val="nil"/>
              <w:bottom w:val="nil"/>
              <w:right w:val="nil"/>
            </w:tcBorders>
            <w:shd w:val="clear" w:color="auto" w:fill="auto"/>
            <w:noWrap/>
            <w:vAlign w:val="center"/>
            <w:hideMark/>
          </w:tcPr>
          <w:p w14:paraId="322C9DA9" w14:textId="161A968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48,9</w:t>
            </w:r>
          </w:p>
        </w:tc>
        <w:tc>
          <w:tcPr>
            <w:tcW w:w="799" w:type="dxa"/>
            <w:tcBorders>
              <w:top w:val="nil"/>
              <w:left w:val="nil"/>
              <w:bottom w:val="nil"/>
              <w:right w:val="single" w:sz="4" w:space="0" w:color="auto"/>
            </w:tcBorders>
            <w:shd w:val="clear" w:color="auto" w:fill="auto"/>
            <w:noWrap/>
            <w:vAlign w:val="center"/>
            <w:hideMark/>
          </w:tcPr>
          <w:p w14:paraId="74A93807" w14:textId="2A93A79F"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FF0000"/>
                <w:sz w:val="20"/>
                <w:szCs w:val="20"/>
              </w:rPr>
              <w:t>1,0</w:t>
            </w:r>
          </w:p>
        </w:tc>
      </w:tr>
      <w:tr w:rsidR="00442DE1" w:rsidRPr="00442DE1" w14:paraId="027E7EBB"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55185B82" w14:textId="70B470C1" w:rsidR="00442DE1" w:rsidRPr="00442DE1" w:rsidRDefault="00442DE1" w:rsidP="00442DE1">
            <w:pPr>
              <w:spacing w:after="0" w:line="240" w:lineRule="auto"/>
              <w:rPr>
                <w:sz w:val="20"/>
                <w:szCs w:val="20"/>
                <w:lang w:eastAsia="sk-SK"/>
              </w:rPr>
            </w:pPr>
            <w:r w:rsidRPr="00442DE1">
              <w:rPr>
                <w:sz w:val="20"/>
                <w:szCs w:val="20"/>
              </w:rPr>
              <w:t>Bulharsko</w:t>
            </w:r>
          </w:p>
        </w:tc>
        <w:tc>
          <w:tcPr>
            <w:tcW w:w="764" w:type="dxa"/>
            <w:tcBorders>
              <w:top w:val="nil"/>
              <w:left w:val="nil"/>
              <w:bottom w:val="nil"/>
              <w:right w:val="nil"/>
            </w:tcBorders>
            <w:shd w:val="clear" w:color="auto" w:fill="auto"/>
            <w:noWrap/>
            <w:vAlign w:val="center"/>
            <w:hideMark/>
          </w:tcPr>
          <w:p w14:paraId="227B6F62" w14:textId="7616A869"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-3,9</w:t>
            </w:r>
          </w:p>
        </w:tc>
        <w:tc>
          <w:tcPr>
            <w:tcW w:w="826" w:type="dxa"/>
            <w:tcBorders>
              <w:top w:val="nil"/>
              <w:left w:val="nil"/>
              <w:bottom w:val="nil"/>
              <w:right w:val="nil"/>
            </w:tcBorders>
            <w:shd w:val="clear" w:color="auto" w:fill="auto"/>
            <w:noWrap/>
            <w:vAlign w:val="center"/>
            <w:hideMark/>
          </w:tcPr>
          <w:p w14:paraId="746CBE51" w14:textId="03556FD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-2,9</w:t>
            </w:r>
          </w:p>
        </w:tc>
        <w:tc>
          <w:tcPr>
            <w:tcW w:w="742" w:type="dxa"/>
            <w:tcBorders>
              <w:top w:val="nil"/>
              <w:left w:val="nil"/>
              <w:bottom w:val="nil"/>
              <w:right w:val="nil"/>
            </w:tcBorders>
            <w:shd w:val="clear" w:color="auto" w:fill="auto"/>
            <w:noWrap/>
            <w:vAlign w:val="center"/>
            <w:hideMark/>
          </w:tcPr>
          <w:p w14:paraId="0ACE20B7" w14:textId="5633306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-2,0</w:t>
            </w:r>
          </w:p>
        </w:tc>
        <w:tc>
          <w:tcPr>
            <w:tcW w:w="728" w:type="dxa"/>
            <w:tcBorders>
              <w:top w:val="nil"/>
              <w:left w:val="nil"/>
              <w:bottom w:val="nil"/>
              <w:right w:val="nil"/>
            </w:tcBorders>
            <w:shd w:val="clear" w:color="auto" w:fill="auto"/>
            <w:noWrap/>
            <w:vAlign w:val="center"/>
            <w:hideMark/>
          </w:tcPr>
          <w:p w14:paraId="20C9C68D" w14:textId="5623128C"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00B050"/>
                <w:sz w:val="20"/>
                <w:szCs w:val="20"/>
              </w:rPr>
              <w:t>0,9</w:t>
            </w:r>
          </w:p>
        </w:tc>
        <w:tc>
          <w:tcPr>
            <w:tcW w:w="1453" w:type="dxa"/>
            <w:tcBorders>
              <w:top w:val="nil"/>
              <w:left w:val="single" w:sz="4" w:space="0" w:color="auto"/>
              <w:bottom w:val="nil"/>
              <w:right w:val="nil"/>
            </w:tcBorders>
            <w:shd w:val="clear" w:color="auto" w:fill="auto"/>
            <w:noWrap/>
            <w:vAlign w:val="center"/>
            <w:hideMark/>
          </w:tcPr>
          <w:p w14:paraId="77D2E04B" w14:textId="6E6999F5" w:rsidR="00442DE1" w:rsidRPr="00442DE1" w:rsidRDefault="00442DE1" w:rsidP="00442DE1">
            <w:pPr>
              <w:spacing w:after="0" w:line="240" w:lineRule="auto"/>
              <w:rPr>
                <w:sz w:val="20"/>
                <w:szCs w:val="20"/>
                <w:lang w:eastAsia="sk-SK"/>
              </w:rPr>
            </w:pPr>
            <w:r w:rsidRPr="00442DE1">
              <w:rPr>
                <w:sz w:val="20"/>
                <w:szCs w:val="20"/>
              </w:rPr>
              <w:t>Malta</w:t>
            </w:r>
          </w:p>
        </w:tc>
        <w:tc>
          <w:tcPr>
            <w:tcW w:w="843" w:type="dxa"/>
            <w:tcBorders>
              <w:top w:val="nil"/>
              <w:left w:val="nil"/>
              <w:bottom w:val="nil"/>
              <w:right w:val="nil"/>
            </w:tcBorders>
            <w:shd w:val="clear" w:color="auto" w:fill="auto"/>
            <w:noWrap/>
            <w:vAlign w:val="center"/>
            <w:hideMark/>
          </w:tcPr>
          <w:p w14:paraId="6FF38B9D" w14:textId="293DF53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49,6</w:t>
            </w:r>
          </w:p>
        </w:tc>
        <w:tc>
          <w:tcPr>
            <w:tcW w:w="843" w:type="dxa"/>
            <w:tcBorders>
              <w:top w:val="nil"/>
              <w:left w:val="nil"/>
              <w:bottom w:val="nil"/>
              <w:right w:val="nil"/>
            </w:tcBorders>
            <w:shd w:val="clear" w:color="auto" w:fill="auto"/>
            <w:noWrap/>
            <w:vAlign w:val="center"/>
            <w:hideMark/>
          </w:tcPr>
          <w:p w14:paraId="6D3FF54D" w14:textId="29BBA7A7"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49,4</w:t>
            </w:r>
          </w:p>
        </w:tc>
        <w:tc>
          <w:tcPr>
            <w:tcW w:w="864" w:type="dxa"/>
            <w:tcBorders>
              <w:top w:val="nil"/>
              <w:left w:val="nil"/>
              <w:bottom w:val="nil"/>
              <w:right w:val="nil"/>
            </w:tcBorders>
            <w:shd w:val="clear" w:color="auto" w:fill="auto"/>
            <w:noWrap/>
            <w:vAlign w:val="center"/>
            <w:hideMark/>
          </w:tcPr>
          <w:p w14:paraId="49B28122" w14:textId="7B7F5187"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47,4</w:t>
            </w:r>
          </w:p>
        </w:tc>
        <w:tc>
          <w:tcPr>
            <w:tcW w:w="799" w:type="dxa"/>
            <w:tcBorders>
              <w:top w:val="nil"/>
              <w:left w:val="nil"/>
              <w:bottom w:val="nil"/>
              <w:right w:val="single" w:sz="4" w:space="0" w:color="auto"/>
            </w:tcBorders>
            <w:shd w:val="clear" w:color="auto" w:fill="auto"/>
            <w:noWrap/>
            <w:vAlign w:val="center"/>
            <w:hideMark/>
          </w:tcPr>
          <w:p w14:paraId="6010E06C" w14:textId="4B1B5A49"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-2,0</w:t>
            </w:r>
          </w:p>
        </w:tc>
      </w:tr>
      <w:tr w:rsidR="00442DE1" w:rsidRPr="00442DE1" w14:paraId="16866289"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49D08A33" w14:textId="48FA5A5D" w:rsidR="00442DE1" w:rsidRPr="00442DE1" w:rsidRDefault="00442DE1" w:rsidP="00442DE1">
            <w:pPr>
              <w:spacing w:after="0" w:line="240" w:lineRule="auto"/>
              <w:rPr>
                <w:sz w:val="20"/>
                <w:szCs w:val="20"/>
                <w:lang w:eastAsia="sk-SK"/>
              </w:rPr>
            </w:pPr>
            <w:r w:rsidRPr="00442DE1">
              <w:rPr>
                <w:sz w:val="20"/>
                <w:szCs w:val="20"/>
              </w:rPr>
              <w:t>Grécko</w:t>
            </w:r>
          </w:p>
        </w:tc>
        <w:tc>
          <w:tcPr>
            <w:tcW w:w="764" w:type="dxa"/>
            <w:tcBorders>
              <w:top w:val="nil"/>
              <w:left w:val="nil"/>
              <w:bottom w:val="nil"/>
              <w:right w:val="nil"/>
            </w:tcBorders>
            <w:shd w:val="clear" w:color="auto" w:fill="auto"/>
            <w:noWrap/>
            <w:vAlign w:val="center"/>
            <w:hideMark/>
          </w:tcPr>
          <w:p w14:paraId="60529E32" w14:textId="34B2BB0E"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-6,9</w:t>
            </w:r>
          </w:p>
        </w:tc>
        <w:tc>
          <w:tcPr>
            <w:tcW w:w="826" w:type="dxa"/>
            <w:tcBorders>
              <w:top w:val="nil"/>
              <w:left w:val="nil"/>
              <w:bottom w:val="nil"/>
              <w:right w:val="nil"/>
            </w:tcBorders>
            <w:shd w:val="clear" w:color="auto" w:fill="auto"/>
            <w:noWrap/>
            <w:vAlign w:val="center"/>
            <w:hideMark/>
          </w:tcPr>
          <w:p w14:paraId="5C8BC293" w14:textId="0219055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-2,5</w:t>
            </w:r>
          </w:p>
        </w:tc>
        <w:tc>
          <w:tcPr>
            <w:tcW w:w="742" w:type="dxa"/>
            <w:tcBorders>
              <w:top w:val="nil"/>
              <w:left w:val="nil"/>
              <w:bottom w:val="nil"/>
              <w:right w:val="nil"/>
            </w:tcBorders>
            <w:shd w:val="clear" w:color="auto" w:fill="auto"/>
            <w:noWrap/>
            <w:vAlign w:val="center"/>
            <w:hideMark/>
          </w:tcPr>
          <w:p w14:paraId="78B45625" w14:textId="06C0625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-1,3</w:t>
            </w:r>
          </w:p>
        </w:tc>
        <w:tc>
          <w:tcPr>
            <w:tcW w:w="728" w:type="dxa"/>
            <w:tcBorders>
              <w:top w:val="nil"/>
              <w:left w:val="nil"/>
              <w:bottom w:val="nil"/>
              <w:right w:val="nil"/>
            </w:tcBorders>
            <w:shd w:val="clear" w:color="auto" w:fill="auto"/>
            <w:noWrap/>
            <w:vAlign w:val="center"/>
            <w:hideMark/>
          </w:tcPr>
          <w:p w14:paraId="3959B3FD" w14:textId="2010CFFC"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00B050"/>
                <w:sz w:val="20"/>
                <w:szCs w:val="20"/>
              </w:rPr>
              <w:t>1,2</w:t>
            </w:r>
          </w:p>
        </w:tc>
        <w:tc>
          <w:tcPr>
            <w:tcW w:w="1453" w:type="dxa"/>
            <w:tcBorders>
              <w:top w:val="nil"/>
              <w:left w:val="single" w:sz="4" w:space="0" w:color="auto"/>
              <w:bottom w:val="nil"/>
              <w:right w:val="nil"/>
            </w:tcBorders>
            <w:shd w:val="clear" w:color="auto" w:fill="auto"/>
            <w:noWrap/>
            <w:vAlign w:val="center"/>
            <w:hideMark/>
          </w:tcPr>
          <w:p w14:paraId="415AD623" w14:textId="02B3471A" w:rsidR="00442DE1" w:rsidRPr="00442DE1" w:rsidRDefault="00442DE1" w:rsidP="00442DE1">
            <w:pPr>
              <w:spacing w:after="0" w:line="240" w:lineRule="auto"/>
              <w:rPr>
                <w:sz w:val="20"/>
                <w:szCs w:val="20"/>
                <w:lang w:eastAsia="sk-SK"/>
              </w:rPr>
            </w:pPr>
            <w:r w:rsidRPr="00442DE1">
              <w:rPr>
                <w:sz w:val="20"/>
                <w:szCs w:val="20"/>
              </w:rPr>
              <w:t>Holandsko</w:t>
            </w:r>
          </w:p>
        </w:tc>
        <w:tc>
          <w:tcPr>
            <w:tcW w:w="843" w:type="dxa"/>
            <w:tcBorders>
              <w:top w:val="nil"/>
              <w:left w:val="nil"/>
              <w:bottom w:val="nil"/>
              <w:right w:val="nil"/>
            </w:tcBorders>
            <w:shd w:val="clear" w:color="auto" w:fill="auto"/>
            <w:noWrap/>
            <w:vAlign w:val="center"/>
            <w:hideMark/>
          </w:tcPr>
          <w:p w14:paraId="54D5E5C3" w14:textId="5C53AB1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50,4</w:t>
            </w:r>
          </w:p>
        </w:tc>
        <w:tc>
          <w:tcPr>
            <w:tcW w:w="843" w:type="dxa"/>
            <w:tcBorders>
              <w:top w:val="nil"/>
              <w:left w:val="nil"/>
              <w:bottom w:val="nil"/>
              <w:right w:val="nil"/>
            </w:tcBorders>
            <w:shd w:val="clear" w:color="auto" w:fill="auto"/>
            <w:noWrap/>
            <w:vAlign w:val="center"/>
            <w:hideMark/>
          </w:tcPr>
          <w:p w14:paraId="2CDC5D02" w14:textId="60C3224A"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48,3</w:t>
            </w:r>
          </w:p>
        </w:tc>
        <w:tc>
          <w:tcPr>
            <w:tcW w:w="864" w:type="dxa"/>
            <w:tcBorders>
              <w:top w:val="nil"/>
              <w:left w:val="nil"/>
              <w:bottom w:val="nil"/>
              <w:right w:val="nil"/>
            </w:tcBorders>
            <w:shd w:val="clear" w:color="auto" w:fill="auto"/>
            <w:noWrap/>
            <w:vAlign w:val="center"/>
            <w:hideMark/>
          </w:tcPr>
          <w:p w14:paraId="1CE8D02C" w14:textId="696E19F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45,1</w:t>
            </w:r>
          </w:p>
        </w:tc>
        <w:tc>
          <w:tcPr>
            <w:tcW w:w="799" w:type="dxa"/>
            <w:tcBorders>
              <w:top w:val="nil"/>
              <w:left w:val="nil"/>
              <w:bottom w:val="nil"/>
              <w:right w:val="single" w:sz="4" w:space="0" w:color="auto"/>
            </w:tcBorders>
            <w:shd w:val="clear" w:color="auto" w:fill="auto"/>
            <w:noWrap/>
            <w:vAlign w:val="center"/>
            <w:hideMark/>
          </w:tcPr>
          <w:p w14:paraId="2A86F589" w14:textId="49B2F6D1"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-3,2</w:t>
            </w:r>
          </w:p>
        </w:tc>
      </w:tr>
      <w:tr w:rsidR="00442DE1" w:rsidRPr="00442DE1" w14:paraId="7AB90380"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3C7EEC79" w14:textId="110C269E" w:rsidR="00442DE1" w:rsidRPr="00442DE1" w:rsidRDefault="00442DE1" w:rsidP="00442DE1">
            <w:pPr>
              <w:spacing w:after="0" w:line="240" w:lineRule="auto"/>
              <w:rPr>
                <w:sz w:val="20"/>
                <w:szCs w:val="20"/>
                <w:lang w:eastAsia="sk-SK"/>
              </w:rPr>
            </w:pPr>
            <w:r w:rsidRPr="00442DE1">
              <w:rPr>
                <w:sz w:val="20"/>
                <w:szCs w:val="20"/>
              </w:rPr>
              <w:t>Chorvátsko</w:t>
            </w:r>
          </w:p>
        </w:tc>
        <w:tc>
          <w:tcPr>
            <w:tcW w:w="764" w:type="dxa"/>
            <w:tcBorders>
              <w:top w:val="nil"/>
              <w:left w:val="nil"/>
              <w:bottom w:val="nil"/>
              <w:right w:val="nil"/>
            </w:tcBorders>
            <w:shd w:val="clear" w:color="auto" w:fill="auto"/>
            <w:noWrap/>
            <w:vAlign w:val="center"/>
            <w:hideMark/>
          </w:tcPr>
          <w:p w14:paraId="6C42BB77" w14:textId="1409045C"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-2,6</w:t>
            </w:r>
          </w:p>
        </w:tc>
        <w:tc>
          <w:tcPr>
            <w:tcW w:w="826" w:type="dxa"/>
            <w:tcBorders>
              <w:top w:val="nil"/>
              <w:left w:val="nil"/>
              <w:bottom w:val="nil"/>
              <w:right w:val="nil"/>
            </w:tcBorders>
            <w:shd w:val="clear" w:color="auto" w:fill="auto"/>
            <w:noWrap/>
            <w:vAlign w:val="center"/>
            <w:hideMark/>
          </w:tcPr>
          <w:p w14:paraId="571EB871" w14:textId="4019466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0,1</w:t>
            </w:r>
          </w:p>
        </w:tc>
        <w:tc>
          <w:tcPr>
            <w:tcW w:w="742" w:type="dxa"/>
            <w:tcBorders>
              <w:top w:val="nil"/>
              <w:left w:val="nil"/>
              <w:bottom w:val="nil"/>
              <w:right w:val="nil"/>
            </w:tcBorders>
            <w:shd w:val="clear" w:color="auto" w:fill="auto"/>
            <w:noWrap/>
            <w:vAlign w:val="center"/>
            <w:hideMark/>
          </w:tcPr>
          <w:p w14:paraId="5096BCC3" w14:textId="7467AB68"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-0,9</w:t>
            </w:r>
          </w:p>
        </w:tc>
        <w:tc>
          <w:tcPr>
            <w:tcW w:w="728" w:type="dxa"/>
            <w:tcBorders>
              <w:top w:val="nil"/>
              <w:left w:val="nil"/>
              <w:bottom w:val="nil"/>
              <w:right w:val="nil"/>
            </w:tcBorders>
            <w:shd w:val="clear" w:color="auto" w:fill="auto"/>
            <w:noWrap/>
            <w:vAlign w:val="center"/>
            <w:hideMark/>
          </w:tcPr>
          <w:p w14:paraId="41D46C64" w14:textId="3651398E"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-1,0</w:t>
            </w:r>
          </w:p>
        </w:tc>
        <w:tc>
          <w:tcPr>
            <w:tcW w:w="1453" w:type="dxa"/>
            <w:tcBorders>
              <w:top w:val="nil"/>
              <w:left w:val="single" w:sz="4" w:space="0" w:color="auto"/>
              <w:bottom w:val="nil"/>
              <w:right w:val="nil"/>
            </w:tcBorders>
            <w:shd w:val="clear" w:color="auto" w:fill="auto"/>
            <w:noWrap/>
            <w:vAlign w:val="center"/>
            <w:hideMark/>
          </w:tcPr>
          <w:p w14:paraId="0D4F1338" w14:textId="27BA6E02" w:rsidR="00442DE1" w:rsidRPr="00442DE1" w:rsidRDefault="00442DE1" w:rsidP="00442DE1">
            <w:pPr>
              <w:spacing w:after="0" w:line="240" w:lineRule="auto"/>
              <w:rPr>
                <w:sz w:val="20"/>
                <w:szCs w:val="20"/>
                <w:lang w:eastAsia="sk-SK"/>
              </w:rPr>
            </w:pPr>
            <w:r w:rsidRPr="00442DE1">
              <w:rPr>
                <w:sz w:val="20"/>
                <w:szCs w:val="20"/>
              </w:rPr>
              <w:t>Lotyšsko</w:t>
            </w:r>
          </w:p>
        </w:tc>
        <w:tc>
          <w:tcPr>
            <w:tcW w:w="843" w:type="dxa"/>
            <w:tcBorders>
              <w:top w:val="nil"/>
              <w:left w:val="nil"/>
              <w:bottom w:val="nil"/>
              <w:right w:val="nil"/>
            </w:tcBorders>
            <w:shd w:val="clear" w:color="auto" w:fill="auto"/>
            <w:noWrap/>
            <w:vAlign w:val="center"/>
            <w:hideMark/>
          </w:tcPr>
          <w:p w14:paraId="2DA10B7C" w14:textId="4823E3DC"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45,9</w:t>
            </w:r>
          </w:p>
        </w:tc>
        <w:tc>
          <w:tcPr>
            <w:tcW w:w="843" w:type="dxa"/>
            <w:tcBorders>
              <w:top w:val="nil"/>
              <w:left w:val="nil"/>
              <w:bottom w:val="nil"/>
              <w:right w:val="nil"/>
            </w:tcBorders>
            <w:shd w:val="clear" w:color="auto" w:fill="auto"/>
            <w:noWrap/>
            <w:vAlign w:val="center"/>
            <w:hideMark/>
          </w:tcPr>
          <w:p w14:paraId="16425A1C" w14:textId="4501306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44,4</w:t>
            </w:r>
          </w:p>
        </w:tc>
        <w:tc>
          <w:tcPr>
            <w:tcW w:w="864" w:type="dxa"/>
            <w:tcBorders>
              <w:top w:val="nil"/>
              <w:left w:val="nil"/>
              <w:bottom w:val="nil"/>
              <w:right w:val="nil"/>
            </w:tcBorders>
            <w:shd w:val="clear" w:color="auto" w:fill="auto"/>
            <w:noWrap/>
            <w:vAlign w:val="center"/>
            <w:hideMark/>
          </w:tcPr>
          <w:p w14:paraId="0A879148" w14:textId="6D70A091"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45,0</w:t>
            </w:r>
          </w:p>
        </w:tc>
        <w:tc>
          <w:tcPr>
            <w:tcW w:w="799" w:type="dxa"/>
            <w:tcBorders>
              <w:top w:val="nil"/>
              <w:left w:val="nil"/>
              <w:bottom w:val="nil"/>
              <w:right w:val="single" w:sz="4" w:space="0" w:color="auto"/>
            </w:tcBorders>
            <w:shd w:val="clear" w:color="auto" w:fill="auto"/>
            <w:noWrap/>
            <w:vAlign w:val="center"/>
            <w:hideMark/>
          </w:tcPr>
          <w:p w14:paraId="0DDD37F9" w14:textId="11072626" w:rsidR="00442DE1" w:rsidRPr="00442DE1" w:rsidRDefault="00442DE1" w:rsidP="00442DE1">
            <w:pPr>
              <w:tabs>
                <w:tab w:val="decimal" w:pos="230"/>
              </w:tabs>
              <w:spacing w:after="0" w:line="240" w:lineRule="auto"/>
              <w:ind w:right="32" w:firstLineChars="100" w:firstLine="200"/>
              <w:jc w:val="right"/>
              <w:rPr>
                <w:color w:val="FF0000"/>
                <w:sz w:val="20"/>
                <w:szCs w:val="20"/>
                <w:lang w:eastAsia="sk-SK"/>
              </w:rPr>
            </w:pPr>
            <w:r w:rsidRPr="00442DE1">
              <w:rPr>
                <w:color w:val="FF0000"/>
                <w:sz w:val="20"/>
                <w:szCs w:val="20"/>
              </w:rPr>
              <w:t>0,6</w:t>
            </w:r>
          </w:p>
        </w:tc>
      </w:tr>
      <w:tr w:rsidR="00442DE1" w:rsidRPr="00442DE1" w14:paraId="3D3F0F25"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26C8409C" w14:textId="2AE2492B" w:rsidR="00442DE1" w:rsidRPr="00442DE1" w:rsidRDefault="00442DE1" w:rsidP="00442DE1">
            <w:pPr>
              <w:spacing w:after="0" w:line="240" w:lineRule="auto"/>
              <w:rPr>
                <w:sz w:val="20"/>
                <w:szCs w:val="20"/>
                <w:lang w:eastAsia="sk-SK"/>
              </w:rPr>
            </w:pPr>
            <w:r w:rsidRPr="00442DE1">
              <w:rPr>
                <w:sz w:val="20"/>
                <w:szCs w:val="20"/>
              </w:rPr>
              <w:t>Litva</w:t>
            </w:r>
          </w:p>
        </w:tc>
        <w:tc>
          <w:tcPr>
            <w:tcW w:w="764" w:type="dxa"/>
            <w:tcBorders>
              <w:top w:val="nil"/>
              <w:left w:val="nil"/>
              <w:bottom w:val="nil"/>
              <w:right w:val="nil"/>
            </w:tcBorders>
            <w:shd w:val="clear" w:color="auto" w:fill="auto"/>
            <w:noWrap/>
            <w:vAlign w:val="center"/>
            <w:hideMark/>
          </w:tcPr>
          <w:p w14:paraId="6B6364EE" w14:textId="7C862211"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-1,1</w:t>
            </w:r>
          </w:p>
        </w:tc>
        <w:tc>
          <w:tcPr>
            <w:tcW w:w="826" w:type="dxa"/>
            <w:tcBorders>
              <w:top w:val="nil"/>
              <w:left w:val="nil"/>
              <w:bottom w:val="nil"/>
              <w:right w:val="nil"/>
            </w:tcBorders>
            <w:shd w:val="clear" w:color="auto" w:fill="auto"/>
            <w:noWrap/>
            <w:vAlign w:val="center"/>
            <w:hideMark/>
          </w:tcPr>
          <w:p w14:paraId="5F23EA82" w14:textId="69B48065"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-0,7</w:t>
            </w:r>
          </w:p>
        </w:tc>
        <w:tc>
          <w:tcPr>
            <w:tcW w:w="742" w:type="dxa"/>
            <w:tcBorders>
              <w:top w:val="nil"/>
              <w:left w:val="nil"/>
              <w:bottom w:val="nil"/>
              <w:right w:val="nil"/>
            </w:tcBorders>
            <w:shd w:val="clear" w:color="auto" w:fill="auto"/>
            <w:noWrap/>
            <w:vAlign w:val="center"/>
            <w:hideMark/>
          </w:tcPr>
          <w:p w14:paraId="7FE8545D" w14:textId="5DCF54DC"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-0,7</w:t>
            </w:r>
          </w:p>
        </w:tc>
        <w:tc>
          <w:tcPr>
            <w:tcW w:w="728" w:type="dxa"/>
            <w:tcBorders>
              <w:top w:val="nil"/>
              <w:left w:val="nil"/>
              <w:bottom w:val="nil"/>
              <w:right w:val="nil"/>
            </w:tcBorders>
            <w:shd w:val="clear" w:color="auto" w:fill="auto"/>
            <w:noWrap/>
            <w:vAlign w:val="center"/>
            <w:hideMark/>
          </w:tcPr>
          <w:p w14:paraId="0EF97D82" w14:textId="2F84AA47" w:rsidR="00442DE1" w:rsidRPr="00442DE1" w:rsidRDefault="00442DE1" w:rsidP="00442DE1">
            <w:pPr>
              <w:spacing w:after="0" w:line="240" w:lineRule="auto"/>
              <w:ind w:firstLineChars="100" w:firstLine="200"/>
              <w:jc w:val="center"/>
              <w:rPr>
                <w:color w:val="00B050"/>
                <w:sz w:val="20"/>
                <w:szCs w:val="20"/>
                <w:lang w:eastAsia="sk-SK"/>
              </w:rPr>
            </w:pPr>
            <w:r w:rsidRPr="00442DE1">
              <w:rPr>
                <w:sz w:val="20"/>
                <w:szCs w:val="20"/>
              </w:rPr>
              <w:t>0,0</w:t>
            </w:r>
          </w:p>
        </w:tc>
        <w:tc>
          <w:tcPr>
            <w:tcW w:w="1453" w:type="dxa"/>
            <w:tcBorders>
              <w:top w:val="nil"/>
              <w:left w:val="single" w:sz="4" w:space="0" w:color="auto"/>
              <w:bottom w:val="nil"/>
              <w:right w:val="nil"/>
            </w:tcBorders>
            <w:shd w:val="clear" w:color="auto" w:fill="auto"/>
            <w:noWrap/>
            <w:vAlign w:val="center"/>
            <w:hideMark/>
          </w:tcPr>
          <w:p w14:paraId="1450924F" w14:textId="025AA465" w:rsidR="00442DE1" w:rsidRPr="00442DE1" w:rsidRDefault="00442DE1" w:rsidP="00442DE1">
            <w:pPr>
              <w:spacing w:after="0" w:line="240" w:lineRule="auto"/>
              <w:rPr>
                <w:sz w:val="20"/>
                <w:szCs w:val="20"/>
                <w:lang w:eastAsia="sk-SK"/>
              </w:rPr>
            </w:pPr>
            <w:r w:rsidRPr="00442DE1">
              <w:rPr>
                <w:sz w:val="20"/>
                <w:szCs w:val="20"/>
              </w:rPr>
              <w:t>Írsko</w:t>
            </w:r>
          </w:p>
        </w:tc>
        <w:tc>
          <w:tcPr>
            <w:tcW w:w="843" w:type="dxa"/>
            <w:tcBorders>
              <w:top w:val="nil"/>
              <w:left w:val="nil"/>
              <w:bottom w:val="nil"/>
              <w:right w:val="nil"/>
            </w:tcBorders>
            <w:shd w:val="clear" w:color="auto" w:fill="auto"/>
            <w:noWrap/>
            <w:vAlign w:val="center"/>
            <w:hideMark/>
          </w:tcPr>
          <w:p w14:paraId="7209AF5F" w14:textId="35D109B1"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52,6</w:t>
            </w:r>
          </w:p>
        </w:tc>
        <w:tc>
          <w:tcPr>
            <w:tcW w:w="843" w:type="dxa"/>
            <w:tcBorders>
              <w:top w:val="nil"/>
              <w:left w:val="nil"/>
              <w:bottom w:val="nil"/>
              <w:right w:val="nil"/>
            </w:tcBorders>
            <w:shd w:val="clear" w:color="auto" w:fill="auto"/>
            <w:noWrap/>
            <w:vAlign w:val="center"/>
            <w:hideMark/>
          </w:tcPr>
          <w:p w14:paraId="7899C512" w14:textId="1DC6B7D8"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43,1</w:t>
            </w:r>
          </w:p>
        </w:tc>
        <w:tc>
          <w:tcPr>
            <w:tcW w:w="864" w:type="dxa"/>
            <w:tcBorders>
              <w:top w:val="nil"/>
              <w:left w:val="nil"/>
              <w:bottom w:val="nil"/>
              <w:right w:val="nil"/>
            </w:tcBorders>
            <w:shd w:val="clear" w:color="auto" w:fill="auto"/>
            <w:noWrap/>
            <w:vAlign w:val="center"/>
            <w:hideMark/>
          </w:tcPr>
          <w:p w14:paraId="3E2A4398" w14:textId="4EAC1E3E"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43,3</w:t>
            </w:r>
          </w:p>
        </w:tc>
        <w:tc>
          <w:tcPr>
            <w:tcW w:w="799" w:type="dxa"/>
            <w:tcBorders>
              <w:top w:val="nil"/>
              <w:left w:val="nil"/>
              <w:bottom w:val="nil"/>
              <w:right w:val="single" w:sz="4" w:space="0" w:color="auto"/>
            </w:tcBorders>
            <w:shd w:val="clear" w:color="auto" w:fill="auto"/>
            <w:noWrap/>
            <w:vAlign w:val="center"/>
            <w:hideMark/>
          </w:tcPr>
          <w:p w14:paraId="766FE207" w14:textId="76C14CB1"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FF0000"/>
                <w:sz w:val="20"/>
                <w:szCs w:val="20"/>
              </w:rPr>
              <w:t>0,2</w:t>
            </w:r>
          </w:p>
        </w:tc>
      </w:tr>
      <w:tr w:rsidR="00442DE1" w:rsidRPr="00442DE1" w14:paraId="601682FA"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3734C7CC" w14:textId="7DB93B2D" w:rsidR="00442DE1" w:rsidRPr="00442DE1" w:rsidRDefault="00442DE1" w:rsidP="00442DE1">
            <w:pPr>
              <w:spacing w:after="0" w:line="240" w:lineRule="auto"/>
              <w:rPr>
                <w:sz w:val="20"/>
                <w:szCs w:val="20"/>
                <w:lang w:eastAsia="sk-SK"/>
              </w:rPr>
            </w:pPr>
            <w:r w:rsidRPr="00442DE1">
              <w:rPr>
                <w:sz w:val="20"/>
                <w:szCs w:val="20"/>
              </w:rPr>
              <w:t>Luxembursko</w:t>
            </w:r>
          </w:p>
        </w:tc>
        <w:tc>
          <w:tcPr>
            <w:tcW w:w="764" w:type="dxa"/>
            <w:tcBorders>
              <w:top w:val="nil"/>
              <w:left w:val="nil"/>
              <w:bottom w:val="nil"/>
              <w:right w:val="nil"/>
            </w:tcBorders>
            <w:shd w:val="clear" w:color="auto" w:fill="auto"/>
            <w:noWrap/>
            <w:vAlign w:val="center"/>
            <w:hideMark/>
          </w:tcPr>
          <w:p w14:paraId="7EE1B047" w14:textId="598C2279"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1,0</w:t>
            </w:r>
          </w:p>
        </w:tc>
        <w:tc>
          <w:tcPr>
            <w:tcW w:w="826" w:type="dxa"/>
            <w:tcBorders>
              <w:top w:val="nil"/>
              <w:left w:val="nil"/>
              <w:bottom w:val="nil"/>
              <w:right w:val="nil"/>
            </w:tcBorders>
            <w:shd w:val="clear" w:color="auto" w:fill="auto"/>
            <w:noWrap/>
            <w:vAlign w:val="center"/>
            <w:hideMark/>
          </w:tcPr>
          <w:p w14:paraId="33348576" w14:textId="30032DF7"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0,2</w:t>
            </w:r>
          </w:p>
        </w:tc>
        <w:tc>
          <w:tcPr>
            <w:tcW w:w="742" w:type="dxa"/>
            <w:tcBorders>
              <w:top w:val="nil"/>
              <w:left w:val="nil"/>
              <w:bottom w:val="nil"/>
              <w:right w:val="nil"/>
            </w:tcBorders>
            <w:shd w:val="clear" w:color="auto" w:fill="auto"/>
            <w:noWrap/>
            <w:vAlign w:val="center"/>
            <w:hideMark/>
          </w:tcPr>
          <w:p w14:paraId="00F0C87A" w14:textId="7E91EA0E"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-0,7</w:t>
            </w:r>
          </w:p>
        </w:tc>
        <w:tc>
          <w:tcPr>
            <w:tcW w:w="728" w:type="dxa"/>
            <w:tcBorders>
              <w:top w:val="nil"/>
              <w:left w:val="nil"/>
              <w:bottom w:val="nil"/>
              <w:right w:val="nil"/>
            </w:tcBorders>
            <w:shd w:val="clear" w:color="auto" w:fill="auto"/>
            <w:noWrap/>
            <w:vAlign w:val="center"/>
            <w:hideMark/>
          </w:tcPr>
          <w:p w14:paraId="3047A42C" w14:textId="5DDBF4C8"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-0,9</w:t>
            </w:r>
          </w:p>
        </w:tc>
        <w:tc>
          <w:tcPr>
            <w:tcW w:w="1453" w:type="dxa"/>
            <w:tcBorders>
              <w:top w:val="nil"/>
              <w:left w:val="single" w:sz="4" w:space="0" w:color="auto"/>
              <w:bottom w:val="nil"/>
              <w:right w:val="nil"/>
            </w:tcBorders>
            <w:shd w:val="clear" w:color="auto" w:fill="auto"/>
            <w:noWrap/>
            <w:vAlign w:val="center"/>
            <w:hideMark/>
          </w:tcPr>
          <w:p w14:paraId="4771FA23" w14:textId="7A53E265" w:rsidR="00442DE1" w:rsidRPr="00442DE1" w:rsidRDefault="00442DE1" w:rsidP="00442DE1">
            <w:pPr>
              <w:spacing w:after="0" w:line="240" w:lineRule="auto"/>
              <w:rPr>
                <w:sz w:val="20"/>
                <w:szCs w:val="20"/>
                <w:lang w:eastAsia="sk-SK"/>
              </w:rPr>
            </w:pPr>
            <w:r w:rsidRPr="00442DE1">
              <w:rPr>
                <w:sz w:val="20"/>
                <w:szCs w:val="20"/>
              </w:rPr>
              <w:t>Česká republika</w:t>
            </w:r>
          </w:p>
        </w:tc>
        <w:tc>
          <w:tcPr>
            <w:tcW w:w="843" w:type="dxa"/>
            <w:tcBorders>
              <w:top w:val="nil"/>
              <w:left w:val="nil"/>
              <w:bottom w:val="nil"/>
              <w:right w:val="nil"/>
            </w:tcBorders>
            <w:shd w:val="clear" w:color="auto" w:fill="auto"/>
            <w:noWrap/>
            <w:vAlign w:val="center"/>
            <w:hideMark/>
          </w:tcPr>
          <w:p w14:paraId="7A95E0FF" w14:textId="36FF27F9"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40,7</w:t>
            </w:r>
          </w:p>
        </w:tc>
        <w:tc>
          <w:tcPr>
            <w:tcW w:w="843" w:type="dxa"/>
            <w:tcBorders>
              <w:top w:val="nil"/>
              <w:left w:val="nil"/>
              <w:bottom w:val="nil"/>
              <w:right w:val="nil"/>
            </w:tcBorders>
            <w:shd w:val="clear" w:color="auto" w:fill="auto"/>
            <w:noWrap/>
            <w:vAlign w:val="center"/>
            <w:hideMark/>
          </w:tcPr>
          <w:p w14:paraId="62E59BB5" w14:textId="162C9098"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42,5</w:t>
            </w:r>
          </w:p>
        </w:tc>
        <w:tc>
          <w:tcPr>
            <w:tcW w:w="864" w:type="dxa"/>
            <w:tcBorders>
              <w:top w:val="nil"/>
              <w:left w:val="nil"/>
              <w:bottom w:val="nil"/>
              <w:right w:val="nil"/>
            </w:tcBorders>
            <w:shd w:val="clear" w:color="auto" w:fill="auto"/>
            <w:noWrap/>
            <w:vAlign w:val="center"/>
            <w:hideMark/>
          </w:tcPr>
          <w:p w14:paraId="1D935F60" w14:textId="7BFACEB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42,4</w:t>
            </w:r>
          </w:p>
        </w:tc>
        <w:tc>
          <w:tcPr>
            <w:tcW w:w="799" w:type="dxa"/>
            <w:tcBorders>
              <w:top w:val="nil"/>
              <w:left w:val="nil"/>
              <w:bottom w:val="nil"/>
              <w:right w:val="single" w:sz="4" w:space="0" w:color="auto"/>
            </w:tcBorders>
            <w:shd w:val="clear" w:color="auto" w:fill="auto"/>
            <w:noWrap/>
            <w:vAlign w:val="center"/>
            <w:hideMark/>
          </w:tcPr>
          <w:p w14:paraId="39BE9994" w14:textId="574BDCBA" w:rsidR="00442DE1" w:rsidRPr="00442DE1" w:rsidRDefault="00442DE1" w:rsidP="00442DE1">
            <w:pPr>
              <w:tabs>
                <w:tab w:val="decimal" w:pos="230"/>
              </w:tabs>
              <w:spacing w:after="0" w:line="240" w:lineRule="auto"/>
              <w:ind w:right="32" w:firstLineChars="100" w:firstLine="200"/>
              <w:jc w:val="right"/>
              <w:rPr>
                <w:color w:val="FF0000"/>
                <w:sz w:val="20"/>
                <w:szCs w:val="20"/>
                <w:lang w:eastAsia="sk-SK"/>
              </w:rPr>
            </w:pPr>
            <w:r w:rsidRPr="00442DE1">
              <w:rPr>
                <w:color w:val="00B050"/>
                <w:sz w:val="20"/>
                <w:szCs w:val="20"/>
              </w:rPr>
              <w:t>-0,1</w:t>
            </w:r>
          </w:p>
        </w:tc>
      </w:tr>
      <w:tr w:rsidR="00442DE1" w:rsidRPr="00442DE1" w14:paraId="34F71346"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5AABA435" w14:textId="363F48F6" w:rsidR="00442DE1" w:rsidRPr="00442DE1" w:rsidRDefault="00442DE1" w:rsidP="00442DE1">
            <w:pPr>
              <w:spacing w:after="0" w:line="240" w:lineRule="auto"/>
              <w:rPr>
                <w:sz w:val="20"/>
                <w:szCs w:val="20"/>
                <w:lang w:eastAsia="sk-SK"/>
              </w:rPr>
            </w:pPr>
            <w:r w:rsidRPr="00442DE1">
              <w:rPr>
                <w:sz w:val="20"/>
                <w:szCs w:val="20"/>
              </w:rPr>
              <w:t>Švédsko</w:t>
            </w:r>
          </w:p>
        </w:tc>
        <w:tc>
          <w:tcPr>
            <w:tcW w:w="764" w:type="dxa"/>
            <w:tcBorders>
              <w:top w:val="nil"/>
              <w:left w:val="nil"/>
              <w:bottom w:val="nil"/>
              <w:right w:val="nil"/>
            </w:tcBorders>
            <w:shd w:val="clear" w:color="auto" w:fill="auto"/>
            <w:noWrap/>
            <w:vAlign w:val="center"/>
            <w:hideMark/>
          </w:tcPr>
          <w:p w14:paraId="05C77AF8" w14:textId="643170E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-0,1</w:t>
            </w:r>
          </w:p>
        </w:tc>
        <w:tc>
          <w:tcPr>
            <w:tcW w:w="826" w:type="dxa"/>
            <w:tcBorders>
              <w:top w:val="nil"/>
              <w:left w:val="nil"/>
              <w:bottom w:val="nil"/>
              <w:right w:val="nil"/>
            </w:tcBorders>
            <w:shd w:val="clear" w:color="auto" w:fill="auto"/>
            <w:noWrap/>
            <w:vAlign w:val="center"/>
            <w:hideMark/>
          </w:tcPr>
          <w:p w14:paraId="50C53D48" w14:textId="59415E66"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1,0</w:t>
            </w:r>
          </w:p>
        </w:tc>
        <w:tc>
          <w:tcPr>
            <w:tcW w:w="742" w:type="dxa"/>
            <w:tcBorders>
              <w:top w:val="nil"/>
              <w:left w:val="nil"/>
              <w:bottom w:val="nil"/>
              <w:right w:val="nil"/>
            </w:tcBorders>
            <w:shd w:val="clear" w:color="auto" w:fill="auto"/>
            <w:noWrap/>
            <w:vAlign w:val="center"/>
            <w:hideMark/>
          </w:tcPr>
          <w:p w14:paraId="39CCCE0C" w14:textId="1CAD4E07"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-0,6</w:t>
            </w:r>
          </w:p>
        </w:tc>
        <w:tc>
          <w:tcPr>
            <w:tcW w:w="728" w:type="dxa"/>
            <w:tcBorders>
              <w:top w:val="nil"/>
              <w:left w:val="nil"/>
              <w:bottom w:val="nil"/>
              <w:right w:val="nil"/>
            </w:tcBorders>
            <w:shd w:val="clear" w:color="auto" w:fill="auto"/>
            <w:noWrap/>
            <w:vAlign w:val="center"/>
            <w:hideMark/>
          </w:tcPr>
          <w:p w14:paraId="01096281" w14:textId="22656D4B"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-1,6</w:t>
            </w:r>
          </w:p>
        </w:tc>
        <w:tc>
          <w:tcPr>
            <w:tcW w:w="1453" w:type="dxa"/>
            <w:tcBorders>
              <w:top w:val="nil"/>
              <w:left w:val="single" w:sz="4" w:space="0" w:color="auto"/>
              <w:bottom w:val="nil"/>
              <w:right w:val="nil"/>
            </w:tcBorders>
            <w:shd w:val="clear" w:color="auto" w:fill="auto"/>
            <w:noWrap/>
            <w:vAlign w:val="center"/>
            <w:hideMark/>
          </w:tcPr>
          <w:p w14:paraId="60148E8E" w14:textId="3784E525" w:rsidR="00442DE1" w:rsidRPr="00442DE1" w:rsidRDefault="00442DE1" w:rsidP="00442DE1">
            <w:pPr>
              <w:spacing w:after="0" w:line="240" w:lineRule="auto"/>
              <w:ind w:right="-209"/>
              <w:rPr>
                <w:sz w:val="20"/>
                <w:szCs w:val="20"/>
                <w:lang w:eastAsia="sk-SK"/>
              </w:rPr>
            </w:pPr>
            <w:r w:rsidRPr="00442DE1">
              <w:rPr>
                <w:sz w:val="20"/>
                <w:szCs w:val="20"/>
              </w:rPr>
              <w:t>Litva</w:t>
            </w:r>
          </w:p>
        </w:tc>
        <w:tc>
          <w:tcPr>
            <w:tcW w:w="843" w:type="dxa"/>
            <w:tcBorders>
              <w:top w:val="nil"/>
              <w:left w:val="nil"/>
              <w:bottom w:val="nil"/>
              <w:right w:val="nil"/>
            </w:tcBorders>
            <w:shd w:val="clear" w:color="auto" w:fill="auto"/>
            <w:noWrap/>
            <w:vAlign w:val="center"/>
            <w:hideMark/>
          </w:tcPr>
          <w:p w14:paraId="0FADD76C" w14:textId="3B97750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43,3</w:t>
            </w:r>
          </w:p>
        </w:tc>
        <w:tc>
          <w:tcPr>
            <w:tcW w:w="843" w:type="dxa"/>
            <w:tcBorders>
              <w:top w:val="nil"/>
              <w:left w:val="nil"/>
              <w:bottom w:val="nil"/>
              <w:right w:val="nil"/>
            </w:tcBorders>
            <w:shd w:val="clear" w:color="auto" w:fill="auto"/>
            <w:noWrap/>
            <w:vAlign w:val="center"/>
            <w:hideMark/>
          </w:tcPr>
          <w:p w14:paraId="1B2E1684" w14:textId="7CAB10E4"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38,1</w:t>
            </w:r>
          </w:p>
        </w:tc>
        <w:tc>
          <w:tcPr>
            <w:tcW w:w="864" w:type="dxa"/>
            <w:tcBorders>
              <w:top w:val="nil"/>
              <w:left w:val="nil"/>
              <w:bottom w:val="nil"/>
              <w:right w:val="nil"/>
            </w:tcBorders>
            <w:shd w:val="clear" w:color="auto" w:fill="auto"/>
            <w:noWrap/>
            <w:vAlign w:val="center"/>
            <w:hideMark/>
          </w:tcPr>
          <w:p w14:paraId="522275FB" w14:textId="19560C36"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37,3</w:t>
            </w:r>
          </w:p>
        </w:tc>
        <w:tc>
          <w:tcPr>
            <w:tcW w:w="799" w:type="dxa"/>
            <w:tcBorders>
              <w:top w:val="nil"/>
              <w:left w:val="nil"/>
              <w:bottom w:val="nil"/>
              <w:right w:val="single" w:sz="4" w:space="0" w:color="auto"/>
            </w:tcBorders>
            <w:shd w:val="clear" w:color="auto" w:fill="auto"/>
            <w:noWrap/>
            <w:vAlign w:val="center"/>
            <w:hideMark/>
          </w:tcPr>
          <w:p w14:paraId="0F150896" w14:textId="66653E50" w:rsidR="00442DE1" w:rsidRPr="00442DE1" w:rsidRDefault="00442DE1" w:rsidP="00442DE1">
            <w:pPr>
              <w:tabs>
                <w:tab w:val="decimal" w:pos="230"/>
              </w:tabs>
              <w:spacing w:after="0" w:line="240" w:lineRule="auto"/>
              <w:ind w:right="32" w:firstLineChars="100" w:firstLine="200"/>
              <w:jc w:val="right"/>
              <w:rPr>
                <w:color w:val="FF0000"/>
                <w:sz w:val="20"/>
                <w:szCs w:val="20"/>
                <w:lang w:eastAsia="sk-SK"/>
              </w:rPr>
            </w:pPr>
            <w:r w:rsidRPr="00442DE1">
              <w:rPr>
                <w:color w:val="00B050"/>
                <w:sz w:val="20"/>
                <w:szCs w:val="20"/>
              </w:rPr>
              <w:t>-0,8</w:t>
            </w:r>
          </w:p>
        </w:tc>
      </w:tr>
      <w:tr w:rsidR="00442DE1" w:rsidRPr="00442DE1" w14:paraId="13C03884"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05AB216D" w14:textId="0B8A2115" w:rsidR="00442DE1" w:rsidRPr="00442DE1" w:rsidRDefault="00442DE1" w:rsidP="00442DE1">
            <w:pPr>
              <w:spacing w:after="0" w:line="240" w:lineRule="auto"/>
              <w:rPr>
                <w:sz w:val="20"/>
                <w:szCs w:val="20"/>
                <w:lang w:eastAsia="sk-SK"/>
              </w:rPr>
            </w:pPr>
            <w:r w:rsidRPr="00442DE1">
              <w:rPr>
                <w:sz w:val="20"/>
                <w:szCs w:val="20"/>
              </w:rPr>
              <w:t>Holandsko</w:t>
            </w:r>
          </w:p>
        </w:tc>
        <w:tc>
          <w:tcPr>
            <w:tcW w:w="764" w:type="dxa"/>
            <w:tcBorders>
              <w:top w:val="nil"/>
              <w:left w:val="nil"/>
              <w:bottom w:val="nil"/>
              <w:right w:val="nil"/>
            </w:tcBorders>
            <w:shd w:val="clear" w:color="auto" w:fill="auto"/>
            <w:noWrap/>
            <w:vAlign w:val="center"/>
            <w:hideMark/>
          </w:tcPr>
          <w:p w14:paraId="112E0088" w14:textId="72A8BDAD"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-2,2</w:t>
            </w:r>
          </w:p>
        </w:tc>
        <w:tc>
          <w:tcPr>
            <w:tcW w:w="826" w:type="dxa"/>
            <w:tcBorders>
              <w:top w:val="nil"/>
              <w:left w:val="nil"/>
              <w:bottom w:val="nil"/>
              <w:right w:val="nil"/>
            </w:tcBorders>
            <w:shd w:val="clear" w:color="auto" w:fill="auto"/>
            <w:noWrap/>
            <w:vAlign w:val="center"/>
            <w:hideMark/>
          </w:tcPr>
          <w:p w14:paraId="2CD72225" w14:textId="5B552EAE"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0,0</w:t>
            </w:r>
          </w:p>
        </w:tc>
        <w:tc>
          <w:tcPr>
            <w:tcW w:w="742" w:type="dxa"/>
            <w:tcBorders>
              <w:top w:val="nil"/>
              <w:left w:val="nil"/>
              <w:bottom w:val="nil"/>
              <w:right w:val="nil"/>
            </w:tcBorders>
            <w:shd w:val="clear" w:color="auto" w:fill="auto"/>
            <w:noWrap/>
            <w:vAlign w:val="center"/>
            <w:hideMark/>
          </w:tcPr>
          <w:p w14:paraId="5445BCE2" w14:textId="2B548E98"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-0,4</w:t>
            </w:r>
          </w:p>
        </w:tc>
        <w:tc>
          <w:tcPr>
            <w:tcW w:w="728" w:type="dxa"/>
            <w:tcBorders>
              <w:top w:val="nil"/>
              <w:left w:val="nil"/>
              <w:bottom w:val="nil"/>
              <w:right w:val="nil"/>
            </w:tcBorders>
            <w:shd w:val="clear" w:color="auto" w:fill="auto"/>
            <w:noWrap/>
            <w:vAlign w:val="center"/>
            <w:hideMark/>
          </w:tcPr>
          <w:p w14:paraId="126C02F8" w14:textId="216B76CD"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-0,4</w:t>
            </w:r>
          </w:p>
        </w:tc>
        <w:tc>
          <w:tcPr>
            <w:tcW w:w="1453" w:type="dxa"/>
            <w:tcBorders>
              <w:top w:val="nil"/>
              <w:left w:val="single" w:sz="4" w:space="0" w:color="auto"/>
              <w:bottom w:val="nil"/>
              <w:right w:val="nil"/>
            </w:tcBorders>
            <w:shd w:val="clear" w:color="auto" w:fill="auto"/>
            <w:noWrap/>
            <w:vAlign w:val="center"/>
            <w:hideMark/>
          </w:tcPr>
          <w:p w14:paraId="54BAA7E7" w14:textId="0BDAA3FC" w:rsidR="00442DE1" w:rsidRPr="00442DE1" w:rsidRDefault="00442DE1" w:rsidP="00442DE1">
            <w:pPr>
              <w:spacing w:after="0" w:line="240" w:lineRule="auto"/>
              <w:rPr>
                <w:sz w:val="20"/>
                <w:szCs w:val="20"/>
                <w:lang w:eastAsia="sk-SK"/>
              </w:rPr>
            </w:pPr>
            <w:r w:rsidRPr="00442DE1">
              <w:rPr>
                <w:sz w:val="20"/>
                <w:szCs w:val="20"/>
              </w:rPr>
              <w:t>Dánsko</w:t>
            </w:r>
          </w:p>
        </w:tc>
        <w:tc>
          <w:tcPr>
            <w:tcW w:w="843" w:type="dxa"/>
            <w:tcBorders>
              <w:top w:val="nil"/>
              <w:left w:val="nil"/>
              <w:bottom w:val="nil"/>
              <w:right w:val="nil"/>
            </w:tcBorders>
            <w:shd w:val="clear" w:color="auto" w:fill="auto"/>
            <w:noWrap/>
            <w:vAlign w:val="center"/>
            <w:hideMark/>
          </w:tcPr>
          <w:p w14:paraId="17C83185" w14:textId="4FA0B2C4"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40,5</w:t>
            </w:r>
          </w:p>
        </w:tc>
        <w:tc>
          <w:tcPr>
            <w:tcW w:w="843" w:type="dxa"/>
            <w:tcBorders>
              <w:top w:val="nil"/>
              <w:left w:val="nil"/>
              <w:bottom w:val="nil"/>
              <w:right w:val="nil"/>
            </w:tcBorders>
            <w:shd w:val="clear" w:color="auto" w:fill="auto"/>
            <w:noWrap/>
            <w:vAlign w:val="center"/>
            <w:hideMark/>
          </w:tcPr>
          <w:p w14:paraId="762084AB" w14:textId="34D86A0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34,1</w:t>
            </w:r>
          </w:p>
        </w:tc>
        <w:tc>
          <w:tcPr>
            <w:tcW w:w="864" w:type="dxa"/>
            <w:tcBorders>
              <w:top w:val="nil"/>
              <w:left w:val="nil"/>
              <w:bottom w:val="nil"/>
              <w:right w:val="nil"/>
            </w:tcBorders>
            <w:shd w:val="clear" w:color="auto" w:fill="auto"/>
            <w:noWrap/>
            <w:vAlign w:val="center"/>
            <w:hideMark/>
          </w:tcPr>
          <w:p w14:paraId="588E8DA7" w14:textId="432C8A1D"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33,6</w:t>
            </w:r>
          </w:p>
        </w:tc>
        <w:tc>
          <w:tcPr>
            <w:tcW w:w="799" w:type="dxa"/>
            <w:tcBorders>
              <w:top w:val="nil"/>
              <w:left w:val="nil"/>
              <w:bottom w:val="nil"/>
              <w:right w:val="single" w:sz="4" w:space="0" w:color="auto"/>
            </w:tcBorders>
            <w:shd w:val="clear" w:color="auto" w:fill="auto"/>
            <w:noWrap/>
            <w:vAlign w:val="center"/>
            <w:hideMark/>
          </w:tcPr>
          <w:p w14:paraId="6FDD317B" w14:textId="1583A2D3"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-0,5</w:t>
            </w:r>
          </w:p>
        </w:tc>
      </w:tr>
      <w:tr w:rsidR="00442DE1" w:rsidRPr="00442DE1" w14:paraId="7DF1CF2F"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5044EB1B" w14:textId="7EF58389" w:rsidR="00442DE1" w:rsidRPr="00442DE1" w:rsidRDefault="00442DE1" w:rsidP="00442DE1">
            <w:pPr>
              <w:spacing w:after="0" w:line="240" w:lineRule="auto"/>
              <w:rPr>
                <w:sz w:val="20"/>
                <w:szCs w:val="20"/>
                <w:lang w:eastAsia="sk-SK"/>
              </w:rPr>
            </w:pPr>
            <w:r w:rsidRPr="00442DE1">
              <w:rPr>
                <w:sz w:val="20"/>
                <w:szCs w:val="20"/>
              </w:rPr>
              <w:t>Portugalsko</w:t>
            </w:r>
          </w:p>
        </w:tc>
        <w:tc>
          <w:tcPr>
            <w:tcW w:w="764" w:type="dxa"/>
            <w:tcBorders>
              <w:top w:val="nil"/>
              <w:left w:val="nil"/>
              <w:bottom w:val="nil"/>
              <w:right w:val="nil"/>
            </w:tcBorders>
            <w:shd w:val="clear" w:color="auto" w:fill="auto"/>
            <w:noWrap/>
            <w:vAlign w:val="center"/>
            <w:hideMark/>
          </w:tcPr>
          <w:p w14:paraId="7EFC4BC3" w14:textId="1F1B7A3D"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-2,8</w:t>
            </w:r>
          </w:p>
        </w:tc>
        <w:tc>
          <w:tcPr>
            <w:tcW w:w="826" w:type="dxa"/>
            <w:tcBorders>
              <w:top w:val="nil"/>
              <w:left w:val="nil"/>
              <w:bottom w:val="nil"/>
              <w:right w:val="nil"/>
            </w:tcBorders>
            <w:shd w:val="clear" w:color="auto" w:fill="auto"/>
            <w:noWrap/>
            <w:vAlign w:val="center"/>
            <w:hideMark/>
          </w:tcPr>
          <w:p w14:paraId="2FF379B1" w14:textId="6EE79E40"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-0,3</w:t>
            </w:r>
          </w:p>
        </w:tc>
        <w:tc>
          <w:tcPr>
            <w:tcW w:w="742" w:type="dxa"/>
            <w:tcBorders>
              <w:top w:val="nil"/>
              <w:left w:val="nil"/>
              <w:bottom w:val="nil"/>
              <w:right w:val="nil"/>
            </w:tcBorders>
            <w:shd w:val="clear" w:color="auto" w:fill="auto"/>
            <w:noWrap/>
            <w:vAlign w:val="center"/>
            <w:hideMark/>
          </w:tcPr>
          <w:p w14:paraId="2A904CE6" w14:textId="40B16EBC"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1,2</w:t>
            </w:r>
          </w:p>
        </w:tc>
        <w:tc>
          <w:tcPr>
            <w:tcW w:w="728" w:type="dxa"/>
            <w:tcBorders>
              <w:top w:val="nil"/>
              <w:left w:val="nil"/>
              <w:bottom w:val="nil"/>
              <w:right w:val="nil"/>
            </w:tcBorders>
            <w:shd w:val="clear" w:color="auto" w:fill="auto"/>
            <w:noWrap/>
            <w:vAlign w:val="center"/>
            <w:hideMark/>
          </w:tcPr>
          <w:p w14:paraId="7CE2E5F9" w14:textId="6B59FCC6"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00B050"/>
                <w:sz w:val="20"/>
                <w:szCs w:val="20"/>
              </w:rPr>
              <w:t>1,5</w:t>
            </w:r>
          </w:p>
        </w:tc>
        <w:tc>
          <w:tcPr>
            <w:tcW w:w="1453" w:type="dxa"/>
            <w:tcBorders>
              <w:top w:val="nil"/>
              <w:left w:val="single" w:sz="4" w:space="0" w:color="auto"/>
              <w:bottom w:val="nil"/>
              <w:right w:val="nil"/>
            </w:tcBorders>
            <w:shd w:val="clear" w:color="auto" w:fill="auto"/>
            <w:noWrap/>
            <w:vAlign w:val="center"/>
            <w:hideMark/>
          </w:tcPr>
          <w:p w14:paraId="279D7A2B" w14:textId="07D96FA0" w:rsidR="00442DE1" w:rsidRPr="00442DE1" w:rsidRDefault="00442DE1" w:rsidP="00442DE1">
            <w:pPr>
              <w:spacing w:after="0" w:line="240" w:lineRule="auto"/>
              <w:rPr>
                <w:sz w:val="20"/>
                <w:szCs w:val="20"/>
                <w:lang w:eastAsia="sk-SK"/>
              </w:rPr>
            </w:pPr>
            <w:r w:rsidRPr="00442DE1">
              <w:rPr>
                <w:sz w:val="20"/>
                <w:szCs w:val="20"/>
              </w:rPr>
              <w:t>Švédsko</w:t>
            </w:r>
          </w:p>
        </w:tc>
        <w:tc>
          <w:tcPr>
            <w:tcW w:w="843" w:type="dxa"/>
            <w:tcBorders>
              <w:top w:val="nil"/>
              <w:left w:val="nil"/>
              <w:bottom w:val="nil"/>
              <w:right w:val="nil"/>
            </w:tcBorders>
            <w:shd w:val="clear" w:color="auto" w:fill="auto"/>
            <w:noWrap/>
            <w:vAlign w:val="center"/>
            <w:hideMark/>
          </w:tcPr>
          <w:p w14:paraId="5F648F13" w14:textId="6AB8E6A6"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36,7</w:t>
            </w:r>
          </w:p>
        </w:tc>
        <w:tc>
          <w:tcPr>
            <w:tcW w:w="843" w:type="dxa"/>
            <w:tcBorders>
              <w:top w:val="nil"/>
              <w:left w:val="nil"/>
              <w:bottom w:val="nil"/>
              <w:right w:val="nil"/>
            </w:tcBorders>
            <w:shd w:val="clear" w:color="auto" w:fill="auto"/>
            <w:noWrap/>
            <w:vAlign w:val="center"/>
            <w:hideMark/>
          </w:tcPr>
          <w:p w14:paraId="2FD1A25F" w14:textId="7D3D0CF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33,6</w:t>
            </w:r>
          </w:p>
        </w:tc>
        <w:tc>
          <w:tcPr>
            <w:tcW w:w="864" w:type="dxa"/>
            <w:tcBorders>
              <w:top w:val="nil"/>
              <w:left w:val="nil"/>
              <w:bottom w:val="nil"/>
              <w:right w:val="nil"/>
            </w:tcBorders>
            <w:shd w:val="clear" w:color="auto" w:fill="auto"/>
            <w:noWrap/>
            <w:vAlign w:val="center"/>
            <w:hideMark/>
          </w:tcPr>
          <w:p w14:paraId="184EE185" w14:textId="5CB38466"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31,5</w:t>
            </w:r>
          </w:p>
        </w:tc>
        <w:tc>
          <w:tcPr>
            <w:tcW w:w="799" w:type="dxa"/>
            <w:tcBorders>
              <w:top w:val="nil"/>
              <w:left w:val="nil"/>
              <w:bottom w:val="nil"/>
              <w:right w:val="single" w:sz="4" w:space="0" w:color="auto"/>
            </w:tcBorders>
            <w:shd w:val="clear" w:color="auto" w:fill="auto"/>
            <w:noWrap/>
            <w:vAlign w:val="center"/>
            <w:hideMark/>
          </w:tcPr>
          <w:p w14:paraId="252E57FA" w14:textId="6EB4C28B"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00B050"/>
                <w:sz w:val="20"/>
                <w:szCs w:val="20"/>
              </w:rPr>
              <w:t>-2,1</w:t>
            </w:r>
          </w:p>
        </w:tc>
      </w:tr>
      <w:tr w:rsidR="00442DE1" w:rsidRPr="00442DE1" w14:paraId="30292250"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40A63536" w14:textId="15896363" w:rsidR="00442DE1" w:rsidRPr="00442DE1" w:rsidRDefault="00442DE1" w:rsidP="00442DE1">
            <w:pPr>
              <w:spacing w:after="0" w:line="240" w:lineRule="auto"/>
              <w:rPr>
                <w:sz w:val="20"/>
                <w:szCs w:val="20"/>
                <w:lang w:eastAsia="sk-SK"/>
              </w:rPr>
            </w:pPr>
            <w:r w:rsidRPr="00442DE1">
              <w:rPr>
                <w:sz w:val="20"/>
                <w:szCs w:val="20"/>
              </w:rPr>
              <w:t>Írsko</w:t>
            </w:r>
          </w:p>
        </w:tc>
        <w:tc>
          <w:tcPr>
            <w:tcW w:w="764" w:type="dxa"/>
            <w:tcBorders>
              <w:top w:val="nil"/>
              <w:left w:val="nil"/>
              <w:bottom w:val="nil"/>
              <w:right w:val="nil"/>
            </w:tcBorders>
            <w:shd w:val="clear" w:color="auto" w:fill="auto"/>
            <w:noWrap/>
            <w:vAlign w:val="center"/>
            <w:hideMark/>
          </w:tcPr>
          <w:p w14:paraId="43542B43" w14:textId="3DD7A75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-1,4</w:t>
            </w:r>
          </w:p>
        </w:tc>
        <w:tc>
          <w:tcPr>
            <w:tcW w:w="826" w:type="dxa"/>
            <w:tcBorders>
              <w:top w:val="nil"/>
              <w:left w:val="nil"/>
              <w:bottom w:val="nil"/>
              <w:right w:val="nil"/>
            </w:tcBorders>
            <w:shd w:val="clear" w:color="auto" w:fill="auto"/>
            <w:noWrap/>
            <w:vAlign w:val="center"/>
            <w:hideMark/>
          </w:tcPr>
          <w:p w14:paraId="0F0C9098" w14:textId="09050B78"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1,7</w:t>
            </w:r>
          </w:p>
        </w:tc>
        <w:tc>
          <w:tcPr>
            <w:tcW w:w="742" w:type="dxa"/>
            <w:tcBorders>
              <w:top w:val="nil"/>
              <w:left w:val="nil"/>
              <w:bottom w:val="nil"/>
              <w:right w:val="nil"/>
            </w:tcBorders>
            <w:shd w:val="clear" w:color="auto" w:fill="auto"/>
            <w:noWrap/>
            <w:vAlign w:val="center"/>
            <w:hideMark/>
          </w:tcPr>
          <w:p w14:paraId="7013D63B" w14:textId="08128565"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1,5</w:t>
            </w:r>
          </w:p>
        </w:tc>
        <w:tc>
          <w:tcPr>
            <w:tcW w:w="728" w:type="dxa"/>
            <w:tcBorders>
              <w:top w:val="nil"/>
              <w:left w:val="nil"/>
              <w:bottom w:val="nil"/>
              <w:right w:val="nil"/>
            </w:tcBorders>
            <w:shd w:val="clear" w:color="auto" w:fill="auto"/>
            <w:noWrap/>
            <w:vAlign w:val="center"/>
            <w:hideMark/>
          </w:tcPr>
          <w:p w14:paraId="440E8C6B" w14:textId="51EC2299"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-0,2</w:t>
            </w:r>
          </w:p>
        </w:tc>
        <w:tc>
          <w:tcPr>
            <w:tcW w:w="1453" w:type="dxa"/>
            <w:tcBorders>
              <w:top w:val="nil"/>
              <w:left w:val="single" w:sz="4" w:space="0" w:color="auto"/>
              <w:bottom w:val="nil"/>
              <w:right w:val="nil"/>
            </w:tcBorders>
            <w:shd w:val="clear" w:color="auto" w:fill="auto"/>
            <w:noWrap/>
            <w:vAlign w:val="center"/>
            <w:hideMark/>
          </w:tcPr>
          <w:p w14:paraId="7D2DCFCA" w14:textId="4B4F679B" w:rsidR="00442DE1" w:rsidRPr="00442DE1" w:rsidRDefault="00442DE1" w:rsidP="00442DE1">
            <w:pPr>
              <w:spacing w:after="0" w:line="240" w:lineRule="auto"/>
              <w:rPr>
                <w:sz w:val="20"/>
                <w:szCs w:val="20"/>
                <w:lang w:eastAsia="sk-SK"/>
              </w:rPr>
            </w:pPr>
            <w:r w:rsidRPr="00442DE1">
              <w:rPr>
                <w:sz w:val="20"/>
                <w:szCs w:val="20"/>
              </w:rPr>
              <w:t>Luxembursko</w:t>
            </w:r>
          </w:p>
        </w:tc>
        <w:tc>
          <w:tcPr>
            <w:tcW w:w="843" w:type="dxa"/>
            <w:tcBorders>
              <w:top w:val="nil"/>
              <w:left w:val="nil"/>
              <w:bottom w:val="nil"/>
              <w:right w:val="nil"/>
            </w:tcBorders>
            <w:shd w:val="clear" w:color="auto" w:fill="auto"/>
            <w:noWrap/>
            <w:vAlign w:val="center"/>
            <w:hideMark/>
          </w:tcPr>
          <w:p w14:paraId="6189804D" w14:textId="6BCDA35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24,4</w:t>
            </w:r>
          </w:p>
        </w:tc>
        <w:tc>
          <w:tcPr>
            <w:tcW w:w="843" w:type="dxa"/>
            <w:tcBorders>
              <w:top w:val="nil"/>
              <w:left w:val="nil"/>
              <w:bottom w:val="nil"/>
              <w:right w:val="nil"/>
            </w:tcBorders>
            <w:shd w:val="clear" w:color="auto" w:fill="auto"/>
            <w:noWrap/>
            <w:vAlign w:val="center"/>
            <w:hideMark/>
          </w:tcPr>
          <w:p w14:paraId="730BF6FE" w14:textId="0E5CEC49"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24,6</w:t>
            </w:r>
          </w:p>
        </w:tc>
        <w:tc>
          <w:tcPr>
            <w:tcW w:w="864" w:type="dxa"/>
            <w:tcBorders>
              <w:top w:val="nil"/>
              <w:left w:val="nil"/>
              <w:bottom w:val="nil"/>
              <w:right w:val="nil"/>
            </w:tcBorders>
            <w:shd w:val="clear" w:color="auto" w:fill="auto"/>
            <w:noWrap/>
            <w:vAlign w:val="center"/>
            <w:hideMark/>
          </w:tcPr>
          <w:p w14:paraId="2D0F5321" w14:textId="6DB042D4"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25,5</w:t>
            </w:r>
          </w:p>
        </w:tc>
        <w:tc>
          <w:tcPr>
            <w:tcW w:w="799" w:type="dxa"/>
            <w:tcBorders>
              <w:top w:val="nil"/>
              <w:left w:val="nil"/>
              <w:bottom w:val="nil"/>
              <w:right w:val="single" w:sz="4" w:space="0" w:color="auto"/>
            </w:tcBorders>
            <w:shd w:val="clear" w:color="auto" w:fill="auto"/>
            <w:noWrap/>
            <w:vAlign w:val="center"/>
            <w:hideMark/>
          </w:tcPr>
          <w:p w14:paraId="3FF4DF59" w14:textId="1A0E6333" w:rsidR="00442DE1" w:rsidRPr="00442DE1" w:rsidRDefault="00442DE1" w:rsidP="00442DE1">
            <w:pPr>
              <w:tabs>
                <w:tab w:val="decimal" w:pos="230"/>
              </w:tabs>
              <w:spacing w:after="0" w:line="240" w:lineRule="auto"/>
              <w:ind w:right="32" w:firstLineChars="100" w:firstLine="200"/>
              <w:jc w:val="right"/>
              <w:rPr>
                <w:color w:val="000000"/>
                <w:sz w:val="20"/>
                <w:szCs w:val="20"/>
                <w:lang w:eastAsia="sk-SK"/>
              </w:rPr>
            </w:pPr>
            <w:r w:rsidRPr="00442DE1">
              <w:rPr>
                <w:color w:val="FF0000"/>
                <w:sz w:val="20"/>
                <w:szCs w:val="20"/>
              </w:rPr>
              <w:t>0,9</w:t>
            </w:r>
          </w:p>
        </w:tc>
      </w:tr>
      <w:tr w:rsidR="00442DE1" w:rsidRPr="00442DE1" w14:paraId="6EE40452" w14:textId="77777777" w:rsidTr="002847E9">
        <w:trPr>
          <w:trHeight w:val="307"/>
        </w:trPr>
        <w:tc>
          <w:tcPr>
            <w:tcW w:w="1542" w:type="dxa"/>
            <w:tcBorders>
              <w:top w:val="nil"/>
              <w:left w:val="single" w:sz="4" w:space="0" w:color="auto"/>
              <w:bottom w:val="nil"/>
              <w:right w:val="nil"/>
            </w:tcBorders>
            <w:shd w:val="clear" w:color="auto" w:fill="auto"/>
            <w:noWrap/>
            <w:vAlign w:val="center"/>
            <w:hideMark/>
          </w:tcPr>
          <w:p w14:paraId="35162DC1" w14:textId="6967B993" w:rsidR="00442DE1" w:rsidRPr="00442DE1" w:rsidRDefault="00442DE1" w:rsidP="00442DE1">
            <w:pPr>
              <w:spacing w:after="0" w:line="240" w:lineRule="auto"/>
              <w:rPr>
                <w:sz w:val="20"/>
                <w:szCs w:val="20"/>
                <w:lang w:eastAsia="sk-SK"/>
              </w:rPr>
            </w:pPr>
            <w:r w:rsidRPr="00442DE1">
              <w:rPr>
                <w:sz w:val="20"/>
                <w:szCs w:val="20"/>
              </w:rPr>
              <w:t>Cyprus</w:t>
            </w:r>
          </w:p>
        </w:tc>
        <w:tc>
          <w:tcPr>
            <w:tcW w:w="764" w:type="dxa"/>
            <w:tcBorders>
              <w:top w:val="nil"/>
              <w:left w:val="nil"/>
              <w:bottom w:val="nil"/>
              <w:right w:val="nil"/>
            </w:tcBorders>
            <w:shd w:val="clear" w:color="auto" w:fill="auto"/>
            <w:noWrap/>
            <w:vAlign w:val="center"/>
            <w:hideMark/>
          </w:tcPr>
          <w:p w14:paraId="2EE62506" w14:textId="03F8D9FF"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-1,6</w:t>
            </w:r>
          </w:p>
        </w:tc>
        <w:tc>
          <w:tcPr>
            <w:tcW w:w="826" w:type="dxa"/>
            <w:tcBorders>
              <w:top w:val="nil"/>
              <w:left w:val="nil"/>
              <w:bottom w:val="nil"/>
              <w:right w:val="nil"/>
            </w:tcBorders>
            <w:shd w:val="clear" w:color="auto" w:fill="auto"/>
            <w:noWrap/>
            <w:vAlign w:val="center"/>
            <w:hideMark/>
          </w:tcPr>
          <w:p w14:paraId="4E271DD6" w14:textId="4A451D4D"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2,6</w:t>
            </w:r>
          </w:p>
        </w:tc>
        <w:tc>
          <w:tcPr>
            <w:tcW w:w="742" w:type="dxa"/>
            <w:tcBorders>
              <w:top w:val="nil"/>
              <w:left w:val="nil"/>
              <w:bottom w:val="nil"/>
              <w:right w:val="nil"/>
            </w:tcBorders>
            <w:shd w:val="clear" w:color="auto" w:fill="auto"/>
            <w:noWrap/>
            <w:vAlign w:val="center"/>
            <w:hideMark/>
          </w:tcPr>
          <w:p w14:paraId="4DB07F98" w14:textId="0A1F07F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2,0</w:t>
            </w:r>
          </w:p>
        </w:tc>
        <w:tc>
          <w:tcPr>
            <w:tcW w:w="728" w:type="dxa"/>
            <w:tcBorders>
              <w:top w:val="nil"/>
              <w:left w:val="nil"/>
              <w:bottom w:val="nil"/>
              <w:right w:val="nil"/>
            </w:tcBorders>
            <w:shd w:val="clear" w:color="auto" w:fill="auto"/>
            <w:noWrap/>
            <w:vAlign w:val="center"/>
            <w:hideMark/>
          </w:tcPr>
          <w:p w14:paraId="071BD6CB" w14:textId="092DA48D"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-0,6</w:t>
            </w:r>
          </w:p>
        </w:tc>
        <w:tc>
          <w:tcPr>
            <w:tcW w:w="1453" w:type="dxa"/>
            <w:tcBorders>
              <w:top w:val="nil"/>
              <w:left w:val="single" w:sz="4" w:space="0" w:color="auto"/>
              <w:bottom w:val="nil"/>
              <w:right w:val="nil"/>
            </w:tcBorders>
            <w:shd w:val="clear" w:color="auto" w:fill="auto"/>
            <w:noWrap/>
            <w:vAlign w:val="center"/>
            <w:hideMark/>
          </w:tcPr>
          <w:p w14:paraId="520BE4CA" w14:textId="3F63263C" w:rsidR="00442DE1" w:rsidRPr="00442DE1" w:rsidRDefault="00442DE1" w:rsidP="00442DE1">
            <w:pPr>
              <w:spacing w:after="0" w:line="240" w:lineRule="auto"/>
              <w:rPr>
                <w:sz w:val="20"/>
                <w:szCs w:val="20"/>
                <w:lang w:eastAsia="sk-SK"/>
              </w:rPr>
            </w:pPr>
            <w:r w:rsidRPr="00442DE1">
              <w:rPr>
                <w:sz w:val="20"/>
                <w:szCs w:val="20"/>
              </w:rPr>
              <w:t>Bulharsko</w:t>
            </w:r>
          </w:p>
        </w:tc>
        <w:tc>
          <w:tcPr>
            <w:tcW w:w="843" w:type="dxa"/>
            <w:tcBorders>
              <w:top w:val="nil"/>
              <w:left w:val="nil"/>
              <w:bottom w:val="nil"/>
              <w:right w:val="nil"/>
            </w:tcBorders>
            <w:shd w:val="clear" w:color="auto" w:fill="auto"/>
            <w:noWrap/>
            <w:vAlign w:val="center"/>
            <w:hideMark/>
          </w:tcPr>
          <w:p w14:paraId="2D54F852" w14:textId="7FB1C93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23,8</w:t>
            </w:r>
          </w:p>
        </w:tc>
        <w:tc>
          <w:tcPr>
            <w:tcW w:w="843" w:type="dxa"/>
            <w:tcBorders>
              <w:top w:val="nil"/>
              <w:left w:val="nil"/>
              <w:bottom w:val="nil"/>
              <w:right w:val="nil"/>
            </w:tcBorders>
            <w:shd w:val="clear" w:color="auto" w:fill="auto"/>
            <w:noWrap/>
            <w:vAlign w:val="center"/>
            <w:hideMark/>
          </w:tcPr>
          <w:p w14:paraId="2FC71A96" w14:textId="2B39681E"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22,5</w:t>
            </w:r>
          </w:p>
        </w:tc>
        <w:tc>
          <w:tcPr>
            <w:tcW w:w="864" w:type="dxa"/>
            <w:tcBorders>
              <w:top w:val="nil"/>
              <w:left w:val="nil"/>
              <w:bottom w:val="nil"/>
              <w:right w:val="nil"/>
            </w:tcBorders>
            <w:shd w:val="clear" w:color="auto" w:fill="auto"/>
            <w:noWrap/>
            <w:vAlign w:val="center"/>
            <w:hideMark/>
          </w:tcPr>
          <w:p w14:paraId="0453BA32" w14:textId="6C44312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22,9</w:t>
            </w:r>
          </w:p>
        </w:tc>
        <w:tc>
          <w:tcPr>
            <w:tcW w:w="799" w:type="dxa"/>
            <w:tcBorders>
              <w:top w:val="nil"/>
              <w:left w:val="nil"/>
              <w:bottom w:val="nil"/>
              <w:right w:val="single" w:sz="4" w:space="0" w:color="auto"/>
            </w:tcBorders>
            <w:shd w:val="clear" w:color="auto" w:fill="auto"/>
            <w:noWrap/>
            <w:vAlign w:val="center"/>
            <w:hideMark/>
          </w:tcPr>
          <w:p w14:paraId="1B1AD181" w14:textId="06D1835F"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FF0000"/>
                <w:sz w:val="20"/>
                <w:szCs w:val="20"/>
              </w:rPr>
              <w:t>0,4</w:t>
            </w:r>
          </w:p>
        </w:tc>
      </w:tr>
      <w:tr w:rsidR="00442DE1" w:rsidRPr="00ED61F5" w14:paraId="42B12E7C" w14:textId="77777777" w:rsidTr="002847E9">
        <w:trPr>
          <w:trHeight w:val="307"/>
        </w:trPr>
        <w:tc>
          <w:tcPr>
            <w:tcW w:w="1542" w:type="dxa"/>
            <w:tcBorders>
              <w:top w:val="nil"/>
              <w:left w:val="single" w:sz="4" w:space="0" w:color="auto"/>
              <w:bottom w:val="single" w:sz="4" w:space="0" w:color="auto"/>
              <w:right w:val="nil"/>
            </w:tcBorders>
            <w:shd w:val="clear" w:color="auto" w:fill="auto"/>
            <w:noWrap/>
            <w:vAlign w:val="center"/>
            <w:hideMark/>
          </w:tcPr>
          <w:p w14:paraId="3C86C26A" w14:textId="39280406" w:rsidR="00442DE1" w:rsidRPr="00442DE1" w:rsidRDefault="00442DE1" w:rsidP="00442DE1">
            <w:pPr>
              <w:spacing w:after="0" w:line="240" w:lineRule="auto"/>
              <w:rPr>
                <w:sz w:val="20"/>
                <w:szCs w:val="20"/>
                <w:lang w:eastAsia="sk-SK"/>
              </w:rPr>
            </w:pPr>
            <w:r w:rsidRPr="00442DE1">
              <w:rPr>
                <w:sz w:val="20"/>
                <w:szCs w:val="20"/>
              </w:rPr>
              <w:t>Dánsko</w:t>
            </w:r>
          </w:p>
        </w:tc>
        <w:tc>
          <w:tcPr>
            <w:tcW w:w="764" w:type="dxa"/>
            <w:tcBorders>
              <w:top w:val="nil"/>
              <w:left w:val="nil"/>
              <w:bottom w:val="single" w:sz="4" w:space="0" w:color="auto"/>
              <w:right w:val="nil"/>
            </w:tcBorders>
            <w:shd w:val="clear" w:color="auto" w:fill="auto"/>
            <w:noWrap/>
            <w:vAlign w:val="center"/>
            <w:hideMark/>
          </w:tcPr>
          <w:p w14:paraId="18DD2378" w14:textId="5D4AFF42"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4,1</w:t>
            </w:r>
          </w:p>
        </w:tc>
        <w:tc>
          <w:tcPr>
            <w:tcW w:w="826" w:type="dxa"/>
            <w:tcBorders>
              <w:top w:val="nil"/>
              <w:left w:val="nil"/>
              <w:bottom w:val="single" w:sz="4" w:space="0" w:color="auto"/>
              <w:right w:val="nil"/>
            </w:tcBorders>
            <w:shd w:val="clear" w:color="auto" w:fill="auto"/>
            <w:noWrap/>
            <w:vAlign w:val="center"/>
            <w:hideMark/>
          </w:tcPr>
          <w:p w14:paraId="76A66697" w14:textId="3592F635"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3,4</w:t>
            </w:r>
          </w:p>
        </w:tc>
        <w:tc>
          <w:tcPr>
            <w:tcW w:w="742" w:type="dxa"/>
            <w:tcBorders>
              <w:top w:val="nil"/>
              <w:left w:val="nil"/>
              <w:bottom w:val="single" w:sz="4" w:space="0" w:color="auto"/>
              <w:right w:val="nil"/>
            </w:tcBorders>
            <w:shd w:val="clear" w:color="auto" w:fill="auto"/>
            <w:noWrap/>
            <w:vAlign w:val="center"/>
            <w:hideMark/>
          </w:tcPr>
          <w:p w14:paraId="68BAB14E" w14:textId="1DA25EDB"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3,3</w:t>
            </w:r>
          </w:p>
        </w:tc>
        <w:tc>
          <w:tcPr>
            <w:tcW w:w="728" w:type="dxa"/>
            <w:tcBorders>
              <w:top w:val="nil"/>
              <w:left w:val="nil"/>
              <w:bottom w:val="single" w:sz="4" w:space="0" w:color="auto"/>
              <w:right w:val="single" w:sz="4" w:space="0" w:color="auto"/>
            </w:tcBorders>
            <w:shd w:val="clear" w:color="auto" w:fill="auto"/>
            <w:noWrap/>
            <w:vAlign w:val="center"/>
            <w:hideMark/>
          </w:tcPr>
          <w:p w14:paraId="5D30E051" w14:textId="0495CEA8" w:rsidR="00442DE1" w:rsidRPr="00442DE1" w:rsidRDefault="00442DE1" w:rsidP="00442DE1">
            <w:pPr>
              <w:spacing w:after="0" w:line="240" w:lineRule="auto"/>
              <w:ind w:firstLineChars="100" w:firstLine="200"/>
              <w:jc w:val="center"/>
              <w:rPr>
                <w:color w:val="00B050"/>
                <w:sz w:val="20"/>
                <w:szCs w:val="20"/>
                <w:lang w:eastAsia="sk-SK"/>
              </w:rPr>
            </w:pPr>
            <w:r w:rsidRPr="00442DE1">
              <w:rPr>
                <w:color w:val="FF0000"/>
                <w:sz w:val="20"/>
                <w:szCs w:val="20"/>
              </w:rPr>
              <w:t>-0,1</w:t>
            </w:r>
          </w:p>
        </w:tc>
        <w:tc>
          <w:tcPr>
            <w:tcW w:w="1453" w:type="dxa"/>
            <w:tcBorders>
              <w:top w:val="nil"/>
              <w:left w:val="nil"/>
              <w:bottom w:val="single" w:sz="4" w:space="0" w:color="auto"/>
              <w:right w:val="nil"/>
            </w:tcBorders>
            <w:shd w:val="clear" w:color="auto" w:fill="auto"/>
            <w:noWrap/>
            <w:vAlign w:val="center"/>
            <w:hideMark/>
          </w:tcPr>
          <w:p w14:paraId="371A5B3E" w14:textId="7DB4956D" w:rsidR="00442DE1" w:rsidRPr="00442DE1" w:rsidRDefault="00442DE1" w:rsidP="00442DE1">
            <w:pPr>
              <w:spacing w:after="0" w:line="240" w:lineRule="auto"/>
              <w:rPr>
                <w:sz w:val="20"/>
                <w:szCs w:val="20"/>
                <w:lang w:eastAsia="sk-SK"/>
              </w:rPr>
            </w:pPr>
            <w:r w:rsidRPr="00442DE1">
              <w:rPr>
                <w:sz w:val="20"/>
                <w:szCs w:val="20"/>
              </w:rPr>
              <w:t>Estónsko</w:t>
            </w:r>
          </w:p>
        </w:tc>
        <w:tc>
          <w:tcPr>
            <w:tcW w:w="843" w:type="dxa"/>
            <w:tcBorders>
              <w:top w:val="nil"/>
              <w:left w:val="nil"/>
              <w:bottom w:val="single" w:sz="4" w:space="0" w:color="auto"/>
              <w:right w:val="nil"/>
            </w:tcBorders>
            <w:shd w:val="clear" w:color="auto" w:fill="auto"/>
            <w:noWrap/>
            <w:vAlign w:val="center"/>
            <w:hideMark/>
          </w:tcPr>
          <w:p w14:paraId="092B2EDF" w14:textId="002174CE"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18,4</w:t>
            </w:r>
          </w:p>
        </w:tc>
        <w:tc>
          <w:tcPr>
            <w:tcW w:w="843" w:type="dxa"/>
            <w:tcBorders>
              <w:top w:val="nil"/>
              <w:left w:val="nil"/>
              <w:bottom w:val="single" w:sz="4" w:space="0" w:color="auto"/>
              <w:right w:val="nil"/>
            </w:tcBorders>
            <w:shd w:val="clear" w:color="auto" w:fill="auto"/>
            <w:noWrap/>
            <w:vAlign w:val="center"/>
            <w:hideMark/>
          </w:tcPr>
          <w:p w14:paraId="58B1D037" w14:textId="4B69C243"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19,1</w:t>
            </w:r>
          </w:p>
        </w:tc>
        <w:tc>
          <w:tcPr>
            <w:tcW w:w="864" w:type="dxa"/>
            <w:tcBorders>
              <w:top w:val="nil"/>
              <w:left w:val="nil"/>
              <w:bottom w:val="single" w:sz="4" w:space="0" w:color="auto"/>
              <w:right w:val="nil"/>
            </w:tcBorders>
            <w:shd w:val="clear" w:color="auto" w:fill="auto"/>
            <w:noWrap/>
            <w:vAlign w:val="center"/>
            <w:hideMark/>
          </w:tcPr>
          <w:p w14:paraId="388DB874" w14:textId="5E8E92C1" w:rsidR="00442DE1" w:rsidRPr="00442DE1" w:rsidRDefault="00442DE1" w:rsidP="00442DE1">
            <w:pPr>
              <w:spacing w:after="0" w:line="240" w:lineRule="auto"/>
              <w:ind w:firstLineChars="100" w:firstLine="200"/>
              <w:jc w:val="right"/>
              <w:rPr>
                <w:color w:val="000000"/>
                <w:sz w:val="20"/>
                <w:szCs w:val="20"/>
                <w:lang w:eastAsia="sk-SK"/>
              </w:rPr>
            </w:pPr>
            <w:r w:rsidRPr="00442DE1">
              <w:rPr>
                <w:color w:val="000000"/>
                <w:sz w:val="20"/>
                <w:szCs w:val="20"/>
              </w:rPr>
              <w:t>20,2</w:t>
            </w:r>
          </w:p>
        </w:tc>
        <w:tc>
          <w:tcPr>
            <w:tcW w:w="799" w:type="dxa"/>
            <w:tcBorders>
              <w:top w:val="nil"/>
              <w:left w:val="nil"/>
              <w:bottom w:val="single" w:sz="4" w:space="0" w:color="auto"/>
              <w:right w:val="single" w:sz="4" w:space="0" w:color="auto"/>
            </w:tcBorders>
            <w:shd w:val="clear" w:color="auto" w:fill="auto"/>
            <w:noWrap/>
            <w:vAlign w:val="center"/>
            <w:hideMark/>
          </w:tcPr>
          <w:p w14:paraId="2FEA1840" w14:textId="1DA0CF6C" w:rsidR="00442DE1" w:rsidRPr="00442DE1" w:rsidRDefault="00442DE1" w:rsidP="00442DE1">
            <w:pPr>
              <w:tabs>
                <w:tab w:val="decimal" w:pos="230"/>
              </w:tabs>
              <w:spacing w:after="0" w:line="240" w:lineRule="auto"/>
              <w:ind w:right="32" w:firstLineChars="100" w:firstLine="200"/>
              <w:jc w:val="right"/>
              <w:rPr>
                <w:color w:val="00B050"/>
                <w:sz w:val="20"/>
                <w:szCs w:val="20"/>
                <w:lang w:eastAsia="sk-SK"/>
              </w:rPr>
            </w:pPr>
            <w:r w:rsidRPr="00442DE1">
              <w:rPr>
                <w:color w:val="FF0000"/>
                <w:sz w:val="20"/>
                <w:szCs w:val="20"/>
              </w:rPr>
              <w:t>1,1</w:t>
            </w:r>
          </w:p>
        </w:tc>
      </w:tr>
    </w:tbl>
    <w:p w14:paraId="5F884205" w14:textId="24312CE4" w:rsidR="00B07378" w:rsidRPr="00442DE1" w:rsidRDefault="00B07378" w:rsidP="00B07378">
      <w:pPr>
        <w:spacing w:after="0" w:line="240" w:lineRule="auto"/>
        <w:jc w:val="right"/>
        <w:rPr>
          <w:sz w:val="18"/>
          <w:szCs w:val="18"/>
        </w:rPr>
      </w:pPr>
      <w:r w:rsidRPr="00442DE1">
        <w:rPr>
          <w:i/>
          <w:sz w:val="16"/>
          <w:szCs w:val="16"/>
        </w:rPr>
        <w:t>Zdroj: Eurostat</w:t>
      </w:r>
    </w:p>
    <w:p w14:paraId="0AA010E9" w14:textId="5126D3BC" w:rsidR="00442DE1" w:rsidRPr="0048253F" w:rsidRDefault="0048253F" w:rsidP="0048253F">
      <w:pPr>
        <w:rPr>
          <w:sz w:val="16"/>
          <w:szCs w:val="16"/>
        </w:rPr>
      </w:pPr>
      <w:bookmarkStart w:id="25" w:name="_1.6._Benchmarková_revízia"/>
      <w:bookmarkEnd w:id="25"/>
      <w:r w:rsidRPr="0048253F">
        <w:rPr>
          <w:sz w:val="16"/>
          <w:szCs w:val="16"/>
          <w:vertAlign w:val="superscript"/>
        </w:rPr>
        <w:t>*)</w:t>
      </w:r>
      <w:r w:rsidR="00442DE1" w:rsidRPr="0048253F">
        <w:rPr>
          <w:sz w:val="16"/>
          <w:szCs w:val="16"/>
        </w:rPr>
        <w:t>Predchádzajúce obdobia sú zrevidované podľa aktuálneho press release zo dňa 22.10.2024. Usporiadanie krají</w:t>
      </w:r>
      <w:r w:rsidR="00C765EA" w:rsidRPr="0048253F">
        <w:rPr>
          <w:sz w:val="16"/>
          <w:szCs w:val="16"/>
        </w:rPr>
        <w:t>n je podľa poradia salda/dlhu v </w:t>
      </w:r>
      <w:r w:rsidR="00442DE1" w:rsidRPr="0048253F">
        <w:rPr>
          <w:sz w:val="16"/>
          <w:szCs w:val="16"/>
        </w:rPr>
        <w:t>poslednom sledovanom období. Zelenou farbou je označené medziročné zlepšenie, červenou farbou medziročné zhoršenie salda/dlhu.</w:t>
      </w:r>
    </w:p>
    <w:p w14:paraId="20CF1943" w14:textId="5B4E3611" w:rsidR="002710A9" w:rsidRPr="008E7DE1" w:rsidRDefault="00ED61F5" w:rsidP="00AA46C8">
      <w:pPr>
        <w:pStyle w:val="Nadpis2"/>
        <w:numPr>
          <w:ilvl w:val="0"/>
          <w:numId w:val="0"/>
        </w:numPr>
        <w:ind w:left="896"/>
      </w:pPr>
      <w:bookmarkStart w:id="26" w:name="_Toc181095964"/>
      <w:r w:rsidRPr="008E7DE1">
        <w:t>1.6.</w:t>
      </w:r>
      <w:r w:rsidRPr="008E7DE1">
        <w:tab/>
        <w:t>B</w:t>
      </w:r>
      <w:r w:rsidR="002710A9" w:rsidRPr="008E7DE1">
        <w:t>enchmarková</w:t>
      </w:r>
      <w:r w:rsidRPr="008E7DE1">
        <w:t xml:space="preserve"> revízia</w:t>
      </w:r>
      <w:r w:rsidR="00AC0DF6" w:rsidRPr="008E7DE1">
        <w:t xml:space="preserve"> </w:t>
      </w:r>
      <w:r w:rsidR="00CF4733">
        <w:t xml:space="preserve">národných účtov </w:t>
      </w:r>
      <w:r w:rsidR="00AC0DF6" w:rsidRPr="008E7DE1">
        <w:t>v roku 2024</w:t>
      </w:r>
      <w:bookmarkEnd w:id="26"/>
    </w:p>
    <w:p w14:paraId="45C84F43" w14:textId="39890371" w:rsidR="003E3C6A" w:rsidRPr="003E3C6A" w:rsidRDefault="00AC0DF6" w:rsidP="001760DB">
      <w:pPr>
        <w:spacing w:after="120" w:line="240" w:lineRule="auto"/>
        <w:jc w:val="both"/>
        <w:rPr>
          <w:szCs w:val="22"/>
          <w:highlight w:val="yellow"/>
        </w:rPr>
      </w:pPr>
      <w:r w:rsidRPr="003E3C6A">
        <w:t>V rámci jesennej notifikácie uskutočnil Štatistický úrad SR pravidelnú bežnú spätn</w:t>
      </w:r>
      <w:r w:rsidR="00D418E2">
        <w:t>ú revíziu národných účtov za </w:t>
      </w:r>
      <w:r w:rsidRPr="003E3C6A">
        <w:t xml:space="preserve">roky </w:t>
      </w:r>
      <w:r w:rsidR="004C3D8B">
        <w:t xml:space="preserve">2020, </w:t>
      </w:r>
      <w:r w:rsidRPr="003E3C6A">
        <w:t>2021, 2022 a spresnil úd</w:t>
      </w:r>
      <w:r w:rsidR="003A62ED" w:rsidRPr="003E3C6A">
        <w:t>aje za</w:t>
      </w:r>
      <w:r w:rsidR="00D418E2">
        <w:t> </w:t>
      </w:r>
      <w:r w:rsidR="003A62ED" w:rsidRPr="003E3C6A">
        <w:t>rok 2023 z apríla 2024. O</w:t>
      </w:r>
      <w:r w:rsidRPr="003E3C6A">
        <w:t>krem te</w:t>
      </w:r>
      <w:r w:rsidR="003A62ED" w:rsidRPr="003E3C6A">
        <w:t>j</w:t>
      </w:r>
      <w:r w:rsidRPr="003E3C6A">
        <w:t xml:space="preserve">to rutinnej revízie, </w:t>
      </w:r>
      <w:r w:rsidR="003A62ED" w:rsidRPr="003E3C6A">
        <w:t>Š</w:t>
      </w:r>
      <w:r w:rsidRPr="003E3C6A">
        <w:t>tatistický úrad SR vykonal v mesiacoch júl až september tohto roka veľkú benchmarkovú revíziu údajov</w:t>
      </w:r>
      <w:r w:rsidR="001C4FC9" w:rsidRPr="00795047">
        <w:rPr>
          <w:rStyle w:val="Odkaznapoznmkupodiarou"/>
          <w:b/>
          <w:szCs w:val="22"/>
          <w:lang w:eastAsia="sk-SK"/>
        </w:rPr>
        <w:footnoteReference w:id="9"/>
      </w:r>
      <w:r w:rsidRPr="003E3C6A">
        <w:t xml:space="preserve"> v systéme národných účtov</w:t>
      </w:r>
      <w:r w:rsidR="003E0FBF">
        <w:rPr>
          <w:rStyle w:val="Odkaznapoznmkupodiarou"/>
        </w:rPr>
        <w:footnoteReference w:id="10"/>
      </w:r>
      <w:r w:rsidRPr="003E3C6A">
        <w:t>.</w:t>
      </w:r>
      <w:r w:rsidR="0085233A" w:rsidRPr="003E3C6A">
        <w:t xml:space="preserve"> </w:t>
      </w:r>
      <w:r w:rsidR="003E3C6A" w:rsidRPr="008E7DE1">
        <w:rPr>
          <w:szCs w:val="22"/>
          <w:u w:val="single"/>
        </w:rPr>
        <w:t>Benchmarková revízia je revízia definitívnych údajov z dôvodu významných metodických zmien vyplývajúcich z revidovania metodík, zo zmeny postupov štatisticko – matematických metód výpočtov alebo opráv údajov</w:t>
      </w:r>
      <w:r w:rsidR="003E3C6A" w:rsidRPr="008E7DE1">
        <w:rPr>
          <w:szCs w:val="22"/>
        </w:rPr>
        <w:t xml:space="preserve">. Ide o pravidelnú revíziu, ktorá sa vykonáva v periodicite 5 až 10 rokov </w:t>
      </w:r>
      <w:r w:rsidR="003E3C6A" w:rsidRPr="008E7DE1">
        <w:rPr>
          <w:szCs w:val="22"/>
        </w:rPr>
        <w:lastRenderedPageBreak/>
        <w:t>a v súlade s revíznou politikou Eurostatu</w:t>
      </w:r>
      <w:r w:rsidR="00CB2A98">
        <w:rPr>
          <w:rStyle w:val="Odkaznapoznmkupodiarou"/>
          <w:szCs w:val="22"/>
        </w:rPr>
        <w:footnoteReference w:id="11"/>
      </w:r>
      <w:r w:rsidR="003E3C6A" w:rsidRPr="008E7DE1">
        <w:rPr>
          <w:szCs w:val="22"/>
        </w:rPr>
        <w:t xml:space="preserve"> by sa mala vykonávať za referenčné roky končiace „0“ a „5“, s implementačnými rokmi končiacimi „4“ a „9“. Takáto revízia by mala generovať celé časové rady alebo podľa princípu „čo najďalej dozadu“. Preto v rámci veľkej revíz</w:t>
      </w:r>
      <w:r w:rsidR="008E7DE1" w:rsidRPr="008E7DE1">
        <w:rPr>
          <w:szCs w:val="22"/>
        </w:rPr>
        <w:t>ie 2024 boli</w:t>
      </w:r>
      <w:r w:rsidR="003E3C6A" w:rsidRPr="008E7DE1">
        <w:rPr>
          <w:szCs w:val="22"/>
        </w:rPr>
        <w:t xml:space="preserve"> revi</w:t>
      </w:r>
      <w:r w:rsidR="008E7DE1" w:rsidRPr="008E7DE1">
        <w:rPr>
          <w:szCs w:val="22"/>
        </w:rPr>
        <w:t>dované nie len roky 2020 až 2023</w:t>
      </w:r>
      <w:r w:rsidR="003E3C6A" w:rsidRPr="008E7DE1">
        <w:rPr>
          <w:szCs w:val="22"/>
        </w:rPr>
        <w:t xml:space="preserve">, ale aj staršie roky od </w:t>
      </w:r>
      <w:r w:rsidR="003E3C6A" w:rsidRPr="005C4D95">
        <w:rPr>
          <w:szCs w:val="22"/>
        </w:rPr>
        <w:t>roku 1995.</w:t>
      </w:r>
    </w:p>
    <w:p w14:paraId="309585B9" w14:textId="446B72B3" w:rsidR="003E3C6A" w:rsidRPr="008E7DE1" w:rsidRDefault="003E3C6A" w:rsidP="001760DB">
      <w:pPr>
        <w:spacing w:before="120" w:after="0" w:line="240" w:lineRule="auto"/>
        <w:jc w:val="both"/>
        <w:rPr>
          <w:szCs w:val="22"/>
        </w:rPr>
      </w:pPr>
      <w:r w:rsidRPr="008E7DE1">
        <w:rPr>
          <w:szCs w:val="22"/>
        </w:rPr>
        <w:t>Revidované ročné sektorové a národné účty boli do Eurostatu zaslané v pravidelnom septembrovom t</w:t>
      </w:r>
      <w:r w:rsidR="008E7DE1" w:rsidRPr="008E7DE1">
        <w:rPr>
          <w:szCs w:val="22"/>
        </w:rPr>
        <w:t>ermíne, a to k 30. septembru 2024</w:t>
      </w:r>
      <w:r w:rsidRPr="008E7DE1">
        <w:rPr>
          <w:szCs w:val="22"/>
        </w:rPr>
        <w:t>. Následne v krátkom časovom odstupe Štatistický úrad SR zreviduje aj štvrťročné národné a sektorové účty. Poslednou resp. predchádzajúcou veľkou revíziou</w:t>
      </w:r>
      <w:r w:rsidR="008E7DE1" w:rsidRPr="008E7DE1">
        <w:rPr>
          <w:szCs w:val="22"/>
        </w:rPr>
        <w:t xml:space="preserve"> prešli národné účty v roku 2019.</w:t>
      </w:r>
    </w:p>
    <w:p w14:paraId="3F20D578" w14:textId="540F2AD0" w:rsidR="003E3C6A" w:rsidRPr="00795047" w:rsidRDefault="003E3C6A" w:rsidP="001760DB">
      <w:pPr>
        <w:spacing w:before="120" w:after="0" w:line="240" w:lineRule="auto"/>
        <w:jc w:val="both"/>
        <w:rPr>
          <w:b/>
          <w:szCs w:val="22"/>
        </w:rPr>
      </w:pPr>
      <w:r w:rsidRPr="00795047">
        <w:rPr>
          <w:b/>
          <w:szCs w:val="22"/>
        </w:rPr>
        <w:t xml:space="preserve">Najvýznamnejšie zmeny v rámci benchmarkovej </w:t>
      </w:r>
      <w:r w:rsidRPr="00795047">
        <w:rPr>
          <w:b/>
          <w:szCs w:val="22"/>
          <w:lang w:eastAsia="sk-SK"/>
        </w:rPr>
        <w:t>revízie</w:t>
      </w:r>
      <w:r w:rsidRPr="00795047">
        <w:rPr>
          <w:b/>
          <w:szCs w:val="22"/>
        </w:rPr>
        <w:t>, ktoré ovplyvnili</w:t>
      </w:r>
      <w:r w:rsidR="001C4FC9">
        <w:rPr>
          <w:b/>
          <w:szCs w:val="22"/>
        </w:rPr>
        <w:t xml:space="preserve"> </w:t>
      </w:r>
      <w:r w:rsidRPr="00795047">
        <w:rPr>
          <w:b/>
          <w:szCs w:val="22"/>
        </w:rPr>
        <w:t>hodnoty salda verejnej správy</w:t>
      </w:r>
      <w:r w:rsidR="00B01DFB">
        <w:rPr>
          <w:b/>
          <w:szCs w:val="22"/>
        </w:rPr>
        <w:t>, s určením obdobia dotknutých údajov</w:t>
      </w:r>
      <w:r w:rsidRPr="00795047">
        <w:rPr>
          <w:b/>
          <w:szCs w:val="22"/>
        </w:rPr>
        <w:t>:</w:t>
      </w:r>
    </w:p>
    <w:p w14:paraId="69AA2040" w14:textId="0B92D851" w:rsidR="003E3C6A" w:rsidRPr="00795047" w:rsidRDefault="00795047" w:rsidP="001760DB">
      <w:pPr>
        <w:numPr>
          <w:ilvl w:val="0"/>
          <w:numId w:val="33"/>
        </w:numPr>
        <w:spacing w:before="120" w:after="0" w:line="240" w:lineRule="auto"/>
        <w:ind w:left="426" w:hanging="426"/>
        <w:jc w:val="both"/>
        <w:rPr>
          <w:szCs w:val="22"/>
          <w:lang w:eastAsia="sk-SK"/>
        </w:rPr>
      </w:pPr>
      <w:r w:rsidRPr="00795047">
        <w:rPr>
          <w:szCs w:val="22"/>
          <w:lang w:eastAsia="sk-SK"/>
        </w:rPr>
        <w:t xml:space="preserve">Revízia </w:t>
      </w:r>
      <w:r w:rsidR="00B01DFB">
        <w:rPr>
          <w:szCs w:val="22"/>
          <w:lang w:eastAsia="sk-SK"/>
        </w:rPr>
        <w:t xml:space="preserve">transakcií </w:t>
      </w:r>
      <w:r w:rsidRPr="00795047">
        <w:rPr>
          <w:szCs w:val="22"/>
          <w:lang w:eastAsia="sk-SK"/>
        </w:rPr>
        <w:t>E</w:t>
      </w:r>
      <w:r w:rsidR="00C223C5">
        <w:rPr>
          <w:szCs w:val="22"/>
          <w:lang w:eastAsia="sk-SK"/>
        </w:rPr>
        <w:t>xportno-importnej banky SR (Eximbanka SR)</w:t>
      </w:r>
      <w:r w:rsidRPr="00795047">
        <w:rPr>
          <w:szCs w:val="22"/>
          <w:lang w:eastAsia="sk-SK"/>
        </w:rPr>
        <w:t xml:space="preserve"> v rokoch 2014</w:t>
      </w:r>
      <w:r w:rsidR="005B5B0A">
        <w:rPr>
          <w:szCs w:val="22"/>
          <w:lang w:eastAsia="sk-SK"/>
        </w:rPr>
        <w:t> </w:t>
      </w:r>
      <w:r w:rsidRPr="00795047">
        <w:rPr>
          <w:szCs w:val="22"/>
          <w:lang w:eastAsia="sk-SK"/>
        </w:rPr>
        <w:t>-</w:t>
      </w:r>
      <w:r w:rsidR="005B5B0A">
        <w:rPr>
          <w:szCs w:val="22"/>
          <w:lang w:eastAsia="sk-SK"/>
        </w:rPr>
        <w:t> </w:t>
      </w:r>
      <w:r w:rsidRPr="00795047">
        <w:rPr>
          <w:szCs w:val="22"/>
          <w:lang w:eastAsia="sk-SK"/>
        </w:rPr>
        <w:t xml:space="preserve">2016 v dôsledku prepracovania </w:t>
      </w:r>
      <w:r w:rsidR="00B01DFB">
        <w:rPr>
          <w:szCs w:val="22"/>
          <w:lang w:eastAsia="sk-SK"/>
        </w:rPr>
        <w:t>operácií</w:t>
      </w:r>
      <w:r w:rsidRPr="00795047">
        <w:rPr>
          <w:szCs w:val="22"/>
          <w:lang w:eastAsia="sk-SK"/>
        </w:rPr>
        <w:t xml:space="preserve"> súvisiacich s</w:t>
      </w:r>
      <w:r w:rsidR="00C860A6">
        <w:rPr>
          <w:szCs w:val="22"/>
          <w:lang w:eastAsia="sk-SK"/>
        </w:rPr>
        <w:t> </w:t>
      </w:r>
      <w:r w:rsidRPr="00795047">
        <w:rPr>
          <w:szCs w:val="22"/>
          <w:lang w:eastAsia="sk-SK"/>
        </w:rPr>
        <w:t>poistením. Deficit v rokoch 2014</w:t>
      </w:r>
      <w:r w:rsidR="005B5B0A">
        <w:rPr>
          <w:szCs w:val="22"/>
          <w:lang w:eastAsia="sk-SK"/>
        </w:rPr>
        <w:t> </w:t>
      </w:r>
      <w:r w:rsidRPr="00795047">
        <w:rPr>
          <w:szCs w:val="22"/>
          <w:lang w:eastAsia="sk-SK"/>
        </w:rPr>
        <w:t>-</w:t>
      </w:r>
      <w:r w:rsidR="005B5B0A">
        <w:rPr>
          <w:szCs w:val="22"/>
          <w:lang w:eastAsia="sk-SK"/>
        </w:rPr>
        <w:t> </w:t>
      </w:r>
      <w:r w:rsidRPr="00795047">
        <w:rPr>
          <w:szCs w:val="22"/>
          <w:lang w:eastAsia="sk-SK"/>
        </w:rPr>
        <w:t xml:space="preserve">2016 </w:t>
      </w:r>
      <w:r w:rsidR="001979AA">
        <w:rPr>
          <w:szCs w:val="22"/>
          <w:lang w:eastAsia="sk-SK"/>
        </w:rPr>
        <w:t>ne</w:t>
      </w:r>
      <w:r w:rsidRPr="00795047">
        <w:rPr>
          <w:szCs w:val="22"/>
          <w:lang w:eastAsia="sk-SK"/>
        </w:rPr>
        <w:t>odrážal zmeny v</w:t>
      </w:r>
      <w:r w:rsidR="00053376">
        <w:rPr>
          <w:szCs w:val="22"/>
          <w:lang w:eastAsia="sk-SK"/>
        </w:rPr>
        <w:t> </w:t>
      </w:r>
      <w:r w:rsidRPr="00795047">
        <w:rPr>
          <w:szCs w:val="22"/>
          <w:lang w:eastAsia="sk-SK"/>
        </w:rPr>
        <w:t>poistno-technických rezervách a</w:t>
      </w:r>
      <w:r w:rsidR="00C860A6">
        <w:rPr>
          <w:szCs w:val="22"/>
          <w:lang w:eastAsia="sk-SK"/>
        </w:rPr>
        <w:t> </w:t>
      </w:r>
      <w:r w:rsidRPr="00795047">
        <w:rPr>
          <w:szCs w:val="22"/>
          <w:lang w:eastAsia="sk-SK"/>
        </w:rPr>
        <w:t>bol revidovaný a zosúladený s rokmi 2017</w:t>
      </w:r>
      <w:r w:rsidR="005B5B0A">
        <w:rPr>
          <w:szCs w:val="22"/>
          <w:lang w:eastAsia="sk-SK"/>
        </w:rPr>
        <w:t> </w:t>
      </w:r>
      <w:r w:rsidRPr="00795047">
        <w:rPr>
          <w:szCs w:val="22"/>
          <w:lang w:eastAsia="sk-SK"/>
        </w:rPr>
        <w:t>-</w:t>
      </w:r>
      <w:r w:rsidR="005B5B0A">
        <w:rPr>
          <w:szCs w:val="22"/>
          <w:lang w:eastAsia="sk-SK"/>
        </w:rPr>
        <w:t> </w:t>
      </w:r>
      <w:r w:rsidRPr="00795047">
        <w:rPr>
          <w:szCs w:val="22"/>
          <w:lang w:eastAsia="sk-SK"/>
        </w:rPr>
        <w:t>2023.</w:t>
      </w:r>
    </w:p>
    <w:p w14:paraId="3D0FCD64" w14:textId="69921C23" w:rsidR="003E3C6A" w:rsidRPr="005B5B0A" w:rsidRDefault="005B5B0A" w:rsidP="001760DB">
      <w:pPr>
        <w:numPr>
          <w:ilvl w:val="0"/>
          <w:numId w:val="33"/>
        </w:numPr>
        <w:spacing w:before="120" w:after="0" w:line="240" w:lineRule="auto"/>
        <w:ind w:left="426" w:hanging="426"/>
        <w:jc w:val="both"/>
        <w:rPr>
          <w:szCs w:val="22"/>
          <w:lang w:eastAsia="sk-SK"/>
        </w:rPr>
      </w:pPr>
      <w:r w:rsidRPr="005B5B0A">
        <w:rPr>
          <w:szCs w:val="22"/>
          <w:lang w:eastAsia="sk-SK"/>
        </w:rPr>
        <w:t>Revízia zaradenia MAS do sektora verejnej správy. Revidovali sa údaje v rokoch 2018 a 2019.</w:t>
      </w:r>
    </w:p>
    <w:p w14:paraId="224747C0" w14:textId="68D94567" w:rsidR="003E3C6A" w:rsidRPr="005B5B0A" w:rsidRDefault="005B5B0A" w:rsidP="001760DB">
      <w:pPr>
        <w:numPr>
          <w:ilvl w:val="0"/>
          <w:numId w:val="33"/>
        </w:numPr>
        <w:spacing w:before="120" w:after="0" w:line="240" w:lineRule="auto"/>
        <w:ind w:left="426" w:hanging="426"/>
        <w:jc w:val="both"/>
        <w:rPr>
          <w:szCs w:val="22"/>
          <w:lang w:eastAsia="sk-SK"/>
        </w:rPr>
      </w:pPr>
      <w:r w:rsidRPr="005B5B0A">
        <w:rPr>
          <w:szCs w:val="22"/>
          <w:lang w:eastAsia="sk-SK"/>
        </w:rPr>
        <w:t>Preklasifikovanie Slovenského vodohospodárskeho podniku</w:t>
      </w:r>
      <w:r>
        <w:rPr>
          <w:szCs w:val="22"/>
          <w:lang w:eastAsia="sk-SK"/>
        </w:rPr>
        <w:t>, š. p.</w:t>
      </w:r>
      <w:r w:rsidRPr="005B5B0A">
        <w:rPr>
          <w:szCs w:val="22"/>
          <w:lang w:eastAsia="sk-SK"/>
        </w:rPr>
        <w:t xml:space="preserve"> (SVP) do sektora verejnej správy v</w:t>
      </w:r>
      <w:r w:rsidR="0017089D">
        <w:rPr>
          <w:szCs w:val="22"/>
          <w:lang w:eastAsia="sk-SK"/>
        </w:rPr>
        <w:t> </w:t>
      </w:r>
      <w:r w:rsidRPr="005B5B0A">
        <w:rPr>
          <w:szCs w:val="22"/>
          <w:lang w:eastAsia="sk-SK"/>
        </w:rPr>
        <w:t>rokoch 20</w:t>
      </w:r>
      <w:r w:rsidR="001979AA">
        <w:rPr>
          <w:szCs w:val="22"/>
          <w:lang w:eastAsia="sk-SK"/>
        </w:rPr>
        <w:t xml:space="preserve">18-2023, malo vplyv aj na zmenu </w:t>
      </w:r>
      <w:r w:rsidRPr="005B5B0A">
        <w:rPr>
          <w:szCs w:val="22"/>
          <w:lang w:eastAsia="sk-SK"/>
        </w:rPr>
        <w:t>klasifikácie</w:t>
      </w:r>
      <w:r w:rsidR="001979AA">
        <w:rPr>
          <w:szCs w:val="22"/>
          <w:lang w:eastAsia="sk-SK"/>
        </w:rPr>
        <w:t xml:space="preserve"> </w:t>
      </w:r>
      <w:r w:rsidRPr="005B5B0A">
        <w:rPr>
          <w:szCs w:val="22"/>
          <w:lang w:eastAsia="sk-SK"/>
        </w:rPr>
        <w:t>v rokoch 1998-2017</w:t>
      </w:r>
      <w:r w:rsidR="0033374E">
        <w:rPr>
          <w:szCs w:val="22"/>
          <w:lang w:eastAsia="sk-SK"/>
        </w:rPr>
        <w:t>, teda od</w:t>
      </w:r>
      <w:r w:rsidR="00C860A6">
        <w:rPr>
          <w:szCs w:val="22"/>
          <w:lang w:eastAsia="sk-SK"/>
        </w:rPr>
        <w:t> </w:t>
      </w:r>
      <w:r w:rsidR="0033374E">
        <w:rPr>
          <w:szCs w:val="22"/>
          <w:lang w:eastAsia="sk-SK"/>
        </w:rPr>
        <w:t>vzniku podniku</w:t>
      </w:r>
      <w:r w:rsidR="003E3C6A" w:rsidRPr="005B5B0A">
        <w:rPr>
          <w:szCs w:val="22"/>
          <w:lang w:eastAsia="sk-SK"/>
        </w:rPr>
        <w:t>.</w:t>
      </w:r>
    </w:p>
    <w:p w14:paraId="45514360" w14:textId="7A2AEF13" w:rsidR="00A54C86" w:rsidRPr="001D1F4E" w:rsidRDefault="003E3C6A" w:rsidP="001760DB">
      <w:pPr>
        <w:spacing w:before="120" w:after="0" w:line="240" w:lineRule="auto"/>
        <w:jc w:val="both"/>
        <w:rPr>
          <w:szCs w:val="22"/>
        </w:rPr>
      </w:pPr>
      <w:r w:rsidRPr="001D1F4E">
        <w:rPr>
          <w:b/>
          <w:szCs w:val="22"/>
        </w:rPr>
        <w:t>N</w:t>
      </w:r>
      <w:r w:rsidR="00A54C86" w:rsidRPr="001D1F4E">
        <w:rPr>
          <w:b/>
          <w:szCs w:val="22"/>
        </w:rPr>
        <w:t xml:space="preserve">ajvýznamnejšie </w:t>
      </w:r>
      <w:r w:rsidR="00A54C86" w:rsidRPr="001C4FC9">
        <w:rPr>
          <w:b/>
          <w:szCs w:val="22"/>
        </w:rPr>
        <w:t>zmeny</w:t>
      </w:r>
      <w:r w:rsidRPr="001C4FC9">
        <w:rPr>
          <w:b/>
          <w:szCs w:val="22"/>
        </w:rPr>
        <w:t xml:space="preserve"> v rámci benchmarkovej revízie, ktor</w:t>
      </w:r>
      <w:r w:rsidR="00A54C86" w:rsidRPr="001C4FC9">
        <w:rPr>
          <w:b/>
          <w:szCs w:val="22"/>
        </w:rPr>
        <w:t>é</w:t>
      </w:r>
      <w:r w:rsidRPr="001D1F4E">
        <w:rPr>
          <w:b/>
          <w:szCs w:val="22"/>
        </w:rPr>
        <w:t xml:space="preserve"> ovplyvnil</w:t>
      </w:r>
      <w:r w:rsidR="00A54C86" w:rsidRPr="001D1F4E">
        <w:rPr>
          <w:b/>
          <w:szCs w:val="22"/>
        </w:rPr>
        <w:t>i</w:t>
      </w:r>
      <w:r w:rsidRPr="001D1F4E">
        <w:rPr>
          <w:b/>
          <w:szCs w:val="22"/>
        </w:rPr>
        <w:t xml:space="preserve"> výšku </w:t>
      </w:r>
      <w:r w:rsidRPr="001C4FC9">
        <w:rPr>
          <w:b/>
          <w:szCs w:val="22"/>
        </w:rPr>
        <w:t>dlhu verejnej správy</w:t>
      </w:r>
      <w:r w:rsidRPr="001D1F4E">
        <w:rPr>
          <w:szCs w:val="22"/>
        </w:rPr>
        <w:t xml:space="preserve"> </w:t>
      </w:r>
      <w:r w:rsidR="001C4FC9">
        <w:rPr>
          <w:b/>
          <w:szCs w:val="22"/>
        </w:rPr>
        <w:t>s určením obdobia dotknutých údajov</w:t>
      </w:r>
      <w:r w:rsidR="00A54C86" w:rsidRPr="001D1F4E">
        <w:rPr>
          <w:szCs w:val="22"/>
        </w:rPr>
        <w:t>:</w:t>
      </w:r>
    </w:p>
    <w:p w14:paraId="4087F146" w14:textId="3ECADE74" w:rsidR="00A54C86" w:rsidRPr="001D1F4E" w:rsidRDefault="00A54C86" w:rsidP="001760DB">
      <w:pPr>
        <w:numPr>
          <w:ilvl w:val="0"/>
          <w:numId w:val="33"/>
        </w:numPr>
        <w:spacing w:before="120" w:after="0" w:line="240" w:lineRule="auto"/>
        <w:ind w:left="425" w:hanging="425"/>
        <w:jc w:val="both"/>
        <w:rPr>
          <w:szCs w:val="22"/>
          <w:lang w:eastAsia="sk-SK"/>
        </w:rPr>
      </w:pPr>
      <w:r w:rsidRPr="001D1F4E">
        <w:rPr>
          <w:szCs w:val="22"/>
          <w:lang w:eastAsia="sk-SK"/>
        </w:rPr>
        <w:t xml:space="preserve">Preklasifikovanie </w:t>
      </w:r>
      <w:r w:rsidR="00902EE6">
        <w:rPr>
          <w:szCs w:val="22"/>
          <w:lang w:eastAsia="sk-SK"/>
        </w:rPr>
        <w:t>SVP</w:t>
      </w:r>
      <w:r w:rsidRPr="001D1F4E">
        <w:rPr>
          <w:szCs w:val="22"/>
          <w:lang w:eastAsia="sk-SK"/>
        </w:rPr>
        <w:t xml:space="preserve"> do sektora verejnej správy v</w:t>
      </w:r>
      <w:r w:rsidR="0017089D">
        <w:rPr>
          <w:szCs w:val="22"/>
          <w:lang w:eastAsia="sk-SK"/>
        </w:rPr>
        <w:t> </w:t>
      </w:r>
      <w:r w:rsidRPr="001D1F4E">
        <w:rPr>
          <w:szCs w:val="22"/>
          <w:lang w:eastAsia="sk-SK"/>
        </w:rPr>
        <w:t>rokoch 2018-2023, malo vplyv aj na zmenu klasifikácie v rokoch 1998-2017</w:t>
      </w:r>
      <w:r w:rsidR="00296643">
        <w:rPr>
          <w:szCs w:val="22"/>
          <w:lang w:eastAsia="sk-SK"/>
        </w:rPr>
        <w:t>, teda od</w:t>
      </w:r>
      <w:r w:rsidR="00C860A6">
        <w:rPr>
          <w:szCs w:val="22"/>
          <w:lang w:eastAsia="sk-SK"/>
        </w:rPr>
        <w:t> </w:t>
      </w:r>
      <w:r w:rsidR="00296643">
        <w:rPr>
          <w:szCs w:val="22"/>
          <w:lang w:eastAsia="sk-SK"/>
        </w:rPr>
        <w:t>vzniku podniku</w:t>
      </w:r>
      <w:r w:rsidRPr="001D1F4E">
        <w:rPr>
          <w:szCs w:val="22"/>
          <w:lang w:eastAsia="sk-SK"/>
        </w:rPr>
        <w:t>.</w:t>
      </w:r>
    </w:p>
    <w:p w14:paraId="59709FA4" w14:textId="0A17FCC3" w:rsidR="00A54C86" w:rsidRPr="001D1F4E" w:rsidRDefault="00A54C86" w:rsidP="001760DB">
      <w:pPr>
        <w:numPr>
          <w:ilvl w:val="0"/>
          <w:numId w:val="33"/>
        </w:numPr>
        <w:spacing w:before="120" w:after="0" w:line="240" w:lineRule="auto"/>
        <w:ind w:left="426" w:hanging="426"/>
        <w:jc w:val="both"/>
        <w:rPr>
          <w:szCs w:val="22"/>
          <w:lang w:eastAsia="sk-SK"/>
        </w:rPr>
      </w:pPr>
      <w:r w:rsidRPr="001D1F4E">
        <w:rPr>
          <w:szCs w:val="22"/>
          <w:lang w:eastAsia="sk-SK"/>
        </w:rPr>
        <w:t>Revízia zaradenia MAS do sektora verejnej správy. Revidovali sa údaje v rokoch 2018 a</w:t>
      </w:r>
      <w:r w:rsidR="00296643">
        <w:rPr>
          <w:szCs w:val="22"/>
          <w:lang w:eastAsia="sk-SK"/>
        </w:rPr>
        <w:t> </w:t>
      </w:r>
      <w:r w:rsidRPr="001D1F4E">
        <w:rPr>
          <w:szCs w:val="22"/>
          <w:lang w:eastAsia="sk-SK"/>
        </w:rPr>
        <w:t>2019.</w:t>
      </w:r>
    </w:p>
    <w:p w14:paraId="0B298E8B" w14:textId="7B820F37" w:rsidR="00A54C86" w:rsidRPr="001D1F4E" w:rsidRDefault="00A54C86" w:rsidP="001760DB">
      <w:pPr>
        <w:numPr>
          <w:ilvl w:val="0"/>
          <w:numId w:val="33"/>
        </w:numPr>
        <w:spacing w:before="120" w:after="0" w:line="240" w:lineRule="auto"/>
        <w:ind w:left="426" w:hanging="426"/>
        <w:jc w:val="both"/>
        <w:rPr>
          <w:szCs w:val="22"/>
          <w:lang w:eastAsia="sk-SK"/>
        </w:rPr>
      </w:pPr>
      <w:r w:rsidRPr="001D1F4E">
        <w:rPr>
          <w:szCs w:val="22"/>
          <w:lang w:eastAsia="sk-SK"/>
        </w:rPr>
        <w:t xml:space="preserve">Vzhľadom na </w:t>
      </w:r>
      <w:r w:rsidR="00296643">
        <w:rPr>
          <w:szCs w:val="22"/>
          <w:lang w:eastAsia="sk-SK"/>
        </w:rPr>
        <w:t>významný</w:t>
      </w:r>
      <w:r w:rsidR="00296643" w:rsidRPr="001D1F4E">
        <w:rPr>
          <w:szCs w:val="22"/>
          <w:lang w:eastAsia="sk-SK"/>
        </w:rPr>
        <w:t xml:space="preserve"> </w:t>
      </w:r>
      <w:r w:rsidRPr="001D1F4E">
        <w:rPr>
          <w:szCs w:val="22"/>
          <w:lang w:eastAsia="sk-SK"/>
        </w:rPr>
        <w:t xml:space="preserve">nesúlad medzi akruálnymi úrokmi a úrokmi uhrádzanými </w:t>
      </w:r>
      <w:r w:rsidRPr="00CF7FCC">
        <w:t>zo</w:t>
      </w:r>
      <w:r w:rsidR="00CF7FCC">
        <w:t> </w:t>
      </w:r>
      <w:r w:rsidRPr="00CF7FCC">
        <w:t>strany</w:t>
      </w:r>
      <w:r w:rsidRPr="001D1F4E">
        <w:rPr>
          <w:szCs w:val="22"/>
          <w:lang w:eastAsia="sk-SK"/>
        </w:rPr>
        <w:t xml:space="preserve"> </w:t>
      </w:r>
      <w:r w:rsidR="009142E3">
        <w:rPr>
          <w:szCs w:val="22"/>
          <w:lang w:eastAsia="sk-SK"/>
        </w:rPr>
        <w:t>dlžníckych</w:t>
      </w:r>
      <w:r w:rsidRPr="001D1F4E">
        <w:rPr>
          <w:szCs w:val="22"/>
          <w:lang w:eastAsia="sk-SK"/>
        </w:rPr>
        <w:t xml:space="preserve"> krajín</w:t>
      </w:r>
      <w:r w:rsidR="00CB2A98">
        <w:rPr>
          <w:szCs w:val="22"/>
          <w:lang w:eastAsia="sk-SK"/>
        </w:rPr>
        <w:t xml:space="preserve"> z</w:t>
      </w:r>
      <w:r w:rsidRPr="001D1F4E">
        <w:rPr>
          <w:szCs w:val="22"/>
          <w:lang w:eastAsia="sk-SK"/>
        </w:rPr>
        <w:t xml:space="preserve"> </w:t>
      </w:r>
      <w:r w:rsidR="00CB2A98">
        <w:rPr>
          <w:szCs w:val="22"/>
          <w:lang w:eastAsia="sk-SK"/>
        </w:rPr>
        <w:t xml:space="preserve">pôžičiek z EFSF </w:t>
      </w:r>
      <w:r w:rsidRPr="001D1F4E">
        <w:rPr>
          <w:szCs w:val="22"/>
          <w:lang w:eastAsia="sk-SK"/>
        </w:rPr>
        <w:t>bolo prijaté rozhodnutie o zmene metodiky v</w:t>
      </w:r>
      <w:r w:rsidR="0017089D">
        <w:rPr>
          <w:szCs w:val="22"/>
          <w:lang w:eastAsia="sk-SK"/>
        </w:rPr>
        <w:t>ykazovania dlhu vyplývajúceho z </w:t>
      </w:r>
      <w:r w:rsidRPr="001D1F4E">
        <w:rPr>
          <w:szCs w:val="22"/>
          <w:lang w:eastAsia="sk-SK"/>
        </w:rPr>
        <w:t>EFSF. Na základe usmernenia Eur</w:t>
      </w:r>
      <w:r w:rsidR="00C860A6">
        <w:rPr>
          <w:szCs w:val="22"/>
          <w:lang w:eastAsia="sk-SK"/>
        </w:rPr>
        <w:t>ostatu bol dlh z EFSF zvýšený o </w:t>
      </w:r>
      <w:r w:rsidRPr="001D1F4E">
        <w:rPr>
          <w:szCs w:val="22"/>
          <w:lang w:eastAsia="sk-SK"/>
        </w:rPr>
        <w:t>sumu odložených kapitalizovaných úrokov z pôžičiek počnúc rokom 2012.</w:t>
      </w:r>
    </w:p>
    <w:p w14:paraId="0F73EBAE" w14:textId="77777777" w:rsidR="002D19D1" w:rsidRDefault="002D19D1" w:rsidP="002D19D1">
      <w:pPr>
        <w:pStyle w:val="Popis"/>
        <w:framePr w:wrap="around" w:y="754"/>
      </w:pPr>
      <w:r>
        <w:t xml:space="preserve">Tabuľka </w:t>
      </w:r>
      <w:r w:rsidR="001F05DE">
        <w:fldChar w:fldCharType="begin"/>
      </w:r>
      <w:r w:rsidR="001F05DE">
        <w:instrText xml:space="preserve"> SEQ Tabuľka \* ARABIC </w:instrText>
      </w:r>
      <w:r w:rsidR="001F05DE">
        <w:fldChar w:fldCharType="separate"/>
      </w:r>
      <w:r>
        <w:rPr>
          <w:noProof/>
        </w:rPr>
        <w:t>9</w:t>
      </w:r>
      <w:r w:rsidR="001F05DE">
        <w:rPr>
          <w:noProof/>
        </w:rPr>
        <w:fldChar w:fldCharType="end"/>
      </w:r>
      <w:r>
        <w:t xml:space="preserve"> - </w:t>
      </w:r>
      <w:r w:rsidRPr="001834F1">
        <w:t>Porovnanie údajov salda a dlhu verejnej správy, HDP a rastu ekonomiky pre</w:t>
      </w:r>
      <w:r>
        <w:t>d a po benchmarkovej revízii</w:t>
      </w:r>
    </w:p>
    <w:p w14:paraId="4012F446" w14:textId="0E21FE51" w:rsidR="00E9770D" w:rsidRDefault="003E3C6A" w:rsidP="001760DB">
      <w:pPr>
        <w:spacing w:before="120" w:after="0" w:line="240" w:lineRule="auto"/>
        <w:jc w:val="both"/>
        <w:rPr>
          <w:szCs w:val="22"/>
        </w:rPr>
      </w:pPr>
      <w:r w:rsidRPr="00D97F77">
        <w:rPr>
          <w:b/>
          <w:szCs w:val="22"/>
        </w:rPr>
        <w:t>Benchmarková revízia sa týkala aj revízie časového radu HDP</w:t>
      </w:r>
      <w:r w:rsidR="00C860A6">
        <w:rPr>
          <w:szCs w:val="22"/>
        </w:rPr>
        <w:t xml:space="preserve">, pričom vplyv revízie </w:t>
      </w:r>
      <w:r w:rsidRPr="00D97F77">
        <w:rPr>
          <w:szCs w:val="22"/>
        </w:rPr>
        <w:t xml:space="preserve">HDP </w:t>
      </w:r>
      <w:r w:rsidR="00AE6E7E">
        <w:rPr>
          <w:szCs w:val="22"/>
        </w:rPr>
        <w:t>ukazuje tabuľka nižšie:</w:t>
      </w:r>
    </w:p>
    <w:tbl>
      <w:tblPr>
        <w:tblW w:w="5000" w:type="pct"/>
        <w:tblCellMar>
          <w:left w:w="70" w:type="dxa"/>
          <w:right w:w="70" w:type="dxa"/>
        </w:tblCellMar>
        <w:tblLook w:val="04A0" w:firstRow="1" w:lastRow="0" w:firstColumn="1" w:lastColumn="0" w:noHBand="0" w:noVBand="1"/>
      </w:tblPr>
      <w:tblGrid>
        <w:gridCol w:w="2657"/>
        <w:gridCol w:w="863"/>
        <w:gridCol w:w="540"/>
        <w:gridCol w:w="541"/>
        <w:gridCol w:w="541"/>
        <w:gridCol w:w="548"/>
        <w:gridCol w:w="610"/>
        <w:gridCol w:w="612"/>
        <w:gridCol w:w="612"/>
        <w:gridCol w:w="612"/>
        <w:gridCol w:w="612"/>
        <w:gridCol w:w="606"/>
      </w:tblGrid>
      <w:tr w:rsidR="009C7579" w:rsidRPr="00365956" w14:paraId="4BBDC675" w14:textId="77777777" w:rsidTr="00B972E6">
        <w:trPr>
          <w:trHeight w:val="288"/>
          <w:tblHeader/>
        </w:trPr>
        <w:tc>
          <w:tcPr>
            <w:tcW w:w="1421" w:type="pct"/>
            <w:tcBorders>
              <w:top w:val="single" w:sz="4" w:space="0" w:color="auto"/>
              <w:left w:val="nil"/>
              <w:bottom w:val="single" w:sz="4" w:space="0" w:color="auto"/>
              <w:right w:val="nil"/>
            </w:tcBorders>
            <w:shd w:val="clear" w:color="auto" w:fill="auto"/>
            <w:noWrap/>
            <w:vAlign w:val="bottom"/>
            <w:hideMark/>
          </w:tcPr>
          <w:p w14:paraId="7AE5FB5B" w14:textId="77777777" w:rsidR="009C7579" w:rsidRPr="00365956" w:rsidRDefault="009C7579" w:rsidP="009C7579">
            <w:pPr>
              <w:spacing w:after="0" w:line="240" w:lineRule="auto"/>
              <w:rPr>
                <w:b/>
                <w:bCs/>
                <w:color w:val="000000"/>
                <w:sz w:val="20"/>
                <w:szCs w:val="20"/>
                <w:lang w:eastAsia="sk-SK"/>
              </w:rPr>
            </w:pPr>
            <w:r w:rsidRPr="00365956">
              <w:rPr>
                <w:b/>
                <w:bCs/>
                <w:color w:val="000000"/>
                <w:sz w:val="20"/>
                <w:szCs w:val="20"/>
                <w:lang w:eastAsia="sk-SK"/>
              </w:rPr>
              <w:t>Ukazovateľ</w:t>
            </w:r>
          </w:p>
        </w:tc>
        <w:tc>
          <w:tcPr>
            <w:tcW w:w="461" w:type="pct"/>
            <w:tcBorders>
              <w:top w:val="single" w:sz="4" w:space="0" w:color="auto"/>
              <w:left w:val="nil"/>
              <w:bottom w:val="single" w:sz="4" w:space="0" w:color="auto"/>
              <w:right w:val="nil"/>
            </w:tcBorders>
            <w:shd w:val="clear" w:color="auto" w:fill="auto"/>
            <w:noWrap/>
            <w:vAlign w:val="bottom"/>
            <w:hideMark/>
          </w:tcPr>
          <w:p w14:paraId="63E8BEDA" w14:textId="77777777" w:rsidR="009C7579" w:rsidRPr="00365956" w:rsidRDefault="009C7579" w:rsidP="009C7579">
            <w:pPr>
              <w:spacing w:after="0" w:line="240" w:lineRule="auto"/>
              <w:rPr>
                <w:b/>
                <w:bCs/>
                <w:color w:val="000000"/>
                <w:sz w:val="20"/>
                <w:szCs w:val="20"/>
                <w:lang w:eastAsia="sk-SK"/>
              </w:rPr>
            </w:pPr>
            <w:r w:rsidRPr="00365956">
              <w:rPr>
                <w:b/>
                <w:bCs/>
                <w:color w:val="000000"/>
                <w:sz w:val="20"/>
                <w:szCs w:val="20"/>
                <w:lang w:eastAsia="sk-SK"/>
              </w:rPr>
              <w:t> </w:t>
            </w:r>
          </w:p>
        </w:tc>
        <w:tc>
          <w:tcPr>
            <w:tcW w:w="289" w:type="pct"/>
            <w:tcBorders>
              <w:top w:val="single" w:sz="4" w:space="0" w:color="auto"/>
              <w:left w:val="nil"/>
              <w:bottom w:val="single" w:sz="4" w:space="0" w:color="auto"/>
              <w:right w:val="nil"/>
            </w:tcBorders>
            <w:shd w:val="clear" w:color="auto" w:fill="auto"/>
            <w:vAlign w:val="bottom"/>
            <w:hideMark/>
          </w:tcPr>
          <w:p w14:paraId="72EEA781" w14:textId="77777777" w:rsidR="009C7579" w:rsidRPr="00365956" w:rsidRDefault="009C7579" w:rsidP="009C7579">
            <w:pPr>
              <w:spacing w:after="0" w:line="240" w:lineRule="auto"/>
              <w:jc w:val="center"/>
              <w:rPr>
                <w:b/>
                <w:bCs/>
                <w:color w:val="000000"/>
                <w:sz w:val="20"/>
                <w:szCs w:val="20"/>
                <w:lang w:eastAsia="sk-SK"/>
              </w:rPr>
            </w:pPr>
            <w:r w:rsidRPr="00365956">
              <w:rPr>
                <w:b/>
                <w:bCs/>
                <w:color w:val="000000"/>
                <w:sz w:val="20"/>
                <w:szCs w:val="20"/>
                <w:lang w:eastAsia="sk-SK"/>
              </w:rPr>
              <w:t>2014</w:t>
            </w:r>
          </w:p>
        </w:tc>
        <w:tc>
          <w:tcPr>
            <w:tcW w:w="289" w:type="pct"/>
            <w:tcBorders>
              <w:top w:val="single" w:sz="4" w:space="0" w:color="auto"/>
              <w:left w:val="nil"/>
              <w:bottom w:val="single" w:sz="4" w:space="0" w:color="auto"/>
              <w:right w:val="nil"/>
            </w:tcBorders>
            <w:shd w:val="clear" w:color="auto" w:fill="auto"/>
            <w:vAlign w:val="bottom"/>
            <w:hideMark/>
          </w:tcPr>
          <w:p w14:paraId="489CF8CC" w14:textId="77777777" w:rsidR="009C7579" w:rsidRPr="00365956" w:rsidRDefault="009C7579" w:rsidP="009C7579">
            <w:pPr>
              <w:spacing w:after="0" w:line="240" w:lineRule="auto"/>
              <w:jc w:val="center"/>
              <w:rPr>
                <w:b/>
                <w:bCs/>
                <w:color w:val="000000"/>
                <w:sz w:val="20"/>
                <w:szCs w:val="20"/>
                <w:lang w:eastAsia="sk-SK"/>
              </w:rPr>
            </w:pPr>
            <w:r w:rsidRPr="00365956">
              <w:rPr>
                <w:b/>
                <w:bCs/>
                <w:color w:val="000000"/>
                <w:sz w:val="20"/>
                <w:szCs w:val="20"/>
                <w:lang w:eastAsia="sk-SK"/>
              </w:rPr>
              <w:t>2015</w:t>
            </w:r>
          </w:p>
        </w:tc>
        <w:tc>
          <w:tcPr>
            <w:tcW w:w="289" w:type="pct"/>
            <w:tcBorders>
              <w:top w:val="single" w:sz="4" w:space="0" w:color="auto"/>
              <w:left w:val="nil"/>
              <w:bottom w:val="single" w:sz="4" w:space="0" w:color="auto"/>
              <w:right w:val="nil"/>
            </w:tcBorders>
            <w:shd w:val="clear" w:color="auto" w:fill="auto"/>
            <w:vAlign w:val="bottom"/>
            <w:hideMark/>
          </w:tcPr>
          <w:p w14:paraId="49018A8B" w14:textId="77777777" w:rsidR="009C7579" w:rsidRPr="00365956" w:rsidRDefault="009C7579" w:rsidP="009C7579">
            <w:pPr>
              <w:spacing w:after="0" w:line="240" w:lineRule="auto"/>
              <w:jc w:val="center"/>
              <w:rPr>
                <w:b/>
                <w:bCs/>
                <w:color w:val="000000"/>
                <w:sz w:val="20"/>
                <w:szCs w:val="20"/>
                <w:lang w:eastAsia="sk-SK"/>
              </w:rPr>
            </w:pPr>
            <w:r w:rsidRPr="00365956">
              <w:rPr>
                <w:b/>
                <w:bCs/>
                <w:color w:val="000000"/>
                <w:sz w:val="20"/>
                <w:szCs w:val="20"/>
                <w:lang w:eastAsia="sk-SK"/>
              </w:rPr>
              <w:t>2016</w:t>
            </w:r>
          </w:p>
        </w:tc>
        <w:tc>
          <w:tcPr>
            <w:tcW w:w="293" w:type="pct"/>
            <w:tcBorders>
              <w:top w:val="single" w:sz="4" w:space="0" w:color="auto"/>
              <w:left w:val="nil"/>
              <w:bottom w:val="single" w:sz="4" w:space="0" w:color="auto"/>
              <w:right w:val="nil"/>
            </w:tcBorders>
            <w:shd w:val="clear" w:color="auto" w:fill="auto"/>
            <w:noWrap/>
            <w:vAlign w:val="bottom"/>
            <w:hideMark/>
          </w:tcPr>
          <w:p w14:paraId="5B2CC791" w14:textId="77777777" w:rsidR="009C7579" w:rsidRPr="00365956" w:rsidRDefault="009C7579" w:rsidP="009C7579">
            <w:pPr>
              <w:spacing w:after="0" w:line="240" w:lineRule="auto"/>
              <w:jc w:val="center"/>
              <w:rPr>
                <w:b/>
                <w:bCs/>
                <w:color w:val="000000"/>
                <w:sz w:val="20"/>
                <w:szCs w:val="20"/>
                <w:lang w:eastAsia="sk-SK"/>
              </w:rPr>
            </w:pPr>
            <w:r w:rsidRPr="00365956">
              <w:rPr>
                <w:b/>
                <w:bCs/>
                <w:color w:val="000000"/>
                <w:sz w:val="20"/>
                <w:szCs w:val="20"/>
                <w:lang w:eastAsia="sk-SK"/>
              </w:rPr>
              <w:t>2017</w:t>
            </w:r>
          </w:p>
        </w:tc>
        <w:tc>
          <w:tcPr>
            <w:tcW w:w="326" w:type="pct"/>
            <w:tcBorders>
              <w:top w:val="single" w:sz="4" w:space="0" w:color="auto"/>
              <w:left w:val="nil"/>
              <w:bottom w:val="single" w:sz="4" w:space="0" w:color="auto"/>
              <w:right w:val="nil"/>
            </w:tcBorders>
            <w:shd w:val="clear" w:color="auto" w:fill="auto"/>
            <w:noWrap/>
            <w:vAlign w:val="bottom"/>
            <w:hideMark/>
          </w:tcPr>
          <w:p w14:paraId="5FF0F40B" w14:textId="77777777" w:rsidR="009C7579" w:rsidRPr="00365956" w:rsidRDefault="009C7579" w:rsidP="009C7579">
            <w:pPr>
              <w:spacing w:after="0" w:line="240" w:lineRule="auto"/>
              <w:jc w:val="center"/>
              <w:rPr>
                <w:b/>
                <w:bCs/>
                <w:color w:val="000000"/>
                <w:sz w:val="20"/>
                <w:szCs w:val="20"/>
                <w:lang w:eastAsia="sk-SK"/>
              </w:rPr>
            </w:pPr>
            <w:r w:rsidRPr="00365956">
              <w:rPr>
                <w:b/>
                <w:bCs/>
                <w:color w:val="000000"/>
                <w:sz w:val="20"/>
                <w:szCs w:val="20"/>
                <w:lang w:eastAsia="sk-SK"/>
              </w:rPr>
              <w:t>2018</w:t>
            </w:r>
          </w:p>
        </w:tc>
        <w:tc>
          <w:tcPr>
            <w:tcW w:w="327" w:type="pct"/>
            <w:tcBorders>
              <w:top w:val="single" w:sz="4" w:space="0" w:color="auto"/>
              <w:left w:val="nil"/>
              <w:bottom w:val="single" w:sz="4" w:space="0" w:color="auto"/>
              <w:right w:val="nil"/>
            </w:tcBorders>
            <w:shd w:val="clear" w:color="auto" w:fill="auto"/>
            <w:noWrap/>
            <w:vAlign w:val="bottom"/>
            <w:hideMark/>
          </w:tcPr>
          <w:p w14:paraId="39CF3931" w14:textId="77777777" w:rsidR="009C7579" w:rsidRPr="00365956" w:rsidRDefault="009C7579" w:rsidP="009C7579">
            <w:pPr>
              <w:spacing w:after="0" w:line="240" w:lineRule="auto"/>
              <w:jc w:val="center"/>
              <w:rPr>
                <w:b/>
                <w:bCs/>
                <w:color w:val="000000"/>
                <w:sz w:val="20"/>
                <w:szCs w:val="20"/>
                <w:lang w:eastAsia="sk-SK"/>
              </w:rPr>
            </w:pPr>
            <w:r w:rsidRPr="00365956">
              <w:rPr>
                <w:b/>
                <w:bCs/>
                <w:color w:val="000000"/>
                <w:sz w:val="20"/>
                <w:szCs w:val="20"/>
                <w:lang w:eastAsia="sk-SK"/>
              </w:rPr>
              <w:t>2019</w:t>
            </w:r>
          </w:p>
        </w:tc>
        <w:tc>
          <w:tcPr>
            <w:tcW w:w="327" w:type="pct"/>
            <w:tcBorders>
              <w:top w:val="single" w:sz="4" w:space="0" w:color="auto"/>
              <w:left w:val="nil"/>
              <w:bottom w:val="single" w:sz="4" w:space="0" w:color="auto"/>
              <w:right w:val="nil"/>
            </w:tcBorders>
            <w:shd w:val="clear" w:color="auto" w:fill="auto"/>
            <w:noWrap/>
            <w:vAlign w:val="bottom"/>
            <w:hideMark/>
          </w:tcPr>
          <w:p w14:paraId="5DD1D58E" w14:textId="77777777" w:rsidR="009C7579" w:rsidRPr="00365956" w:rsidRDefault="009C7579" w:rsidP="009C7579">
            <w:pPr>
              <w:spacing w:after="0" w:line="240" w:lineRule="auto"/>
              <w:jc w:val="center"/>
              <w:rPr>
                <w:b/>
                <w:bCs/>
                <w:color w:val="000000"/>
                <w:sz w:val="20"/>
                <w:szCs w:val="20"/>
                <w:lang w:eastAsia="sk-SK"/>
              </w:rPr>
            </w:pPr>
            <w:r w:rsidRPr="00365956">
              <w:rPr>
                <w:b/>
                <w:bCs/>
                <w:color w:val="000000"/>
                <w:sz w:val="20"/>
                <w:szCs w:val="20"/>
                <w:lang w:eastAsia="sk-SK"/>
              </w:rPr>
              <w:t>2020</w:t>
            </w:r>
          </w:p>
        </w:tc>
        <w:tc>
          <w:tcPr>
            <w:tcW w:w="327" w:type="pct"/>
            <w:tcBorders>
              <w:top w:val="single" w:sz="4" w:space="0" w:color="auto"/>
              <w:left w:val="nil"/>
              <w:bottom w:val="single" w:sz="4" w:space="0" w:color="auto"/>
              <w:right w:val="nil"/>
            </w:tcBorders>
            <w:shd w:val="clear" w:color="auto" w:fill="auto"/>
            <w:noWrap/>
            <w:vAlign w:val="bottom"/>
            <w:hideMark/>
          </w:tcPr>
          <w:p w14:paraId="55FA90BC" w14:textId="77777777" w:rsidR="009C7579" w:rsidRPr="00365956" w:rsidRDefault="009C7579" w:rsidP="009C7579">
            <w:pPr>
              <w:spacing w:after="0" w:line="240" w:lineRule="auto"/>
              <w:jc w:val="center"/>
              <w:rPr>
                <w:b/>
                <w:bCs/>
                <w:color w:val="000000"/>
                <w:sz w:val="20"/>
                <w:szCs w:val="20"/>
                <w:lang w:eastAsia="sk-SK"/>
              </w:rPr>
            </w:pPr>
            <w:r w:rsidRPr="00365956">
              <w:rPr>
                <w:b/>
                <w:bCs/>
                <w:color w:val="000000"/>
                <w:sz w:val="20"/>
                <w:szCs w:val="20"/>
                <w:lang w:eastAsia="sk-SK"/>
              </w:rPr>
              <w:t>2021</w:t>
            </w:r>
          </w:p>
        </w:tc>
        <w:tc>
          <w:tcPr>
            <w:tcW w:w="327" w:type="pct"/>
            <w:tcBorders>
              <w:top w:val="single" w:sz="4" w:space="0" w:color="auto"/>
              <w:left w:val="nil"/>
              <w:bottom w:val="single" w:sz="4" w:space="0" w:color="auto"/>
              <w:right w:val="nil"/>
            </w:tcBorders>
            <w:shd w:val="clear" w:color="auto" w:fill="auto"/>
            <w:noWrap/>
            <w:vAlign w:val="bottom"/>
            <w:hideMark/>
          </w:tcPr>
          <w:p w14:paraId="088F6892" w14:textId="77777777" w:rsidR="009C7579" w:rsidRPr="00365956" w:rsidRDefault="009C7579" w:rsidP="009C7579">
            <w:pPr>
              <w:spacing w:after="0" w:line="240" w:lineRule="auto"/>
              <w:jc w:val="center"/>
              <w:rPr>
                <w:b/>
                <w:bCs/>
                <w:color w:val="000000"/>
                <w:sz w:val="20"/>
                <w:szCs w:val="20"/>
                <w:lang w:eastAsia="sk-SK"/>
              </w:rPr>
            </w:pPr>
            <w:r w:rsidRPr="00365956">
              <w:rPr>
                <w:b/>
                <w:bCs/>
                <w:color w:val="000000"/>
                <w:sz w:val="20"/>
                <w:szCs w:val="20"/>
                <w:lang w:eastAsia="sk-SK"/>
              </w:rPr>
              <w:t>2022</w:t>
            </w:r>
          </w:p>
        </w:tc>
        <w:tc>
          <w:tcPr>
            <w:tcW w:w="326" w:type="pct"/>
            <w:tcBorders>
              <w:top w:val="single" w:sz="4" w:space="0" w:color="auto"/>
              <w:left w:val="nil"/>
              <w:bottom w:val="single" w:sz="4" w:space="0" w:color="auto"/>
              <w:right w:val="nil"/>
            </w:tcBorders>
            <w:shd w:val="clear" w:color="auto" w:fill="auto"/>
            <w:noWrap/>
            <w:vAlign w:val="bottom"/>
            <w:hideMark/>
          </w:tcPr>
          <w:p w14:paraId="00AB6E94" w14:textId="77777777" w:rsidR="009C7579" w:rsidRPr="00365956" w:rsidRDefault="009C7579" w:rsidP="009C7579">
            <w:pPr>
              <w:spacing w:after="0" w:line="240" w:lineRule="auto"/>
              <w:jc w:val="center"/>
              <w:rPr>
                <w:b/>
                <w:bCs/>
                <w:color w:val="000000"/>
                <w:sz w:val="20"/>
                <w:szCs w:val="20"/>
                <w:lang w:eastAsia="sk-SK"/>
              </w:rPr>
            </w:pPr>
            <w:r w:rsidRPr="00365956">
              <w:rPr>
                <w:b/>
                <w:bCs/>
                <w:color w:val="000000"/>
                <w:sz w:val="20"/>
                <w:szCs w:val="20"/>
                <w:lang w:eastAsia="sk-SK"/>
              </w:rPr>
              <w:t>2023</w:t>
            </w:r>
          </w:p>
        </w:tc>
      </w:tr>
      <w:tr w:rsidR="00365956" w:rsidRPr="00365956" w14:paraId="530D41C2" w14:textId="77777777" w:rsidTr="00B972E6">
        <w:trPr>
          <w:trHeight w:val="288"/>
        </w:trPr>
        <w:tc>
          <w:tcPr>
            <w:tcW w:w="1421" w:type="pct"/>
            <w:tcBorders>
              <w:top w:val="nil"/>
              <w:left w:val="nil"/>
              <w:bottom w:val="nil"/>
              <w:right w:val="nil"/>
            </w:tcBorders>
            <w:shd w:val="clear" w:color="auto" w:fill="auto"/>
            <w:noWrap/>
            <w:vAlign w:val="center"/>
            <w:hideMark/>
          </w:tcPr>
          <w:p w14:paraId="4A73542A" w14:textId="77777777" w:rsidR="00365956" w:rsidRPr="00365956" w:rsidRDefault="00365956" w:rsidP="00365956">
            <w:pPr>
              <w:spacing w:after="0" w:line="240" w:lineRule="auto"/>
              <w:rPr>
                <w:color w:val="000000"/>
                <w:sz w:val="20"/>
                <w:szCs w:val="20"/>
                <w:lang w:eastAsia="sk-SK"/>
              </w:rPr>
            </w:pPr>
            <w:r w:rsidRPr="00365956">
              <w:rPr>
                <w:color w:val="000000"/>
                <w:sz w:val="20"/>
                <w:szCs w:val="20"/>
                <w:lang w:eastAsia="sk-SK"/>
              </w:rPr>
              <w:t xml:space="preserve">Saldo VS pred </w:t>
            </w:r>
          </w:p>
        </w:tc>
        <w:tc>
          <w:tcPr>
            <w:tcW w:w="461" w:type="pct"/>
            <w:tcBorders>
              <w:top w:val="nil"/>
              <w:left w:val="nil"/>
              <w:bottom w:val="nil"/>
              <w:right w:val="nil"/>
            </w:tcBorders>
            <w:shd w:val="clear" w:color="auto" w:fill="auto"/>
            <w:noWrap/>
            <w:vAlign w:val="center"/>
            <w:hideMark/>
          </w:tcPr>
          <w:p w14:paraId="4570B682" w14:textId="77777777" w:rsidR="00365956" w:rsidRPr="00365956" w:rsidRDefault="00365956" w:rsidP="00365956">
            <w:pPr>
              <w:spacing w:after="0" w:line="240" w:lineRule="auto"/>
              <w:jc w:val="center"/>
              <w:rPr>
                <w:color w:val="000000"/>
                <w:sz w:val="20"/>
                <w:szCs w:val="20"/>
                <w:lang w:eastAsia="sk-SK"/>
              </w:rPr>
            </w:pPr>
            <w:r w:rsidRPr="00365956">
              <w:rPr>
                <w:color w:val="000000"/>
                <w:sz w:val="20"/>
                <w:szCs w:val="20"/>
                <w:lang w:eastAsia="sk-SK"/>
              </w:rPr>
              <w:t>%</w:t>
            </w:r>
          </w:p>
        </w:tc>
        <w:tc>
          <w:tcPr>
            <w:tcW w:w="289" w:type="pct"/>
            <w:tcBorders>
              <w:top w:val="nil"/>
              <w:left w:val="nil"/>
              <w:bottom w:val="nil"/>
              <w:right w:val="nil"/>
            </w:tcBorders>
            <w:shd w:val="clear" w:color="auto" w:fill="auto"/>
            <w:noWrap/>
            <w:vAlign w:val="bottom"/>
            <w:hideMark/>
          </w:tcPr>
          <w:p w14:paraId="10167E9C" w14:textId="2FEF2C7A"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-3,1</w:t>
            </w:r>
          </w:p>
        </w:tc>
        <w:tc>
          <w:tcPr>
            <w:tcW w:w="289" w:type="pct"/>
            <w:tcBorders>
              <w:top w:val="nil"/>
              <w:left w:val="nil"/>
              <w:bottom w:val="nil"/>
              <w:right w:val="nil"/>
            </w:tcBorders>
            <w:shd w:val="clear" w:color="auto" w:fill="auto"/>
            <w:noWrap/>
            <w:vAlign w:val="bottom"/>
            <w:hideMark/>
          </w:tcPr>
          <w:p w14:paraId="4A03D0EE" w14:textId="1B0506FD"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-2,7</w:t>
            </w:r>
          </w:p>
        </w:tc>
        <w:tc>
          <w:tcPr>
            <w:tcW w:w="289" w:type="pct"/>
            <w:tcBorders>
              <w:top w:val="nil"/>
              <w:left w:val="nil"/>
              <w:bottom w:val="nil"/>
              <w:right w:val="nil"/>
            </w:tcBorders>
            <w:shd w:val="clear" w:color="auto" w:fill="auto"/>
            <w:noWrap/>
            <w:vAlign w:val="bottom"/>
            <w:hideMark/>
          </w:tcPr>
          <w:p w14:paraId="0F732563" w14:textId="677417E4"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-2,6</w:t>
            </w:r>
          </w:p>
        </w:tc>
        <w:tc>
          <w:tcPr>
            <w:tcW w:w="293" w:type="pct"/>
            <w:tcBorders>
              <w:top w:val="nil"/>
              <w:left w:val="nil"/>
              <w:bottom w:val="nil"/>
              <w:right w:val="nil"/>
            </w:tcBorders>
            <w:shd w:val="clear" w:color="auto" w:fill="auto"/>
            <w:noWrap/>
            <w:vAlign w:val="bottom"/>
            <w:hideMark/>
          </w:tcPr>
          <w:p w14:paraId="4F6E0228" w14:textId="123843A7"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-1,0</w:t>
            </w:r>
          </w:p>
        </w:tc>
        <w:tc>
          <w:tcPr>
            <w:tcW w:w="326" w:type="pct"/>
            <w:tcBorders>
              <w:top w:val="nil"/>
              <w:left w:val="nil"/>
              <w:bottom w:val="nil"/>
              <w:right w:val="nil"/>
            </w:tcBorders>
            <w:shd w:val="clear" w:color="auto" w:fill="auto"/>
            <w:noWrap/>
            <w:vAlign w:val="bottom"/>
            <w:hideMark/>
          </w:tcPr>
          <w:p w14:paraId="4A55A567" w14:textId="67037EBB"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-1,0</w:t>
            </w:r>
          </w:p>
        </w:tc>
        <w:tc>
          <w:tcPr>
            <w:tcW w:w="327" w:type="pct"/>
            <w:tcBorders>
              <w:top w:val="nil"/>
              <w:left w:val="nil"/>
              <w:bottom w:val="nil"/>
              <w:right w:val="nil"/>
            </w:tcBorders>
            <w:shd w:val="clear" w:color="auto" w:fill="auto"/>
            <w:noWrap/>
            <w:vAlign w:val="bottom"/>
            <w:hideMark/>
          </w:tcPr>
          <w:p w14:paraId="52B73755" w14:textId="04F50B2C"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-1,2</w:t>
            </w:r>
          </w:p>
        </w:tc>
        <w:tc>
          <w:tcPr>
            <w:tcW w:w="327" w:type="pct"/>
            <w:tcBorders>
              <w:top w:val="nil"/>
              <w:left w:val="nil"/>
              <w:bottom w:val="nil"/>
              <w:right w:val="nil"/>
            </w:tcBorders>
            <w:shd w:val="clear" w:color="auto" w:fill="auto"/>
            <w:noWrap/>
            <w:vAlign w:val="bottom"/>
            <w:hideMark/>
          </w:tcPr>
          <w:p w14:paraId="59D2ACB1" w14:textId="4E380006"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-5,3</w:t>
            </w:r>
          </w:p>
        </w:tc>
        <w:tc>
          <w:tcPr>
            <w:tcW w:w="327" w:type="pct"/>
            <w:tcBorders>
              <w:top w:val="nil"/>
              <w:left w:val="nil"/>
              <w:bottom w:val="nil"/>
              <w:right w:val="nil"/>
            </w:tcBorders>
            <w:shd w:val="clear" w:color="auto" w:fill="auto"/>
            <w:noWrap/>
            <w:vAlign w:val="bottom"/>
            <w:hideMark/>
          </w:tcPr>
          <w:p w14:paraId="0237E2F6" w14:textId="3E4771AD"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-5,2</w:t>
            </w:r>
          </w:p>
        </w:tc>
        <w:tc>
          <w:tcPr>
            <w:tcW w:w="327" w:type="pct"/>
            <w:tcBorders>
              <w:top w:val="nil"/>
              <w:left w:val="nil"/>
              <w:bottom w:val="nil"/>
              <w:right w:val="nil"/>
            </w:tcBorders>
            <w:shd w:val="clear" w:color="auto" w:fill="auto"/>
            <w:noWrap/>
            <w:vAlign w:val="bottom"/>
            <w:hideMark/>
          </w:tcPr>
          <w:p w14:paraId="350AB6FB" w14:textId="2AA1F594"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-1,7</w:t>
            </w:r>
          </w:p>
        </w:tc>
        <w:tc>
          <w:tcPr>
            <w:tcW w:w="326" w:type="pct"/>
            <w:tcBorders>
              <w:top w:val="nil"/>
              <w:left w:val="nil"/>
              <w:bottom w:val="nil"/>
              <w:right w:val="nil"/>
            </w:tcBorders>
            <w:shd w:val="clear" w:color="auto" w:fill="auto"/>
            <w:noWrap/>
            <w:vAlign w:val="bottom"/>
            <w:hideMark/>
          </w:tcPr>
          <w:p w14:paraId="771A9D30" w14:textId="003CB09F"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-4,9</w:t>
            </w:r>
          </w:p>
        </w:tc>
      </w:tr>
      <w:tr w:rsidR="00365956" w:rsidRPr="00365956" w14:paraId="13716BEE" w14:textId="77777777" w:rsidTr="00B972E6">
        <w:trPr>
          <w:trHeight w:val="288"/>
        </w:trPr>
        <w:tc>
          <w:tcPr>
            <w:tcW w:w="1421" w:type="pct"/>
            <w:tcBorders>
              <w:top w:val="nil"/>
              <w:left w:val="nil"/>
              <w:bottom w:val="nil"/>
              <w:right w:val="nil"/>
            </w:tcBorders>
            <w:shd w:val="clear" w:color="auto" w:fill="auto"/>
            <w:noWrap/>
            <w:vAlign w:val="center"/>
            <w:hideMark/>
          </w:tcPr>
          <w:p w14:paraId="3EA08B1D" w14:textId="77777777" w:rsidR="00365956" w:rsidRPr="00365956" w:rsidRDefault="00365956" w:rsidP="00365956">
            <w:pPr>
              <w:spacing w:after="0" w:line="240" w:lineRule="auto"/>
              <w:rPr>
                <w:b/>
                <w:bCs/>
                <w:color w:val="000000"/>
                <w:sz w:val="20"/>
                <w:szCs w:val="20"/>
                <w:lang w:eastAsia="sk-SK"/>
              </w:rPr>
            </w:pPr>
            <w:r w:rsidRPr="00365956">
              <w:rPr>
                <w:b/>
                <w:bCs/>
                <w:color w:val="000000"/>
                <w:sz w:val="20"/>
                <w:szCs w:val="20"/>
                <w:lang w:eastAsia="sk-SK"/>
              </w:rPr>
              <w:t xml:space="preserve">Saldo VS po </w:t>
            </w:r>
          </w:p>
        </w:tc>
        <w:tc>
          <w:tcPr>
            <w:tcW w:w="461" w:type="pct"/>
            <w:tcBorders>
              <w:top w:val="nil"/>
              <w:left w:val="nil"/>
              <w:bottom w:val="nil"/>
              <w:right w:val="nil"/>
            </w:tcBorders>
            <w:shd w:val="clear" w:color="auto" w:fill="auto"/>
            <w:noWrap/>
            <w:vAlign w:val="center"/>
            <w:hideMark/>
          </w:tcPr>
          <w:p w14:paraId="3005B6FF" w14:textId="77777777" w:rsidR="00365956" w:rsidRPr="00365956" w:rsidRDefault="00365956" w:rsidP="00365956">
            <w:pPr>
              <w:spacing w:after="0" w:line="240" w:lineRule="auto"/>
              <w:jc w:val="center"/>
              <w:rPr>
                <w:b/>
                <w:bCs/>
                <w:color w:val="000000"/>
                <w:sz w:val="20"/>
                <w:szCs w:val="20"/>
                <w:lang w:eastAsia="sk-SK"/>
              </w:rPr>
            </w:pPr>
            <w:r w:rsidRPr="00365956">
              <w:rPr>
                <w:b/>
                <w:bCs/>
                <w:color w:val="000000"/>
                <w:sz w:val="20"/>
                <w:szCs w:val="20"/>
                <w:lang w:eastAsia="sk-SK"/>
              </w:rPr>
              <w:t>%</w:t>
            </w:r>
          </w:p>
        </w:tc>
        <w:tc>
          <w:tcPr>
            <w:tcW w:w="289" w:type="pct"/>
            <w:tcBorders>
              <w:top w:val="nil"/>
              <w:left w:val="nil"/>
              <w:bottom w:val="nil"/>
              <w:right w:val="nil"/>
            </w:tcBorders>
            <w:shd w:val="clear" w:color="auto" w:fill="auto"/>
            <w:noWrap/>
            <w:vAlign w:val="bottom"/>
            <w:hideMark/>
          </w:tcPr>
          <w:p w14:paraId="664A17D8" w14:textId="321AA3E7"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-3,2</w:t>
            </w:r>
          </w:p>
        </w:tc>
        <w:tc>
          <w:tcPr>
            <w:tcW w:w="289" w:type="pct"/>
            <w:tcBorders>
              <w:top w:val="nil"/>
              <w:left w:val="nil"/>
              <w:bottom w:val="nil"/>
              <w:right w:val="nil"/>
            </w:tcBorders>
            <w:shd w:val="clear" w:color="auto" w:fill="auto"/>
            <w:noWrap/>
            <w:vAlign w:val="bottom"/>
            <w:hideMark/>
          </w:tcPr>
          <w:p w14:paraId="4381B70C" w14:textId="2325733D"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-2,8</w:t>
            </w:r>
          </w:p>
        </w:tc>
        <w:tc>
          <w:tcPr>
            <w:tcW w:w="289" w:type="pct"/>
            <w:tcBorders>
              <w:top w:val="nil"/>
              <w:left w:val="nil"/>
              <w:bottom w:val="nil"/>
              <w:right w:val="nil"/>
            </w:tcBorders>
            <w:shd w:val="clear" w:color="auto" w:fill="auto"/>
            <w:noWrap/>
            <w:vAlign w:val="bottom"/>
            <w:hideMark/>
          </w:tcPr>
          <w:p w14:paraId="625831AE" w14:textId="400F6E0E"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-2,6</w:t>
            </w:r>
          </w:p>
        </w:tc>
        <w:tc>
          <w:tcPr>
            <w:tcW w:w="293" w:type="pct"/>
            <w:tcBorders>
              <w:top w:val="nil"/>
              <w:left w:val="nil"/>
              <w:bottom w:val="nil"/>
              <w:right w:val="nil"/>
            </w:tcBorders>
            <w:shd w:val="clear" w:color="auto" w:fill="auto"/>
            <w:noWrap/>
            <w:vAlign w:val="bottom"/>
            <w:hideMark/>
          </w:tcPr>
          <w:p w14:paraId="6C76D6BF" w14:textId="66AD427F"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-1,0</w:t>
            </w:r>
          </w:p>
        </w:tc>
        <w:tc>
          <w:tcPr>
            <w:tcW w:w="326" w:type="pct"/>
            <w:tcBorders>
              <w:top w:val="nil"/>
              <w:left w:val="nil"/>
              <w:bottom w:val="nil"/>
              <w:right w:val="nil"/>
            </w:tcBorders>
            <w:shd w:val="clear" w:color="auto" w:fill="auto"/>
            <w:noWrap/>
            <w:vAlign w:val="bottom"/>
            <w:hideMark/>
          </w:tcPr>
          <w:p w14:paraId="261944DD" w14:textId="79C9F6A4"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-1,0</w:t>
            </w:r>
          </w:p>
        </w:tc>
        <w:tc>
          <w:tcPr>
            <w:tcW w:w="327" w:type="pct"/>
            <w:tcBorders>
              <w:top w:val="nil"/>
              <w:left w:val="nil"/>
              <w:bottom w:val="nil"/>
              <w:right w:val="nil"/>
            </w:tcBorders>
            <w:shd w:val="clear" w:color="auto" w:fill="auto"/>
            <w:noWrap/>
            <w:vAlign w:val="bottom"/>
            <w:hideMark/>
          </w:tcPr>
          <w:p w14:paraId="3273A648" w14:textId="4E1E6B0F"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-1,2</w:t>
            </w:r>
          </w:p>
        </w:tc>
        <w:tc>
          <w:tcPr>
            <w:tcW w:w="327" w:type="pct"/>
            <w:tcBorders>
              <w:top w:val="nil"/>
              <w:left w:val="nil"/>
              <w:bottom w:val="nil"/>
              <w:right w:val="nil"/>
            </w:tcBorders>
            <w:shd w:val="clear" w:color="auto" w:fill="auto"/>
            <w:noWrap/>
            <w:vAlign w:val="bottom"/>
            <w:hideMark/>
          </w:tcPr>
          <w:p w14:paraId="19BEE363" w14:textId="5007FF93"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-5,3</w:t>
            </w:r>
          </w:p>
        </w:tc>
        <w:tc>
          <w:tcPr>
            <w:tcW w:w="327" w:type="pct"/>
            <w:tcBorders>
              <w:top w:val="nil"/>
              <w:left w:val="nil"/>
              <w:bottom w:val="nil"/>
              <w:right w:val="nil"/>
            </w:tcBorders>
            <w:shd w:val="clear" w:color="auto" w:fill="auto"/>
            <w:noWrap/>
            <w:vAlign w:val="bottom"/>
            <w:hideMark/>
          </w:tcPr>
          <w:p w14:paraId="4B260E87" w14:textId="2621A8A0"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-5,1</w:t>
            </w:r>
          </w:p>
        </w:tc>
        <w:tc>
          <w:tcPr>
            <w:tcW w:w="327" w:type="pct"/>
            <w:tcBorders>
              <w:top w:val="nil"/>
              <w:left w:val="nil"/>
              <w:bottom w:val="nil"/>
              <w:right w:val="nil"/>
            </w:tcBorders>
            <w:shd w:val="clear" w:color="auto" w:fill="auto"/>
            <w:noWrap/>
            <w:vAlign w:val="bottom"/>
            <w:hideMark/>
          </w:tcPr>
          <w:p w14:paraId="0E08286A" w14:textId="0B461EDC"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-1,7</w:t>
            </w:r>
          </w:p>
        </w:tc>
        <w:tc>
          <w:tcPr>
            <w:tcW w:w="326" w:type="pct"/>
            <w:tcBorders>
              <w:top w:val="nil"/>
              <w:left w:val="nil"/>
              <w:bottom w:val="nil"/>
              <w:right w:val="nil"/>
            </w:tcBorders>
            <w:shd w:val="clear" w:color="auto" w:fill="auto"/>
            <w:noWrap/>
            <w:vAlign w:val="bottom"/>
            <w:hideMark/>
          </w:tcPr>
          <w:p w14:paraId="6A03160A" w14:textId="456DA384"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-5,2</w:t>
            </w:r>
          </w:p>
        </w:tc>
      </w:tr>
      <w:tr w:rsidR="00365956" w:rsidRPr="00365956" w14:paraId="4EEE7432" w14:textId="77777777" w:rsidTr="00B972E6">
        <w:trPr>
          <w:trHeight w:val="288"/>
        </w:trPr>
        <w:tc>
          <w:tcPr>
            <w:tcW w:w="1421" w:type="pct"/>
            <w:tcBorders>
              <w:top w:val="nil"/>
              <w:left w:val="nil"/>
              <w:bottom w:val="nil"/>
              <w:right w:val="nil"/>
            </w:tcBorders>
            <w:shd w:val="clear" w:color="auto" w:fill="auto"/>
            <w:vAlign w:val="center"/>
            <w:hideMark/>
          </w:tcPr>
          <w:p w14:paraId="01464B54" w14:textId="77777777" w:rsidR="00365956" w:rsidRPr="00365956" w:rsidRDefault="00365956" w:rsidP="00365956">
            <w:pPr>
              <w:spacing w:after="0" w:line="240" w:lineRule="auto"/>
              <w:rPr>
                <w:color w:val="000000"/>
                <w:sz w:val="20"/>
                <w:szCs w:val="20"/>
                <w:lang w:eastAsia="sk-SK"/>
              </w:rPr>
            </w:pPr>
            <w:r w:rsidRPr="00365956">
              <w:rPr>
                <w:color w:val="000000"/>
                <w:sz w:val="20"/>
                <w:szCs w:val="20"/>
                <w:lang w:eastAsia="sk-SK"/>
              </w:rPr>
              <w:t xml:space="preserve">Dlh VS pred </w:t>
            </w:r>
          </w:p>
        </w:tc>
        <w:tc>
          <w:tcPr>
            <w:tcW w:w="461" w:type="pct"/>
            <w:tcBorders>
              <w:top w:val="nil"/>
              <w:left w:val="nil"/>
              <w:bottom w:val="nil"/>
              <w:right w:val="nil"/>
            </w:tcBorders>
            <w:shd w:val="clear" w:color="auto" w:fill="auto"/>
            <w:noWrap/>
            <w:vAlign w:val="center"/>
            <w:hideMark/>
          </w:tcPr>
          <w:p w14:paraId="00C47C08" w14:textId="77777777" w:rsidR="00365956" w:rsidRPr="00365956" w:rsidRDefault="00365956" w:rsidP="00365956">
            <w:pPr>
              <w:spacing w:after="0" w:line="240" w:lineRule="auto"/>
              <w:jc w:val="center"/>
              <w:rPr>
                <w:color w:val="000000"/>
                <w:sz w:val="20"/>
                <w:szCs w:val="20"/>
                <w:lang w:eastAsia="sk-SK"/>
              </w:rPr>
            </w:pPr>
            <w:r w:rsidRPr="00365956">
              <w:rPr>
                <w:color w:val="000000"/>
                <w:sz w:val="20"/>
                <w:szCs w:val="20"/>
                <w:lang w:eastAsia="sk-SK"/>
              </w:rPr>
              <w:t>%</w:t>
            </w:r>
          </w:p>
        </w:tc>
        <w:tc>
          <w:tcPr>
            <w:tcW w:w="289" w:type="pct"/>
            <w:tcBorders>
              <w:top w:val="nil"/>
              <w:left w:val="nil"/>
              <w:bottom w:val="nil"/>
              <w:right w:val="nil"/>
            </w:tcBorders>
            <w:shd w:val="clear" w:color="auto" w:fill="auto"/>
            <w:noWrap/>
            <w:vAlign w:val="bottom"/>
            <w:hideMark/>
          </w:tcPr>
          <w:p w14:paraId="0CD70053" w14:textId="5ED37B5E"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53,5</w:t>
            </w:r>
          </w:p>
        </w:tc>
        <w:tc>
          <w:tcPr>
            <w:tcW w:w="289" w:type="pct"/>
            <w:tcBorders>
              <w:top w:val="nil"/>
              <w:left w:val="nil"/>
              <w:bottom w:val="nil"/>
              <w:right w:val="nil"/>
            </w:tcBorders>
            <w:shd w:val="clear" w:color="auto" w:fill="auto"/>
            <w:noWrap/>
            <w:vAlign w:val="bottom"/>
            <w:hideMark/>
          </w:tcPr>
          <w:p w14:paraId="2F341EB8" w14:textId="4DE8A63D"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51,7</w:t>
            </w:r>
          </w:p>
        </w:tc>
        <w:tc>
          <w:tcPr>
            <w:tcW w:w="289" w:type="pct"/>
            <w:tcBorders>
              <w:top w:val="nil"/>
              <w:left w:val="nil"/>
              <w:bottom w:val="nil"/>
              <w:right w:val="nil"/>
            </w:tcBorders>
            <w:shd w:val="clear" w:color="auto" w:fill="auto"/>
            <w:noWrap/>
            <w:vAlign w:val="bottom"/>
            <w:hideMark/>
          </w:tcPr>
          <w:p w14:paraId="7D8B4AA2" w14:textId="7D2776FB"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52,3</w:t>
            </w:r>
          </w:p>
        </w:tc>
        <w:tc>
          <w:tcPr>
            <w:tcW w:w="293" w:type="pct"/>
            <w:tcBorders>
              <w:top w:val="nil"/>
              <w:left w:val="nil"/>
              <w:bottom w:val="nil"/>
              <w:right w:val="nil"/>
            </w:tcBorders>
            <w:shd w:val="clear" w:color="auto" w:fill="auto"/>
            <w:noWrap/>
            <w:vAlign w:val="bottom"/>
            <w:hideMark/>
          </w:tcPr>
          <w:p w14:paraId="63BB2F1F" w14:textId="6E53E8D1"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51,5</w:t>
            </w:r>
          </w:p>
        </w:tc>
        <w:tc>
          <w:tcPr>
            <w:tcW w:w="326" w:type="pct"/>
            <w:tcBorders>
              <w:top w:val="nil"/>
              <w:left w:val="nil"/>
              <w:bottom w:val="nil"/>
              <w:right w:val="nil"/>
            </w:tcBorders>
            <w:shd w:val="clear" w:color="auto" w:fill="auto"/>
            <w:noWrap/>
            <w:vAlign w:val="bottom"/>
            <w:hideMark/>
          </w:tcPr>
          <w:p w14:paraId="1F0BA549" w14:textId="33F769FC"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49,4</w:t>
            </w:r>
          </w:p>
        </w:tc>
        <w:tc>
          <w:tcPr>
            <w:tcW w:w="327" w:type="pct"/>
            <w:tcBorders>
              <w:top w:val="nil"/>
              <w:left w:val="nil"/>
              <w:bottom w:val="nil"/>
              <w:right w:val="nil"/>
            </w:tcBorders>
            <w:shd w:val="clear" w:color="auto" w:fill="auto"/>
            <w:noWrap/>
            <w:vAlign w:val="bottom"/>
            <w:hideMark/>
          </w:tcPr>
          <w:p w14:paraId="1CD0A003" w14:textId="4A17DE38"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48,0</w:t>
            </w:r>
          </w:p>
        </w:tc>
        <w:tc>
          <w:tcPr>
            <w:tcW w:w="327" w:type="pct"/>
            <w:tcBorders>
              <w:top w:val="nil"/>
              <w:left w:val="nil"/>
              <w:bottom w:val="nil"/>
              <w:right w:val="nil"/>
            </w:tcBorders>
            <w:shd w:val="clear" w:color="auto" w:fill="auto"/>
            <w:noWrap/>
            <w:vAlign w:val="bottom"/>
            <w:hideMark/>
          </w:tcPr>
          <w:p w14:paraId="0A97594D" w14:textId="051322BA"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58,8</w:t>
            </w:r>
          </w:p>
        </w:tc>
        <w:tc>
          <w:tcPr>
            <w:tcW w:w="327" w:type="pct"/>
            <w:tcBorders>
              <w:top w:val="nil"/>
              <w:left w:val="nil"/>
              <w:bottom w:val="nil"/>
              <w:right w:val="nil"/>
            </w:tcBorders>
            <w:shd w:val="clear" w:color="auto" w:fill="auto"/>
            <w:noWrap/>
            <w:vAlign w:val="bottom"/>
            <w:hideMark/>
          </w:tcPr>
          <w:p w14:paraId="6B499A04" w14:textId="7847DC55"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61,1</w:t>
            </w:r>
          </w:p>
        </w:tc>
        <w:tc>
          <w:tcPr>
            <w:tcW w:w="327" w:type="pct"/>
            <w:tcBorders>
              <w:top w:val="nil"/>
              <w:left w:val="nil"/>
              <w:bottom w:val="nil"/>
              <w:right w:val="nil"/>
            </w:tcBorders>
            <w:shd w:val="clear" w:color="auto" w:fill="auto"/>
            <w:noWrap/>
            <w:vAlign w:val="bottom"/>
            <w:hideMark/>
          </w:tcPr>
          <w:p w14:paraId="01A66A64" w14:textId="63D16485"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57,7</w:t>
            </w:r>
          </w:p>
        </w:tc>
        <w:tc>
          <w:tcPr>
            <w:tcW w:w="326" w:type="pct"/>
            <w:tcBorders>
              <w:top w:val="nil"/>
              <w:left w:val="nil"/>
              <w:bottom w:val="nil"/>
              <w:right w:val="nil"/>
            </w:tcBorders>
            <w:shd w:val="clear" w:color="auto" w:fill="auto"/>
            <w:noWrap/>
            <w:vAlign w:val="bottom"/>
            <w:hideMark/>
          </w:tcPr>
          <w:p w14:paraId="684C3732" w14:textId="683161D2"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56,0</w:t>
            </w:r>
          </w:p>
        </w:tc>
      </w:tr>
      <w:tr w:rsidR="00365956" w:rsidRPr="00365956" w14:paraId="4C2DEF48" w14:textId="77777777" w:rsidTr="00B972E6">
        <w:trPr>
          <w:trHeight w:val="288"/>
        </w:trPr>
        <w:tc>
          <w:tcPr>
            <w:tcW w:w="1421" w:type="pct"/>
            <w:tcBorders>
              <w:top w:val="nil"/>
              <w:left w:val="nil"/>
              <w:bottom w:val="nil"/>
              <w:right w:val="nil"/>
            </w:tcBorders>
            <w:shd w:val="clear" w:color="auto" w:fill="auto"/>
            <w:vAlign w:val="center"/>
            <w:hideMark/>
          </w:tcPr>
          <w:p w14:paraId="2CEC9136" w14:textId="77777777" w:rsidR="00365956" w:rsidRPr="00365956" w:rsidRDefault="00365956" w:rsidP="00365956">
            <w:pPr>
              <w:spacing w:after="0" w:line="240" w:lineRule="auto"/>
              <w:rPr>
                <w:b/>
                <w:bCs/>
                <w:color w:val="000000"/>
                <w:sz w:val="20"/>
                <w:szCs w:val="20"/>
                <w:lang w:eastAsia="sk-SK"/>
              </w:rPr>
            </w:pPr>
            <w:r w:rsidRPr="00365956">
              <w:rPr>
                <w:b/>
                <w:bCs/>
                <w:color w:val="000000"/>
                <w:sz w:val="20"/>
                <w:szCs w:val="20"/>
                <w:lang w:eastAsia="sk-SK"/>
              </w:rPr>
              <w:t xml:space="preserve">Dlh VS po </w:t>
            </w:r>
          </w:p>
        </w:tc>
        <w:tc>
          <w:tcPr>
            <w:tcW w:w="461" w:type="pct"/>
            <w:tcBorders>
              <w:top w:val="nil"/>
              <w:left w:val="nil"/>
              <w:bottom w:val="nil"/>
              <w:right w:val="nil"/>
            </w:tcBorders>
            <w:shd w:val="clear" w:color="auto" w:fill="auto"/>
            <w:noWrap/>
            <w:vAlign w:val="center"/>
            <w:hideMark/>
          </w:tcPr>
          <w:p w14:paraId="0A8B7F71" w14:textId="77777777" w:rsidR="00365956" w:rsidRPr="00365956" w:rsidRDefault="00365956" w:rsidP="00365956">
            <w:pPr>
              <w:spacing w:after="0" w:line="240" w:lineRule="auto"/>
              <w:jc w:val="center"/>
              <w:rPr>
                <w:b/>
                <w:bCs/>
                <w:color w:val="000000"/>
                <w:sz w:val="20"/>
                <w:szCs w:val="20"/>
                <w:lang w:eastAsia="sk-SK"/>
              </w:rPr>
            </w:pPr>
            <w:r w:rsidRPr="00365956">
              <w:rPr>
                <w:b/>
                <w:bCs/>
                <w:color w:val="000000"/>
                <w:sz w:val="20"/>
                <w:szCs w:val="20"/>
                <w:lang w:eastAsia="sk-SK"/>
              </w:rPr>
              <w:t>%</w:t>
            </w:r>
          </w:p>
        </w:tc>
        <w:tc>
          <w:tcPr>
            <w:tcW w:w="289" w:type="pct"/>
            <w:tcBorders>
              <w:top w:val="nil"/>
              <w:left w:val="nil"/>
              <w:bottom w:val="nil"/>
              <w:right w:val="nil"/>
            </w:tcBorders>
            <w:shd w:val="clear" w:color="auto" w:fill="auto"/>
            <w:noWrap/>
            <w:vAlign w:val="bottom"/>
            <w:hideMark/>
          </w:tcPr>
          <w:p w14:paraId="24A4B5B8" w14:textId="312CB17D"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53,4</w:t>
            </w:r>
          </w:p>
        </w:tc>
        <w:tc>
          <w:tcPr>
            <w:tcW w:w="289" w:type="pct"/>
            <w:tcBorders>
              <w:top w:val="nil"/>
              <w:left w:val="nil"/>
              <w:bottom w:val="nil"/>
              <w:right w:val="nil"/>
            </w:tcBorders>
            <w:shd w:val="clear" w:color="auto" w:fill="auto"/>
            <w:noWrap/>
            <w:vAlign w:val="bottom"/>
            <w:hideMark/>
          </w:tcPr>
          <w:p w14:paraId="5DDC1900" w14:textId="4DAB575B"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51,6</w:t>
            </w:r>
          </w:p>
        </w:tc>
        <w:tc>
          <w:tcPr>
            <w:tcW w:w="289" w:type="pct"/>
            <w:tcBorders>
              <w:top w:val="nil"/>
              <w:left w:val="nil"/>
              <w:bottom w:val="nil"/>
              <w:right w:val="nil"/>
            </w:tcBorders>
            <w:shd w:val="clear" w:color="auto" w:fill="auto"/>
            <w:noWrap/>
            <w:vAlign w:val="bottom"/>
            <w:hideMark/>
          </w:tcPr>
          <w:p w14:paraId="5FB807F0" w14:textId="45BF26D0"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52,1</w:t>
            </w:r>
          </w:p>
        </w:tc>
        <w:tc>
          <w:tcPr>
            <w:tcW w:w="293" w:type="pct"/>
            <w:tcBorders>
              <w:top w:val="nil"/>
              <w:left w:val="nil"/>
              <w:bottom w:val="nil"/>
              <w:right w:val="nil"/>
            </w:tcBorders>
            <w:shd w:val="clear" w:color="auto" w:fill="auto"/>
            <w:noWrap/>
            <w:vAlign w:val="bottom"/>
            <w:hideMark/>
          </w:tcPr>
          <w:p w14:paraId="32157474" w14:textId="3FC41F0A"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51,4</w:t>
            </w:r>
          </w:p>
        </w:tc>
        <w:tc>
          <w:tcPr>
            <w:tcW w:w="326" w:type="pct"/>
            <w:tcBorders>
              <w:top w:val="nil"/>
              <w:left w:val="nil"/>
              <w:bottom w:val="nil"/>
              <w:right w:val="nil"/>
            </w:tcBorders>
            <w:shd w:val="clear" w:color="auto" w:fill="auto"/>
            <w:noWrap/>
            <w:vAlign w:val="bottom"/>
            <w:hideMark/>
          </w:tcPr>
          <w:p w14:paraId="7C21600D" w14:textId="0A5CC2CF"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49,3</w:t>
            </w:r>
          </w:p>
        </w:tc>
        <w:tc>
          <w:tcPr>
            <w:tcW w:w="327" w:type="pct"/>
            <w:tcBorders>
              <w:top w:val="nil"/>
              <w:left w:val="nil"/>
              <w:bottom w:val="nil"/>
              <w:right w:val="nil"/>
            </w:tcBorders>
            <w:shd w:val="clear" w:color="auto" w:fill="auto"/>
            <w:noWrap/>
            <w:vAlign w:val="bottom"/>
            <w:hideMark/>
          </w:tcPr>
          <w:p w14:paraId="276ED1BA" w14:textId="54979ACF"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48,0</w:t>
            </w:r>
          </w:p>
        </w:tc>
        <w:tc>
          <w:tcPr>
            <w:tcW w:w="327" w:type="pct"/>
            <w:tcBorders>
              <w:top w:val="nil"/>
              <w:left w:val="nil"/>
              <w:bottom w:val="nil"/>
              <w:right w:val="nil"/>
            </w:tcBorders>
            <w:shd w:val="clear" w:color="auto" w:fill="auto"/>
            <w:noWrap/>
            <w:vAlign w:val="bottom"/>
            <w:hideMark/>
          </w:tcPr>
          <w:p w14:paraId="6170A1E9" w14:textId="3E479679"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58,4</w:t>
            </w:r>
          </w:p>
        </w:tc>
        <w:tc>
          <w:tcPr>
            <w:tcW w:w="327" w:type="pct"/>
            <w:tcBorders>
              <w:top w:val="nil"/>
              <w:left w:val="nil"/>
              <w:bottom w:val="nil"/>
              <w:right w:val="nil"/>
            </w:tcBorders>
            <w:shd w:val="clear" w:color="auto" w:fill="auto"/>
            <w:noWrap/>
            <w:vAlign w:val="bottom"/>
            <w:hideMark/>
          </w:tcPr>
          <w:p w14:paraId="39006394" w14:textId="38119F40"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60,2</w:t>
            </w:r>
          </w:p>
        </w:tc>
        <w:tc>
          <w:tcPr>
            <w:tcW w:w="327" w:type="pct"/>
            <w:tcBorders>
              <w:top w:val="nil"/>
              <w:left w:val="nil"/>
              <w:bottom w:val="nil"/>
              <w:right w:val="nil"/>
            </w:tcBorders>
            <w:shd w:val="clear" w:color="auto" w:fill="auto"/>
            <w:noWrap/>
            <w:vAlign w:val="bottom"/>
            <w:hideMark/>
          </w:tcPr>
          <w:p w14:paraId="5EF8E8E0" w14:textId="6C875272"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57,7</w:t>
            </w:r>
          </w:p>
        </w:tc>
        <w:tc>
          <w:tcPr>
            <w:tcW w:w="326" w:type="pct"/>
            <w:tcBorders>
              <w:top w:val="nil"/>
              <w:left w:val="nil"/>
              <w:bottom w:val="nil"/>
              <w:right w:val="nil"/>
            </w:tcBorders>
            <w:shd w:val="clear" w:color="auto" w:fill="auto"/>
            <w:noWrap/>
            <w:vAlign w:val="bottom"/>
            <w:hideMark/>
          </w:tcPr>
          <w:p w14:paraId="0E0AB77D" w14:textId="3381759E" w:rsidR="00365956" w:rsidRPr="00365956" w:rsidRDefault="00365956" w:rsidP="00365956">
            <w:pPr>
              <w:spacing w:after="0" w:line="240" w:lineRule="auto"/>
              <w:jc w:val="right"/>
              <w:rPr>
                <w:b/>
                <w:bCs/>
                <w:color w:val="000000"/>
                <w:sz w:val="20"/>
                <w:szCs w:val="20"/>
                <w:lang w:eastAsia="sk-SK"/>
              </w:rPr>
            </w:pPr>
            <w:r w:rsidRPr="00365956">
              <w:rPr>
                <w:b/>
                <w:bCs/>
                <w:color w:val="000000"/>
                <w:sz w:val="20"/>
                <w:szCs w:val="20"/>
              </w:rPr>
              <w:t>56,1</w:t>
            </w:r>
          </w:p>
        </w:tc>
      </w:tr>
      <w:tr w:rsidR="00365956" w:rsidRPr="00365956" w14:paraId="27D663CF" w14:textId="77777777" w:rsidTr="00B972E6">
        <w:trPr>
          <w:trHeight w:val="288"/>
        </w:trPr>
        <w:tc>
          <w:tcPr>
            <w:tcW w:w="1421" w:type="pct"/>
            <w:tcBorders>
              <w:top w:val="nil"/>
              <w:left w:val="nil"/>
              <w:bottom w:val="nil"/>
              <w:right w:val="nil"/>
            </w:tcBorders>
            <w:shd w:val="clear" w:color="auto" w:fill="auto"/>
            <w:noWrap/>
            <w:vAlign w:val="center"/>
            <w:hideMark/>
          </w:tcPr>
          <w:p w14:paraId="194171D4" w14:textId="38DA04B1" w:rsidR="00365956" w:rsidRPr="00365956" w:rsidRDefault="00365956" w:rsidP="00365956">
            <w:pPr>
              <w:spacing w:after="0" w:line="240" w:lineRule="auto"/>
              <w:rPr>
                <w:color w:val="000000"/>
                <w:sz w:val="20"/>
                <w:szCs w:val="20"/>
                <w:lang w:eastAsia="sk-SK"/>
              </w:rPr>
            </w:pPr>
            <w:r w:rsidRPr="00365956">
              <w:rPr>
                <w:color w:val="000000"/>
                <w:sz w:val="20"/>
                <w:szCs w:val="20"/>
                <w:lang w:eastAsia="sk-SK"/>
              </w:rPr>
              <w:t xml:space="preserve">HDP pred </w:t>
            </w:r>
          </w:p>
        </w:tc>
        <w:tc>
          <w:tcPr>
            <w:tcW w:w="461" w:type="pct"/>
            <w:tcBorders>
              <w:top w:val="nil"/>
              <w:left w:val="nil"/>
              <w:bottom w:val="nil"/>
              <w:right w:val="nil"/>
            </w:tcBorders>
            <w:shd w:val="clear" w:color="auto" w:fill="auto"/>
            <w:noWrap/>
            <w:vAlign w:val="center"/>
            <w:hideMark/>
          </w:tcPr>
          <w:p w14:paraId="7EB88F3B" w14:textId="77777777" w:rsidR="00365956" w:rsidRPr="00365956" w:rsidRDefault="00365956" w:rsidP="00365956">
            <w:pPr>
              <w:spacing w:after="0" w:line="240" w:lineRule="auto"/>
              <w:jc w:val="center"/>
              <w:rPr>
                <w:color w:val="000000"/>
                <w:sz w:val="20"/>
                <w:szCs w:val="20"/>
                <w:lang w:eastAsia="sk-SK"/>
              </w:rPr>
            </w:pPr>
            <w:r w:rsidRPr="00365956">
              <w:rPr>
                <w:color w:val="000000"/>
                <w:sz w:val="20"/>
                <w:szCs w:val="20"/>
                <w:lang w:eastAsia="sk-SK"/>
              </w:rPr>
              <w:t>mld. eur</w:t>
            </w:r>
          </w:p>
        </w:tc>
        <w:tc>
          <w:tcPr>
            <w:tcW w:w="289" w:type="pct"/>
            <w:tcBorders>
              <w:top w:val="nil"/>
              <w:left w:val="nil"/>
              <w:bottom w:val="nil"/>
              <w:right w:val="nil"/>
            </w:tcBorders>
            <w:shd w:val="clear" w:color="auto" w:fill="auto"/>
            <w:noWrap/>
            <w:vAlign w:val="bottom"/>
            <w:hideMark/>
          </w:tcPr>
          <w:p w14:paraId="095BB3A3" w14:textId="31FAC2E0"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76,4</w:t>
            </w:r>
          </w:p>
        </w:tc>
        <w:tc>
          <w:tcPr>
            <w:tcW w:w="289" w:type="pct"/>
            <w:tcBorders>
              <w:top w:val="nil"/>
              <w:left w:val="nil"/>
              <w:bottom w:val="nil"/>
              <w:right w:val="nil"/>
            </w:tcBorders>
            <w:shd w:val="clear" w:color="auto" w:fill="auto"/>
            <w:noWrap/>
            <w:vAlign w:val="bottom"/>
            <w:hideMark/>
          </w:tcPr>
          <w:p w14:paraId="1E072898" w14:textId="7CF5D4E1"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80,1</w:t>
            </w:r>
          </w:p>
        </w:tc>
        <w:tc>
          <w:tcPr>
            <w:tcW w:w="289" w:type="pct"/>
            <w:tcBorders>
              <w:top w:val="nil"/>
              <w:left w:val="nil"/>
              <w:bottom w:val="nil"/>
              <w:right w:val="nil"/>
            </w:tcBorders>
            <w:shd w:val="clear" w:color="auto" w:fill="auto"/>
            <w:noWrap/>
            <w:vAlign w:val="bottom"/>
            <w:hideMark/>
          </w:tcPr>
          <w:p w14:paraId="13AD016C" w14:textId="32171013"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81,3</w:t>
            </w:r>
          </w:p>
        </w:tc>
        <w:tc>
          <w:tcPr>
            <w:tcW w:w="293" w:type="pct"/>
            <w:tcBorders>
              <w:top w:val="nil"/>
              <w:left w:val="nil"/>
              <w:bottom w:val="nil"/>
              <w:right w:val="nil"/>
            </w:tcBorders>
            <w:shd w:val="clear" w:color="auto" w:fill="auto"/>
            <w:noWrap/>
            <w:vAlign w:val="bottom"/>
            <w:hideMark/>
          </w:tcPr>
          <w:p w14:paraId="6F1C5A88" w14:textId="0B7FEF60"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84,7</w:t>
            </w:r>
          </w:p>
        </w:tc>
        <w:tc>
          <w:tcPr>
            <w:tcW w:w="326" w:type="pct"/>
            <w:tcBorders>
              <w:top w:val="nil"/>
              <w:left w:val="nil"/>
              <w:bottom w:val="nil"/>
              <w:right w:val="nil"/>
            </w:tcBorders>
            <w:shd w:val="clear" w:color="auto" w:fill="auto"/>
            <w:noWrap/>
            <w:vAlign w:val="bottom"/>
            <w:hideMark/>
          </w:tcPr>
          <w:p w14:paraId="2DCA0C7E" w14:textId="479ED666"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89,9</w:t>
            </w:r>
          </w:p>
        </w:tc>
        <w:tc>
          <w:tcPr>
            <w:tcW w:w="327" w:type="pct"/>
            <w:tcBorders>
              <w:top w:val="nil"/>
              <w:left w:val="nil"/>
              <w:bottom w:val="nil"/>
              <w:right w:val="nil"/>
            </w:tcBorders>
            <w:shd w:val="clear" w:color="auto" w:fill="auto"/>
            <w:noWrap/>
            <w:vAlign w:val="bottom"/>
            <w:hideMark/>
          </w:tcPr>
          <w:p w14:paraId="3B4E05A1" w14:textId="4ABA47C7"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94,4</w:t>
            </w:r>
          </w:p>
        </w:tc>
        <w:tc>
          <w:tcPr>
            <w:tcW w:w="327" w:type="pct"/>
            <w:tcBorders>
              <w:top w:val="nil"/>
              <w:left w:val="nil"/>
              <w:bottom w:val="nil"/>
              <w:right w:val="nil"/>
            </w:tcBorders>
            <w:shd w:val="clear" w:color="auto" w:fill="auto"/>
            <w:noWrap/>
            <w:vAlign w:val="bottom"/>
            <w:hideMark/>
          </w:tcPr>
          <w:p w14:paraId="3B3AD2BF" w14:textId="7B2EA05D"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93,4</w:t>
            </w:r>
          </w:p>
        </w:tc>
        <w:tc>
          <w:tcPr>
            <w:tcW w:w="327" w:type="pct"/>
            <w:tcBorders>
              <w:top w:val="nil"/>
              <w:left w:val="nil"/>
              <w:bottom w:val="nil"/>
              <w:right w:val="nil"/>
            </w:tcBorders>
            <w:shd w:val="clear" w:color="auto" w:fill="auto"/>
            <w:noWrap/>
            <w:vAlign w:val="bottom"/>
            <w:hideMark/>
          </w:tcPr>
          <w:p w14:paraId="5AB3BA62" w14:textId="77E366A3"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100,2</w:t>
            </w:r>
          </w:p>
        </w:tc>
        <w:tc>
          <w:tcPr>
            <w:tcW w:w="327" w:type="pct"/>
            <w:tcBorders>
              <w:top w:val="nil"/>
              <w:left w:val="nil"/>
              <w:bottom w:val="nil"/>
              <w:right w:val="nil"/>
            </w:tcBorders>
            <w:shd w:val="clear" w:color="auto" w:fill="auto"/>
            <w:noWrap/>
            <w:vAlign w:val="bottom"/>
            <w:hideMark/>
          </w:tcPr>
          <w:p w14:paraId="3C022901" w14:textId="20EB0A02"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109,8</w:t>
            </w:r>
          </w:p>
        </w:tc>
        <w:tc>
          <w:tcPr>
            <w:tcW w:w="326" w:type="pct"/>
            <w:tcBorders>
              <w:top w:val="nil"/>
              <w:left w:val="nil"/>
              <w:bottom w:val="nil"/>
              <w:right w:val="nil"/>
            </w:tcBorders>
            <w:shd w:val="clear" w:color="auto" w:fill="auto"/>
            <w:noWrap/>
            <w:vAlign w:val="bottom"/>
            <w:hideMark/>
          </w:tcPr>
          <w:p w14:paraId="39EBD851" w14:textId="317299CC" w:rsidR="00365956" w:rsidRPr="00365956" w:rsidRDefault="00365956" w:rsidP="00365956">
            <w:pPr>
              <w:spacing w:after="0" w:line="240" w:lineRule="auto"/>
              <w:jc w:val="right"/>
              <w:rPr>
                <w:color w:val="000000"/>
                <w:sz w:val="20"/>
                <w:szCs w:val="20"/>
                <w:lang w:eastAsia="sk-SK"/>
              </w:rPr>
            </w:pPr>
            <w:r w:rsidRPr="00365956">
              <w:rPr>
                <w:color w:val="000000"/>
                <w:sz w:val="20"/>
                <w:szCs w:val="20"/>
              </w:rPr>
              <w:t>122,8</w:t>
            </w:r>
          </w:p>
        </w:tc>
      </w:tr>
      <w:tr w:rsidR="00365956" w:rsidRPr="00365956" w14:paraId="04B4E28F" w14:textId="77777777" w:rsidTr="00B972E6">
        <w:trPr>
          <w:trHeight w:val="288"/>
        </w:trPr>
        <w:tc>
          <w:tcPr>
            <w:tcW w:w="1421" w:type="pct"/>
            <w:tcBorders>
              <w:top w:val="nil"/>
              <w:left w:val="nil"/>
              <w:bottom w:val="nil"/>
              <w:right w:val="nil"/>
            </w:tcBorders>
            <w:shd w:val="clear" w:color="auto" w:fill="auto"/>
            <w:noWrap/>
            <w:vAlign w:val="center"/>
            <w:hideMark/>
          </w:tcPr>
          <w:p w14:paraId="66BFC181" w14:textId="1EB81FDF" w:rsidR="00365956" w:rsidRPr="00365956" w:rsidRDefault="00365956" w:rsidP="00365956">
            <w:pPr>
              <w:spacing w:after="0" w:line="240" w:lineRule="auto"/>
              <w:rPr>
                <w:b/>
                <w:bCs/>
                <w:color w:val="000000"/>
                <w:sz w:val="20"/>
                <w:szCs w:val="20"/>
                <w:lang w:eastAsia="sk-SK"/>
              </w:rPr>
            </w:pPr>
            <w:r w:rsidRPr="00365956">
              <w:rPr>
                <w:b/>
                <w:bCs/>
                <w:color w:val="000000"/>
                <w:sz w:val="20"/>
                <w:szCs w:val="20"/>
                <w:lang w:eastAsia="sk-SK"/>
              </w:rPr>
              <w:t xml:space="preserve">HDP po </w:t>
            </w:r>
          </w:p>
        </w:tc>
        <w:tc>
          <w:tcPr>
            <w:tcW w:w="461" w:type="pct"/>
            <w:tcBorders>
              <w:top w:val="nil"/>
              <w:left w:val="nil"/>
              <w:bottom w:val="nil"/>
              <w:right w:val="nil"/>
            </w:tcBorders>
            <w:shd w:val="clear" w:color="auto" w:fill="auto"/>
            <w:noWrap/>
            <w:vAlign w:val="center"/>
            <w:hideMark/>
          </w:tcPr>
          <w:p w14:paraId="656F72BD" w14:textId="77777777" w:rsidR="00365956" w:rsidRPr="00365956" w:rsidRDefault="00365956" w:rsidP="00365956">
            <w:pPr>
              <w:spacing w:after="0" w:line="240" w:lineRule="auto"/>
              <w:jc w:val="center"/>
              <w:rPr>
                <w:b/>
                <w:bCs/>
                <w:color w:val="000000"/>
                <w:sz w:val="20"/>
                <w:szCs w:val="20"/>
                <w:lang w:eastAsia="sk-SK"/>
              </w:rPr>
            </w:pPr>
            <w:r w:rsidRPr="00365956">
              <w:rPr>
                <w:b/>
                <w:bCs/>
                <w:color w:val="000000"/>
                <w:sz w:val="20"/>
                <w:szCs w:val="20"/>
                <w:lang w:eastAsia="sk-SK"/>
              </w:rPr>
              <w:t>mld. eur</w:t>
            </w:r>
          </w:p>
        </w:tc>
        <w:tc>
          <w:tcPr>
            <w:tcW w:w="289" w:type="pct"/>
            <w:tcBorders>
              <w:top w:val="nil"/>
              <w:left w:val="nil"/>
              <w:bottom w:val="nil"/>
              <w:right w:val="nil"/>
            </w:tcBorders>
            <w:shd w:val="clear" w:color="auto" w:fill="auto"/>
            <w:noWrap/>
            <w:vAlign w:val="bottom"/>
            <w:hideMark/>
          </w:tcPr>
          <w:p w14:paraId="7F91A6AE" w14:textId="7EEB116A" w:rsidR="00365956" w:rsidRPr="00365956" w:rsidRDefault="00365956" w:rsidP="00365956">
            <w:pPr>
              <w:spacing w:after="0" w:line="240" w:lineRule="auto"/>
              <w:jc w:val="right"/>
              <w:rPr>
                <w:b/>
                <w:bCs/>
                <w:sz w:val="20"/>
                <w:szCs w:val="20"/>
                <w:lang w:eastAsia="sk-SK"/>
              </w:rPr>
            </w:pPr>
            <w:r w:rsidRPr="00365956">
              <w:rPr>
                <w:b/>
                <w:bCs/>
                <w:sz w:val="20"/>
                <w:szCs w:val="20"/>
              </w:rPr>
              <w:t>76,6</w:t>
            </w:r>
          </w:p>
        </w:tc>
        <w:tc>
          <w:tcPr>
            <w:tcW w:w="289" w:type="pct"/>
            <w:tcBorders>
              <w:top w:val="nil"/>
              <w:left w:val="nil"/>
              <w:bottom w:val="nil"/>
              <w:right w:val="nil"/>
            </w:tcBorders>
            <w:shd w:val="clear" w:color="auto" w:fill="auto"/>
            <w:noWrap/>
            <w:vAlign w:val="bottom"/>
            <w:hideMark/>
          </w:tcPr>
          <w:p w14:paraId="11B4623E" w14:textId="1E4716C4" w:rsidR="00365956" w:rsidRPr="00365956" w:rsidRDefault="00365956" w:rsidP="00365956">
            <w:pPr>
              <w:spacing w:after="0" w:line="240" w:lineRule="auto"/>
              <w:jc w:val="right"/>
              <w:rPr>
                <w:b/>
                <w:bCs/>
                <w:sz w:val="20"/>
                <w:szCs w:val="20"/>
                <w:lang w:eastAsia="sk-SK"/>
              </w:rPr>
            </w:pPr>
            <w:r w:rsidRPr="00365956">
              <w:rPr>
                <w:b/>
                <w:bCs/>
                <w:sz w:val="20"/>
                <w:szCs w:val="20"/>
              </w:rPr>
              <w:t>80,4</w:t>
            </w:r>
          </w:p>
        </w:tc>
        <w:tc>
          <w:tcPr>
            <w:tcW w:w="289" w:type="pct"/>
            <w:tcBorders>
              <w:top w:val="nil"/>
              <w:left w:val="nil"/>
              <w:bottom w:val="nil"/>
              <w:right w:val="nil"/>
            </w:tcBorders>
            <w:shd w:val="clear" w:color="auto" w:fill="auto"/>
            <w:noWrap/>
            <w:vAlign w:val="bottom"/>
            <w:hideMark/>
          </w:tcPr>
          <w:p w14:paraId="50298FE8" w14:textId="63775164" w:rsidR="00365956" w:rsidRPr="00365956" w:rsidRDefault="00365956" w:rsidP="00365956">
            <w:pPr>
              <w:spacing w:after="0" w:line="240" w:lineRule="auto"/>
              <w:jc w:val="right"/>
              <w:rPr>
                <w:b/>
                <w:bCs/>
                <w:sz w:val="20"/>
                <w:szCs w:val="20"/>
                <w:lang w:eastAsia="sk-SK"/>
              </w:rPr>
            </w:pPr>
            <w:r w:rsidRPr="00365956">
              <w:rPr>
                <w:b/>
                <w:bCs/>
                <w:sz w:val="20"/>
                <w:szCs w:val="20"/>
              </w:rPr>
              <w:t>81,6</w:t>
            </w:r>
          </w:p>
        </w:tc>
        <w:tc>
          <w:tcPr>
            <w:tcW w:w="293" w:type="pct"/>
            <w:tcBorders>
              <w:top w:val="nil"/>
              <w:left w:val="nil"/>
              <w:bottom w:val="nil"/>
              <w:right w:val="nil"/>
            </w:tcBorders>
            <w:shd w:val="clear" w:color="auto" w:fill="auto"/>
            <w:noWrap/>
            <w:vAlign w:val="bottom"/>
            <w:hideMark/>
          </w:tcPr>
          <w:p w14:paraId="658297A3" w14:textId="34F0F479" w:rsidR="00365956" w:rsidRPr="00365956" w:rsidRDefault="00365956" w:rsidP="00365956">
            <w:pPr>
              <w:spacing w:after="0" w:line="240" w:lineRule="auto"/>
              <w:jc w:val="right"/>
              <w:rPr>
                <w:b/>
                <w:bCs/>
                <w:sz w:val="20"/>
                <w:szCs w:val="20"/>
                <w:lang w:eastAsia="sk-SK"/>
              </w:rPr>
            </w:pPr>
            <w:r w:rsidRPr="00365956">
              <w:rPr>
                <w:b/>
                <w:bCs/>
                <w:sz w:val="20"/>
                <w:szCs w:val="20"/>
              </w:rPr>
              <w:t>85,0</w:t>
            </w:r>
          </w:p>
        </w:tc>
        <w:tc>
          <w:tcPr>
            <w:tcW w:w="326" w:type="pct"/>
            <w:tcBorders>
              <w:top w:val="nil"/>
              <w:left w:val="nil"/>
              <w:bottom w:val="nil"/>
              <w:right w:val="nil"/>
            </w:tcBorders>
            <w:shd w:val="clear" w:color="auto" w:fill="auto"/>
            <w:noWrap/>
            <w:vAlign w:val="bottom"/>
            <w:hideMark/>
          </w:tcPr>
          <w:p w14:paraId="5E0038AE" w14:textId="10E81C70" w:rsidR="00365956" w:rsidRPr="00365956" w:rsidRDefault="00365956" w:rsidP="00365956">
            <w:pPr>
              <w:spacing w:after="0" w:line="240" w:lineRule="auto"/>
              <w:jc w:val="right"/>
              <w:rPr>
                <w:b/>
                <w:bCs/>
                <w:sz w:val="20"/>
                <w:szCs w:val="20"/>
                <w:lang w:eastAsia="sk-SK"/>
              </w:rPr>
            </w:pPr>
            <w:r w:rsidRPr="00365956">
              <w:rPr>
                <w:b/>
                <w:bCs/>
                <w:sz w:val="20"/>
                <w:szCs w:val="20"/>
              </w:rPr>
              <w:t>90,3</w:t>
            </w:r>
          </w:p>
        </w:tc>
        <w:tc>
          <w:tcPr>
            <w:tcW w:w="327" w:type="pct"/>
            <w:tcBorders>
              <w:top w:val="nil"/>
              <w:left w:val="nil"/>
              <w:bottom w:val="nil"/>
              <w:right w:val="nil"/>
            </w:tcBorders>
            <w:shd w:val="clear" w:color="auto" w:fill="auto"/>
            <w:noWrap/>
            <w:vAlign w:val="bottom"/>
            <w:hideMark/>
          </w:tcPr>
          <w:p w14:paraId="498B5DB3" w14:textId="5E5FCACE" w:rsidR="00365956" w:rsidRPr="00365956" w:rsidRDefault="00365956" w:rsidP="00365956">
            <w:pPr>
              <w:spacing w:after="0" w:line="240" w:lineRule="auto"/>
              <w:jc w:val="right"/>
              <w:rPr>
                <w:b/>
                <w:bCs/>
                <w:sz w:val="20"/>
                <w:szCs w:val="20"/>
                <w:lang w:eastAsia="sk-SK"/>
              </w:rPr>
            </w:pPr>
            <w:r w:rsidRPr="00365956">
              <w:rPr>
                <w:b/>
                <w:bCs/>
                <w:sz w:val="20"/>
                <w:szCs w:val="20"/>
              </w:rPr>
              <w:t>94,5</w:t>
            </w:r>
          </w:p>
        </w:tc>
        <w:tc>
          <w:tcPr>
            <w:tcW w:w="327" w:type="pct"/>
            <w:tcBorders>
              <w:top w:val="nil"/>
              <w:left w:val="nil"/>
              <w:bottom w:val="nil"/>
              <w:right w:val="nil"/>
            </w:tcBorders>
            <w:shd w:val="clear" w:color="auto" w:fill="auto"/>
            <w:noWrap/>
            <w:vAlign w:val="bottom"/>
            <w:hideMark/>
          </w:tcPr>
          <w:p w14:paraId="02968ADA" w14:textId="00599D62" w:rsidR="00365956" w:rsidRPr="00365956" w:rsidRDefault="00365956" w:rsidP="00365956">
            <w:pPr>
              <w:spacing w:after="0" w:line="240" w:lineRule="auto"/>
              <w:jc w:val="right"/>
              <w:rPr>
                <w:b/>
                <w:bCs/>
                <w:sz w:val="20"/>
                <w:szCs w:val="20"/>
                <w:lang w:eastAsia="sk-SK"/>
              </w:rPr>
            </w:pPr>
            <w:r w:rsidRPr="00365956">
              <w:rPr>
                <w:b/>
                <w:bCs/>
                <w:sz w:val="20"/>
                <w:szCs w:val="20"/>
              </w:rPr>
              <w:t>94,3</w:t>
            </w:r>
          </w:p>
        </w:tc>
        <w:tc>
          <w:tcPr>
            <w:tcW w:w="327" w:type="pct"/>
            <w:tcBorders>
              <w:top w:val="nil"/>
              <w:left w:val="nil"/>
              <w:bottom w:val="nil"/>
              <w:right w:val="nil"/>
            </w:tcBorders>
            <w:shd w:val="clear" w:color="auto" w:fill="auto"/>
            <w:noWrap/>
            <w:vAlign w:val="bottom"/>
            <w:hideMark/>
          </w:tcPr>
          <w:p w14:paraId="6459731B" w14:textId="177E46FE" w:rsidR="00365956" w:rsidRPr="00365956" w:rsidRDefault="00365956" w:rsidP="00365956">
            <w:pPr>
              <w:spacing w:after="0" w:line="240" w:lineRule="auto"/>
              <w:jc w:val="right"/>
              <w:rPr>
                <w:b/>
                <w:bCs/>
                <w:sz w:val="20"/>
                <w:szCs w:val="20"/>
                <w:lang w:eastAsia="sk-SK"/>
              </w:rPr>
            </w:pPr>
            <w:r w:rsidRPr="00365956">
              <w:rPr>
                <w:b/>
                <w:bCs/>
                <w:sz w:val="20"/>
                <w:szCs w:val="20"/>
              </w:rPr>
              <w:t>102,0</w:t>
            </w:r>
          </w:p>
        </w:tc>
        <w:tc>
          <w:tcPr>
            <w:tcW w:w="327" w:type="pct"/>
            <w:tcBorders>
              <w:top w:val="nil"/>
              <w:left w:val="nil"/>
              <w:bottom w:val="nil"/>
              <w:right w:val="nil"/>
            </w:tcBorders>
            <w:shd w:val="clear" w:color="auto" w:fill="auto"/>
            <w:noWrap/>
            <w:vAlign w:val="bottom"/>
            <w:hideMark/>
          </w:tcPr>
          <w:p w14:paraId="56A1CF91" w14:textId="6DCBEC83" w:rsidR="00365956" w:rsidRPr="00365956" w:rsidRDefault="00365956" w:rsidP="00365956">
            <w:pPr>
              <w:spacing w:after="0" w:line="240" w:lineRule="auto"/>
              <w:jc w:val="right"/>
              <w:rPr>
                <w:b/>
                <w:bCs/>
                <w:sz w:val="20"/>
                <w:szCs w:val="20"/>
                <w:lang w:eastAsia="sk-SK"/>
              </w:rPr>
            </w:pPr>
            <w:r w:rsidRPr="00365956">
              <w:rPr>
                <w:b/>
                <w:bCs/>
                <w:sz w:val="20"/>
                <w:szCs w:val="20"/>
              </w:rPr>
              <w:t>110,1</w:t>
            </w:r>
          </w:p>
        </w:tc>
        <w:tc>
          <w:tcPr>
            <w:tcW w:w="326" w:type="pct"/>
            <w:tcBorders>
              <w:top w:val="nil"/>
              <w:left w:val="nil"/>
              <w:bottom w:val="nil"/>
              <w:right w:val="nil"/>
            </w:tcBorders>
            <w:shd w:val="clear" w:color="auto" w:fill="auto"/>
            <w:noWrap/>
            <w:vAlign w:val="bottom"/>
            <w:hideMark/>
          </w:tcPr>
          <w:p w14:paraId="18A4C8B7" w14:textId="205E934C" w:rsidR="00365956" w:rsidRPr="00365956" w:rsidRDefault="00365956" w:rsidP="00365956">
            <w:pPr>
              <w:spacing w:after="0" w:line="240" w:lineRule="auto"/>
              <w:jc w:val="right"/>
              <w:rPr>
                <w:b/>
                <w:bCs/>
                <w:sz w:val="20"/>
                <w:szCs w:val="20"/>
                <w:lang w:eastAsia="sk-SK"/>
              </w:rPr>
            </w:pPr>
            <w:r w:rsidRPr="00365956">
              <w:rPr>
                <w:b/>
                <w:bCs/>
                <w:sz w:val="20"/>
                <w:szCs w:val="20"/>
              </w:rPr>
              <w:t>122,9</w:t>
            </w:r>
          </w:p>
        </w:tc>
      </w:tr>
      <w:tr w:rsidR="00B972E6" w:rsidRPr="00365956" w14:paraId="15E91526" w14:textId="77777777" w:rsidTr="00B972E6">
        <w:trPr>
          <w:trHeight w:val="288"/>
        </w:trPr>
        <w:tc>
          <w:tcPr>
            <w:tcW w:w="1421" w:type="pct"/>
            <w:tcBorders>
              <w:top w:val="nil"/>
              <w:left w:val="nil"/>
              <w:bottom w:val="nil"/>
              <w:right w:val="nil"/>
            </w:tcBorders>
            <w:shd w:val="clear" w:color="auto" w:fill="auto"/>
            <w:noWrap/>
            <w:vAlign w:val="center"/>
            <w:hideMark/>
          </w:tcPr>
          <w:p w14:paraId="2A6445C4" w14:textId="3C68DCA0" w:rsidR="00B972E6" w:rsidRPr="00365956" w:rsidRDefault="00B972E6" w:rsidP="00B972E6">
            <w:pPr>
              <w:spacing w:after="0" w:line="240" w:lineRule="auto"/>
              <w:rPr>
                <w:color w:val="000000"/>
                <w:sz w:val="20"/>
                <w:szCs w:val="20"/>
                <w:lang w:eastAsia="sk-SK"/>
              </w:rPr>
            </w:pPr>
            <w:r w:rsidRPr="00365956">
              <w:rPr>
                <w:color w:val="000000"/>
                <w:sz w:val="20"/>
                <w:szCs w:val="20"/>
                <w:lang w:eastAsia="sk-SK"/>
              </w:rPr>
              <w:t>Rast HDP pred</w:t>
            </w:r>
            <w:r>
              <w:rPr>
                <w:color w:val="000000"/>
                <w:sz w:val="20"/>
                <w:szCs w:val="20"/>
                <w:lang w:eastAsia="sk-SK"/>
              </w:rPr>
              <w:t xml:space="preserve"> v s. c.</w:t>
            </w:r>
          </w:p>
        </w:tc>
        <w:tc>
          <w:tcPr>
            <w:tcW w:w="461" w:type="pct"/>
            <w:tcBorders>
              <w:top w:val="nil"/>
              <w:left w:val="nil"/>
              <w:right w:val="nil"/>
            </w:tcBorders>
            <w:shd w:val="clear" w:color="auto" w:fill="auto"/>
            <w:noWrap/>
            <w:vAlign w:val="center"/>
            <w:hideMark/>
          </w:tcPr>
          <w:p w14:paraId="63D5446C" w14:textId="77777777" w:rsidR="00B972E6" w:rsidRPr="00365956" w:rsidRDefault="00B972E6" w:rsidP="00B972E6">
            <w:pPr>
              <w:spacing w:after="0" w:line="240" w:lineRule="auto"/>
              <w:jc w:val="center"/>
              <w:rPr>
                <w:color w:val="000000"/>
                <w:sz w:val="20"/>
                <w:szCs w:val="20"/>
                <w:lang w:eastAsia="sk-SK"/>
              </w:rPr>
            </w:pPr>
            <w:r w:rsidRPr="00365956">
              <w:rPr>
                <w:color w:val="000000"/>
                <w:sz w:val="20"/>
                <w:szCs w:val="20"/>
                <w:lang w:eastAsia="sk-SK"/>
              </w:rPr>
              <w:t>%</w:t>
            </w:r>
          </w:p>
        </w:tc>
        <w:tc>
          <w:tcPr>
            <w:tcW w:w="289" w:type="pct"/>
            <w:tcBorders>
              <w:top w:val="nil"/>
              <w:left w:val="nil"/>
              <w:right w:val="nil"/>
            </w:tcBorders>
            <w:shd w:val="clear" w:color="auto" w:fill="auto"/>
            <w:noWrap/>
            <w:vAlign w:val="bottom"/>
            <w:hideMark/>
          </w:tcPr>
          <w:p w14:paraId="07AEC35F" w14:textId="2AE763FE" w:rsidR="00B972E6" w:rsidRPr="00365956" w:rsidRDefault="00B972E6" w:rsidP="00B972E6">
            <w:pPr>
              <w:spacing w:after="0" w:line="240" w:lineRule="auto"/>
              <w:jc w:val="right"/>
              <w:rPr>
                <w:color w:val="000000"/>
                <w:sz w:val="20"/>
                <w:szCs w:val="20"/>
                <w:lang w:eastAsia="sk-SK"/>
              </w:rPr>
            </w:pPr>
            <w:r>
              <w:rPr>
                <w:color w:val="000000"/>
                <w:sz w:val="20"/>
                <w:szCs w:val="20"/>
              </w:rPr>
              <w:t>2,7</w:t>
            </w:r>
          </w:p>
        </w:tc>
        <w:tc>
          <w:tcPr>
            <w:tcW w:w="289" w:type="pct"/>
            <w:tcBorders>
              <w:top w:val="nil"/>
              <w:left w:val="nil"/>
              <w:right w:val="nil"/>
            </w:tcBorders>
            <w:shd w:val="clear" w:color="auto" w:fill="auto"/>
            <w:noWrap/>
            <w:vAlign w:val="bottom"/>
            <w:hideMark/>
          </w:tcPr>
          <w:p w14:paraId="5689C8B6" w14:textId="67419E8E" w:rsidR="00B972E6" w:rsidRPr="00365956" w:rsidRDefault="00B972E6" w:rsidP="00B972E6">
            <w:pPr>
              <w:spacing w:after="0" w:line="240" w:lineRule="auto"/>
              <w:jc w:val="right"/>
              <w:rPr>
                <w:color w:val="000000"/>
                <w:sz w:val="20"/>
                <w:szCs w:val="20"/>
                <w:lang w:eastAsia="sk-SK"/>
              </w:rPr>
            </w:pPr>
            <w:r>
              <w:rPr>
                <w:color w:val="000000"/>
                <w:sz w:val="20"/>
                <w:szCs w:val="20"/>
              </w:rPr>
              <w:t>5,2</w:t>
            </w:r>
          </w:p>
        </w:tc>
        <w:tc>
          <w:tcPr>
            <w:tcW w:w="289" w:type="pct"/>
            <w:tcBorders>
              <w:top w:val="nil"/>
              <w:left w:val="nil"/>
              <w:right w:val="nil"/>
            </w:tcBorders>
            <w:shd w:val="clear" w:color="auto" w:fill="auto"/>
            <w:noWrap/>
            <w:vAlign w:val="bottom"/>
            <w:hideMark/>
          </w:tcPr>
          <w:p w14:paraId="7EE5C69B" w14:textId="73203261" w:rsidR="00B972E6" w:rsidRPr="00365956" w:rsidRDefault="00B972E6" w:rsidP="00B972E6">
            <w:pPr>
              <w:spacing w:after="0" w:line="240" w:lineRule="auto"/>
              <w:jc w:val="right"/>
              <w:rPr>
                <w:color w:val="000000"/>
                <w:sz w:val="20"/>
                <w:szCs w:val="20"/>
                <w:lang w:eastAsia="sk-SK"/>
              </w:rPr>
            </w:pPr>
            <w:r>
              <w:rPr>
                <w:color w:val="000000"/>
                <w:sz w:val="20"/>
                <w:szCs w:val="20"/>
              </w:rPr>
              <w:t>1,9</w:t>
            </w:r>
          </w:p>
        </w:tc>
        <w:tc>
          <w:tcPr>
            <w:tcW w:w="293" w:type="pct"/>
            <w:tcBorders>
              <w:top w:val="nil"/>
              <w:left w:val="nil"/>
              <w:right w:val="nil"/>
            </w:tcBorders>
            <w:shd w:val="clear" w:color="auto" w:fill="auto"/>
            <w:noWrap/>
            <w:vAlign w:val="bottom"/>
            <w:hideMark/>
          </w:tcPr>
          <w:p w14:paraId="50011601" w14:textId="0132CCFA" w:rsidR="00B972E6" w:rsidRPr="00365956" w:rsidRDefault="00B972E6" w:rsidP="00B972E6">
            <w:pPr>
              <w:spacing w:after="0" w:line="240" w:lineRule="auto"/>
              <w:jc w:val="right"/>
              <w:rPr>
                <w:color w:val="000000"/>
                <w:sz w:val="20"/>
                <w:szCs w:val="20"/>
                <w:lang w:eastAsia="sk-SK"/>
              </w:rPr>
            </w:pPr>
            <w:r>
              <w:rPr>
                <w:color w:val="000000"/>
                <w:sz w:val="20"/>
                <w:szCs w:val="20"/>
              </w:rPr>
              <w:t>2,9</w:t>
            </w:r>
          </w:p>
        </w:tc>
        <w:tc>
          <w:tcPr>
            <w:tcW w:w="326" w:type="pct"/>
            <w:tcBorders>
              <w:top w:val="nil"/>
              <w:left w:val="nil"/>
              <w:right w:val="nil"/>
            </w:tcBorders>
            <w:shd w:val="clear" w:color="auto" w:fill="auto"/>
            <w:noWrap/>
            <w:vAlign w:val="bottom"/>
            <w:hideMark/>
          </w:tcPr>
          <w:p w14:paraId="54B5FB34" w14:textId="10FAE697" w:rsidR="00B972E6" w:rsidRPr="00365956" w:rsidRDefault="00B972E6" w:rsidP="00B972E6">
            <w:pPr>
              <w:spacing w:after="0" w:line="240" w:lineRule="auto"/>
              <w:jc w:val="right"/>
              <w:rPr>
                <w:color w:val="000000"/>
                <w:sz w:val="20"/>
                <w:szCs w:val="20"/>
                <w:lang w:eastAsia="sk-SK"/>
              </w:rPr>
            </w:pPr>
            <w:r>
              <w:rPr>
                <w:color w:val="000000"/>
                <w:sz w:val="20"/>
                <w:szCs w:val="20"/>
              </w:rPr>
              <w:t>4,0</w:t>
            </w:r>
          </w:p>
        </w:tc>
        <w:tc>
          <w:tcPr>
            <w:tcW w:w="327" w:type="pct"/>
            <w:tcBorders>
              <w:top w:val="nil"/>
              <w:left w:val="nil"/>
              <w:right w:val="nil"/>
            </w:tcBorders>
            <w:shd w:val="clear" w:color="auto" w:fill="auto"/>
            <w:noWrap/>
            <w:vAlign w:val="bottom"/>
            <w:hideMark/>
          </w:tcPr>
          <w:p w14:paraId="6472E7BC" w14:textId="63BBAFE0" w:rsidR="00B972E6" w:rsidRPr="00365956" w:rsidRDefault="00B972E6" w:rsidP="00B972E6">
            <w:pPr>
              <w:spacing w:after="0" w:line="240" w:lineRule="auto"/>
              <w:jc w:val="right"/>
              <w:rPr>
                <w:color w:val="000000"/>
                <w:sz w:val="20"/>
                <w:szCs w:val="20"/>
                <w:lang w:eastAsia="sk-SK"/>
              </w:rPr>
            </w:pPr>
            <w:r>
              <w:rPr>
                <w:color w:val="000000"/>
                <w:sz w:val="20"/>
                <w:szCs w:val="20"/>
              </w:rPr>
              <w:t>2,5</w:t>
            </w:r>
          </w:p>
        </w:tc>
        <w:tc>
          <w:tcPr>
            <w:tcW w:w="327" w:type="pct"/>
            <w:tcBorders>
              <w:top w:val="nil"/>
              <w:left w:val="nil"/>
              <w:right w:val="nil"/>
            </w:tcBorders>
            <w:shd w:val="clear" w:color="auto" w:fill="auto"/>
            <w:noWrap/>
            <w:vAlign w:val="bottom"/>
            <w:hideMark/>
          </w:tcPr>
          <w:p w14:paraId="2730FC14" w14:textId="526F96FE" w:rsidR="00B972E6" w:rsidRPr="00365956" w:rsidRDefault="00B972E6" w:rsidP="00B972E6">
            <w:pPr>
              <w:spacing w:after="0" w:line="240" w:lineRule="auto"/>
              <w:jc w:val="right"/>
              <w:rPr>
                <w:color w:val="000000"/>
                <w:sz w:val="20"/>
                <w:szCs w:val="20"/>
                <w:lang w:eastAsia="sk-SK"/>
              </w:rPr>
            </w:pPr>
            <w:r>
              <w:rPr>
                <w:color w:val="000000"/>
                <w:sz w:val="20"/>
                <w:szCs w:val="20"/>
              </w:rPr>
              <w:t>-3,3</w:t>
            </w:r>
          </w:p>
        </w:tc>
        <w:tc>
          <w:tcPr>
            <w:tcW w:w="327" w:type="pct"/>
            <w:tcBorders>
              <w:top w:val="nil"/>
              <w:left w:val="nil"/>
              <w:right w:val="nil"/>
            </w:tcBorders>
            <w:shd w:val="clear" w:color="auto" w:fill="auto"/>
            <w:noWrap/>
            <w:vAlign w:val="bottom"/>
            <w:hideMark/>
          </w:tcPr>
          <w:p w14:paraId="1D434A82" w14:textId="11A3E6D4" w:rsidR="00B972E6" w:rsidRPr="00365956" w:rsidRDefault="00B972E6" w:rsidP="00B972E6">
            <w:pPr>
              <w:spacing w:after="0" w:line="240" w:lineRule="auto"/>
              <w:jc w:val="right"/>
              <w:rPr>
                <w:color w:val="000000"/>
                <w:sz w:val="20"/>
                <w:szCs w:val="20"/>
                <w:lang w:eastAsia="sk-SK"/>
              </w:rPr>
            </w:pPr>
            <w:r>
              <w:rPr>
                <w:color w:val="000000"/>
                <w:sz w:val="20"/>
                <w:szCs w:val="20"/>
              </w:rPr>
              <w:t>4,8</w:t>
            </w:r>
          </w:p>
        </w:tc>
        <w:tc>
          <w:tcPr>
            <w:tcW w:w="327" w:type="pct"/>
            <w:tcBorders>
              <w:top w:val="nil"/>
              <w:left w:val="nil"/>
              <w:right w:val="nil"/>
            </w:tcBorders>
            <w:shd w:val="clear" w:color="auto" w:fill="auto"/>
            <w:noWrap/>
            <w:vAlign w:val="bottom"/>
            <w:hideMark/>
          </w:tcPr>
          <w:p w14:paraId="398E1C64" w14:textId="0BA87E03" w:rsidR="00B972E6" w:rsidRPr="00365956" w:rsidRDefault="00B972E6" w:rsidP="00B972E6">
            <w:pPr>
              <w:spacing w:after="0" w:line="240" w:lineRule="auto"/>
              <w:jc w:val="right"/>
              <w:rPr>
                <w:color w:val="000000"/>
                <w:sz w:val="20"/>
                <w:szCs w:val="20"/>
                <w:lang w:eastAsia="sk-SK"/>
              </w:rPr>
            </w:pPr>
            <w:r>
              <w:rPr>
                <w:color w:val="000000"/>
                <w:sz w:val="20"/>
                <w:szCs w:val="20"/>
              </w:rPr>
              <w:t>1,9</w:t>
            </w:r>
          </w:p>
        </w:tc>
        <w:tc>
          <w:tcPr>
            <w:tcW w:w="326" w:type="pct"/>
            <w:tcBorders>
              <w:top w:val="nil"/>
              <w:left w:val="nil"/>
              <w:right w:val="nil"/>
            </w:tcBorders>
            <w:shd w:val="clear" w:color="auto" w:fill="auto"/>
            <w:noWrap/>
            <w:vAlign w:val="bottom"/>
            <w:hideMark/>
          </w:tcPr>
          <w:p w14:paraId="1BE406E4" w14:textId="740EA39E" w:rsidR="00B972E6" w:rsidRPr="00365956" w:rsidRDefault="00B972E6" w:rsidP="00B972E6">
            <w:pPr>
              <w:spacing w:after="0" w:line="240" w:lineRule="auto"/>
              <w:jc w:val="right"/>
              <w:rPr>
                <w:color w:val="000000"/>
                <w:sz w:val="20"/>
                <w:szCs w:val="20"/>
                <w:lang w:eastAsia="sk-SK"/>
              </w:rPr>
            </w:pPr>
            <w:r>
              <w:rPr>
                <w:color w:val="000000"/>
                <w:sz w:val="20"/>
                <w:szCs w:val="20"/>
              </w:rPr>
              <w:t>1,6</w:t>
            </w:r>
          </w:p>
        </w:tc>
      </w:tr>
      <w:tr w:rsidR="00B972E6" w:rsidRPr="009C7579" w14:paraId="23EF8D50" w14:textId="77777777" w:rsidTr="00B972E6">
        <w:trPr>
          <w:trHeight w:val="288"/>
        </w:trPr>
        <w:tc>
          <w:tcPr>
            <w:tcW w:w="1421" w:type="pct"/>
            <w:tcBorders>
              <w:top w:val="nil"/>
              <w:left w:val="nil"/>
              <w:bottom w:val="single" w:sz="4" w:space="0" w:color="auto"/>
              <w:right w:val="nil"/>
            </w:tcBorders>
            <w:shd w:val="clear" w:color="auto" w:fill="auto"/>
            <w:noWrap/>
            <w:vAlign w:val="center"/>
            <w:hideMark/>
          </w:tcPr>
          <w:p w14:paraId="29DD0EC0" w14:textId="4F77CABC" w:rsidR="00B972E6" w:rsidRPr="00365956" w:rsidRDefault="00B972E6" w:rsidP="00B972E6">
            <w:pPr>
              <w:spacing w:after="0" w:line="240" w:lineRule="auto"/>
              <w:rPr>
                <w:b/>
                <w:bCs/>
                <w:color w:val="000000"/>
                <w:sz w:val="20"/>
                <w:szCs w:val="20"/>
                <w:lang w:eastAsia="sk-SK"/>
              </w:rPr>
            </w:pPr>
            <w:r w:rsidRPr="00365956">
              <w:rPr>
                <w:b/>
                <w:bCs/>
                <w:color w:val="000000"/>
                <w:sz w:val="20"/>
                <w:szCs w:val="20"/>
                <w:lang w:eastAsia="sk-SK"/>
              </w:rPr>
              <w:t>Rast HDP po</w:t>
            </w:r>
            <w:r>
              <w:rPr>
                <w:b/>
                <w:bCs/>
                <w:color w:val="000000"/>
                <w:sz w:val="20"/>
                <w:szCs w:val="20"/>
                <w:lang w:eastAsia="sk-SK"/>
              </w:rPr>
              <w:t xml:space="preserve"> v s. c.</w:t>
            </w:r>
          </w:p>
        </w:tc>
        <w:tc>
          <w:tcPr>
            <w:tcW w:w="461" w:type="pct"/>
            <w:tcBorders>
              <w:top w:val="nil"/>
              <w:left w:val="nil"/>
              <w:bottom w:val="single" w:sz="4" w:space="0" w:color="auto"/>
              <w:right w:val="nil"/>
            </w:tcBorders>
            <w:shd w:val="clear" w:color="auto" w:fill="auto"/>
            <w:noWrap/>
            <w:vAlign w:val="center"/>
            <w:hideMark/>
          </w:tcPr>
          <w:p w14:paraId="208B9B37" w14:textId="77777777" w:rsidR="00B972E6" w:rsidRPr="00365956" w:rsidRDefault="00B972E6" w:rsidP="00B972E6">
            <w:pPr>
              <w:spacing w:after="0" w:line="240" w:lineRule="auto"/>
              <w:jc w:val="center"/>
              <w:rPr>
                <w:b/>
                <w:bCs/>
                <w:color w:val="000000"/>
                <w:sz w:val="20"/>
                <w:szCs w:val="20"/>
                <w:lang w:eastAsia="sk-SK"/>
              </w:rPr>
            </w:pPr>
            <w:r w:rsidRPr="00365956">
              <w:rPr>
                <w:b/>
                <w:bCs/>
                <w:color w:val="000000"/>
                <w:sz w:val="20"/>
                <w:szCs w:val="20"/>
                <w:lang w:eastAsia="sk-SK"/>
              </w:rPr>
              <w:t>%</w:t>
            </w:r>
          </w:p>
        </w:tc>
        <w:tc>
          <w:tcPr>
            <w:tcW w:w="289" w:type="pct"/>
            <w:tcBorders>
              <w:top w:val="nil"/>
              <w:left w:val="nil"/>
              <w:bottom w:val="single" w:sz="4" w:space="0" w:color="auto"/>
              <w:right w:val="nil"/>
            </w:tcBorders>
            <w:shd w:val="clear" w:color="auto" w:fill="auto"/>
            <w:noWrap/>
            <w:vAlign w:val="bottom"/>
            <w:hideMark/>
          </w:tcPr>
          <w:p w14:paraId="26CE610D" w14:textId="70FD1C17" w:rsidR="00B972E6" w:rsidRPr="00365956" w:rsidRDefault="00B972E6" w:rsidP="00B972E6">
            <w:pPr>
              <w:spacing w:after="0" w:line="240" w:lineRule="auto"/>
              <w:jc w:val="right"/>
              <w:rPr>
                <w:b/>
                <w:bCs/>
                <w:color w:val="000000"/>
                <w:sz w:val="20"/>
                <w:szCs w:val="20"/>
                <w:lang w:eastAsia="sk-SK"/>
              </w:rPr>
            </w:pPr>
            <w:r>
              <w:rPr>
                <w:b/>
                <w:bCs/>
                <w:color w:val="000000"/>
                <w:sz w:val="20"/>
                <w:szCs w:val="20"/>
              </w:rPr>
              <w:t>2,7</w:t>
            </w:r>
          </w:p>
        </w:tc>
        <w:tc>
          <w:tcPr>
            <w:tcW w:w="289" w:type="pct"/>
            <w:tcBorders>
              <w:top w:val="nil"/>
              <w:left w:val="nil"/>
              <w:bottom w:val="single" w:sz="4" w:space="0" w:color="auto"/>
              <w:right w:val="nil"/>
            </w:tcBorders>
            <w:shd w:val="clear" w:color="auto" w:fill="auto"/>
            <w:noWrap/>
            <w:vAlign w:val="bottom"/>
            <w:hideMark/>
          </w:tcPr>
          <w:p w14:paraId="566E01EB" w14:textId="57F8F682" w:rsidR="00B972E6" w:rsidRPr="00365956" w:rsidRDefault="00B972E6" w:rsidP="00B972E6">
            <w:pPr>
              <w:spacing w:after="0" w:line="240" w:lineRule="auto"/>
              <w:jc w:val="right"/>
              <w:rPr>
                <w:sz w:val="20"/>
                <w:szCs w:val="20"/>
                <w:lang w:eastAsia="sk-SK"/>
              </w:rPr>
            </w:pPr>
            <w:r>
              <w:rPr>
                <w:b/>
                <w:bCs/>
                <w:color w:val="000000"/>
                <w:sz w:val="20"/>
                <w:szCs w:val="20"/>
              </w:rPr>
              <w:t>5,2</w:t>
            </w:r>
          </w:p>
        </w:tc>
        <w:tc>
          <w:tcPr>
            <w:tcW w:w="289" w:type="pct"/>
            <w:tcBorders>
              <w:top w:val="nil"/>
              <w:left w:val="nil"/>
              <w:bottom w:val="single" w:sz="4" w:space="0" w:color="auto"/>
              <w:right w:val="nil"/>
            </w:tcBorders>
            <w:shd w:val="clear" w:color="auto" w:fill="auto"/>
            <w:noWrap/>
            <w:vAlign w:val="bottom"/>
            <w:hideMark/>
          </w:tcPr>
          <w:p w14:paraId="554C782D" w14:textId="2D49BBED" w:rsidR="00B972E6" w:rsidRPr="00365956" w:rsidRDefault="00B972E6" w:rsidP="00B972E6">
            <w:pPr>
              <w:spacing w:after="0" w:line="240" w:lineRule="auto"/>
              <w:jc w:val="right"/>
              <w:rPr>
                <w:sz w:val="20"/>
                <w:szCs w:val="20"/>
                <w:lang w:eastAsia="sk-SK"/>
              </w:rPr>
            </w:pPr>
            <w:r>
              <w:rPr>
                <w:b/>
                <w:bCs/>
                <w:color w:val="000000"/>
                <w:sz w:val="20"/>
                <w:szCs w:val="20"/>
              </w:rPr>
              <w:t>1,9</w:t>
            </w:r>
          </w:p>
        </w:tc>
        <w:tc>
          <w:tcPr>
            <w:tcW w:w="293" w:type="pct"/>
            <w:tcBorders>
              <w:top w:val="nil"/>
              <w:left w:val="nil"/>
              <w:bottom w:val="single" w:sz="4" w:space="0" w:color="auto"/>
              <w:right w:val="nil"/>
            </w:tcBorders>
            <w:shd w:val="clear" w:color="auto" w:fill="auto"/>
            <w:noWrap/>
            <w:vAlign w:val="bottom"/>
            <w:hideMark/>
          </w:tcPr>
          <w:p w14:paraId="71AB2E16" w14:textId="2A13A0ED" w:rsidR="00B972E6" w:rsidRPr="00365956" w:rsidRDefault="00B972E6" w:rsidP="00B972E6">
            <w:pPr>
              <w:spacing w:after="0" w:line="240" w:lineRule="auto"/>
              <w:jc w:val="right"/>
              <w:rPr>
                <w:sz w:val="20"/>
                <w:szCs w:val="20"/>
                <w:lang w:eastAsia="sk-SK"/>
              </w:rPr>
            </w:pPr>
            <w:r>
              <w:rPr>
                <w:b/>
                <w:bCs/>
                <w:color w:val="000000"/>
                <w:sz w:val="20"/>
                <w:szCs w:val="20"/>
              </w:rPr>
              <w:t>2,9</w:t>
            </w:r>
          </w:p>
        </w:tc>
        <w:tc>
          <w:tcPr>
            <w:tcW w:w="326" w:type="pct"/>
            <w:tcBorders>
              <w:top w:val="nil"/>
              <w:left w:val="nil"/>
              <w:bottom w:val="single" w:sz="4" w:space="0" w:color="auto"/>
              <w:right w:val="nil"/>
            </w:tcBorders>
            <w:shd w:val="clear" w:color="auto" w:fill="auto"/>
            <w:noWrap/>
            <w:vAlign w:val="bottom"/>
            <w:hideMark/>
          </w:tcPr>
          <w:p w14:paraId="4F13F6BB" w14:textId="0C114BCB" w:rsidR="00B972E6" w:rsidRPr="00365956" w:rsidRDefault="00B972E6" w:rsidP="00B972E6">
            <w:pPr>
              <w:spacing w:after="0" w:line="240" w:lineRule="auto"/>
              <w:jc w:val="right"/>
              <w:rPr>
                <w:sz w:val="20"/>
                <w:szCs w:val="20"/>
                <w:lang w:eastAsia="sk-SK"/>
              </w:rPr>
            </w:pPr>
            <w:r>
              <w:rPr>
                <w:b/>
                <w:bCs/>
                <w:color w:val="000000"/>
                <w:sz w:val="20"/>
                <w:szCs w:val="20"/>
              </w:rPr>
              <w:t>4,1</w:t>
            </w:r>
          </w:p>
        </w:tc>
        <w:tc>
          <w:tcPr>
            <w:tcW w:w="327" w:type="pct"/>
            <w:tcBorders>
              <w:top w:val="nil"/>
              <w:left w:val="nil"/>
              <w:bottom w:val="single" w:sz="4" w:space="0" w:color="auto"/>
              <w:right w:val="nil"/>
            </w:tcBorders>
            <w:shd w:val="clear" w:color="auto" w:fill="auto"/>
            <w:noWrap/>
            <w:vAlign w:val="bottom"/>
            <w:hideMark/>
          </w:tcPr>
          <w:p w14:paraId="4BED3DC6" w14:textId="12EDA6A6" w:rsidR="00B972E6" w:rsidRPr="00365956" w:rsidRDefault="00B972E6" w:rsidP="00B972E6">
            <w:pPr>
              <w:spacing w:after="0" w:line="240" w:lineRule="auto"/>
              <w:jc w:val="right"/>
              <w:rPr>
                <w:sz w:val="20"/>
                <w:szCs w:val="20"/>
                <w:lang w:eastAsia="sk-SK"/>
              </w:rPr>
            </w:pPr>
            <w:r>
              <w:rPr>
                <w:b/>
                <w:bCs/>
                <w:color w:val="000000"/>
                <w:sz w:val="20"/>
                <w:szCs w:val="20"/>
              </w:rPr>
              <w:t>2,3</w:t>
            </w:r>
          </w:p>
        </w:tc>
        <w:tc>
          <w:tcPr>
            <w:tcW w:w="327" w:type="pct"/>
            <w:tcBorders>
              <w:top w:val="nil"/>
              <w:left w:val="nil"/>
              <w:bottom w:val="single" w:sz="4" w:space="0" w:color="auto"/>
              <w:right w:val="nil"/>
            </w:tcBorders>
            <w:shd w:val="clear" w:color="auto" w:fill="auto"/>
            <w:noWrap/>
            <w:vAlign w:val="bottom"/>
            <w:hideMark/>
          </w:tcPr>
          <w:p w14:paraId="6767A699" w14:textId="38D94406" w:rsidR="00B972E6" w:rsidRPr="00365956" w:rsidRDefault="00B972E6" w:rsidP="00B972E6">
            <w:pPr>
              <w:spacing w:after="0" w:line="240" w:lineRule="auto"/>
              <w:jc w:val="right"/>
              <w:rPr>
                <w:sz w:val="20"/>
                <w:szCs w:val="20"/>
                <w:lang w:eastAsia="sk-SK"/>
              </w:rPr>
            </w:pPr>
            <w:r>
              <w:rPr>
                <w:b/>
                <w:bCs/>
                <w:color w:val="000000"/>
                <w:sz w:val="20"/>
                <w:szCs w:val="20"/>
              </w:rPr>
              <w:t>-2,6</w:t>
            </w:r>
          </w:p>
        </w:tc>
        <w:tc>
          <w:tcPr>
            <w:tcW w:w="327" w:type="pct"/>
            <w:tcBorders>
              <w:top w:val="nil"/>
              <w:left w:val="nil"/>
              <w:bottom w:val="single" w:sz="4" w:space="0" w:color="auto"/>
              <w:right w:val="nil"/>
            </w:tcBorders>
            <w:shd w:val="clear" w:color="auto" w:fill="auto"/>
            <w:noWrap/>
            <w:vAlign w:val="bottom"/>
            <w:hideMark/>
          </w:tcPr>
          <w:p w14:paraId="0E6F3B57" w14:textId="3D656BDD" w:rsidR="00B972E6" w:rsidRPr="00365956" w:rsidRDefault="00B972E6" w:rsidP="00B972E6">
            <w:pPr>
              <w:spacing w:after="0" w:line="240" w:lineRule="auto"/>
              <w:jc w:val="right"/>
              <w:rPr>
                <w:sz w:val="20"/>
                <w:szCs w:val="20"/>
                <w:lang w:eastAsia="sk-SK"/>
              </w:rPr>
            </w:pPr>
            <w:r>
              <w:rPr>
                <w:b/>
                <w:bCs/>
                <w:color w:val="000000"/>
                <w:sz w:val="20"/>
                <w:szCs w:val="20"/>
              </w:rPr>
              <w:t>5,7</w:t>
            </w:r>
          </w:p>
        </w:tc>
        <w:tc>
          <w:tcPr>
            <w:tcW w:w="327" w:type="pct"/>
            <w:tcBorders>
              <w:top w:val="nil"/>
              <w:left w:val="nil"/>
              <w:bottom w:val="single" w:sz="4" w:space="0" w:color="auto"/>
              <w:right w:val="nil"/>
            </w:tcBorders>
            <w:shd w:val="clear" w:color="auto" w:fill="auto"/>
            <w:noWrap/>
            <w:vAlign w:val="bottom"/>
            <w:hideMark/>
          </w:tcPr>
          <w:p w14:paraId="5C442077" w14:textId="34BF4BA0" w:rsidR="00B972E6" w:rsidRPr="00365956" w:rsidRDefault="00B972E6" w:rsidP="00B972E6">
            <w:pPr>
              <w:spacing w:after="0" w:line="240" w:lineRule="auto"/>
              <w:jc w:val="right"/>
              <w:rPr>
                <w:b/>
                <w:bCs/>
                <w:color w:val="000000"/>
                <w:sz w:val="20"/>
                <w:szCs w:val="20"/>
                <w:lang w:eastAsia="sk-SK"/>
              </w:rPr>
            </w:pPr>
            <w:r>
              <w:rPr>
                <w:b/>
                <w:bCs/>
                <w:color w:val="000000"/>
                <w:sz w:val="20"/>
                <w:szCs w:val="20"/>
              </w:rPr>
              <w:t>0,4</w:t>
            </w:r>
          </w:p>
        </w:tc>
        <w:tc>
          <w:tcPr>
            <w:tcW w:w="326" w:type="pct"/>
            <w:tcBorders>
              <w:top w:val="nil"/>
              <w:left w:val="nil"/>
              <w:bottom w:val="single" w:sz="4" w:space="0" w:color="auto"/>
              <w:right w:val="nil"/>
            </w:tcBorders>
            <w:shd w:val="clear" w:color="auto" w:fill="auto"/>
            <w:noWrap/>
            <w:vAlign w:val="bottom"/>
            <w:hideMark/>
          </w:tcPr>
          <w:p w14:paraId="3C9E6759" w14:textId="04538F00" w:rsidR="00B972E6" w:rsidRPr="009C7579" w:rsidRDefault="00B972E6" w:rsidP="00B972E6">
            <w:pPr>
              <w:spacing w:after="0" w:line="240" w:lineRule="auto"/>
              <w:jc w:val="right"/>
              <w:rPr>
                <w:b/>
                <w:bCs/>
                <w:color w:val="000000"/>
                <w:sz w:val="20"/>
                <w:szCs w:val="20"/>
                <w:lang w:eastAsia="sk-SK"/>
              </w:rPr>
            </w:pPr>
            <w:r>
              <w:rPr>
                <w:b/>
                <w:bCs/>
                <w:color w:val="000000"/>
                <w:sz w:val="20"/>
                <w:szCs w:val="20"/>
              </w:rPr>
              <w:t>1,4</w:t>
            </w:r>
          </w:p>
        </w:tc>
      </w:tr>
    </w:tbl>
    <w:p w14:paraId="046DF3CD" w14:textId="0A3C7777" w:rsidR="003E3C6A" w:rsidRPr="00442DE1" w:rsidRDefault="003E3C6A" w:rsidP="00146EFA">
      <w:pPr>
        <w:spacing w:after="0" w:line="240" w:lineRule="auto"/>
        <w:jc w:val="right"/>
        <w:rPr>
          <w:sz w:val="16"/>
          <w:szCs w:val="16"/>
        </w:rPr>
      </w:pPr>
      <w:r w:rsidRPr="00442DE1">
        <w:rPr>
          <w:sz w:val="16"/>
          <w:szCs w:val="16"/>
        </w:rPr>
        <w:t xml:space="preserve">Zdroj: </w:t>
      </w:r>
      <w:r w:rsidR="005574FB" w:rsidRPr="00442DE1">
        <w:rPr>
          <w:sz w:val="16"/>
          <w:szCs w:val="16"/>
        </w:rPr>
        <w:t xml:space="preserve">MF SR, </w:t>
      </w:r>
      <w:r w:rsidRPr="00442DE1">
        <w:rPr>
          <w:sz w:val="16"/>
          <w:szCs w:val="16"/>
        </w:rPr>
        <w:t>ŠÚ SR</w:t>
      </w:r>
    </w:p>
    <w:p w14:paraId="72417853" w14:textId="431E6E35" w:rsidR="00154B2E" w:rsidRDefault="00154B2E" w:rsidP="00494777">
      <w:pPr>
        <w:spacing w:before="240" w:after="0" w:line="240" w:lineRule="auto"/>
        <w:jc w:val="both"/>
        <w:rPr>
          <w:szCs w:val="22"/>
          <w:highlight w:val="yellow"/>
        </w:rPr>
      </w:pPr>
      <w:r>
        <w:rPr>
          <w:szCs w:val="22"/>
          <w:highlight w:val="yellow"/>
        </w:rPr>
        <w:br w:type="page"/>
      </w:r>
    </w:p>
    <w:p w14:paraId="6631792E" w14:textId="7A91C6C1" w:rsidR="003D050C" w:rsidRPr="00730EED" w:rsidRDefault="003D050C" w:rsidP="00AC2602">
      <w:pPr>
        <w:pStyle w:val="Nadpis1"/>
        <w:numPr>
          <w:ilvl w:val="0"/>
          <w:numId w:val="3"/>
        </w:numPr>
        <w:spacing w:before="120" w:line="240" w:lineRule="auto"/>
        <w:ind w:left="425" w:hanging="425"/>
      </w:pPr>
      <w:bookmarkStart w:id="27" w:name="_Toc181095965"/>
      <w:r w:rsidRPr="00730EED">
        <w:lastRenderedPageBreak/>
        <w:t>Hospodárenie verejnej správy – požiadavky ústavného zákona o rozpočtovej zodpovednosti</w:t>
      </w:r>
      <w:bookmarkEnd w:id="27"/>
    </w:p>
    <w:p w14:paraId="1B5C48BC" w14:textId="4B640752" w:rsidR="00C56B37" w:rsidRPr="00730EED" w:rsidRDefault="00E95D2B" w:rsidP="00C56B37">
      <w:pPr>
        <w:spacing w:after="0" w:line="240" w:lineRule="auto"/>
        <w:jc w:val="both"/>
      </w:pPr>
      <w:r>
        <w:t>K</w:t>
      </w:r>
      <w:r w:rsidR="00C56B37" w:rsidRPr="00730EED">
        <w:t>apitola hodnotí vývoj hospodárenia verejnej správy najmä z pohľadu informácií, ktoré má obsahovať súhrnná výročná správa na základe ústavného zákona o rozpočtovej zodpovednosti (bilancia rozpočtu verejnej správy, jednorazové vplyvy a vyhodnotenie stratégie riadenia štátneho dlhu). Špecifikom týchto úd</w:t>
      </w:r>
      <w:r w:rsidR="00DF0B8D">
        <w:t>ajov a informácií je fakt, že z </w:t>
      </w:r>
      <w:r w:rsidR="00C56B37" w:rsidRPr="00730EED">
        <w:t>väčšej časti  nie sú založené na š</w:t>
      </w:r>
      <w:r w:rsidR="00C24FE0" w:rsidRPr="00730EED">
        <w:t xml:space="preserve">tandardnej metodike </w:t>
      </w:r>
      <w:r w:rsidR="00DF0B8D">
        <w:t>ESA </w:t>
      </w:r>
      <w:r w:rsidR="00F40ABA" w:rsidRPr="00730EED">
        <w:t>2010</w:t>
      </w:r>
      <w:r w:rsidR="00C24FE0" w:rsidRPr="00730EED">
        <w:t xml:space="preserve"> a v </w:t>
      </w:r>
      <w:r w:rsidR="00C56B37" w:rsidRPr="00730EED">
        <w:t>niektorých prípadoch sú postavené na odhadoch a metodike Ministerstva financií SR (jednorazové vplyvy, cyklická zložka, štrukturálne saldo), rozširujú však analytický pohľad na hospodárenie verejnej správy nad rámec salda a dlhu podľa maastrichtských kritérií.</w:t>
      </w:r>
    </w:p>
    <w:p w14:paraId="6AB48E20" w14:textId="74D371FD" w:rsidR="00A65E40" w:rsidRPr="00730EED" w:rsidRDefault="00ED7D2D" w:rsidP="00AA46C8">
      <w:pPr>
        <w:pStyle w:val="Nadpis2"/>
        <w:numPr>
          <w:ilvl w:val="1"/>
          <w:numId w:val="3"/>
        </w:numPr>
      </w:pPr>
      <w:r>
        <w:t xml:space="preserve">  </w:t>
      </w:r>
      <w:bookmarkStart w:id="28" w:name="_Toc181095966"/>
      <w:r w:rsidR="00A65E40" w:rsidRPr="00730EED">
        <w:t>Bilancia rozpočtu verejnej správy</w:t>
      </w:r>
      <w:bookmarkEnd w:id="28"/>
    </w:p>
    <w:p w14:paraId="27E786E7" w14:textId="55F8C1A2" w:rsidR="00B07378" w:rsidRDefault="00C56B37" w:rsidP="00C56B37">
      <w:pPr>
        <w:spacing w:after="120" w:line="240" w:lineRule="auto"/>
        <w:jc w:val="both"/>
      </w:pPr>
      <w:r w:rsidRPr="00730EED">
        <w:t>Bilancia rozpočtu verejnej správy</w:t>
      </w:r>
      <w:r w:rsidR="00DF0B8D">
        <w:t xml:space="preserve"> poskytuje analytický pohľad na </w:t>
      </w:r>
      <w:r w:rsidRPr="00730EED">
        <w:t xml:space="preserve">vývoj hlavných príjmových a výdavkových položiek verejnej správy ako celku za daný rok. Štruktúra prezentovanej bilancie pozostáva z kombinácie kódov </w:t>
      </w:r>
      <w:r w:rsidR="00214ECD">
        <w:t>ESA </w:t>
      </w:r>
      <w:r w:rsidR="00F40ABA" w:rsidRPr="00730EED">
        <w:t>2010</w:t>
      </w:r>
      <w:r w:rsidRPr="00730EED">
        <w:t xml:space="preserve"> a ekonomickej klasifikácie rozpočtovej klasifikácie. Kombinácia metodík má za cieľ umožniť prezentáciu analytických a zároveň medzinárodne porovnateľných údajov. Ekonomická klasifikácia poskytuje vecný pohľad na jednotlivé</w:t>
      </w:r>
      <w:r w:rsidR="00C860A6">
        <w:t xml:space="preserve"> kategórie príjmov a výdavkov a </w:t>
      </w:r>
      <w:r w:rsidRPr="00730EED">
        <w:t xml:space="preserve">metodika </w:t>
      </w:r>
      <w:r w:rsidR="00214ECD">
        <w:t>ESA </w:t>
      </w:r>
      <w:r w:rsidR="00F40ABA" w:rsidRPr="00730EED">
        <w:t>2010</w:t>
      </w:r>
      <w:r w:rsidRPr="00730EED">
        <w:t xml:space="preserve"> umožňuje medzinárodné porovnania a je konzistentná s makroekonomickými kategóriami národných účtov (ako napr. HDP, spotreba verejnej správy).</w:t>
      </w:r>
    </w:p>
    <w:p w14:paraId="3D0FA3D2" w14:textId="507AE75E" w:rsidR="00916637" w:rsidRPr="00730EED" w:rsidRDefault="00916637" w:rsidP="00C56B37">
      <w:pPr>
        <w:spacing w:after="120" w:line="240" w:lineRule="auto"/>
        <w:jc w:val="both"/>
      </w:pPr>
      <w:r w:rsidRPr="000955D2">
        <w:t>Niektoré príjmy a výdavky podliehajú konsolidácii v rámci celej verejnej správy, preto sa ich vplyv na</w:t>
      </w:r>
      <w:r w:rsidR="00FA6670">
        <w:t> </w:t>
      </w:r>
      <w:r w:rsidRPr="000955D2">
        <w:t>schodok verejnej správy eliminuje</w:t>
      </w:r>
      <w:r w:rsidR="00871A0D" w:rsidRPr="00871A0D">
        <w:t xml:space="preserve"> </w:t>
      </w:r>
      <w:r w:rsidR="00871A0D">
        <w:t xml:space="preserve">a </w:t>
      </w:r>
      <w:r w:rsidR="00871A0D" w:rsidRPr="00730EED">
        <w:t>transakcie medzi jednotlivými subjektmi verejnej správy</w:t>
      </w:r>
      <w:r w:rsidR="00871A0D" w:rsidRPr="00871A0D">
        <w:t xml:space="preserve"> </w:t>
      </w:r>
      <w:r w:rsidR="00871A0D" w:rsidRPr="00730EED">
        <w:t>sú vylúčené</w:t>
      </w:r>
      <w:r w:rsidR="00871A0D">
        <w:t>. Z</w:t>
      </w:r>
      <w:r w:rsidRPr="000955D2">
        <w:t xml:space="preserve">ároveň príjmy a výdavky z EU zdrojov majú neutrálny vplyv </w:t>
      </w:r>
      <w:r w:rsidR="00871A0D">
        <w:t>na ESA schodok verejnej správy.</w:t>
      </w:r>
    </w:p>
    <w:p w14:paraId="16D867CF" w14:textId="49EA6718" w:rsidR="003D050C" w:rsidRPr="00BA526A" w:rsidRDefault="003D050C" w:rsidP="00AA46C8">
      <w:pPr>
        <w:pStyle w:val="Nadpis3"/>
        <w:numPr>
          <w:ilvl w:val="0"/>
          <w:numId w:val="0"/>
        </w:numPr>
        <w:ind w:left="1800"/>
        <w:rPr>
          <w:sz w:val="24"/>
          <w:szCs w:val="24"/>
        </w:rPr>
      </w:pPr>
      <w:bookmarkStart w:id="29" w:name="_Toc181095967"/>
      <w:r w:rsidRPr="00BA526A">
        <w:t>2.1.1.</w:t>
      </w:r>
      <w:r w:rsidR="003F00CD" w:rsidRPr="00BA526A">
        <w:tab/>
      </w:r>
      <w:r w:rsidRPr="00BA526A">
        <w:t>Príjmy verejnej správy</w:t>
      </w:r>
      <w:bookmarkEnd w:id="29"/>
    </w:p>
    <w:p w14:paraId="7CA2E119" w14:textId="51DCEC74" w:rsidR="00045E30" w:rsidRDefault="008B07BD" w:rsidP="008B07BD">
      <w:pPr>
        <w:spacing w:after="120" w:line="240" w:lineRule="auto"/>
        <w:jc w:val="both"/>
        <w:rPr>
          <w:szCs w:val="22"/>
        </w:rPr>
      </w:pPr>
      <w:r w:rsidRPr="000E34F3">
        <w:rPr>
          <w:b/>
          <w:szCs w:val="22"/>
        </w:rPr>
        <w:t xml:space="preserve">Celkové príjmy rozpočtu verejnej správy v metodike ESA 2010 dosiahli v roku 2023 výšku </w:t>
      </w:r>
      <w:r w:rsidR="00BA07FB">
        <w:rPr>
          <w:b/>
          <w:szCs w:val="22"/>
        </w:rPr>
        <w:t>53</w:t>
      </w:r>
      <w:r w:rsidR="00045E30" w:rsidRPr="00095ADF">
        <w:rPr>
          <w:b/>
          <w:szCs w:val="22"/>
        </w:rPr>
        <w:t> 172 138 tis. eur (43,3 % HDP)</w:t>
      </w:r>
      <w:r w:rsidR="00045E30" w:rsidRPr="00095ADF">
        <w:rPr>
          <w:szCs w:val="22"/>
        </w:rPr>
        <w:t xml:space="preserve"> </w:t>
      </w:r>
      <w:r w:rsidR="00045E30" w:rsidRPr="00045E30">
        <w:rPr>
          <w:szCs w:val="22"/>
        </w:rPr>
        <w:t xml:space="preserve">a medziročne vzrástli </w:t>
      </w:r>
      <w:r w:rsidR="00C02738">
        <w:rPr>
          <w:szCs w:val="22"/>
        </w:rPr>
        <w:t xml:space="preserve">voči HDP </w:t>
      </w:r>
      <w:r w:rsidR="00045E30" w:rsidRPr="00045E30">
        <w:rPr>
          <w:szCs w:val="22"/>
        </w:rPr>
        <w:t>o viac ako 1,9 p. b., resp. o 7 677 236 tis</w:t>
      </w:r>
      <w:r w:rsidR="00045E30" w:rsidRPr="00FF766A">
        <w:rPr>
          <w:szCs w:val="22"/>
        </w:rPr>
        <w:t>. eur.</w:t>
      </w:r>
    </w:p>
    <w:p w14:paraId="3007AB6E" w14:textId="3428CFCE" w:rsidR="008B07BD" w:rsidRDefault="008B07BD" w:rsidP="003724FD">
      <w:pPr>
        <w:spacing w:after="0" w:line="240" w:lineRule="auto"/>
        <w:jc w:val="both"/>
        <w:rPr>
          <w:szCs w:val="22"/>
        </w:rPr>
      </w:pPr>
      <w:r w:rsidRPr="00743A3B">
        <w:rPr>
          <w:szCs w:val="22"/>
        </w:rPr>
        <w:t>Nárast dosiahli takmer všetky druhy príjmov, najvýraznejší nárast zaznamenali úroky o 138,5</w:t>
      </w:r>
      <w:r w:rsidR="006834DF">
        <w:rPr>
          <w:szCs w:val="22"/>
        </w:rPr>
        <w:t> %, kapitálové transfery o 133,3</w:t>
      </w:r>
      <w:r w:rsidRPr="00743A3B">
        <w:rPr>
          <w:szCs w:val="22"/>
        </w:rPr>
        <w:t> %, platby za ostatnú netrhovú produkciu o 39,8 %, daň vyberaná zrážkou o 36,8 %</w:t>
      </w:r>
      <w:r w:rsidR="006834DF">
        <w:rPr>
          <w:szCs w:val="22"/>
        </w:rPr>
        <w:t>, ostatné bežné transfery o 27,6</w:t>
      </w:r>
      <w:r w:rsidRPr="00743A3B">
        <w:rPr>
          <w:szCs w:val="22"/>
        </w:rPr>
        <w:t> %. Na druhej strane v roku 2023</w:t>
      </w:r>
      <w:r>
        <w:rPr>
          <w:szCs w:val="22"/>
        </w:rPr>
        <w:t xml:space="preserve"> došlo k poklesu príjmov </w:t>
      </w:r>
      <w:r w:rsidR="00E95D2B">
        <w:rPr>
          <w:szCs w:val="22"/>
        </w:rPr>
        <w:t xml:space="preserve">z </w:t>
      </w:r>
      <w:r>
        <w:rPr>
          <w:szCs w:val="22"/>
        </w:rPr>
        <w:t xml:space="preserve">daní z príjmov fyzických osôb – z podnikania a inej samostatne </w:t>
      </w:r>
      <w:r w:rsidR="00E95D2B">
        <w:rPr>
          <w:szCs w:val="22"/>
        </w:rPr>
        <w:t xml:space="preserve">zárobkovej </w:t>
      </w:r>
      <w:r>
        <w:rPr>
          <w:szCs w:val="22"/>
        </w:rPr>
        <w:t>činnosti o 19,</w:t>
      </w:r>
      <w:r w:rsidRPr="009B765A">
        <w:rPr>
          <w:szCs w:val="22"/>
        </w:rPr>
        <w:t>4 %, ostatných dan</w:t>
      </w:r>
      <w:r w:rsidR="00E95D2B">
        <w:rPr>
          <w:szCs w:val="22"/>
        </w:rPr>
        <w:t>í</w:t>
      </w:r>
      <w:r w:rsidRPr="009B765A">
        <w:rPr>
          <w:szCs w:val="22"/>
        </w:rPr>
        <w:t xml:space="preserve"> z produkcie </w:t>
      </w:r>
      <w:r w:rsidRPr="00135DD9">
        <w:rPr>
          <w:szCs w:val="22"/>
        </w:rPr>
        <w:t>a </w:t>
      </w:r>
      <w:r w:rsidR="0066335F">
        <w:rPr>
          <w:szCs w:val="22"/>
        </w:rPr>
        <w:t>dovozu</w:t>
      </w:r>
      <w:r w:rsidR="00E95D2B" w:rsidRPr="00135DD9">
        <w:rPr>
          <w:szCs w:val="22"/>
        </w:rPr>
        <w:t xml:space="preserve"> </w:t>
      </w:r>
      <w:r w:rsidRPr="00135DD9">
        <w:rPr>
          <w:szCs w:val="22"/>
        </w:rPr>
        <w:t>o 44</w:t>
      </w:r>
      <w:r w:rsidRPr="009B765A">
        <w:rPr>
          <w:szCs w:val="22"/>
        </w:rPr>
        <w:t>,9</w:t>
      </w:r>
      <w:r w:rsidR="00214ECD" w:rsidRPr="009B765A">
        <w:rPr>
          <w:szCs w:val="22"/>
        </w:rPr>
        <w:t> </w:t>
      </w:r>
      <w:r w:rsidRPr="009B765A">
        <w:rPr>
          <w:szCs w:val="22"/>
        </w:rPr>
        <w:t>% a ostatných bežných daní z dôchodkov a majetku o 26,1 %.</w:t>
      </w:r>
    </w:p>
    <w:p w14:paraId="21E14504" w14:textId="79966233" w:rsidR="003724FD" w:rsidRDefault="003724FD" w:rsidP="003724FD">
      <w:pPr>
        <w:pStyle w:val="Popis"/>
        <w:framePr w:w="9475" w:wrap="around" w:x="820" w:y="287"/>
      </w:pPr>
      <w:r>
        <w:t xml:space="preserve">Tabuľka </w:t>
      </w:r>
      <w:r w:rsidR="001F05DE">
        <w:fldChar w:fldCharType="begin"/>
      </w:r>
      <w:r w:rsidR="001F05DE">
        <w:instrText xml:space="preserve"> SEQ Tabuľka \* ARABIC </w:instrText>
      </w:r>
      <w:r w:rsidR="001F05DE">
        <w:fldChar w:fldCharType="separate"/>
      </w:r>
      <w:r>
        <w:rPr>
          <w:noProof/>
        </w:rPr>
        <w:t>10</w:t>
      </w:r>
      <w:r w:rsidR="001F05DE">
        <w:rPr>
          <w:noProof/>
        </w:rPr>
        <w:fldChar w:fldCharType="end"/>
      </w:r>
      <w:r>
        <w:t xml:space="preserve"> - </w:t>
      </w:r>
      <w:r w:rsidRPr="0025512C">
        <w:t>Príjmy verejnej správy (ESA 2010)</w:t>
      </w:r>
      <w:r w:rsidR="00157527">
        <w:t xml:space="preserve"> </w:t>
      </w:r>
      <w:r w:rsidR="00157527">
        <w:tab/>
        <w:t xml:space="preserve"> </w:t>
      </w:r>
      <w:r w:rsidR="00157527">
        <w:tab/>
      </w:r>
      <w:r w:rsidR="00157527">
        <w:tab/>
      </w:r>
      <w:r w:rsidR="00157527">
        <w:tab/>
      </w:r>
      <w:r w:rsidR="00157527">
        <w:tab/>
        <w:t xml:space="preserve"> </w:t>
      </w:r>
      <w:r w:rsidR="00157527">
        <w:tab/>
        <w:t xml:space="preserve">                </w:t>
      </w:r>
      <w:r>
        <w:t>v tis. eur</w:t>
      </w:r>
    </w:p>
    <w:tbl>
      <w:tblPr>
        <w:tblW w:w="5000" w:type="pct"/>
        <w:tblCellMar>
          <w:left w:w="70" w:type="dxa"/>
          <w:right w:w="70" w:type="dxa"/>
        </w:tblCellMar>
        <w:tblLook w:val="04A0" w:firstRow="1" w:lastRow="0" w:firstColumn="1" w:lastColumn="0" w:noHBand="0" w:noVBand="1"/>
      </w:tblPr>
      <w:tblGrid>
        <w:gridCol w:w="4182"/>
        <w:gridCol w:w="1160"/>
        <w:gridCol w:w="1008"/>
        <w:gridCol w:w="1025"/>
        <w:gridCol w:w="978"/>
        <w:gridCol w:w="1001"/>
      </w:tblGrid>
      <w:tr w:rsidR="008B07BD" w:rsidRPr="00645092" w14:paraId="25F492C6" w14:textId="77777777" w:rsidTr="00157527">
        <w:trPr>
          <w:trHeight w:val="480"/>
          <w:tblHeader/>
        </w:trPr>
        <w:tc>
          <w:tcPr>
            <w:tcW w:w="2235" w:type="pct"/>
            <w:tcBorders>
              <w:top w:val="single" w:sz="4" w:space="0" w:color="auto"/>
              <w:left w:val="nil"/>
              <w:bottom w:val="single" w:sz="4" w:space="0" w:color="auto"/>
              <w:right w:val="nil"/>
            </w:tcBorders>
            <w:shd w:val="clear" w:color="auto" w:fill="auto"/>
            <w:noWrap/>
            <w:vAlign w:val="center"/>
            <w:hideMark/>
          </w:tcPr>
          <w:p w14:paraId="697FB7E7" w14:textId="60022418" w:rsidR="008B07BD" w:rsidRPr="00550B66" w:rsidRDefault="008B07BD" w:rsidP="0019064B">
            <w:pPr>
              <w:spacing w:after="0" w:line="240" w:lineRule="auto"/>
              <w:rPr>
                <w:b/>
                <w:bCs/>
                <w:sz w:val="18"/>
                <w:szCs w:val="18"/>
                <w:lang w:eastAsia="sk-SK"/>
              </w:rPr>
            </w:pPr>
            <w:r w:rsidRPr="00550B66">
              <w:rPr>
                <w:b/>
                <w:bCs/>
                <w:sz w:val="18"/>
                <w:szCs w:val="18"/>
                <w:lang w:eastAsia="sk-SK"/>
              </w:rPr>
              <w:t> </w:t>
            </w:r>
          </w:p>
        </w:tc>
        <w:tc>
          <w:tcPr>
            <w:tcW w:w="620" w:type="pct"/>
            <w:tcBorders>
              <w:top w:val="single" w:sz="4" w:space="0" w:color="auto"/>
              <w:left w:val="nil"/>
              <w:bottom w:val="single" w:sz="4" w:space="0" w:color="auto"/>
              <w:right w:val="nil"/>
            </w:tcBorders>
            <w:shd w:val="clear" w:color="auto" w:fill="auto"/>
            <w:vAlign w:val="center"/>
            <w:hideMark/>
          </w:tcPr>
          <w:p w14:paraId="63BF02A4" w14:textId="77777777" w:rsidR="008B07BD" w:rsidRPr="000C33E1" w:rsidRDefault="008B07BD" w:rsidP="0019064B">
            <w:pPr>
              <w:spacing w:after="0" w:line="240" w:lineRule="auto"/>
              <w:jc w:val="center"/>
              <w:rPr>
                <w:b/>
                <w:bCs/>
                <w:sz w:val="18"/>
                <w:szCs w:val="18"/>
                <w:lang w:eastAsia="sk-SK"/>
              </w:rPr>
            </w:pPr>
            <w:r w:rsidRPr="000C33E1">
              <w:rPr>
                <w:b/>
                <w:bCs/>
                <w:sz w:val="18"/>
                <w:szCs w:val="18"/>
                <w:lang w:eastAsia="sk-SK"/>
              </w:rPr>
              <w:br/>
              <w:t>2021 S</w:t>
            </w:r>
          </w:p>
        </w:tc>
        <w:tc>
          <w:tcPr>
            <w:tcW w:w="539" w:type="pct"/>
            <w:tcBorders>
              <w:top w:val="single" w:sz="4" w:space="0" w:color="auto"/>
              <w:left w:val="nil"/>
              <w:bottom w:val="single" w:sz="4" w:space="0" w:color="auto"/>
              <w:right w:val="nil"/>
            </w:tcBorders>
            <w:shd w:val="clear" w:color="auto" w:fill="auto"/>
            <w:vAlign w:val="center"/>
            <w:hideMark/>
          </w:tcPr>
          <w:p w14:paraId="31D532BC" w14:textId="77777777" w:rsidR="008B07BD" w:rsidRPr="000C33E1" w:rsidRDefault="008B07BD" w:rsidP="0019064B">
            <w:pPr>
              <w:spacing w:after="0" w:line="240" w:lineRule="auto"/>
              <w:jc w:val="center"/>
              <w:rPr>
                <w:b/>
                <w:bCs/>
                <w:sz w:val="18"/>
                <w:szCs w:val="18"/>
                <w:lang w:eastAsia="sk-SK"/>
              </w:rPr>
            </w:pPr>
            <w:r w:rsidRPr="000C33E1">
              <w:rPr>
                <w:b/>
                <w:bCs/>
                <w:sz w:val="18"/>
                <w:szCs w:val="18"/>
                <w:lang w:eastAsia="sk-SK"/>
              </w:rPr>
              <w:br/>
              <w:t>2022 S</w:t>
            </w:r>
          </w:p>
        </w:tc>
        <w:tc>
          <w:tcPr>
            <w:tcW w:w="548" w:type="pct"/>
            <w:tcBorders>
              <w:top w:val="single" w:sz="4" w:space="0" w:color="auto"/>
              <w:left w:val="nil"/>
              <w:bottom w:val="single" w:sz="4" w:space="0" w:color="auto"/>
              <w:right w:val="nil"/>
            </w:tcBorders>
            <w:shd w:val="clear" w:color="auto" w:fill="auto"/>
            <w:vAlign w:val="center"/>
            <w:hideMark/>
          </w:tcPr>
          <w:p w14:paraId="5B081203" w14:textId="77777777" w:rsidR="008B07BD" w:rsidRPr="000C33E1" w:rsidRDefault="008B07BD" w:rsidP="0019064B">
            <w:pPr>
              <w:spacing w:after="0" w:line="240" w:lineRule="auto"/>
              <w:jc w:val="center"/>
              <w:rPr>
                <w:b/>
                <w:bCs/>
                <w:sz w:val="18"/>
                <w:szCs w:val="18"/>
                <w:lang w:eastAsia="sk-SK"/>
              </w:rPr>
            </w:pPr>
            <w:r w:rsidRPr="000C33E1">
              <w:rPr>
                <w:b/>
                <w:bCs/>
                <w:sz w:val="18"/>
                <w:szCs w:val="18"/>
                <w:lang w:eastAsia="sk-SK"/>
              </w:rPr>
              <w:br/>
              <w:t>2023 S</w:t>
            </w:r>
          </w:p>
        </w:tc>
        <w:tc>
          <w:tcPr>
            <w:tcW w:w="523" w:type="pct"/>
            <w:tcBorders>
              <w:top w:val="single" w:sz="4" w:space="0" w:color="auto"/>
              <w:left w:val="nil"/>
              <w:bottom w:val="single" w:sz="4" w:space="0" w:color="auto"/>
              <w:right w:val="nil"/>
            </w:tcBorders>
            <w:shd w:val="clear" w:color="auto" w:fill="auto"/>
            <w:vAlign w:val="center"/>
            <w:hideMark/>
          </w:tcPr>
          <w:p w14:paraId="5FA7F460" w14:textId="77777777" w:rsidR="008B07BD" w:rsidRPr="000C33E1" w:rsidRDefault="008B07BD" w:rsidP="0019064B">
            <w:pPr>
              <w:spacing w:after="0" w:line="240" w:lineRule="auto"/>
              <w:jc w:val="center"/>
              <w:rPr>
                <w:b/>
                <w:bCs/>
                <w:sz w:val="18"/>
                <w:szCs w:val="18"/>
                <w:lang w:eastAsia="sk-SK"/>
              </w:rPr>
            </w:pPr>
            <w:r w:rsidRPr="000C33E1">
              <w:rPr>
                <w:b/>
                <w:bCs/>
                <w:sz w:val="18"/>
                <w:szCs w:val="18"/>
                <w:lang w:eastAsia="sk-SK"/>
              </w:rPr>
              <w:br/>
              <w:t>2023 R</w:t>
            </w:r>
          </w:p>
        </w:tc>
        <w:tc>
          <w:tcPr>
            <w:tcW w:w="535" w:type="pct"/>
            <w:tcBorders>
              <w:top w:val="single" w:sz="4" w:space="0" w:color="auto"/>
              <w:left w:val="nil"/>
              <w:bottom w:val="single" w:sz="4" w:space="0" w:color="auto"/>
              <w:right w:val="nil"/>
            </w:tcBorders>
            <w:shd w:val="clear" w:color="auto" w:fill="auto"/>
            <w:vAlign w:val="center"/>
            <w:hideMark/>
          </w:tcPr>
          <w:p w14:paraId="4956E74F" w14:textId="77777777" w:rsidR="008B07BD" w:rsidRPr="000C33E1" w:rsidRDefault="008B07BD" w:rsidP="0019064B">
            <w:pPr>
              <w:spacing w:after="0" w:line="240" w:lineRule="auto"/>
              <w:jc w:val="center"/>
              <w:rPr>
                <w:b/>
                <w:bCs/>
                <w:sz w:val="18"/>
                <w:szCs w:val="18"/>
                <w:lang w:eastAsia="sk-SK"/>
              </w:rPr>
            </w:pPr>
            <w:r w:rsidRPr="000C33E1">
              <w:rPr>
                <w:b/>
                <w:bCs/>
                <w:sz w:val="18"/>
                <w:szCs w:val="18"/>
                <w:lang w:eastAsia="sk-SK"/>
              </w:rPr>
              <w:t>2023/2022</w:t>
            </w:r>
            <w:r w:rsidRPr="000C33E1">
              <w:rPr>
                <w:b/>
                <w:bCs/>
                <w:sz w:val="18"/>
                <w:szCs w:val="18"/>
                <w:lang w:eastAsia="sk-SK"/>
              </w:rPr>
              <w:br/>
              <w:t>v %</w:t>
            </w:r>
          </w:p>
        </w:tc>
      </w:tr>
      <w:tr w:rsidR="0091083D" w:rsidRPr="00645092" w14:paraId="03D67DBA" w14:textId="77777777" w:rsidTr="00157527">
        <w:trPr>
          <w:trHeight w:val="255"/>
        </w:trPr>
        <w:tc>
          <w:tcPr>
            <w:tcW w:w="2235" w:type="pct"/>
            <w:tcBorders>
              <w:top w:val="nil"/>
              <w:left w:val="nil"/>
              <w:bottom w:val="nil"/>
              <w:right w:val="nil"/>
            </w:tcBorders>
            <w:shd w:val="clear" w:color="auto" w:fill="auto"/>
            <w:noWrap/>
            <w:vAlign w:val="center"/>
            <w:hideMark/>
          </w:tcPr>
          <w:p w14:paraId="32AF7DF0" w14:textId="77777777" w:rsidR="0091083D" w:rsidRPr="000C33E1" w:rsidRDefault="0091083D" w:rsidP="0091083D">
            <w:pPr>
              <w:spacing w:after="0" w:line="240" w:lineRule="auto"/>
              <w:rPr>
                <w:b/>
                <w:bCs/>
                <w:color w:val="000000"/>
                <w:sz w:val="18"/>
                <w:szCs w:val="18"/>
                <w:lang w:eastAsia="sk-SK"/>
              </w:rPr>
            </w:pPr>
            <w:r w:rsidRPr="000C33E1">
              <w:rPr>
                <w:b/>
                <w:bCs/>
                <w:color w:val="000000"/>
                <w:sz w:val="18"/>
                <w:szCs w:val="18"/>
                <w:lang w:eastAsia="sk-SK"/>
              </w:rPr>
              <w:t>Daňové príjmy</w:t>
            </w:r>
          </w:p>
        </w:tc>
        <w:tc>
          <w:tcPr>
            <w:tcW w:w="620" w:type="pct"/>
            <w:tcBorders>
              <w:top w:val="nil"/>
              <w:left w:val="nil"/>
              <w:bottom w:val="nil"/>
              <w:right w:val="nil"/>
            </w:tcBorders>
            <w:shd w:val="clear" w:color="auto" w:fill="auto"/>
            <w:noWrap/>
            <w:vAlign w:val="bottom"/>
            <w:hideMark/>
          </w:tcPr>
          <w:p w14:paraId="117F2905" w14:textId="4D6429ED" w:rsidR="0091083D" w:rsidRPr="000C33E1" w:rsidRDefault="0091083D" w:rsidP="0091083D">
            <w:pPr>
              <w:spacing w:after="0" w:line="240" w:lineRule="auto"/>
              <w:jc w:val="right"/>
              <w:rPr>
                <w:b/>
                <w:bCs/>
                <w:sz w:val="18"/>
                <w:szCs w:val="18"/>
                <w:lang w:eastAsia="sk-SK"/>
              </w:rPr>
            </w:pPr>
            <w:r w:rsidRPr="000C33E1">
              <w:rPr>
                <w:b/>
                <w:bCs/>
                <w:sz w:val="18"/>
                <w:szCs w:val="18"/>
              </w:rPr>
              <w:t>19 884 138</w:t>
            </w:r>
          </w:p>
        </w:tc>
        <w:tc>
          <w:tcPr>
            <w:tcW w:w="539" w:type="pct"/>
            <w:tcBorders>
              <w:top w:val="nil"/>
              <w:left w:val="nil"/>
              <w:bottom w:val="nil"/>
              <w:right w:val="nil"/>
            </w:tcBorders>
            <w:shd w:val="clear" w:color="auto" w:fill="auto"/>
            <w:noWrap/>
            <w:vAlign w:val="bottom"/>
            <w:hideMark/>
          </w:tcPr>
          <w:p w14:paraId="56556D92" w14:textId="760C87C5" w:rsidR="0091083D" w:rsidRPr="000C33E1" w:rsidRDefault="0091083D" w:rsidP="0091083D">
            <w:pPr>
              <w:spacing w:after="0" w:line="240" w:lineRule="auto"/>
              <w:jc w:val="right"/>
              <w:rPr>
                <w:b/>
                <w:bCs/>
                <w:sz w:val="18"/>
                <w:szCs w:val="18"/>
                <w:lang w:eastAsia="sk-SK"/>
              </w:rPr>
            </w:pPr>
            <w:r w:rsidRPr="000C33E1">
              <w:rPr>
                <w:b/>
                <w:bCs/>
                <w:sz w:val="18"/>
                <w:szCs w:val="18"/>
              </w:rPr>
              <w:t>22 082 948</w:t>
            </w:r>
          </w:p>
        </w:tc>
        <w:tc>
          <w:tcPr>
            <w:tcW w:w="548" w:type="pct"/>
            <w:tcBorders>
              <w:top w:val="single" w:sz="4" w:space="0" w:color="auto"/>
              <w:left w:val="nil"/>
              <w:bottom w:val="nil"/>
              <w:right w:val="nil"/>
            </w:tcBorders>
            <w:shd w:val="clear" w:color="000000" w:fill="auto"/>
            <w:noWrap/>
            <w:vAlign w:val="bottom"/>
            <w:hideMark/>
          </w:tcPr>
          <w:p w14:paraId="26596231" w14:textId="724322A8" w:rsidR="0091083D" w:rsidRPr="000C33E1" w:rsidRDefault="0091083D" w:rsidP="0091083D">
            <w:pPr>
              <w:spacing w:after="0" w:line="240" w:lineRule="auto"/>
              <w:jc w:val="right"/>
              <w:rPr>
                <w:b/>
                <w:bCs/>
                <w:sz w:val="18"/>
                <w:szCs w:val="18"/>
                <w:lang w:eastAsia="sk-SK"/>
              </w:rPr>
            </w:pPr>
            <w:r w:rsidRPr="000C33E1">
              <w:rPr>
                <w:b/>
                <w:bCs/>
                <w:sz w:val="18"/>
                <w:szCs w:val="18"/>
              </w:rPr>
              <w:t>24 455 459</w:t>
            </w:r>
          </w:p>
        </w:tc>
        <w:tc>
          <w:tcPr>
            <w:tcW w:w="523" w:type="pct"/>
            <w:tcBorders>
              <w:top w:val="nil"/>
              <w:left w:val="nil"/>
              <w:bottom w:val="nil"/>
              <w:right w:val="nil"/>
            </w:tcBorders>
            <w:shd w:val="clear" w:color="auto" w:fill="auto"/>
            <w:noWrap/>
            <w:vAlign w:val="bottom"/>
            <w:hideMark/>
          </w:tcPr>
          <w:p w14:paraId="4E18B7B5" w14:textId="436FA8CA" w:rsidR="0091083D" w:rsidRPr="000C33E1" w:rsidRDefault="0091083D" w:rsidP="0091083D">
            <w:pPr>
              <w:spacing w:after="0" w:line="240" w:lineRule="auto"/>
              <w:jc w:val="right"/>
              <w:rPr>
                <w:b/>
                <w:bCs/>
                <w:sz w:val="18"/>
                <w:szCs w:val="18"/>
                <w:lang w:eastAsia="sk-SK"/>
              </w:rPr>
            </w:pPr>
            <w:r w:rsidRPr="000C33E1">
              <w:rPr>
                <w:b/>
                <w:bCs/>
                <w:sz w:val="18"/>
                <w:szCs w:val="18"/>
              </w:rPr>
              <w:t>23 893 690</w:t>
            </w:r>
          </w:p>
        </w:tc>
        <w:tc>
          <w:tcPr>
            <w:tcW w:w="535" w:type="pct"/>
            <w:tcBorders>
              <w:top w:val="nil"/>
              <w:left w:val="nil"/>
              <w:bottom w:val="nil"/>
              <w:right w:val="nil"/>
            </w:tcBorders>
            <w:shd w:val="clear" w:color="auto" w:fill="auto"/>
            <w:noWrap/>
            <w:vAlign w:val="bottom"/>
            <w:hideMark/>
          </w:tcPr>
          <w:p w14:paraId="254C86A7" w14:textId="1854BB2B" w:rsidR="0091083D" w:rsidRPr="000C33E1" w:rsidRDefault="0091083D" w:rsidP="0091083D">
            <w:pPr>
              <w:spacing w:after="0" w:line="240" w:lineRule="auto"/>
              <w:ind w:right="188"/>
              <w:jc w:val="right"/>
              <w:rPr>
                <w:b/>
                <w:bCs/>
                <w:sz w:val="18"/>
                <w:szCs w:val="18"/>
                <w:lang w:eastAsia="sk-SK"/>
              </w:rPr>
            </w:pPr>
            <w:r w:rsidRPr="000C33E1">
              <w:rPr>
                <w:b/>
                <w:bCs/>
                <w:sz w:val="18"/>
                <w:szCs w:val="18"/>
              </w:rPr>
              <w:t>10,7</w:t>
            </w:r>
          </w:p>
        </w:tc>
      </w:tr>
      <w:tr w:rsidR="0091083D" w:rsidRPr="00645092" w14:paraId="45CCAD4C" w14:textId="77777777" w:rsidTr="00157527">
        <w:trPr>
          <w:trHeight w:val="255"/>
        </w:trPr>
        <w:tc>
          <w:tcPr>
            <w:tcW w:w="2235" w:type="pct"/>
            <w:tcBorders>
              <w:top w:val="nil"/>
              <w:left w:val="nil"/>
              <w:bottom w:val="nil"/>
              <w:right w:val="nil"/>
            </w:tcBorders>
            <w:shd w:val="clear" w:color="auto" w:fill="auto"/>
            <w:noWrap/>
            <w:vAlign w:val="center"/>
            <w:hideMark/>
          </w:tcPr>
          <w:p w14:paraId="56A1FFDE"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Dane z produkcie a dovozu</w:t>
            </w:r>
          </w:p>
        </w:tc>
        <w:tc>
          <w:tcPr>
            <w:tcW w:w="620" w:type="pct"/>
            <w:tcBorders>
              <w:top w:val="nil"/>
              <w:left w:val="nil"/>
              <w:bottom w:val="nil"/>
              <w:right w:val="nil"/>
            </w:tcBorders>
            <w:shd w:val="clear" w:color="auto" w:fill="auto"/>
            <w:noWrap/>
            <w:vAlign w:val="bottom"/>
            <w:hideMark/>
          </w:tcPr>
          <w:p w14:paraId="1FE1C370" w14:textId="788898B0"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12 056 528</w:t>
            </w:r>
          </w:p>
        </w:tc>
        <w:tc>
          <w:tcPr>
            <w:tcW w:w="539" w:type="pct"/>
            <w:tcBorders>
              <w:top w:val="nil"/>
              <w:left w:val="nil"/>
              <w:bottom w:val="nil"/>
              <w:right w:val="nil"/>
            </w:tcBorders>
            <w:shd w:val="clear" w:color="auto" w:fill="auto"/>
            <w:noWrap/>
            <w:vAlign w:val="bottom"/>
            <w:hideMark/>
          </w:tcPr>
          <w:p w14:paraId="331366B8" w14:textId="323D243D"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13 476 479</w:t>
            </w:r>
          </w:p>
        </w:tc>
        <w:tc>
          <w:tcPr>
            <w:tcW w:w="548" w:type="pct"/>
            <w:tcBorders>
              <w:top w:val="nil"/>
              <w:left w:val="nil"/>
              <w:bottom w:val="nil"/>
              <w:right w:val="nil"/>
            </w:tcBorders>
            <w:shd w:val="clear" w:color="000000" w:fill="auto"/>
            <w:noWrap/>
            <w:vAlign w:val="bottom"/>
            <w:hideMark/>
          </w:tcPr>
          <w:p w14:paraId="0A58822E" w14:textId="27C376A1" w:rsidR="0091083D" w:rsidRPr="000C33E1" w:rsidRDefault="0091083D" w:rsidP="0091083D">
            <w:pPr>
              <w:spacing w:after="0" w:line="240" w:lineRule="auto"/>
              <w:jc w:val="right"/>
              <w:rPr>
                <w:sz w:val="18"/>
                <w:szCs w:val="18"/>
                <w:lang w:eastAsia="sk-SK"/>
              </w:rPr>
            </w:pPr>
            <w:r w:rsidRPr="000C33E1">
              <w:rPr>
                <w:sz w:val="18"/>
                <w:szCs w:val="18"/>
              </w:rPr>
              <w:t>14 754 530</w:t>
            </w:r>
          </w:p>
        </w:tc>
        <w:tc>
          <w:tcPr>
            <w:tcW w:w="523" w:type="pct"/>
            <w:tcBorders>
              <w:top w:val="nil"/>
              <w:left w:val="nil"/>
              <w:bottom w:val="nil"/>
              <w:right w:val="nil"/>
            </w:tcBorders>
            <w:shd w:val="clear" w:color="auto" w:fill="auto"/>
            <w:noWrap/>
            <w:vAlign w:val="bottom"/>
            <w:hideMark/>
          </w:tcPr>
          <w:p w14:paraId="0086D051" w14:textId="0414AD62"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14 457 145</w:t>
            </w:r>
          </w:p>
        </w:tc>
        <w:tc>
          <w:tcPr>
            <w:tcW w:w="535" w:type="pct"/>
            <w:tcBorders>
              <w:top w:val="nil"/>
              <w:left w:val="nil"/>
              <w:bottom w:val="nil"/>
              <w:right w:val="nil"/>
            </w:tcBorders>
            <w:shd w:val="clear" w:color="auto" w:fill="auto"/>
            <w:noWrap/>
            <w:vAlign w:val="bottom"/>
            <w:hideMark/>
          </w:tcPr>
          <w:p w14:paraId="4EF27058" w14:textId="0F592090"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9,5</w:t>
            </w:r>
          </w:p>
        </w:tc>
      </w:tr>
      <w:tr w:rsidR="0091083D" w:rsidRPr="00645092" w14:paraId="67BF55DC" w14:textId="77777777" w:rsidTr="00157527">
        <w:trPr>
          <w:trHeight w:val="255"/>
        </w:trPr>
        <w:tc>
          <w:tcPr>
            <w:tcW w:w="2235" w:type="pct"/>
            <w:tcBorders>
              <w:top w:val="nil"/>
              <w:left w:val="nil"/>
              <w:bottom w:val="nil"/>
              <w:right w:val="nil"/>
            </w:tcBorders>
            <w:shd w:val="clear" w:color="auto" w:fill="auto"/>
            <w:vAlign w:val="center"/>
            <w:hideMark/>
          </w:tcPr>
          <w:p w14:paraId="58210CEE"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 xml:space="preserve"> - Daň z pridanej hodnoty</w:t>
            </w:r>
          </w:p>
        </w:tc>
        <w:tc>
          <w:tcPr>
            <w:tcW w:w="620" w:type="pct"/>
            <w:tcBorders>
              <w:top w:val="nil"/>
              <w:left w:val="nil"/>
              <w:bottom w:val="nil"/>
              <w:right w:val="nil"/>
            </w:tcBorders>
            <w:shd w:val="clear" w:color="auto" w:fill="auto"/>
            <w:noWrap/>
            <w:vAlign w:val="bottom"/>
            <w:hideMark/>
          </w:tcPr>
          <w:p w14:paraId="06F9FBE1" w14:textId="46BD4250"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7 494 069</w:t>
            </w:r>
          </w:p>
        </w:tc>
        <w:tc>
          <w:tcPr>
            <w:tcW w:w="539" w:type="pct"/>
            <w:tcBorders>
              <w:top w:val="nil"/>
              <w:left w:val="nil"/>
              <w:bottom w:val="nil"/>
              <w:right w:val="nil"/>
            </w:tcBorders>
            <w:shd w:val="clear" w:color="auto" w:fill="auto"/>
            <w:noWrap/>
            <w:vAlign w:val="bottom"/>
            <w:hideMark/>
          </w:tcPr>
          <w:p w14:paraId="3F408C0E" w14:textId="2676F224"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8 440 844</w:t>
            </w:r>
          </w:p>
        </w:tc>
        <w:tc>
          <w:tcPr>
            <w:tcW w:w="548" w:type="pct"/>
            <w:tcBorders>
              <w:top w:val="nil"/>
              <w:left w:val="nil"/>
              <w:bottom w:val="nil"/>
              <w:right w:val="nil"/>
            </w:tcBorders>
            <w:shd w:val="clear" w:color="000000" w:fill="auto"/>
            <w:noWrap/>
            <w:vAlign w:val="bottom"/>
            <w:hideMark/>
          </w:tcPr>
          <w:p w14:paraId="2A49BA19" w14:textId="37045D33"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9 847 830</w:t>
            </w:r>
          </w:p>
        </w:tc>
        <w:tc>
          <w:tcPr>
            <w:tcW w:w="523" w:type="pct"/>
            <w:tcBorders>
              <w:top w:val="nil"/>
              <w:left w:val="nil"/>
              <w:bottom w:val="nil"/>
              <w:right w:val="nil"/>
            </w:tcBorders>
            <w:shd w:val="clear" w:color="auto" w:fill="auto"/>
            <w:noWrap/>
            <w:vAlign w:val="bottom"/>
            <w:hideMark/>
          </w:tcPr>
          <w:p w14:paraId="69750FB8" w14:textId="4AD52D21"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9 883 679</w:t>
            </w:r>
          </w:p>
        </w:tc>
        <w:tc>
          <w:tcPr>
            <w:tcW w:w="535" w:type="pct"/>
            <w:tcBorders>
              <w:top w:val="nil"/>
              <w:left w:val="nil"/>
              <w:bottom w:val="nil"/>
              <w:right w:val="nil"/>
            </w:tcBorders>
            <w:shd w:val="clear" w:color="auto" w:fill="auto"/>
            <w:noWrap/>
            <w:vAlign w:val="bottom"/>
            <w:hideMark/>
          </w:tcPr>
          <w:p w14:paraId="4AE9005A" w14:textId="4CDFD95B"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16,7</w:t>
            </w:r>
          </w:p>
        </w:tc>
      </w:tr>
      <w:tr w:rsidR="0091083D" w:rsidRPr="00645092" w14:paraId="56D658A8" w14:textId="77777777" w:rsidTr="00157527">
        <w:trPr>
          <w:trHeight w:val="255"/>
        </w:trPr>
        <w:tc>
          <w:tcPr>
            <w:tcW w:w="2235" w:type="pct"/>
            <w:tcBorders>
              <w:top w:val="nil"/>
              <w:left w:val="nil"/>
              <w:bottom w:val="nil"/>
              <w:right w:val="nil"/>
            </w:tcBorders>
            <w:shd w:val="clear" w:color="auto" w:fill="auto"/>
            <w:vAlign w:val="center"/>
            <w:hideMark/>
          </w:tcPr>
          <w:p w14:paraId="324DB89B"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 xml:space="preserve"> - Spotrebné dane</w:t>
            </w:r>
          </w:p>
        </w:tc>
        <w:tc>
          <w:tcPr>
            <w:tcW w:w="620" w:type="pct"/>
            <w:tcBorders>
              <w:top w:val="nil"/>
              <w:left w:val="nil"/>
              <w:bottom w:val="nil"/>
              <w:right w:val="nil"/>
            </w:tcBorders>
            <w:shd w:val="clear" w:color="auto" w:fill="auto"/>
            <w:noWrap/>
            <w:vAlign w:val="bottom"/>
            <w:hideMark/>
          </w:tcPr>
          <w:p w14:paraId="6AAFEA6C" w14:textId="6B968EE9"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2 958 344</w:t>
            </w:r>
          </w:p>
        </w:tc>
        <w:tc>
          <w:tcPr>
            <w:tcW w:w="539" w:type="pct"/>
            <w:tcBorders>
              <w:top w:val="nil"/>
              <w:left w:val="nil"/>
              <w:bottom w:val="nil"/>
              <w:right w:val="nil"/>
            </w:tcBorders>
            <w:shd w:val="clear" w:color="auto" w:fill="auto"/>
            <w:noWrap/>
            <w:vAlign w:val="bottom"/>
            <w:hideMark/>
          </w:tcPr>
          <w:p w14:paraId="79C12273" w14:textId="2685C2CF"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2 797 344</w:t>
            </w:r>
          </w:p>
        </w:tc>
        <w:tc>
          <w:tcPr>
            <w:tcW w:w="548" w:type="pct"/>
            <w:tcBorders>
              <w:top w:val="nil"/>
              <w:left w:val="nil"/>
              <w:bottom w:val="nil"/>
              <w:right w:val="nil"/>
            </w:tcBorders>
            <w:shd w:val="clear" w:color="000000" w:fill="auto"/>
            <w:noWrap/>
            <w:vAlign w:val="bottom"/>
            <w:hideMark/>
          </w:tcPr>
          <w:p w14:paraId="0153813B" w14:textId="39D08C62"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3 020 848</w:t>
            </w:r>
          </w:p>
        </w:tc>
        <w:tc>
          <w:tcPr>
            <w:tcW w:w="523" w:type="pct"/>
            <w:tcBorders>
              <w:top w:val="nil"/>
              <w:left w:val="nil"/>
              <w:bottom w:val="nil"/>
              <w:right w:val="nil"/>
            </w:tcBorders>
            <w:shd w:val="clear" w:color="auto" w:fill="auto"/>
            <w:noWrap/>
            <w:vAlign w:val="bottom"/>
            <w:hideMark/>
          </w:tcPr>
          <w:p w14:paraId="7B9153D3" w14:textId="5AC7EF23"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2 806 542</w:t>
            </w:r>
          </w:p>
        </w:tc>
        <w:tc>
          <w:tcPr>
            <w:tcW w:w="535" w:type="pct"/>
            <w:tcBorders>
              <w:top w:val="nil"/>
              <w:left w:val="nil"/>
              <w:bottom w:val="nil"/>
              <w:right w:val="nil"/>
            </w:tcBorders>
            <w:shd w:val="clear" w:color="auto" w:fill="auto"/>
            <w:noWrap/>
            <w:vAlign w:val="bottom"/>
            <w:hideMark/>
          </w:tcPr>
          <w:p w14:paraId="1149C9FB" w14:textId="52C6C2DD"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8,0</w:t>
            </w:r>
          </w:p>
        </w:tc>
      </w:tr>
      <w:tr w:rsidR="0091083D" w:rsidRPr="00645092" w14:paraId="44883790" w14:textId="77777777" w:rsidTr="00157527">
        <w:trPr>
          <w:trHeight w:val="255"/>
        </w:trPr>
        <w:tc>
          <w:tcPr>
            <w:tcW w:w="2235" w:type="pct"/>
            <w:tcBorders>
              <w:top w:val="nil"/>
              <w:left w:val="nil"/>
              <w:bottom w:val="nil"/>
              <w:right w:val="nil"/>
            </w:tcBorders>
            <w:shd w:val="clear" w:color="auto" w:fill="auto"/>
            <w:vAlign w:val="center"/>
            <w:hideMark/>
          </w:tcPr>
          <w:p w14:paraId="781400E4"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t xml:space="preserve"> - Daň z nehnuteľnosti a iné</w:t>
            </w:r>
          </w:p>
        </w:tc>
        <w:tc>
          <w:tcPr>
            <w:tcW w:w="620" w:type="pct"/>
            <w:tcBorders>
              <w:top w:val="nil"/>
              <w:left w:val="nil"/>
              <w:bottom w:val="nil"/>
              <w:right w:val="nil"/>
            </w:tcBorders>
            <w:shd w:val="clear" w:color="auto" w:fill="auto"/>
            <w:noWrap/>
            <w:vAlign w:val="bottom"/>
            <w:hideMark/>
          </w:tcPr>
          <w:p w14:paraId="32731F31" w14:textId="45B214BF"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428 351</w:t>
            </w:r>
          </w:p>
        </w:tc>
        <w:tc>
          <w:tcPr>
            <w:tcW w:w="539" w:type="pct"/>
            <w:tcBorders>
              <w:top w:val="nil"/>
              <w:left w:val="nil"/>
              <w:bottom w:val="nil"/>
              <w:right w:val="nil"/>
            </w:tcBorders>
            <w:shd w:val="clear" w:color="auto" w:fill="auto"/>
            <w:noWrap/>
            <w:vAlign w:val="bottom"/>
            <w:hideMark/>
          </w:tcPr>
          <w:p w14:paraId="05807817" w14:textId="3F9DE123"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431 799</w:t>
            </w:r>
          </w:p>
        </w:tc>
        <w:tc>
          <w:tcPr>
            <w:tcW w:w="548" w:type="pct"/>
            <w:tcBorders>
              <w:top w:val="nil"/>
              <w:left w:val="nil"/>
              <w:bottom w:val="nil"/>
              <w:right w:val="nil"/>
            </w:tcBorders>
            <w:shd w:val="clear" w:color="000000" w:fill="auto"/>
            <w:noWrap/>
            <w:vAlign w:val="bottom"/>
            <w:hideMark/>
          </w:tcPr>
          <w:p w14:paraId="2C8BC34D" w14:textId="025FEE5D"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469 705</w:t>
            </w:r>
          </w:p>
        </w:tc>
        <w:tc>
          <w:tcPr>
            <w:tcW w:w="523" w:type="pct"/>
            <w:tcBorders>
              <w:top w:val="nil"/>
              <w:left w:val="nil"/>
              <w:bottom w:val="nil"/>
              <w:right w:val="nil"/>
            </w:tcBorders>
            <w:shd w:val="clear" w:color="auto" w:fill="auto"/>
            <w:noWrap/>
            <w:vAlign w:val="bottom"/>
            <w:hideMark/>
          </w:tcPr>
          <w:p w14:paraId="08D03C9D" w14:textId="2A992A08"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455 025</w:t>
            </w:r>
          </w:p>
        </w:tc>
        <w:tc>
          <w:tcPr>
            <w:tcW w:w="535" w:type="pct"/>
            <w:tcBorders>
              <w:top w:val="nil"/>
              <w:left w:val="nil"/>
              <w:bottom w:val="nil"/>
              <w:right w:val="nil"/>
            </w:tcBorders>
            <w:shd w:val="clear" w:color="auto" w:fill="auto"/>
            <w:noWrap/>
            <w:vAlign w:val="bottom"/>
            <w:hideMark/>
          </w:tcPr>
          <w:p w14:paraId="37B20C22" w14:textId="60167527"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8,8</w:t>
            </w:r>
          </w:p>
        </w:tc>
      </w:tr>
      <w:tr w:rsidR="0091083D" w:rsidRPr="00645092" w14:paraId="562F8F47" w14:textId="77777777" w:rsidTr="00157527">
        <w:trPr>
          <w:trHeight w:val="255"/>
        </w:trPr>
        <w:tc>
          <w:tcPr>
            <w:tcW w:w="2235" w:type="pct"/>
            <w:tcBorders>
              <w:top w:val="nil"/>
              <w:left w:val="nil"/>
              <w:bottom w:val="nil"/>
              <w:right w:val="nil"/>
            </w:tcBorders>
            <w:shd w:val="clear" w:color="auto" w:fill="auto"/>
            <w:vAlign w:val="center"/>
            <w:hideMark/>
          </w:tcPr>
          <w:p w14:paraId="7770E108"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t xml:space="preserve"> - Odvod z hazardných hier</w:t>
            </w:r>
          </w:p>
        </w:tc>
        <w:tc>
          <w:tcPr>
            <w:tcW w:w="620" w:type="pct"/>
            <w:tcBorders>
              <w:top w:val="nil"/>
              <w:left w:val="nil"/>
              <w:bottom w:val="nil"/>
              <w:right w:val="nil"/>
            </w:tcBorders>
            <w:shd w:val="clear" w:color="auto" w:fill="auto"/>
            <w:noWrap/>
            <w:vAlign w:val="bottom"/>
            <w:hideMark/>
          </w:tcPr>
          <w:p w14:paraId="4075E8EA" w14:textId="5D97DEE7"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233 004</w:t>
            </w:r>
          </w:p>
        </w:tc>
        <w:tc>
          <w:tcPr>
            <w:tcW w:w="539" w:type="pct"/>
            <w:tcBorders>
              <w:top w:val="nil"/>
              <w:left w:val="nil"/>
              <w:bottom w:val="nil"/>
              <w:right w:val="nil"/>
            </w:tcBorders>
            <w:shd w:val="clear" w:color="auto" w:fill="auto"/>
            <w:noWrap/>
            <w:vAlign w:val="bottom"/>
            <w:hideMark/>
          </w:tcPr>
          <w:p w14:paraId="06754056" w14:textId="4774333D"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263 974</w:t>
            </w:r>
          </w:p>
        </w:tc>
        <w:tc>
          <w:tcPr>
            <w:tcW w:w="548" w:type="pct"/>
            <w:tcBorders>
              <w:top w:val="nil"/>
              <w:left w:val="nil"/>
              <w:bottom w:val="nil"/>
              <w:right w:val="nil"/>
            </w:tcBorders>
            <w:shd w:val="clear" w:color="000000" w:fill="auto"/>
            <w:noWrap/>
            <w:vAlign w:val="bottom"/>
            <w:hideMark/>
          </w:tcPr>
          <w:p w14:paraId="5B31E939" w14:textId="251A3443"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312 294</w:t>
            </w:r>
          </w:p>
        </w:tc>
        <w:tc>
          <w:tcPr>
            <w:tcW w:w="523" w:type="pct"/>
            <w:tcBorders>
              <w:top w:val="nil"/>
              <w:left w:val="nil"/>
              <w:bottom w:val="nil"/>
              <w:right w:val="nil"/>
            </w:tcBorders>
            <w:shd w:val="clear" w:color="auto" w:fill="auto"/>
            <w:noWrap/>
            <w:vAlign w:val="bottom"/>
            <w:hideMark/>
          </w:tcPr>
          <w:p w14:paraId="24CD2293" w14:textId="1BE33907"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265 448</w:t>
            </w:r>
          </w:p>
        </w:tc>
        <w:tc>
          <w:tcPr>
            <w:tcW w:w="535" w:type="pct"/>
            <w:tcBorders>
              <w:top w:val="nil"/>
              <w:left w:val="nil"/>
              <w:bottom w:val="nil"/>
              <w:right w:val="nil"/>
            </w:tcBorders>
            <w:shd w:val="clear" w:color="auto" w:fill="auto"/>
            <w:noWrap/>
            <w:vAlign w:val="bottom"/>
            <w:hideMark/>
          </w:tcPr>
          <w:p w14:paraId="6CB42655" w14:textId="27B58ABB"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18,3</w:t>
            </w:r>
          </w:p>
        </w:tc>
      </w:tr>
      <w:tr w:rsidR="0091083D" w:rsidRPr="00645092" w14:paraId="4F96075E" w14:textId="77777777" w:rsidTr="00157527">
        <w:trPr>
          <w:trHeight w:val="255"/>
        </w:trPr>
        <w:tc>
          <w:tcPr>
            <w:tcW w:w="2235" w:type="pct"/>
            <w:tcBorders>
              <w:top w:val="nil"/>
              <w:left w:val="nil"/>
              <w:bottom w:val="nil"/>
              <w:right w:val="nil"/>
            </w:tcBorders>
            <w:shd w:val="clear" w:color="auto" w:fill="auto"/>
            <w:vAlign w:val="center"/>
            <w:hideMark/>
          </w:tcPr>
          <w:p w14:paraId="79986F21"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t xml:space="preserve"> - Daň z motorových vozidiel</w:t>
            </w:r>
          </w:p>
        </w:tc>
        <w:tc>
          <w:tcPr>
            <w:tcW w:w="620" w:type="pct"/>
            <w:tcBorders>
              <w:top w:val="nil"/>
              <w:left w:val="nil"/>
              <w:bottom w:val="nil"/>
              <w:right w:val="nil"/>
            </w:tcBorders>
            <w:shd w:val="clear" w:color="auto" w:fill="auto"/>
            <w:noWrap/>
            <w:vAlign w:val="bottom"/>
            <w:hideMark/>
          </w:tcPr>
          <w:p w14:paraId="67EC4B1C" w14:textId="31EDF89B"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129 534</w:t>
            </w:r>
          </w:p>
        </w:tc>
        <w:tc>
          <w:tcPr>
            <w:tcW w:w="539" w:type="pct"/>
            <w:tcBorders>
              <w:top w:val="nil"/>
              <w:left w:val="nil"/>
              <w:bottom w:val="nil"/>
              <w:right w:val="nil"/>
            </w:tcBorders>
            <w:shd w:val="clear" w:color="auto" w:fill="auto"/>
            <w:noWrap/>
            <w:vAlign w:val="bottom"/>
            <w:hideMark/>
          </w:tcPr>
          <w:p w14:paraId="6F0A5067" w14:textId="3D97052B"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133 684</w:t>
            </w:r>
          </w:p>
        </w:tc>
        <w:tc>
          <w:tcPr>
            <w:tcW w:w="548" w:type="pct"/>
            <w:tcBorders>
              <w:top w:val="nil"/>
              <w:left w:val="nil"/>
              <w:bottom w:val="nil"/>
              <w:right w:val="nil"/>
            </w:tcBorders>
            <w:shd w:val="clear" w:color="000000" w:fill="auto"/>
            <w:noWrap/>
            <w:vAlign w:val="bottom"/>
            <w:hideMark/>
          </w:tcPr>
          <w:p w14:paraId="79BB7A72" w14:textId="61E2FF6B"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136 635</w:t>
            </w:r>
          </w:p>
        </w:tc>
        <w:tc>
          <w:tcPr>
            <w:tcW w:w="523" w:type="pct"/>
            <w:tcBorders>
              <w:top w:val="nil"/>
              <w:left w:val="nil"/>
              <w:bottom w:val="nil"/>
              <w:right w:val="nil"/>
            </w:tcBorders>
            <w:shd w:val="clear" w:color="auto" w:fill="auto"/>
            <w:noWrap/>
            <w:vAlign w:val="bottom"/>
            <w:hideMark/>
          </w:tcPr>
          <w:p w14:paraId="28557182" w14:textId="748C3C4C"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131 000</w:t>
            </w:r>
          </w:p>
        </w:tc>
        <w:tc>
          <w:tcPr>
            <w:tcW w:w="535" w:type="pct"/>
            <w:tcBorders>
              <w:top w:val="nil"/>
              <w:left w:val="nil"/>
              <w:bottom w:val="nil"/>
              <w:right w:val="nil"/>
            </w:tcBorders>
            <w:shd w:val="clear" w:color="auto" w:fill="auto"/>
            <w:noWrap/>
            <w:vAlign w:val="bottom"/>
            <w:hideMark/>
          </w:tcPr>
          <w:p w14:paraId="70F05912" w14:textId="6054CDFB"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2,2</w:t>
            </w:r>
          </w:p>
        </w:tc>
      </w:tr>
      <w:tr w:rsidR="0091083D" w:rsidRPr="00645092" w14:paraId="7CC9F8E3" w14:textId="77777777" w:rsidTr="00157527">
        <w:trPr>
          <w:trHeight w:val="255"/>
        </w:trPr>
        <w:tc>
          <w:tcPr>
            <w:tcW w:w="2235" w:type="pct"/>
            <w:tcBorders>
              <w:top w:val="nil"/>
              <w:left w:val="nil"/>
              <w:bottom w:val="nil"/>
              <w:right w:val="nil"/>
            </w:tcBorders>
            <w:shd w:val="clear" w:color="auto" w:fill="auto"/>
            <w:vAlign w:val="center"/>
            <w:hideMark/>
          </w:tcPr>
          <w:p w14:paraId="49A5767E"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t xml:space="preserve"> - Emisné kvóty – príjem z predaja </w:t>
            </w:r>
          </w:p>
        </w:tc>
        <w:tc>
          <w:tcPr>
            <w:tcW w:w="620" w:type="pct"/>
            <w:tcBorders>
              <w:top w:val="nil"/>
              <w:left w:val="nil"/>
              <w:bottom w:val="nil"/>
              <w:right w:val="nil"/>
            </w:tcBorders>
            <w:shd w:val="clear" w:color="auto" w:fill="auto"/>
            <w:noWrap/>
            <w:vAlign w:val="bottom"/>
            <w:hideMark/>
          </w:tcPr>
          <w:p w14:paraId="6BBF9557" w14:textId="2C56B834"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241 826</w:t>
            </w:r>
          </w:p>
        </w:tc>
        <w:tc>
          <w:tcPr>
            <w:tcW w:w="539" w:type="pct"/>
            <w:tcBorders>
              <w:top w:val="nil"/>
              <w:left w:val="nil"/>
              <w:bottom w:val="nil"/>
              <w:right w:val="nil"/>
            </w:tcBorders>
            <w:shd w:val="clear" w:color="auto" w:fill="auto"/>
            <w:noWrap/>
            <w:vAlign w:val="bottom"/>
            <w:hideMark/>
          </w:tcPr>
          <w:p w14:paraId="2FD11514" w14:textId="1FE08441"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275 889</w:t>
            </w:r>
          </w:p>
        </w:tc>
        <w:tc>
          <w:tcPr>
            <w:tcW w:w="548" w:type="pct"/>
            <w:tcBorders>
              <w:top w:val="nil"/>
              <w:left w:val="nil"/>
              <w:bottom w:val="nil"/>
              <w:right w:val="nil"/>
            </w:tcBorders>
            <w:shd w:val="clear" w:color="000000" w:fill="auto"/>
            <w:noWrap/>
            <w:vAlign w:val="bottom"/>
            <w:hideMark/>
          </w:tcPr>
          <w:p w14:paraId="03227E74" w14:textId="0EBE323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342 522</w:t>
            </w:r>
          </w:p>
        </w:tc>
        <w:tc>
          <w:tcPr>
            <w:tcW w:w="523" w:type="pct"/>
            <w:tcBorders>
              <w:top w:val="nil"/>
              <w:left w:val="nil"/>
              <w:bottom w:val="nil"/>
              <w:right w:val="nil"/>
            </w:tcBorders>
            <w:shd w:val="clear" w:color="auto" w:fill="auto"/>
            <w:noWrap/>
            <w:vAlign w:val="bottom"/>
            <w:hideMark/>
          </w:tcPr>
          <w:p w14:paraId="5D59E7FA" w14:textId="02848A9A"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329 953</w:t>
            </w:r>
          </w:p>
        </w:tc>
        <w:tc>
          <w:tcPr>
            <w:tcW w:w="535" w:type="pct"/>
            <w:tcBorders>
              <w:top w:val="nil"/>
              <w:left w:val="nil"/>
              <w:bottom w:val="nil"/>
              <w:right w:val="nil"/>
            </w:tcBorders>
            <w:shd w:val="clear" w:color="auto" w:fill="auto"/>
            <w:noWrap/>
            <w:vAlign w:val="bottom"/>
            <w:hideMark/>
          </w:tcPr>
          <w:p w14:paraId="5D2558BB" w14:textId="0EE3B992"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24,2</w:t>
            </w:r>
          </w:p>
        </w:tc>
      </w:tr>
      <w:tr w:rsidR="0091083D" w:rsidRPr="00645092" w14:paraId="18C66208" w14:textId="77777777" w:rsidTr="00157527">
        <w:trPr>
          <w:trHeight w:val="255"/>
        </w:trPr>
        <w:tc>
          <w:tcPr>
            <w:tcW w:w="2235" w:type="pct"/>
            <w:tcBorders>
              <w:top w:val="nil"/>
              <w:left w:val="nil"/>
              <w:bottom w:val="nil"/>
              <w:right w:val="nil"/>
            </w:tcBorders>
            <w:shd w:val="clear" w:color="auto" w:fill="auto"/>
            <w:vAlign w:val="center"/>
            <w:hideMark/>
          </w:tcPr>
          <w:p w14:paraId="6B5E1F70"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t xml:space="preserve"> - Ostatné</w:t>
            </w:r>
          </w:p>
        </w:tc>
        <w:tc>
          <w:tcPr>
            <w:tcW w:w="620" w:type="pct"/>
            <w:tcBorders>
              <w:top w:val="nil"/>
              <w:left w:val="nil"/>
              <w:bottom w:val="nil"/>
              <w:right w:val="nil"/>
            </w:tcBorders>
            <w:shd w:val="clear" w:color="auto" w:fill="auto"/>
            <w:noWrap/>
            <w:vAlign w:val="bottom"/>
            <w:hideMark/>
          </w:tcPr>
          <w:p w14:paraId="14E8F903" w14:textId="6F8E042F"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571 400</w:t>
            </w:r>
          </w:p>
        </w:tc>
        <w:tc>
          <w:tcPr>
            <w:tcW w:w="539" w:type="pct"/>
            <w:tcBorders>
              <w:top w:val="nil"/>
              <w:left w:val="nil"/>
              <w:bottom w:val="nil"/>
              <w:right w:val="nil"/>
            </w:tcBorders>
            <w:shd w:val="clear" w:color="auto" w:fill="auto"/>
            <w:noWrap/>
            <w:vAlign w:val="bottom"/>
            <w:hideMark/>
          </w:tcPr>
          <w:p w14:paraId="48A59C2A" w14:textId="5434D29C"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1 132 945</w:t>
            </w:r>
          </w:p>
        </w:tc>
        <w:tc>
          <w:tcPr>
            <w:tcW w:w="548" w:type="pct"/>
            <w:tcBorders>
              <w:top w:val="nil"/>
              <w:left w:val="nil"/>
              <w:bottom w:val="nil"/>
              <w:right w:val="nil"/>
            </w:tcBorders>
            <w:shd w:val="clear" w:color="000000" w:fill="auto"/>
            <w:noWrap/>
            <w:vAlign w:val="bottom"/>
            <w:hideMark/>
          </w:tcPr>
          <w:p w14:paraId="1464DA51" w14:textId="22150B04"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624 696</w:t>
            </w:r>
          </w:p>
        </w:tc>
        <w:tc>
          <w:tcPr>
            <w:tcW w:w="523" w:type="pct"/>
            <w:tcBorders>
              <w:top w:val="nil"/>
              <w:left w:val="nil"/>
              <w:bottom w:val="nil"/>
              <w:right w:val="nil"/>
            </w:tcBorders>
            <w:shd w:val="clear" w:color="auto" w:fill="auto"/>
            <w:noWrap/>
            <w:vAlign w:val="bottom"/>
            <w:hideMark/>
          </w:tcPr>
          <w:p w14:paraId="7C180DD8" w14:textId="698A1447"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585 498</w:t>
            </w:r>
          </w:p>
        </w:tc>
        <w:tc>
          <w:tcPr>
            <w:tcW w:w="535" w:type="pct"/>
            <w:tcBorders>
              <w:top w:val="nil"/>
              <w:left w:val="nil"/>
              <w:bottom w:val="nil"/>
              <w:right w:val="nil"/>
            </w:tcBorders>
            <w:shd w:val="clear" w:color="auto" w:fill="auto"/>
            <w:noWrap/>
            <w:vAlign w:val="bottom"/>
            <w:hideMark/>
          </w:tcPr>
          <w:p w14:paraId="41D80F0E" w14:textId="2B1B41FF"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-44,9</w:t>
            </w:r>
          </w:p>
        </w:tc>
      </w:tr>
      <w:tr w:rsidR="0091083D" w:rsidRPr="00645092" w14:paraId="47FB8CD9" w14:textId="77777777" w:rsidTr="00157527">
        <w:trPr>
          <w:trHeight w:val="255"/>
        </w:trPr>
        <w:tc>
          <w:tcPr>
            <w:tcW w:w="2235" w:type="pct"/>
            <w:tcBorders>
              <w:top w:val="nil"/>
              <w:left w:val="nil"/>
              <w:bottom w:val="nil"/>
              <w:right w:val="nil"/>
            </w:tcBorders>
            <w:shd w:val="clear" w:color="auto" w:fill="auto"/>
            <w:vAlign w:val="center"/>
            <w:hideMark/>
          </w:tcPr>
          <w:p w14:paraId="0DAB8D7F"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t>Bežné dane z dôchodkov, majetku</w:t>
            </w:r>
          </w:p>
        </w:tc>
        <w:tc>
          <w:tcPr>
            <w:tcW w:w="620" w:type="pct"/>
            <w:tcBorders>
              <w:top w:val="nil"/>
              <w:left w:val="nil"/>
              <w:bottom w:val="nil"/>
              <w:right w:val="nil"/>
            </w:tcBorders>
            <w:shd w:val="clear" w:color="auto" w:fill="auto"/>
            <w:noWrap/>
            <w:vAlign w:val="bottom"/>
            <w:hideMark/>
          </w:tcPr>
          <w:p w14:paraId="09600AA5" w14:textId="061BC242"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7 827 610</w:t>
            </w:r>
          </w:p>
        </w:tc>
        <w:tc>
          <w:tcPr>
            <w:tcW w:w="539" w:type="pct"/>
            <w:tcBorders>
              <w:top w:val="nil"/>
              <w:left w:val="nil"/>
              <w:bottom w:val="nil"/>
              <w:right w:val="nil"/>
            </w:tcBorders>
            <w:shd w:val="clear" w:color="auto" w:fill="auto"/>
            <w:noWrap/>
            <w:vAlign w:val="bottom"/>
            <w:hideMark/>
          </w:tcPr>
          <w:p w14:paraId="448516AF" w14:textId="52D3F70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8 606 469</w:t>
            </w:r>
          </w:p>
        </w:tc>
        <w:tc>
          <w:tcPr>
            <w:tcW w:w="548" w:type="pct"/>
            <w:tcBorders>
              <w:top w:val="nil"/>
              <w:left w:val="nil"/>
              <w:bottom w:val="nil"/>
              <w:right w:val="nil"/>
            </w:tcBorders>
            <w:shd w:val="clear" w:color="000000" w:fill="auto"/>
            <w:noWrap/>
            <w:vAlign w:val="bottom"/>
            <w:hideMark/>
          </w:tcPr>
          <w:p w14:paraId="40C42100" w14:textId="79040FBA"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9 700 929</w:t>
            </w:r>
          </w:p>
        </w:tc>
        <w:tc>
          <w:tcPr>
            <w:tcW w:w="523" w:type="pct"/>
            <w:tcBorders>
              <w:top w:val="nil"/>
              <w:left w:val="nil"/>
              <w:bottom w:val="nil"/>
              <w:right w:val="nil"/>
            </w:tcBorders>
            <w:shd w:val="clear" w:color="auto" w:fill="auto"/>
            <w:noWrap/>
            <w:vAlign w:val="bottom"/>
            <w:hideMark/>
          </w:tcPr>
          <w:p w14:paraId="3F32C648" w14:textId="3F90F9F8"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9 436 545</w:t>
            </w:r>
          </w:p>
        </w:tc>
        <w:tc>
          <w:tcPr>
            <w:tcW w:w="535" w:type="pct"/>
            <w:tcBorders>
              <w:top w:val="nil"/>
              <w:left w:val="nil"/>
              <w:bottom w:val="nil"/>
              <w:right w:val="nil"/>
            </w:tcBorders>
            <w:shd w:val="clear" w:color="auto" w:fill="auto"/>
            <w:noWrap/>
            <w:vAlign w:val="bottom"/>
            <w:hideMark/>
          </w:tcPr>
          <w:p w14:paraId="19ED845C" w14:textId="1F3728DB"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12,7</w:t>
            </w:r>
          </w:p>
        </w:tc>
      </w:tr>
      <w:tr w:rsidR="0091083D" w:rsidRPr="00645092" w14:paraId="003E5E98" w14:textId="77777777" w:rsidTr="00157527">
        <w:trPr>
          <w:trHeight w:val="255"/>
        </w:trPr>
        <w:tc>
          <w:tcPr>
            <w:tcW w:w="2235" w:type="pct"/>
            <w:tcBorders>
              <w:top w:val="nil"/>
              <w:left w:val="nil"/>
              <w:bottom w:val="nil"/>
              <w:right w:val="nil"/>
            </w:tcBorders>
            <w:shd w:val="clear" w:color="auto" w:fill="auto"/>
            <w:vAlign w:val="center"/>
            <w:hideMark/>
          </w:tcPr>
          <w:p w14:paraId="185728FE"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t xml:space="preserve"> - Daň z príjmov fyzických osôb</w:t>
            </w:r>
          </w:p>
        </w:tc>
        <w:tc>
          <w:tcPr>
            <w:tcW w:w="620" w:type="pct"/>
            <w:tcBorders>
              <w:top w:val="nil"/>
              <w:left w:val="nil"/>
              <w:bottom w:val="nil"/>
              <w:right w:val="nil"/>
            </w:tcBorders>
            <w:shd w:val="clear" w:color="auto" w:fill="auto"/>
            <w:noWrap/>
            <w:vAlign w:val="bottom"/>
            <w:hideMark/>
          </w:tcPr>
          <w:p w14:paraId="62CC48AD" w14:textId="4EAA89C3"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3 759 707</w:t>
            </w:r>
          </w:p>
        </w:tc>
        <w:tc>
          <w:tcPr>
            <w:tcW w:w="539" w:type="pct"/>
            <w:tcBorders>
              <w:top w:val="nil"/>
              <w:left w:val="nil"/>
              <w:bottom w:val="nil"/>
              <w:right w:val="nil"/>
            </w:tcBorders>
            <w:shd w:val="clear" w:color="auto" w:fill="auto"/>
            <w:noWrap/>
            <w:vAlign w:val="bottom"/>
            <w:hideMark/>
          </w:tcPr>
          <w:p w14:paraId="520CFBB9" w14:textId="19206BA7"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4 125 886</w:t>
            </w:r>
          </w:p>
        </w:tc>
        <w:tc>
          <w:tcPr>
            <w:tcW w:w="548" w:type="pct"/>
            <w:tcBorders>
              <w:top w:val="nil"/>
              <w:left w:val="nil"/>
              <w:bottom w:val="nil"/>
              <w:right w:val="nil"/>
            </w:tcBorders>
            <w:shd w:val="clear" w:color="000000" w:fill="auto"/>
            <w:noWrap/>
            <w:vAlign w:val="bottom"/>
            <w:hideMark/>
          </w:tcPr>
          <w:p w14:paraId="5721D11B" w14:textId="143CBF6C"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4 662 350</w:t>
            </w:r>
          </w:p>
        </w:tc>
        <w:tc>
          <w:tcPr>
            <w:tcW w:w="523" w:type="pct"/>
            <w:tcBorders>
              <w:top w:val="nil"/>
              <w:left w:val="nil"/>
              <w:bottom w:val="nil"/>
              <w:right w:val="nil"/>
            </w:tcBorders>
            <w:shd w:val="clear" w:color="auto" w:fill="auto"/>
            <w:noWrap/>
            <w:vAlign w:val="bottom"/>
            <w:hideMark/>
          </w:tcPr>
          <w:p w14:paraId="475FDE09" w14:textId="7B34F0C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4 837 552</w:t>
            </w:r>
          </w:p>
        </w:tc>
        <w:tc>
          <w:tcPr>
            <w:tcW w:w="535" w:type="pct"/>
            <w:tcBorders>
              <w:top w:val="nil"/>
              <w:left w:val="nil"/>
              <w:bottom w:val="nil"/>
              <w:right w:val="nil"/>
            </w:tcBorders>
            <w:shd w:val="clear" w:color="auto" w:fill="auto"/>
            <w:noWrap/>
            <w:vAlign w:val="bottom"/>
            <w:hideMark/>
          </w:tcPr>
          <w:p w14:paraId="43D5E852" w14:textId="5CD35BA8"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13,0</w:t>
            </w:r>
          </w:p>
        </w:tc>
      </w:tr>
      <w:tr w:rsidR="0091083D" w:rsidRPr="00645092" w14:paraId="36608636" w14:textId="77777777" w:rsidTr="00157527">
        <w:trPr>
          <w:trHeight w:val="255"/>
        </w:trPr>
        <w:tc>
          <w:tcPr>
            <w:tcW w:w="2235" w:type="pct"/>
            <w:tcBorders>
              <w:top w:val="nil"/>
              <w:left w:val="nil"/>
              <w:bottom w:val="nil"/>
              <w:right w:val="nil"/>
            </w:tcBorders>
            <w:shd w:val="clear" w:color="auto" w:fill="auto"/>
            <w:noWrap/>
            <w:vAlign w:val="bottom"/>
            <w:hideMark/>
          </w:tcPr>
          <w:p w14:paraId="73BFA7A9" w14:textId="77777777" w:rsidR="0091083D" w:rsidRPr="000C33E1" w:rsidRDefault="0091083D" w:rsidP="0091083D">
            <w:pPr>
              <w:spacing w:after="0" w:line="240" w:lineRule="auto"/>
              <w:ind w:firstLineChars="200" w:firstLine="360"/>
              <w:rPr>
                <w:sz w:val="18"/>
                <w:szCs w:val="18"/>
                <w:lang w:eastAsia="sk-SK"/>
              </w:rPr>
            </w:pPr>
            <w:r w:rsidRPr="000C33E1">
              <w:rPr>
                <w:sz w:val="18"/>
                <w:szCs w:val="18"/>
                <w:lang w:eastAsia="sk-SK"/>
              </w:rPr>
              <w:t xml:space="preserve"> - zo závislej činnosti (akruál)</w:t>
            </w:r>
          </w:p>
        </w:tc>
        <w:tc>
          <w:tcPr>
            <w:tcW w:w="620" w:type="pct"/>
            <w:tcBorders>
              <w:top w:val="nil"/>
              <w:left w:val="nil"/>
              <w:bottom w:val="nil"/>
              <w:right w:val="nil"/>
            </w:tcBorders>
            <w:shd w:val="clear" w:color="auto" w:fill="auto"/>
            <w:noWrap/>
            <w:vAlign w:val="bottom"/>
            <w:hideMark/>
          </w:tcPr>
          <w:p w14:paraId="1A8FF250" w14:textId="70EC5C2F"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3 630 348</w:t>
            </w:r>
          </w:p>
        </w:tc>
        <w:tc>
          <w:tcPr>
            <w:tcW w:w="539" w:type="pct"/>
            <w:tcBorders>
              <w:top w:val="nil"/>
              <w:left w:val="nil"/>
              <w:bottom w:val="nil"/>
              <w:right w:val="nil"/>
            </w:tcBorders>
            <w:shd w:val="clear" w:color="auto" w:fill="auto"/>
            <w:noWrap/>
            <w:vAlign w:val="bottom"/>
            <w:hideMark/>
          </w:tcPr>
          <w:p w14:paraId="1F4FA8ED" w14:textId="39760579"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3 967 713</w:t>
            </w:r>
          </w:p>
        </w:tc>
        <w:tc>
          <w:tcPr>
            <w:tcW w:w="548" w:type="pct"/>
            <w:tcBorders>
              <w:top w:val="nil"/>
              <w:left w:val="nil"/>
              <w:bottom w:val="nil"/>
              <w:right w:val="nil"/>
            </w:tcBorders>
            <w:shd w:val="clear" w:color="000000" w:fill="auto"/>
            <w:noWrap/>
            <w:vAlign w:val="bottom"/>
            <w:hideMark/>
          </w:tcPr>
          <w:p w14:paraId="4E1058F9" w14:textId="0837A93A"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4 534 852</w:t>
            </w:r>
          </w:p>
        </w:tc>
        <w:tc>
          <w:tcPr>
            <w:tcW w:w="523" w:type="pct"/>
            <w:tcBorders>
              <w:top w:val="nil"/>
              <w:left w:val="nil"/>
              <w:bottom w:val="nil"/>
              <w:right w:val="nil"/>
            </w:tcBorders>
            <w:shd w:val="clear" w:color="auto" w:fill="auto"/>
            <w:noWrap/>
            <w:vAlign w:val="bottom"/>
            <w:hideMark/>
          </w:tcPr>
          <w:p w14:paraId="6432303B" w14:textId="40409CA7"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4 677 851</w:t>
            </w:r>
          </w:p>
        </w:tc>
        <w:tc>
          <w:tcPr>
            <w:tcW w:w="535" w:type="pct"/>
            <w:tcBorders>
              <w:top w:val="nil"/>
              <w:left w:val="nil"/>
              <w:bottom w:val="nil"/>
              <w:right w:val="nil"/>
            </w:tcBorders>
            <w:shd w:val="clear" w:color="auto" w:fill="auto"/>
            <w:noWrap/>
            <w:vAlign w:val="bottom"/>
            <w:hideMark/>
          </w:tcPr>
          <w:p w14:paraId="74713739" w14:textId="225699E6"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14,3</w:t>
            </w:r>
          </w:p>
        </w:tc>
      </w:tr>
      <w:tr w:rsidR="0091083D" w:rsidRPr="00645092" w14:paraId="094DEB93" w14:textId="77777777" w:rsidTr="00157527">
        <w:trPr>
          <w:trHeight w:val="255"/>
        </w:trPr>
        <w:tc>
          <w:tcPr>
            <w:tcW w:w="2235" w:type="pct"/>
            <w:tcBorders>
              <w:top w:val="nil"/>
              <w:left w:val="nil"/>
              <w:bottom w:val="nil"/>
              <w:right w:val="nil"/>
            </w:tcBorders>
            <w:shd w:val="clear" w:color="auto" w:fill="auto"/>
            <w:noWrap/>
            <w:vAlign w:val="bottom"/>
            <w:hideMark/>
          </w:tcPr>
          <w:p w14:paraId="30098CE0" w14:textId="77777777" w:rsidR="0091083D" w:rsidRPr="000C33E1" w:rsidRDefault="0091083D" w:rsidP="0091083D">
            <w:pPr>
              <w:spacing w:after="0" w:line="240" w:lineRule="auto"/>
              <w:ind w:firstLineChars="200" w:firstLine="360"/>
              <w:rPr>
                <w:sz w:val="18"/>
                <w:szCs w:val="18"/>
                <w:lang w:eastAsia="sk-SK"/>
              </w:rPr>
            </w:pPr>
            <w:r w:rsidRPr="000C33E1">
              <w:rPr>
                <w:sz w:val="18"/>
                <w:szCs w:val="18"/>
                <w:lang w:eastAsia="sk-SK"/>
              </w:rPr>
              <w:t xml:space="preserve"> - z podnikania a inej samostatnej činnosti (akruál)</w:t>
            </w:r>
          </w:p>
        </w:tc>
        <w:tc>
          <w:tcPr>
            <w:tcW w:w="620" w:type="pct"/>
            <w:tcBorders>
              <w:top w:val="nil"/>
              <w:left w:val="nil"/>
              <w:bottom w:val="nil"/>
              <w:right w:val="nil"/>
            </w:tcBorders>
            <w:shd w:val="clear" w:color="auto" w:fill="auto"/>
            <w:noWrap/>
            <w:vAlign w:val="bottom"/>
            <w:hideMark/>
          </w:tcPr>
          <w:p w14:paraId="796E3D3F" w14:textId="0A8DE1AA"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129 358</w:t>
            </w:r>
          </w:p>
        </w:tc>
        <w:tc>
          <w:tcPr>
            <w:tcW w:w="539" w:type="pct"/>
            <w:tcBorders>
              <w:top w:val="nil"/>
              <w:left w:val="nil"/>
              <w:bottom w:val="nil"/>
              <w:right w:val="nil"/>
            </w:tcBorders>
            <w:shd w:val="clear" w:color="auto" w:fill="auto"/>
            <w:noWrap/>
            <w:vAlign w:val="bottom"/>
            <w:hideMark/>
          </w:tcPr>
          <w:p w14:paraId="15308BDB" w14:textId="0A0DD282"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158 175</w:t>
            </w:r>
          </w:p>
        </w:tc>
        <w:tc>
          <w:tcPr>
            <w:tcW w:w="548" w:type="pct"/>
            <w:tcBorders>
              <w:top w:val="nil"/>
              <w:left w:val="nil"/>
              <w:bottom w:val="nil"/>
              <w:right w:val="nil"/>
            </w:tcBorders>
            <w:shd w:val="clear" w:color="000000" w:fill="auto"/>
            <w:noWrap/>
            <w:vAlign w:val="bottom"/>
            <w:hideMark/>
          </w:tcPr>
          <w:p w14:paraId="02720EAE" w14:textId="02B03ACF"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127 497</w:t>
            </w:r>
          </w:p>
        </w:tc>
        <w:tc>
          <w:tcPr>
            <w:tcW w:w="523" w:type="pct"/>
            <w:tcBorders>
              <w:top w:val="nil"/>
              <w:left w:val="nil"/>
              <w:bottom w:val="nil"/>
              <w:right w:val="nil"/>
            </w:tcBorders>
            <w:shd w:val="clear" w:color="auto" w:fill="auto"/>
            <w:noWrap/>
            <w:vAlign w:val="bottom"/>
            <w:hideMark/>
          </w:tcPr>
          <w:p w14:paraId="6CA9CC93" w14:textId="75CCF1E8" w:rsidR="0091083D" w:rsidRPr="000C33E1" w:rsidRDefault="0091083D" w:rsidP="0091083D">
            <w:pPr>
              <w:spacing w:after="0" w:line="240" w:lineRule="auto"/>
              <w:jc w:val="right"/>
              <w:rPr>
                <w:sz w:val="18"/>
                <w:szCs w:val="18"/>
                <w:lang w:eastAsia="sk-SK"/>
              </w:rPr>
            </w:pPr>
            <w:r w:rsidRPr="000C33E1">
              <w:rPr>
                <w:sz w:val="18"/>
                <w:szCs w:val="18"/>
              </w:rPr>
              <w:t>159 701</w:t>
            </w:r>
          </w:p>
        </w:tc>
        <w:tc>
          <w:tcPr>
            <w:tcW w:w="535" w:type="pct"/>
            <w:tcBorders>
              <w:top w:val="nil"/>
              <w:left w:val="nil"/>
              <w:bottom w:val="nil"/>
              <w:right w:val="nil"/>
            </w:tcBorders>
            <w:shd w:val="clear" w:color="auto" w:fill="auto"/>
            <w:noWrap/>
            <w:vAlign w:val="bottom"/>
            <w:hideMark/>
          </w:tcPr>
          <w:p w14:paraId="491A196B" w14:textId="2A3D3844"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-19,4</w:t>
            </w:r>
          </w:p>
        </w:tc>
      </w:tr>
      <w:tr w:rsidR="0091083D" w:rsidRPr="00645092" w14:paraId="2DDB3BDF" w14:textId="77777777" w:rsidTr="00157527">
        <w:trPr>
          <w:trHeight w:val="255"/>
        </w:trPr>
        <w:tc>
          <w:tcPr>
            <w:tcW w:w="2235" w:type="pct"/>
            <w:tcBorders>
              <w:top w:val="nil"/>
              <w:left w:val="nil"/>
              <w:bottom w:val="nil"/>
              <w:right w:val="nil"/>
            </w:tcBorders>
            <w:shd w:val="clear" w:color="auto" w:fill="auto"/>
            <w:noWrap/>
            <w:vAlign w:val="center"/>
            <w:hideMark/>
          </w:tcPr>
          <w:p w14:paraId="0D5327BE"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t xml:space="preserve"> - Daň z príjmov právnických osôb</w:t>
            </w:r>
          </w:p>
        </w:tc>
        <w:tc>
          <w:tcPr>
            <w:tcW w:w="620" w:type="pct"/>
            <w:tcBorders>
              <w:top w:val="nil"/>
              <w:left w:val="nil"/>
              <w:bottom w:val="nil"/>
              <w:right w:val="nil"/>
            </w:tcBorders>
            <w:shd w:val="clear" w:color="auto" w:fill="auto"/>
            <w:noWrap/>
            <w:vAlign w:val="bottom"/>
            <w:hideMark/>
          </w:tcPr>
          <w:p w14:paraId="4A28667C" w14:textId="7F4EC3BB"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3 632 636</w:t>
            </w:r>
          </w:p>
        </w:tc>
        <w:tc>
          <w:tcPr>
            <w:tcW w:w="539" w:type="pct"/>
            <w:tcBorders>
              <w:top w:val="nil"/>
              <w:left w:val="nil"/>
              <w:bottom w:val="nil"/>
              <w:right w:val="nil"/>
            </w:tcBorders>
            <w:shd w:val="clear" w:color="auto" w:fill="auto"/>
            <w:noWrap/>
            <w:vAlign w:val="bottom"/>
            <w:hideMark/>
          </w:tcPr>
          <w:p w14:paraId="0AF0814F" w14:textId="24F698B5"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4 012 156</w:t>
            </w:r>
          </w:p>
        </w:tc>
        <w:tc>
          <w:tcPr>
            <w:tcW w:w="548" w:type="pct"/>
            <w:tcBorders>
              <w:top w:val="nil"/>
              <w:left w:val="nil"/>
              <w:bottom w:val="nil"/>
              <w:right w:val="nil"/>
            </w:tcBorders>
            <w:shd w:val="clear" w:color="000000" w:fill="auto"/>
            <w:noWrap/>
            <w:vAlign w:val="bottom"/>
            <w:hideMark/>
          </w:tcPr>
          <w:p w14:paraId="479D7A82" w14:textId="5F163832"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4 481 880</w:t>
            </w:r>
          </w:p>
        </w:tc>
        <w:tc>
          <w:tcPr>
            <w:tcW w:w="523" w:type="pct"/>
            <w:tcBorders>
              <w:top w:val="nil"/>
              <w:left w:val="nil"/>
              <w:bottom w:val="nil"/>
              <w:right w:val="nil"/>
            </w:tcBorders>
            <w:shd w:val="clear" w:color="auto" w:fill="auto"/>
            <w:noWrap/>
            <w:vAlign w:val="bottom"/>
            <w:hideMark/>
          </w:tcPr>
          <w:p w14:paraId="7F7199A6" w14:textId="52C014B1"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4 018 593</w:t>
            </w:r>
          </w:p>
        </w:tc>
        <w:tc>
          <w:tcPr>
            <w:tcW w:w="535" w:type="pct"/>
            <w:tcBorders>
              <w:top w:val="nil"/>
              <w:left w:val="nil"/>
              <w:bottom w:val="nil"/>
              <w:right w:val="nil"/>
            </w:tcBorders>
            <w:shd w:val="clear" w:color="auto" w:fill="auto"/>
            <w:noWrap/>
            <w:vAlign w:val="bottom"/>
            <w:hideMark/>
          </w:tcPr>
          <w:p w14:paraId="44207FFF" w14:textId="062DB3FE"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11,7</w:t>
            </w:r>
          </w:p>
        </w:tc>
      </w:tr>
      <w:tr w:rsidR="0091083D" w:rsidRPr="00645092" w14:paraId="0C667D62" w14:textId="77777777" w:rsidTr="00157527">
        <w:trPr>
          <w:trHeight w:val="351"/>
        </w:trPr>
        <w:tc>
          <w:tcPr>
            <w:tcW w:w="2235" w:type="pct"/>
            <w:tcBorders>
              <w:top w:val="nil"/>
              <w:left w:val="nil"/>
              <w:bottom w:val="nil"/>
              <w:right w:val="nil"/>
            </w:tcBorders>
            <w:shd w:val="clear" w:color="auto" w:fill="auto"/>
            <w:vAlign w:val="bottom"/>
            <w:hideMark/>
          </w:tcPr>
          <w:p w14:paraId="4E949282" w14:textId="77777777" w:rsidR="0091083D" w:rsidRPr="000C33E1" w:rsidRDefault="0091083D" w:rsidP="0091083D">
            <w:pPr>
              <w:spacing w:after="0" w:line="240" w:lineRule="auto"/>
              <w:ind w:right="-348" w:firstLineChars="300" w:firstLine="540"/>
              <w:rPr>
                <w:sz w:val="18"/>
                <w:szCs w:val="18"/>
                <w:lang w:eastAsia="sk-SK"/>
              </w:rPr>
            </w:pPr>
            <w:r w:rsidRPr="000C33E1">
              <w:rPr>
                <w:sz w:val="18"/>
                <w:szCs w:val="18"/>
                <w:lang w:eastAsia="sk-SK"/>
              </w:rPr>
              <w:t xml:space="preserve">       z toho:  Osobitný odvod z podnikania</w:t>
            </w:r>
          </w:p>
          <w:p w14:paraId="34C55D6B" w14:textId="77777777" w:rsidR="0091083D" w:rsidRPr="000C33E1" w:rsidRDefault="0091083D" w:rsidP="0091083D">
            <w:pPr>
              <w:spacing w:after="0" w:line="240" w:lineRule="auto"/>
              <w:ind w:right="-348" w:firstLineChars="300" w:firstLine="540"/>
              <w:rPr>
                <w:sz w:val="18"/>
                <w:szCs w:val="18"/>
                <w:lang w:eastAsia="sk-SK"/>
              </w:rPr>
            </w:pPr>
            <w:r w:rsidRPr="000C33E1">
              <w:rPr>
                <w:sz w:val="18"/>
                <w:szCs w:val="18"/>
                <w:lang w:eastAsia="sk-SK"/>
              </w:rPr>
              <w:t xml:space="preserve">                    v regul. odvetviach</w:t>
            </w:r>
          </w:p>
        </w:tc>
        <w:tc>
          <w:tcPr>
            <w:tcW w:w="620" w:type="pct"/>
            <w:tcBorders>
              <w:top w:val="nil"/>
              <w:left w:val="nil"/>
              <w:bottom w:val="nil"/>
              <w:right w:val="nil"/>
            </w:tcBorders>
            <w:shd w:val="clear" w:color="auto" w:fill="auto"/>
            <w:noWrap/>
            <w:vAlign w:val="bottom"/>
            <w:hideMark/>
          </w:tcPr>
          <w:p w14:paraId="129DA3B2" w14:textId="2A0DB3F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101 683</w:t>
            </w:r>
          </w:p>
        </w:tc>
        <w:tc>
          <w:tcPr>
            <w:tcW w:w="539" w:type="pct"/>
            <w:tcBorders>
              <w:top w:val="nil"/>
              <w:left w:val="nil"/>
              <w:bottom w:val="nil"/>
              <w:right w:val="nil"/>
            </w:tcBorders>
            <w:shd w:val="clear" w:color="auto" w:fill="auto"/>
            <w:noWrap/>
            <w:vAlign w:val="bottom"/>
            <w:hideMark/>
          </w:tcPr>
          <w:p w14:paraId="449DA4A0" w14:textId="373259D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93 459</w:t>
            </w:r>
          </w:p>
        </w:tc>
        <w:tc>
          <w:tcPr>
            <w:tcW w:w="548" w:type="pct"/>
            <w:tcBorders>
              <w:top w:val="nil"/>
              <w:left w:val="nil"/>
              <w:bottom w:val="nil"/>
              <w:right w:val="nil"/>
            </w:tcBorders>
            <w:shd w:val="clear" w:color="000000" w:fill="auto"/>
            <w:noWrap/>
            <w:vAlign w:val="bottom"/>
            <w:hideMark/>
          </w:tcPr>
          <w:p w14:paraId="6EC17A78" w14:textId="3B49A2D3"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116 909</w:t>
            </w:r>
          </w:p>
        </w:tc>
        <w:tc>
          <w:tcPr>
            <w:tcW w:w="523" w:type="pct"/>
            <w:tcBorders>
              <w:top w:val="nil"/>
              <w:left w:val="nil"/>
              <w:bottom w:val="nil"/>
              <w:right w:val="nil"/>
            </w:tcBorders>
            <w:shd w:val="clear" w:color="auto" w:fill="auto"/>
            <w:noWrap/>
            <w:vAlign w:val="bottom"/>
            <w:hideMark/>
          </w:tcPr>
          <w:p w14:paraId="0F844076" w14:textId="5CDA6DED"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98 552</w:t>
            </w:r>
          </w:p>
        </w:tc>
        <w:tc>
          <w:tcPr>
            <w:tcW w:w="535" w:type="pct"/>
            <w:tcBorders>
              <w:top w:val="nil"/>
              <w:left w:val="nil"/>
              <w:bottom w:val="nil"/>
              <w:right w:val="nil"/>
            </w:tcBorders>
            <w:shd w:val="clear" w:color="auto" w:fill="auto"/>
            <w:noWrap/>
            <w:vAlign w:val="bottom"/>
            <w:hideMark/>
          </w:tcPr>
          <w:p w14:paraId="5FA9B3E0" w14:textId="2718E065"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25,1</w:t>
            </w:r>
          </w:p>
        </w:tc>
      </w:tr>
      <w:tr w:rsidR="0091083D" w:rsidRPr="00645092" w14:paraId="16362A76" w14:textId="77777777" w:rsidTr="00157527">
        <w:trPr>
          <w:trHeight w:val="255"/>
        </w:trPr>
        <w:tc>
          <w:tcPr>
            <w:tcW w:w="2235" w:type="pct"/>
            <w:tcBorders>
              <w:top w:val="nil"/>
              <w:left w:val="nil"/>
              <w:bottom w:val="nil"/>
              <w:right w:val="nil"/>
            </w:tcBorders>
            <w:shd w:val="clear" w:color="auto" w:fill="auto"/>
            <w:noWrap/>
            <w:vAlign w:val="bottom"/>
            <w:hideMark/>
          </w:tcPr>
          <w:p w14:paraId="52E4C662"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t xml:space="preserve"> - Daň z príjmov vyberaná zrážkou </w:t>
            </w:r>
          </w:p>
        </w:tc>
        <w:tc>
          <w:tcPr>
            <w:tcW w:w="620" w:type="pct"/>
            <w:tcBorders>
              <w:top w:val="nil"/>
              <w:left w:val="nil"/>
              <w:bottom w:val="nil"/>
              <w:right w:val="nil"/>
            </w:tcBorders>
            <w:shd w:val="clear" w:color="auto" w:fill="auto"/>
            <w:noWrap/>
            <w:vAlign w:val="bottom"/>
            <w:hideMark/>
          </w:tcPr>
          <w:p w14:paraId="2D9B76C5" w14:textId="4968386D"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289 754</w:t>
            </w:r>
          </w:p>
        </w:tc>
        <w:tc>
          <w:tcPr>
            <w:tcW w:w="539" w:type="pct"/>
            <w:tcBorders>
              <w:top w:val="nil"/>
              <w:left w:val="nil"/>
              <w:bottom w:val="nil"/>
              <w:right w:val="nil"/>
            </w:tcBorders>
            <w:shd w:val="clear" w:color="auto" w:fill="auto"/>
            <w:noWrap/>
            <w:vAlign w:val="bottom"/>
            <w:hideMark/>
          </w:tcPr>
          <w:p w14:paraId="40281CE3" w14:textId="261CF0E7"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314 764</w:t>
            </w:r>
          </w:p>
        </w:tc>
        <w:tc>
          <w:tcPr>
            <w:tcW w:w="548" w:type="pct"/>
            <w:tcBorders>
              <w:top w:val="nil"/>
              <w:left w:val="nil"/>
              <w:bottom w:val="nil"/>
              <w:right w:val="nil"/>
            </w:tcBorders>
            <w:shd w:val="clear" w:color="000000" w:fill="auto"/>
            <w:noWrap/>
            <w:vAlign w:val="bottom"/>
            <w:hideMark/>
          </w:tcPr>
          <w:p w14:paraId="5DE90894" w14:textId="5E1AB041"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430 574</w:t>
            </w:r>
          </w:p>
        </w:tc>
        <w:tc>
          <w:tcPr>
            <w:tcW w:w="523" w:type="pct"/>
            <w:tcBorders>
              <w:top w:val="nil"/>
              <w:left w:val="nil"/>
              <w:bottom w:val="nil"/>
              <w:right w:val="nil"/>
            </w:tcBorders>
            <w:shd w:val="clear" w:color="auto" w:fill="auto"/>
            <w:noWrap/>
            <w:vAlign w:val="bottom"/>
            <w:hideMark/>
          </w:tcPr>
          <w:p w14:paraId="4FFB06FB" w14:textId="366FDE7B"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368 670</w:t>
            </w:r>
          </w:p>
        </w:tc>
        <w:tc>
          <w:tcPr>
            <w:tcW w:w="535" w:type="pct"/>
            <w:tcBorders>
              <w:top w:val="nil"/>
              <w:left w:val="nil"/>
              <w:bottom w:val="nil"/>
              <w:right w:val="nil"/>
            </w:tcBorders>
            <w:shd w:val="clear" w:color="auto" w:fill="auto"/>
            <w:noWrap/>
            <w:vAlign w:val="bottom"/>
            <w:hideMark/>
          </w:tcPr>
          <w:p w14:paraId="6C47B6A1" w14:textId="11ACD38F"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36,8</w:t>
            </w:r>
          </w:p>
        </w:tc>
      </w:tr>
      <w:tr w:rsidR="0091083D" w:rsidRPr="00645092" w14:paraId="6BC84FD7" w14:textId="77777777" w:rsidTr="00157527">
        <w:trPr>
          <w:trHeight w:val="255"/>
        </w:trPr>
        <w:tc>
          <w:tcPr>
            <w:tcW w:w="2235" w:type="pct"/>
            <w:tcBorders>
              <w:top w:val="nil"/>
              <w:left w:val="nil"/>
              <w:bottom w:val="nil"/>
              <w:right w:val="nil"/>
            </w:tcBorders>
            <w:shd w:val="clear" w:color="auto" w:fill="auto"/>
            <w:noWrap/>
            <w:vAlign w:val="center"/>
            <w:hideMark/>
          </w:tcPr>
          <w:p w14:paraId="3707C0F7"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lastRenderedPageBreak/>
              <w:t xml:space="preserve"> - Dane z majetku a iné</w:t>
            </w:r>
          </w:p>
        </w:tc>
        <w:tc>
          <w:tcPr>
            <w:tcW w:w="620" w:type="pct"/>
            <w:tcBorders>
              <w:top w:val="nil"/>
              <w:left w:val="nil"/>
              <w:bottom w:val="nil"/>
              <w:right w:val="nil"/>
            </w:tcBorders>
            <w:shd w:val="clear" w:color="auto" w:fill="auto"/>
            <w:noWrap/>
            <w:vAlign w:val="bottom"/>
            <w:hideMark/>
          </w:tcPr>
          <w:p w14:paraId="3F82A43D" w14:textId="1D01F3DD"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37 390</w:t>
            </w:r>
          </w:p>
        </w:tc>
        <w:tc>
          <w:tcPr>
            <w:tcW w:w="539" w:type="pct"/>
            <w:tcBorders>
              <w:top w:val="nil"/>
              <w:left w:val="nil"/>
              <w:bottom w:val="nil"/>
              <w:right w:val="nil"/>
            </w:tcBorders>
            <w:shd w:val="clear" w:color="auto" w:fill="auto"/>
            <w:noWrap/>
            <w:vAlign w:val="bottom"/>
            <w:hideMark/>
          </w:tcPr>
          <w:p w14:paraId="11E39034" w14:textId="4B84855B"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36 978</w:t>
            </w:r>
          </w:p>
        </w:tc>
        <w:tc>
          <w:tcPr>
            <w:tcW w:w="548" w:type="pct"/>
            <w:tcBorders>
              <w:top w:val="nil"/>
              <w:left w:val="nil"/>
              <w:bottom w:val="nil"/>
              <w:right w:val="nil"/>
            </w:tcBorders>
            <w:shd w:val="clear" w:color="000000" w:fill="auto"/>
            <w:noWrap/>
            <w:vAlign w:val="bottom"/>
            <w:hideMark/>
          </w:tcPr>
          <w:p w14:paraId="621FDEC6" w14:textId="40792AF3"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39 950</w:t>
            </w:r>
          </w:p>
        </w:tc>
        <w:tc>
          <w:tcPr>
            <w:tcW w:w="523" w:type="pct"/>
            <w:tcBorders>
              <w:top w:val="nil"/>
              <w:left w:val="nil"/>
              <w:bottom w:val="nil"/>
              <w:right w:val="nil"/>
            </w:tcBorders>
            <w:shd w:val="clear" w:color="auto" w:fill="auto"/>
            <w:noWrap/>
            <w:vAlign w:val="bottom"/>
            <w:hideMark/>
          </w:tcPr>
          <w:p w14:paraId="7BB2417F" w14:textId="33335597"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50 702</w:t>
            </w:r>
          </w:p>
        </w:tc>
        <w:tc>
          <w:tcPr>
            <w:tcW w:w="535" w:type="pct"/>
            <w:tcBorders>
              <w:top w:val="nil"/>
              <w:left w:val="nil"/>
              <w:bottom w:val="nil"/>
              <w:right w:val="nil"/>
            </w:tcBorders>
            <w:shd w:val="clear" w:color="auto" w:fill="auto"/>
            <w:noWrap/>
            <w:vAlign w:val="bottom"/>
            <w:hideMark/>
          </w:tcPr>
          <w:p w14:paraId="008790BD" w14:textId="3FD68618"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8,0</w:t>
            </w:r>
          </w:p>
        </w:tc>
      </w:tr>
      <w:tr w:rsidR="0091083D" w:rsidRPr="00645092" w14:paraId="2374702A" w14:textId="77777777" w:rsidTr="00157527">
        <w:trPr>
          <w:trHeight w:val="255"/>
        </w:trPr>
        <w:tc>
          <w:tcPr>
            <w:tcW w:w="2235" w:type="pct"/>
            <w:tcBorders>
              <w:top w:val="nil"/>
              <w:left w:val="nil"/>
              <w:bottom w:val="nil"/>
              <w:right w:val="nil"/>
            </w:tcBorders>
            <w:shd w:val="clear" w:color="auto" w:fill="auto"/>
            <w:vAlign w:val="center"/>
            <w:hideMark/>
          </w:tcPr>
          <w:p w14:paraId="7EABD93F"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t xml:space="preserve"> - Ostatné</w:t>
            </w:r>
          </w:p>
        </w:tc>
        <w:tc>
          <w:tcPr>
            <w:tcW w:w="620" w:type="pct"/>
            <w:tcBorders>
              <w:top w:val="nil"/>
              <w:left w:val="nil"/>
              <w:bottom w:val="nil"/>
              <w:right w:val="nil"/>
            </w:tcBorders>
            <w:shd w:val="clear" w:color="auto" w:fill="auto"/>
            <w:noWrap/>
            <w:vAlign w:val="bottom"/>
            <w:hideMark/>
          </w:tcPr>
          <w:p w14:paraId="21BA5214" w14:textId="5B3CA16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108 123</w:t>
            </w:r>
          </w:p>
        </w:tc>
        <w:tc>
          <w:tcPr>
            <w:tcW w:w="539" w:type="pct"/>
            <w:tcBorders>
              <w:top w:val="nil"/>
              <w:left w:val="nil"/>
              <w:bottom w:val="nil"/>
              <w:right w:val="nil"/>
            </w:tcBorders>
            <w:shd w:val="clear" w:color="auto" w:fill="auto"/>
            <w:noWrap/>
            <w:vAlign w:val="bottom"/>
            <w:hideMark/>
          </w:tcPr>
          <w:p w14:paraId="03EB9D6A" w14:textId="56BD338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116 685</w:t>
            </w:r>
          </w:p>
        </w:tc>
        <w:tc>
          <w:tcPr>
            <w:tcW w:w="548" w:type="pct"/>
            <w:tcBorders>
              <w:top w:val="nil"/>
              <w:left w:val="nil"/>
              <w:bottom w:val="nil"/>
              <w:right w:val="nil"/>
            </w:tcBorders>
            <w:shd w:val="clear" w:color="000000" w:fill="auto"/>
            <w:noWrap/>
            <w:vAlign w:val="bottom"/>
            <w:hideMark/>
          </w:tcPr>
          <w:p w14:paraId="01029E50" w14:textId="5D2474B3"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86 175</w:t>
            </w:r>
          </w:p>
        </w:tc>
        <w:tc>
          <w:tcPr>
            <w:tcW w:w="523" w:type="pct"/>
            <w:tcBorders>
              <w:top w:val="nil"/>
              <w:left w:val="nil"/>
              <w:bottom w:val="nil"/>
              <w:right w:val="nil"/>
            </w:tcBorders>
            <w:shd w:val="clear" w:color="auto" w:fill="auto"/>
            <w:noWrap/>
            <w:vAlign w:val="bottom"/>
            <w:hideMark/>
          </w:tcPr>
          <w:p w14:paraId="5C801C62" w14:textId="76428536"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161 028</w:t>
            </w:r>
          </w:p>
        </w:tc>
        <w:tc>
          <w:tcPr>
            <w:tcW w:w="535" w:type="pct"/>
            <w:tcBorders>
              <w:top w:val="nil"/>
              <w:left w:val="nil"/>
              <w:bottom w:val="nil"/>
              <w:right w:val="nil"/>
            </w:tcBorders>
            <w:shd w:val="clear" w:color="auto" w:fill="auto"/>
            <w:noWrap/>
            <w:vAlign w:val="bottom"/>
            <w:hideMark/>
          </w:tcPr>
          <w:p w14:paraId="39CDB3B8" w14:textId="41B9F3EB"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-26,1</w:t>
            </w:r>
          </w:p>
        </w:tc>
      </w:tr>
      <w:tr w:rsidR="0091083D" w:rsidRPr="00645092" w14:paraId="48D2CC52" w14:textId="77777777" w:rsidTr="00157527">
        <w:trPr>
          <w:trHeight w:val="255"/>
        </w:trPr>
        <w:tc>
          <w:tcPr>
            <w:tcW w:w="2235" w:type="pct"/>
            <w:tcBorders>
              <w:top w:val="nil"/>
              <w:left w:val="nil"/>
              <w:bottom w:val="nil"/>
              <w:right w:val="nil"/>
            </w:tcBorders>
            <w:shd w:val="clear" w:color="auto" w:fill="auto"/>
            <w:noWrap/>
            <w:vAlign w:val="center"/>
            <w:hideMark/>
          </w:tcPr>
          <w:p w14:paraId="44FFB853" w14:textId="77777777" w:rsidR="0091083D" w:rsidRPr="000C33E1" w:rsidRDefault="0091083D" w:rsidP="0091083D">
            <w:pPr>
              <w:spacing w:after="0" w:line="240" w:lineRule="auto"/>
              <w:rPr>
                <w:b/>
                <w:bCs/>
                <w:color w:val="000000"/>
                <w:sz w:val="18"/>
                <w:szCs w:val="18"/>
                <w:lang w:eastAsia="sk-SK"/>
              </w:rPr>
            </w:pPr>
            <w:r w:rsidRPr="000C33E1">
              <w:rPr>
                <w:b/>
                <w:bCs/>
                <w:color w:val="000000"/>
                <w:sz w:val="18"/>
                <w:szCs w:val="18"/>
                <w:lang w:eastAsia="sk-SK"/>
              </w:rPr>
              <w:t>Príspevky na sociálne zabezpečenie</w:t>
            </w:r>
          </w:p>
        </w:tc>
        <w:tc>
          <w:tcPr>
            <w:tcW w:w="620" w:type="pct"/>
            <w:tcBorders>
              <w:top w:val="nil"/>
              <w:left w:val="nil"/>
              <w:bottom w:val="nil"/>
              <w:right w:val="nil"/>
            </w:tcBorders>
            <w:shd w:val="clear" w:color="auto" w:fill="auto"/>
            <w:noWrap/>
            <w:vAlign w:val="bottom"/>
            <w:hideMark/>
          </w:tcPr>
          <w:p w14:paraId="214F236B" w14:textId="50498C56" w:rsidR="0091083D" w:rsidRPr="000C33E1" w:rsidRDefault="0091083D" w:rsidP="0091083D">
            <w:pPr>
              <w:spacing w:after="0" w:line="240" w:lineRule="auto"/>
              <w:jc w:val="right"/>
              <w:rPr>
                <w:b/>
                <w:bCs/>
                <w:sz w:val="18"/>
                <w:szCs w:val="18"/>
                <w:lang w:eastAsia="sk-SK"/>
              </w:rPr>
            </w:pPr>
            <w:r w:rsidRPr="000C33E1">
              <w:rPr>
                <w:b/>
                <w:bCs/>
                <w:sz w:val="18"/>
                <w:szCs w:val="18"/>
              </w:rPr>
              <w:t>15 684 841</w:t>
            </w:r>
          </w:p>
        </w:tc>
        <w:tc>
          <w:tcPr>
            <w:tcW w:w="539" w:type="pct"/>
            <w:tcBorders>
              <w:top w:val="nil"/>
              <w:left w:val="nil"/>
              <w:bottom w:val="nil"/>
              <w:right w:val="nil"/>
            </w:tcBorders>
            <w:shd w:val="clear" w:color="auto" w:fill="auto"/>
            <w:noWrap/>
            <w:vAlign w:val="bottom"/>
            <w:hideMark/>
          </w:tcPr>
          <w:p w14:paraId="740E7C7C" w14:textId="12F0E582" w:rsidR="0091083D" w:rsidRPr="000C33E1" w:rsidRDefault="0091083D" w:rsidP="0091083D">
            <w:pPr>
              <w:spacing w:after="0" w:line="240" w:lineRule="auto"/>
              <w:jc w:val="right"/>
              <w:rPr>
                <w:b/>
                <w:bCs/>
                <w:sz w:val="18"/>
                <w:szCs w:val="18"/>
                <w:lang w:eastAsia="sk-SK"/>
              </w:rPr>
            </w:pPr>
            <w:r w:rsidRPr="000C33E1">
              <w:rPr>
                <w:b/>
                <w:bCs/>
                <w:sz w:val="18"/>
                <w:szCs w:val="18"/>
              </w:rPr>
              <w:t>16 598 183</w:t>
            </w:r>
          </w:p>
        </w:tc>
        <w:tc>
          <w:tcPr>
            <w:tcW w:w="548" w:type="pct"/>
            <w:tcBorders>
              <w:top w:val="nil"/>
              <w:left w:val="nil"/>
              <w:bottom w:val="nil"/>
              <w:right w:val="nil"/>
            </w:tcBorders>
            <w:shd w:val="clear" w:color="000000" w:fill="auto"/>
            <w:noWrap/>
            <w:vAlign w:val="bottom"/>
            <w:hideMark/>
          </w:tcPr>
          <w:p w14:paraId="6ACA9F39" w14:textId="4E829DD7" w:rsidR="0091083D" w:rsidRPr="000C33E1" w:rsidRDefault="0091083D" w:rsidP="0091083D">
            <w:pPr>
              <w:spacing w:after="0" w:line="240" w:lineRule="auto"/>
              <w:jc w:val="right"/>
              <w:rPr>
                <w:b/>
                <w:bCs/>
                <w:sz w:val="18"/>
                <w:szCs w:val="18"/>
                <w:lang w:eastAsia="sk-SK"/>
              </w:rPr>
            </w:pPr>
            <w:r w:rsidRPr="000C33E1">
              <w:rPr>
                <w:b/>
                <w:bCs/>
                <w:sz w:val="18"/>
                <w:szCs w:val="18"/>
              </w:rPr>
              <w:t>18 945 701</w:t>
            </w:r>
          </w:p>
        </w:tc>
        <w:tc>
          <w:tcPr>
            <w:tcW w:w="523" w:type="pct"/>
            <w:tcBorders>
              <w:top w:val="nil"/>
              <w:left w:val="nil"/>
              <w:bottom w:val="nil"/>
              <w:right w:val="nil"/>
            </w:tcBorders>
            <w:shd w:val="clear" w:color="auto" w:fill="auto"/>
            <w:noWrap/>
            <w:vAlign w:val="bottom"/>
            <w:hideMark/>
          </w:tcPr>
          <w:p w14:paraId="7A4B4969" w14:textId="61168160" w:rsidR="0091083D" w:rsidRPr="000C33E1" w:rsidRDefault="0091083D" w:rsidP="0091083D">
            <w:pPr>
              <w:spacing w:after="0" w:line="240" w:lineRule="auto"/>
              <w:jc w:val="right"/>
              <w:rPr>
                <w:b/>
                <w:bCs/>
                <w:color w:val="000000"/>
                <w:sz w:val="18"/>
                <w:szCs w:val="18"/>
                <w:lang w:eastAsia="sk-SK"/>
              </w:rPr>
            </w:pPr>
            <w:r w:rsidRPr="000C33E1">
              <w:rPr>
                <w:b/>
                <w:bCs/>
                <w:color w:val="000000"/>
                <w:sz w:val="18"/>
                <w:szCs w:val="18"/>
              </w:rPr>
              <w:t>18 424 157</w:t>
            </w:r>
          </w:p>
        </w:tc>
        <w:tc>
          <w:tcPr>
            <w:tcW w:w="535" w:type="pct"/>
            <w:tcBorders>
              <w:top w:val="nil"/>
              <w:left w:val="nil"/>
              <w:bottom w:val="nil"/>
              <w:right w:val="nil"/>
            </w:tcBorders>
            <w:shd w:val="clear" w:color="auto" w:fill="auto"/>
            <w:noWrap/>
            <w:vAlign w:val="bottom"/>
            <w:hideMark/>
          </w:tcPr>
          <w:p w14:paraId="354C3D27" w14:textId="1AA5DC10" w:rsidR="0091083D" w:rsidRPr="000C33E1" w:rsidRDefault="0091083D" w:rsidP="0091083D">
            <w:pPr>
              <w:spacing w:after="0" w:line="240" w:lineRule="auto"/>
              <w:ind w:right="188"/>
              <w:jc w:val="right"/>
              <w:rPr>
                <w:b/>
                <w:bCs/>
                <w:sz w:val="18"/>
                <w:szCs w:val="18"/>
                <w:lang w:eastAsia="sk-SK"/>
              </w:rPr>
            </w:pPr>
            <w:r w:rsidRPr="000C33E1">
              <w:rPr>
                <w:b/>
                <w:bCs/>
                <w:sz w:val="18"/>
                <w:szCs w:val="18"/>
              </w:rPr>
              <w:t>14,1</w:t>
            </w:r>
          </w:p>
        </w:tc>
      </w:tr>
      <w:tr w:rsidR="0091083D" w:rsidRPr="00645092" w14:paraId="3FD15DA4" w14:textId="77777777" w:rsidTr="00157527">
        <w:trPr>
          <w:trHeight w:val="255"/>
        </w:trPr>
        <w:tc>
          <w:tcPr>
            <w:tcW w:w="2235" w:type="pct"/>
            <w:tcBorders>
              <w:top w:val="nil"/>
              <w:left w:val="nil"/>
              <w:bottom w:val="nil"/>
              <w:right w:val="nil"/>
            </w:tcBorders>
            <w:shd w:val="clear" w:color="auto" w:fill="auto"/>
            <w:noWrap/>
            <w:vAlign w:val="center"/>
            <w:hideMark/>
          </w:tcPr>
          <w:p w14:paraId="59F546BF"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Skutočné príspevky na sociálne zabezpečenie</w:t>
            </w:r>
          </w:p>
        </w:tc>
        <w:tc>
          <w:tcPr>
            <w:tcW w:w="620" w:type="pct"/>
            <w:tcBorders>
              <w:top w:val="nil"/>
              <w:left w:val="nil"/>
              <w:bottom w:val="nil"/>
              <w:right w:val="nil"/>
            </w:tcBorders>
            <w:shd w:val="clear" w:color="auto" w:fill="auto"/>
            <w:noWrap/>
            <w:vAlign w:val="bottom"/>
            <w:hideMark/>
          </w:tcPr>
          <w:p w14:paraId="31A7E8E0" w14:textId="323D2A8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15 290 671</w:t>
            </w:r>
          </w:p>
        </w:tc>
        <w:tc>
          <w:tcPr>
            <w:tcW w:w="539" w:type="pct"/>
            <w:tcBorders>
              <w:top w:val="nil"/>
              <w:left w:val="nil"/>
              <w:bottom w:val="nil"/>
              <w:right w:val="nil"/>
            </w:tcBorders>
            <w:shd w:val="clear" w:color="auto" w:fill="auto"/>
            <w:noWrap/>
            <w:vAlign w:val="bottom"/>
            <w:hideMark/>
          </w:tcPr>
          <w:p w14:paraId="119DAAE6" w14:textId="74B97D90"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16 196 748</w:t>
            </w:r>
          </w:p>
        </w:tc>
        <w:tc>
          <w:tcPr>
            <w:tcW w:w="548" w:type="pct"/>
            <w:tcBorders>
              <w:top w:val="nil"/>
              <w:left w:val="nil"/>
              <w:bottom w:val="nil"/>
              <w:right w:val="nil"/>
            </w:tcBorders>
            <w:shd w:val="clear" w:color="000000" w:fill="auto"/>
            <w:noWrap/>
            <w:vAlign w:val="bottom"/>
            <w:hideMark/>
          </w:tcPr>
          <w:p w14:paraId="68B20501" w14:textId="727D83BB" w:rsidR="0091083D" w:rsidRPr="000C33E1" w:rsidRDefault="0091083D" w:rsidP="0091083D">
            <w:pPr>
              <w:spacing w:after="0" w:line="240" w:lineRule="auto"/>
              <w:jc w:val="right"/>
              <w:rPr>
                <w:sz w:val="18"/>
                <w:szCs w:val="18"/>
                <w:lang w:eastAsia="sk-SK"/>
              </w:rPr>
            </w:pPr>
            <w:r w:rsidRPr="000C33E1">
              <w:rPr>
                <w:sz w:val="18"/>
                <w:szCs w:val="18"/>
              </w:rPr>
              <w:t>18 523 359</w:t>
            </w:r>
          </w:p>
        </w:tc>
        <w:tc>
          <w:tcPr>
            <w:tcW w:w="523" w:type="pct"/>
            <w:tcBorders>
              <w:top w:val="nil"/>
              <w:left w:val="nil"/>
              <w:bottom w:val="nil"/>
              <w:right w:val="nil"/>
            </w:tcBorders>
            <w:shd w:val="clear" w:color="auto" w:fill="auto"/>
            <w:noWrap/>
            <w:vAlign w:val="bottom"/>
            <w:hideMark/>
          </w:tcPr>
          <w:p w14:paraId="1076F432" w14:textId="5B4B3798"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18 165 412</w:t>
            </w:r>
          </w:p>
        </w:tc>
        <w:tc>
          <w:tcPr>
            <w:tcW w:w="535" w:type="pct"/>
            <w:tcBorders>
              <w:top w:val="nil"/>
              <w:left w:val="nil"/>
              <w:bottom w:val="nil"/>
              <w:right w:val="nil"/>
            </w:tcBorders>
            <w:shd w:val="clear" w:color="auto" w:fill="auto"/>
            <w:noWrap/>
            <w:vAlign w:val="bottom"/>
            <w:hideMark/>
          </w:tcPr>
          <w:p w14:paraId="3E82ED2B" w14:textId="03D12C1C"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14,4</w:t>
            </w:r>
          </w:p>
        </w:tc>
      </w:tr>
      <w:tr w:rsidR="0091083D" w:rsidRPr="00645092" w14:paraId="268E3CF5" w14:textId="77777777" w:rsidTr="00157527">
        <w:trPr>
          <w:trHeight w:val="255"/>
        </w:trPr>
        <w:tc>
          <w:tcPr>
            <w:tcW w:w="2235" w:type="pct"/>
            <w:tcBorders>
              <w:top w:val="nil"/>
              <w:left w:val="nil"/>
              <w:bottom w:val="nil"/>
              <w:right w:val="nil"/>
            </w:tcBorders>
            <w:shd w:val="clear" w:color="auto" w:fill="auto"/>
            <w:noWrap/>
            <w:vAlign w:val="center"/>
            <w:hideMark/>
          </w:tcPr>
          <w:p w14:paraId="5E02404E"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 xml:space="preserve"> - Príspevky zamestnávateľov</w:t>
            </w:r>
          </w:p>
        </w:tc>
        <w:tc>
          <w:tcPr>
            <w:tcW w:w="620" w:type="pct"/>
            <w:tcBorders>
              <w:top w:val="nil"/>
              <w:left w:val="nil"/>
              <w:bottom w:val="nil"/>
              <w:right w:val="nil"/>
            </w:tcBorders>
            <w:shd w:val="clear" w:color="auto" w:fill="auto"/>
            <w:noWrap/>
            <w:vAlign w:val="bottom"/>
            <w:hideMark/>
          </w:tcPr>
          <w:p w14:paraId="1769E77A" w14:textId="34969C9D"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9 142 485</w:t>
            </w:r>
          </w:p>
        </w:tc>
        <w:tc>
          <w:tcPr>
            <w:tcW w:w="539" w:type="pct"/>
            <w:tcBorders>
              <w:top w:val="nil"/>
              <w:left w:val="nil"/>
              <w:bottom w:val="nil"/>
              <w:right w:val="nil"/>
            </w:tcBorders>
            <w:shd w:val="clear" w:color="auto" w:fill="auto"/>
            <w:noWrap/>
            <w:vAlign w:val="bottom"/>
            <w:hideMark/>
          </w:tcPr>
          <w:p w14:paraId="54E1DF74" w14:textId="3B8AD0A3" w:rsidR="0091083D" w:rsidRPr="000C33E1" w:rsidRDefault="0091083D" w:rsidP="0091083D">
            <w:pPr>
              <w:spacing w:after="0" w:line="240" w:lineRule="auto"/>
              <w:jc w:val="right"/>
              <w:rPr>
                <w:color w:val="000000"/>
                <w:sz w:val="18"/>
                <w:szCs w:val="18"/>
                <w:lang w:eastAsia="sk-SK"/>
              </w:rPr>
            </w:pPr>
            <w:r w:rsidRPr="000C33E1">
              <w:rPr>
                <w:sz w:val="18"/>
                <w:szCs w:val="18"/>
              </w:rPr>
              <w:t>9 666 579</w:t>
            </w:r>
          </w:p>
        </w:tc>
        <w:tc>
          <w:tcPr>
            <w:tcW w:w="548" w:type="pct"/>
            <w:tcBorders>
              <w:top w:val="nil"/>
              <w:left w:val="nil"/>
              <w:bottom w:val="nil"/>
              <w:right w:val="nil"/>
            </w:tcBorders>
            <w:shd w:val="clear" w:color="000000" w:fill="auto"/>
            <w:noWrap/>
            <w:vAlign w:val="bottom"/>
            <w:hideMark/>
          </w:tcPr>
          <w:p w14:paraId="78463E74" w14:textId="6960E066" w:rsidR="0091083D" w:rsidRPr="000C33E1" w:rsidRDefault="0091083D" w:rsidP="0091083D">
            <w:pPr>
              <w:spacing w:after="0" w:line="240" w:lineRule="auto"/>
              <w:jc w:val="right"/>
              <w:rPr>
                <w:sz w:val="18"/>
                <w:szCs w:val="18"/>
                <w:lang w:eastAsia="sk-SK"/>
              </w:rPr>
            </w:pPr>
            <w:r w:rsidRPr="000C33E1">
              <w:rPr>
                <w:sz w:val="18"/>
                <w:szCs w:val="18"/>
              </w:rPr>
              <w:t>10 718 613</w:t>
            </w:r>
          </w:p>
        </w:tc>
        <w:tc>
          <w:tcPr>
            <w:tcW w:w="523" w:type="pct"/>
            <w:tcBorders>
              <w:top w:val="nil"/>
              <w:left w:val="nil"/>
              <w:bottom w:val="nil"/>
              <w:right w:val="nil"/>
            </w:tcBorders>
            <w:shd w:val="clear" w:color="auto" w:fill="auto"/>
            <w:noWrap/>
            <w:vAlign w:val="bottom"/>
            <w:hideMark/>
          </w:tcPr>
          <w:p w14:paraId="39D6D5C3" w14:textId="048FD51C"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10 037 923</w:t>
            </w:r>
          </w:p>
        </w:tc>
        <w:tc>
          <w:tcPr>
            <w:tcW w:w="535" w:type="pct"/>
            <w:tcBorders>
              <w:top w:val="nil"/>
              <w:left w:val="nil"/>
              <w:bottom w:val="nil"/>
              <w:right w:val="nil"/>
            </w:tcBorders>
            <w:shd w:val="clear" w:color="auto" w:fill="auto"/>
            <w:noWrap/>
            <w:vAlign w:val="bottom"/>
            <w:hideMark/>
          </w:tcPr>
          <w:p w14:paraId="01D369CB" w14:textId="1FD57E3E"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10,9</w:t>
            </w:r>
          </w:p>
        </w:tc>
      </w:tr>
      <w:tr w:rsidR="0091083D" w:rsidRPr="00645092" w14:paraId="09DB13D2" w14:textId="77777777" w:rsidTr="00157527">
        <w:trPr>
          <w:trHeight w:val="255"/>
        </w:trPr>
        <w:tc>
          <w:tcPr>
            <w:tcW w:w="2235" w:type="pct"/>
            <w:tcBorders>
              <w:top w:val="nil"/>
              <w:left w:val="nil"/>
              <w:bottom w:val="nil"/>
              <w:right w:val="nil"/>
            </w:tcBorders>
            <w:shd w:val="clear" w:color="auto" w:fill="auto"/>
            <w:noWrap/>
            <w:vAlign w:val="center"/>
            <w:hideMark/>
          </w:tcPr>
          <w:p w14:paraId="39C53CED" w14:textId="77777777" w:rsidR="0091083D" w:rsidRPr="000C33E1" w:rsidRDefault="0091083D" w:rsidP="0091083D">
            <w:pPr>
              <w:spacing w:after="0" w:line="240" w:lineRule="auto"/>
              <w:ind w:firstLineChars="100" w:firstLine="180"/>
              <w:rPr>
                <w:sz w:val="18"/>
                <w:szCs w:val="18"/>
                <w:lang w:eastAsia="sk-SK"/>
              </w:rPr>
            </w:pPr>
            <w:r w:rsidRPr="000C33E1">
              <w:rPr>
                <w:sz w:val="18"/>
                <w:szCs w:val="18"/>
                <w:lang w:eastAsia="sk-SK"/>
              </w:rPr>
              <w:t xml:space="preserve"> - Príspevky od domácnosti</w:t>
            </w:r>
          </w:p>
        </w:tc>
        <w:tc>
          <w:tcPr>
            <w:tcW w:w="620" w:type="pct"/>
            <w:tcBorders>
              <w:top w:val="nil"/>
              <w:left w:val="nil"/>
              <w:bottom w:val="nil"/>
              <w:right w:val="nil"/>
            </w:tcBorders>
            <w:shd w:val="clear" w:color="auto" w:fill="auto"/>
            <w:noWrap/>
            <w:vAlign w:val="bottom"/>
            <w:hideMark/>
          </w:tcPr>
          <w:p w14:paraId="5EBF2A3C" w14:textId="551BFD65"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6 148 186</w:t>
            </w:r>
          </w:p>
        </w:tc>
        <w:tc>
          <w:tcPr>
            <w:tcW w:w="539" w:type="pct"/>
            <w:tcBorders>
              <w:top w:val="nil"/>
              <w:left w:val="nil"/>
              <w:bottom w:val="nil"/>
              <w:right w:val="nil"/>
            </w:tcBorders>
            <w:shd w:val="clear" w:color="auto" w:fill="auto"/>
            <w:noWrap/>
            <w:vAlign w:val="bottom"/>
            <w:hideMark/>
          </w:tcPr>
          <w:p w14:paraId="66C42D57" w14:textId="5C1D1C93" w:rsidR="0091083D" w:rsidRPr="000C33E1" w:rsidRDefault="0091083D" w:rsidP="0091083D">
            <w:pPr>
              <w:spacing w:after="0" w:line="240" w:lineRule="auto"/>
              <w:jc w:val="right"/>
              <w:rPr>
                <w:color w:val="000000"/>
                <w:sz w:val="18"/>
                <w:szCs w:val="18"/>
                <w:lang w:eastAsia="sk-SK"/>
              </w:rPr>
            </w:pPr>
            <w:r w:rsidRPr="000C33E1">
              <w:rPr>
                <w:sz w:val="18"/>
                <w:szCs w:val="18"/>
              </w:rPr>
              <w:t>6 530 169</w:t>
            </w:r>
          </w:p>
        </w:tc>
        <w:tc>
          <w:tcPr>
            <w:tcW w:w="548" w:type="pct"/>
            <w:tcBorders>
              <w:top w:val="nil"/>
              <w:left w:val="nil"/>
              <w:bottom w:val="nil"/>
              <w:right w:val="nil"/>
            </w:tcBorders>
            <w:shd w:val="clear" w:color="000000" w:fill="auto"/>
            <w:noWrap/>
            <w:vAlign w:val="bottom"/>
            <w:hideMark/>
          </w:tcPr>
          <w:p w14:paraId="0F0C51E1" w14:textId="5D0A2304" w:rsidR="0091083D" w:rsidRPr="000C33E1" w:rsidRDefault="0091083D" w:rsidP="0091083D">
            <w:pPr>
              <w:spacing w:after="0" w:line="240" w:lineRule="auto"/>
              <w:jc w:val="right"/>
              <w:rPr>
                <w:sz w:val="18"/>
                <w:szCs w:val="18"/>
                <w:lang w:eastAsia="sk-SK"/>
              </w:rPr>
            </w:pPr>
            <w:r w:rsidRPr="000C33E1">
              <w:rPr>
                <w:sz w:val="18"/>
                <w:szCs w:val="18"/>
              </w:rPr>
              <w:t>7 804 746</w:t>
            </w:r>
          </w:p>
        </w:tc>
        <w:tc>
          <w:tcPr>
            <w:tcW w:w="523" w:type="pct"/>
            <w:tcBorders>
              <w:top w:val="nil"/>
              <w:left w:val="nil"/>
              <w:bottom w:val="nil"/>
              <w:right w:val="nil"/>
            </w:tcBorders>
            <w:shd w:val="clear" w:color="auto" w:fill="auto"/>
            <w:noWrap/>
            <w:vAlign w:val="bottom"/>
            <w:hideMark/>
          </w:tcPr>
          <w:p w14:paraId="66ADCE19" w14:textId="159F7C7D"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8 127 489</w:t>
            </w:r>
          </w:p>
        </w:tc>
        <w:tc>
          <w:tcPr>
            <w:tcW w:w="535" w:type="pct"/>
            <w:tcBorders>
              <w:top w:val="nil"/>
              <w:left w:val="nil"/>
              <w:bottom w:val="nil"/>
              <w:right w:val="nil"/>
            </w:tcBorders>
            <w:shd w:val="clear" w:color="auto" w:fill="auto"/>
            <w:noWrap/>
            <w:vAlign w:val="bottom"/>
            <w:hideMark/>
          </w:tcPr>
          <w:p w14:paraId="34C8791D" w14:textId="5CC9271A"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19,5</w:t>
            </w:r>
          </w:p>
        </w:tc>
      </w:tr>
      <w:tr w:rsidR="0091083D" w:rsidRPr="00645092" w14:paraId="5315BB5A" w14:textId="77777777" w:rsidTr="00157527">
        <w:trPr>
          <w:trHeight w:val="255"/>
        </w:trPr>
        <w:tc>
          <w:tcPr>
            <w:tcW w:w="2235" w:type="pct"/>
            <w:tcBorders>
              <w:top w:val="nil"/>
              <w:left w:val="nil"/>
              <w:bottom w:val="nil"/>
              <w:right w:val="nil"/>
            </w:tcBorders>
            <w:shd w:val="clear" w:color="auto" w:fill="auto"/>
            <w:noWrap/>
            <w:vAlign w:val="center"/>
            <w:hideMark/>
          </w:tcPr>
          <w:p w14:paraId="3494214D"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Imputované príspevky na sociálne zabezpečenie</w:t>
            </w:r>
          </w:p>
        </w:tc>
        <w:tc>
          <w:tcPr>
            <w:tcW w:w="620" w:type="pct"/>
            <w:tcBorders>
              <w:top w:val="nil"/>
              <w:left w:val="nil"/>
              <w:bottom w:val="nil"/>
              <w:right w:val="nil"/>
            </w:tcBorders>
            <w:shd w:val="clear" w:color="auto" w:fill="auto"/>
            <w:noWrap/>
            <w:vAlign w:val="bottom"/>
            <w:hideMark/>
          </w:tcPr>
          <w:p w14:paraId="31CE61C9" w14:textId="61FF7BA7" w:rsidR="0091083D" w:rsidRPr="000C33E1" w:rsidRDefault="0091083D" w:rsidP="0091083D">
            <w:pPr>
              <w:spacing w:after="0" w:line="240" w:lineRule="auto"/>
              <w:jc w:val="right"/>
              <w:rPr>
                <w:color w:val="000000"/>
                <w:sz w:val="18"/>
                <w:szCs w:val="18"/>
                <w:lang w:eastAsia="sk-SK"/>
              </w:rPr>
            </w:pPr>
            <w:r w:rsidRPr="000C33E1">
              <w:rPr>
                <w:sz w:val="18"/>
                <w:szCs w:val="18"/>
              </w:rPr>
              <w:t>394 170</w:t>
            </w:r>
          </w:p>
        </w:tc>
        <w:tc>
          <w:tcPr>
            <w:tcW w:w="539" w:type="pct"/>
            <w:tcBorders>
              <w:top w:val="nil"/>
              <w:left w:val="nil"/>
              <w:bottom w:val="nil"/>
              <w:right w:val="nil"/>
            </w:tcBorders>
            <w:shd w:val="clear" w:color="auto" w:fill="auto"/>
            <w:noWrap/>
            <w:vAlign w:val="bottom"/>
            <w:hideMark/>
          </w:tcPr>
          <w:p w14:paraId="558A3B8D" w14:textId="70B38468" w:rsidR="0091083D" w:rsidRPr="000C33E1" w:rsidRDefault="0091083D" w:rsidP="0091083D">
            <w:pPr>
              <w:spacing w:after="0" w:line="240" w:lineRule="auto"/>
              <w:jc w:val="right"/>
              <w:rPr>
                <w:color w:val="000000"/>
                <w:sz w:val="18"/>
                <w:szCs w:val="18"/>
                <w:lang w:eastAsia="sk-SK"/>
              </w:rPr>
            </w:pPr>
            <w:r w:rsidRPr="000C33E1">
              <w:rPr>
                <w:sz w:val="18"/>
                <w:szCs w:val="18"/>
              </w:rPr>
              <w:t>401 435</w:t>
            </w:r>
          </w:p>
        </w:tc>
        <w:tc>
          <w:tcPr>
            <w:tcW w:w="548" w:type="pct"/>
            <w:tcBorders>
              <w:top w:val="nil"/>
              <w:left w:val="nil"/>
              <w:bottom w:val="nil"/>
              <w:right w:val="nil"/>
            </w:tcBorders>
            <w:shd w:val="clear" w:color="000000" w:fill="auto"/>
            <w:noWrap/>
            <w:vAlign w:val="bottom"/>
            <w:hideMark/>
          </w:tcPr>
          <w:p w14:paraId="331B80C4" w14:textId="31A6B67D" w:rsidR="0091083D" w:rsidRPr="000C33E1" w:rsidRDefault="0091083D" w:rsidP="0091083D">
            <w:pPr>
              <w:spacing w:after="0" w:line="240" w:lineRule="auto"/>
              <w:jc w:val="right"/>
              <w:rPr>
                <w:sz w:val="18"/>
                <w:szCs w:val="18"/>
                <w:lang w:eastAsia="sk-SK"/>
              </w:rPr>
            </w:pPr>
            <w:r w:rsidRPr="000C33E1">
              <w:rPr>
                <w:sz w:val="18"/>
                <w:szCs w:val="18"/>
              </w:rPr>
              <w:t>422 342</w:t>
            </w:r>
          </w:p>
        </w:tc>
        <w:tc>
          <w:tcPr>
            <w:tcW w:w="523" w:type="pct"/>
            <w:tcBorders>
              <w:top w:val="nil"/>
              <w:left w:val="nil"/>
              <w:bottom w:val="nil"/>
              <w:right w:val="nil"/>
            </w:tcBorders>
            <w:shd w:val="clear" w:color="auto" w:fill="auto"/>
            <w:noWrap/>
            <w:vAlign w:val="bottom"/>
            <w:hideMark/>
          </w:tcPr>
          <w:p w14:paraId="4127B24D" w14:textId="7D91EB35"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258 745</w:t>
            </w:r>
          </w:p>
        </w:tc>
        <w:tc>
          <w:tcPr>
            <w:tcW w:w="535" w:type="pct"/>
            <w:tcBorders>
              <w:top w:val="nil"/>
              <w:left w:val="nil"/>
              <w:bottom w:val="nil"/>
              <w:right w:val="nil"/>
            </w:tcBorders>
            <w:shd w:val="clear" w:color="auto" w:fill="auto"/>
            <w:noWrap/>
            <w:vAlign w:val="bottom"/>
            <w:hideMark/>
          </w:tcPr>
          <w:p w14:paraId="2AEFF84F" w14:textId="3293A138"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5,2</w:t>
            </w:r>
          </w:p>
        </w:tc>
      </w:tr>
      <w:tr w:rsidR="0091083D" w:rsidRPr="00645092" w14:paraId="161E9E06" w14:textId="77777777" w:rsidTr="00157527">
        <w:trPr>
          <w:trHeight w:val="255"/>
        </w:trPr>
        <w:tc>
          <w:tcPr>
            <w:tcW w:w="2235" w:type="pct"/>
            <w:tcBorders>
              <w:top w:val="nil"/>
              <w:left w:val="nil"/>
              <w:bottom w:val="nil"/>
              <w:right w:val="nil"/>
            </w:tcBorders>
            <w:shd w:val="clear" w:color="auto" w:fill="auto"/>
            <w:noWrap/>
            <w:vAlign w:val="center"/>
            <w:hideMark/>
          </w:tcPr>
          <w:p w14:paraId="03C13E92" w14:textId="77777777" w:rsidR="0091083D" w:rsidRPr="000C33E1" w:rsidRDefault="0091083D" w:rsidP="0091083D">
            <w:pPr>
              <w:spacing w:after="0" w:line="240" w:lineRule="auto"/>
              <w:rPr>
                <w:b/>
                <w:bCs/>
                <w:color w:val="000000"/>
                <w:sz w:val="18"/>
                <w:szCs w:val="18"/>
                <w:lang w:eastAsia="sk-SK"/>
              </w:rPr>
            </w:pPr>
            <w:r w:rsidRPr="000C33E1">
              <w:rPr>
                <w:b/>
                <w:bCs/>
                <w:color w:val="000000"/>
                <w:sz w:val="18"/>
                <w:szCs w:val="18"/>
                <w:lang w:eastAsia="sk-SK"/>
              </w:rPr>
              <w:t>Nedaňové príjmy</w:t>
            </w:r>
          </w:p>
        </w:tc>
        <w:tc>
          <w:tcPr>
            <w:tcW w:w="620" w:type="pct"/>
            <w:tcBorders>
              <w:top w:val="nil"/>
              <w:left w:val="nil"/>
              <w:bottom w:val="nil"/>
              <w:right w:val="nil"/>
            </w:tcBorders>
            <w:shd w:val="clear" w:color="auto" w:fill="auto"/>
            <w:noWrap/>
            <w:vAlign w:val="bottom"/>
            <w:hideMark/>
          </w:tcPr>
          <w:p w14:paraId="278A1678" w14:textId="681F95C6" w:rsidR="0091083D" w:rsidRPr="000C33E1" w:rsidRDefault="0091083D" w:rsidP="0091083D">
            <w:pPr>
              <w:spacing w:after="0" w:line="240" w:lineRule="auto"/>
              <w:jc w:val="right"/>
              <w:rPr>
                <w:b/>
                <w:bCs/>
                <w:sz w:val="18"/>
                <w:szCs w:val="18"/>
                <w:lang w:eastAsia="sk-SK"/>
              </w:rPr>
            </w:pPr>
            <w:r w:rsidRPr="000C33E1">
              <w:rPr>
                <w:b/>
                <w:bCs/>
                <w:sz w:val="18"/>
                <w:szCs w:val="18"/>
              </w:rPr>
              <w:t>3 339 901</w:t>
            </w:r>
          </w:p>
        </w:tc>
        <w:tc>
          <w:tcPr>
            <w:tcW w:w="539" w:type="pct"/>
            <w:tcBorders>
              <w:top w:val="nil"/>
              <w:left w:val="nil"/>
              <w:bottom w:val="nil"/>
              <w:right w:val="nil"/>
            </w:tcBorders>
            <w:shd w:val="clear" w:color="auto" w:fill="auto"/>
            <w:noWrap/>
            <w:vAlign w:val="bottom"/>
            <w:hideMark/>
          </w:tcPr>
          <w:p w14:paraId="778CD29B" w14:textId="0B54C99F" w:rsidR="0091083D" w:rsidRPr="000C33E1" w:rsidRDefault="0091083D" w:rsidP="0091083D">
            <w:pPr>
              <w:spacing w:after="0" w:line="240" w:lineRule="auto"/>
              <w:jc w:val="right"/>
              <w:rPr>
                <w:b/>
                <w:bCs/>
                <w:sz w:val="18"/>
                <w:szCs w:val="18"/>
                <w:lang w:eastAsia="sk-SK"/>
              </w:rPr>
            </w:pPr>
            <w:r w:rsidRPr="000C33E1">
              <w:rPr>
                <w:b/>
                <w:bCs/>
                <w:sz w:val="18"/>
                <w:szCs w:val="18"/>
              </w:rPr>
              <w:t>3 702 192</w:t>
            </w:r>
          </w:p>
        </w:tc>
        <w:tc>
          <w:tcPr>
            <w:tcW w:w="548" w:type="pct"/>
            <w:tcBorders>
              <w:top w:val="nil"/>
              <w:left w:val="nil"/>
              <w:bottom w:val="nil"/>
              <w:right w:val="nil"/>
            </w:tcBorders>
            <w:shd w:val="clear" w:color="000000" w:fill="auto"/>
            <w:noWrap/>
            <w:vAlign w:val="bottom"/>
            <w:hideMark/>
          </w:tcPr>
          <w:p w14:paraId="70787C6B" w14:textId="5B0AD2EC" w:rsidR="0091083D" w:rsidRPr="000C33E1" w:rsidRDefault="0091083D" w:rsidP="0091083D">
            <w:pPr>
              <w:spacing w:after="0" w:line="240" w:lineRule="auto"/>
              <w:jc w:val="right"/>
              <w:rPr>
                <w:b/>
                <w:bCs/>
                <w:sz w:val="18"/>
                <w:szCs w:val="18"/>
                <w:lang w:eastAsia="sk-SK"/>
              </w:rPr>
            </w:pPr>
            <w:r w:rsidRPr="000C33E1">
              <w:rPr>
                <w:b/>
                <w:bCs/>
                <w:sz w:val="18"/>
                <w:szCs w:val="18"/>
              </w:rPr>
              <w:t>4 629 471</w:t>
            </w:r>
          </w:p>
        </w:tc>
        <w:tc>
          <w:tcPr>
            <w:tcW w:w="523" w:type="pct"/>
            <w:tcBorders>
              <w:top w:val="nil"/>
              <w:left w:val="nil"/>
              <w:bottom w:val="nil"/>
              <w:right w:val="nil"/>
            </w:tcBorders>
            <w:shd w:val="clear" w:color="auto" w:fill="auto"/>
            <w:noWrap/>
            <w:vAlign w:val="bottom"/>
            <w:hideMark/>
          </w:tcPr>
          <w:p w14:paraId="5949F54D" w14:textId="4C288141" w:rsidR="0091083D" w:rsidRPr="000C33E1" w:rsidRDefault="0091083D" w:rsidP="0091083D">
            <w:pPr>
              <w:spacing w:after="0" w:line="240" w:lineRule="auto"/>
              <w:jc w:val="right"/>
              <w:rPr>
                <w:b/>
                <w:bCs/>
                <w:sz w:val="18"/>
                <w:szCs w:val="18"/>
                <w:lang w:eastAsia="sk-SK"/>
              </w:rPr>
            </w:pPr>
            <w:r w:rsidRPr="000C33E1">
              <w:rPr>
                <w:b/>
                <w:bCs/>
                <w:sz w:val="18"/>
                <w:szCs w:val="18"/>
              </w:rPr>
              <w:t>3 637 360</w:t>
            </w:r>
          </w:p>
        </w:tc>
        <w:tc>
          <w:tcPr>
            <w:tcW w:w="535" w:type="pct"/>
            <w:tcBorders>
              <w:top w:val="nil"/>
              <w:left w:val="nil"/>
              <w:bottom w:val="nil"/>
              <w:right w:val="nil"/>
            </w:tcBorders>
            <w:shd w:val="clear" w:color="auto" w:fill="auto"/>
            <w:noWrap/>
            <w:vAlign w:val="bottom"/>
            <w:hideMark/>
          </w:tcPr>
          <w:p w14:paraId="0554827D" w14:textId="3D040C1E" w:rsidR="0091083D" w:rsidRPr="000C33E1" w:rsidRDefault="0091083D" w:rsidP="0091083D">
            <w:pPr>
              <w:spacing w:after="0" w:line="240" w:lineRule="auto"/>
              <w:ind w:right="188"/>
              <w:jc w:val="right"/>
              <w:rPr>
                <w:b/>
                <w:bCs/>
                <w:sz w:val="18"/>
                <w:szCs w:val="18"/>
                <w:lang w:eastAsia="sk-SK"/>
              </w:rPr>
            </w:pPr>
            <w:r w:rsidRPr="000C33E1">
              <w:rPr>
                <w:b/>
                <w:bCs/>
                <w:sz w:val="18"/>
                <w:szCs w:val="18"/>
              </w:rPr>
              <w:t>25,0</w:t>
            </w:r>
          </w:p>
        </w:tc>
      </w:tr>
      <w:tr w:rsidR="0091083D" w:rsidRPr="00645092" w14:paraId="6931232D" w14:textId="77777777" w:rsidTr="00157527">
        <w:trPr>
          <w:trHeight w:val="255"/>
        </w:trPr>
        <w:tc>
          <w:tcPr>
            <w:tcW w:w="2235" w:type="pct"/>
            <w:tcBorders>
              <w:top w:val="nil"/>
              <w:left w:val="nil"/>
              <w:bottom w:val="nil"/>
              <w:right w:val="nil"/>
            </w:tcBorders>
            <w:shd w:val="clear" w:color="auto" w:fill="auto"/>
            <w:noWrap/>
            <w:vAlign w:val="center"/>
            <w:hideMark/>
          </w:tcPr>
          <w:p w14:paraId="2FA110E4"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Tržby</w:t>
            </w:r>
          </w:p>
        </w:tc>
        <w:tc>
          <w:tcPr>
            <w:tcW w:w="620" w:type="pct"/>
            <w:tcBorders>
              <w:top w:val="nil"/>
              <w:left w:val="nil"/>
              <w:bottom w:val="nil"/>
              <w:right w:val="nil"/>
            </w:tcBorders>
            <w:shd w:val="clear" w:color="auto" w:fill="auto"/>
            <w:noWrap/>
            <w:vAlign w:val="bottom"/>
            <w:hideMark/>
          </w:tcPr>
          <w:p w14:paraId="5111C3F5" w14:textId="5BB7F208"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2 582 681</w:t>
            </w:r>
          </w:p>
        </w:tc>
        <w:tc>
          <w:tcPr>
            <w:tcW w:w="539" w:type="pct"/>
            <w:tcBorders>
              <w:top w:val="nil"/>
              <w:left w:val="nil"/>
              <w:bottom w:val="nil"/>
              <w:right w:val="nil"/>
            </w:tcBorders>
            <w:shd w:val="clear" w:color="auto" w:fill="auto"/>
            <w:noWrap/>
            <w:vAlign w:val="bottom"/>
            <w:hideMark/>
          </w:tcPr>
          <w:p w14:paraId="319772A2" w14:textId="6464EC15"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2 952 658</w:t>
            </w:r>
          </w:p>
        </w:tc>
        <w:tc>
          <w:tcPr>
            <w:tcW w:w="548" w:type="pct"/>
            <w:tcBorders>
              <w:top w:val="nil"/>
              <w:left w:val="nil"/>
              <w:bottom w:val="nil"/>
              <w:right w:val="nil"/>
            </w:tcBorders>
            <w:shd w:val="clear" w:color="000000" w:fill="auto"/>
            <w:noWrap/>
            <w:vAlign w:val="bottom"/>
            <w:hideMark/>
          </w:tcPr>
          <w:p w14:paraId="1A158885" w14:textId="3C3B79FF"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3 418 544</w:t>
            </w:r>
          </w:p>
        </w:tc>
        <w:tc>
          <w:tcPr>
            <w:tcW w:w="523" w:type="pct"/>
            <w:tcBorders>
              <w:top w:val="nil"/>
              <w:left w:val="nil"/>
              <w:bottom w:val="nil"/>
              <w:right w:val="nil"/>
            </w:tcBorders>
            <w:shd w:val="clear" w:color="auto" w:fill="auto"/>
            <w:noWrap/>
            <w:vAlign w:val="bottom"/>
            <w:hideMark/>
          </w:tcPr>
          <w:p w14:paraId="47231DB9" w14:textId="0852AAA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2 921 828</w:t>
            </w:r>
          </w:p>
        </w:tc>
        <w:tc>
          <w:tcPr>
            <w:tcW w:w="535" w:type="pct"/>
            <w:tcBorders>
              <w:top w:val="nil"/>
              <w:left w:val="nil"/>
              <w:bottom w:val="nil"/>
              <w:right w:val="nil"/>
            </w:tcBorders>
            <w:shd w:val="clear" w:color="auto" w:fill="auto"/>
            <w:noWrap/>
            <w:vAlign w:val="bottom"/>
            <w:hideMark/>
          </w:tcPr>
          <w:p w14:paraId="29382005" w14:textId="21CDE54F"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15,8</w:t>
            </w:r>
          </w:p>
        </w:tc>
      </w:tr>
      <w:tr w:rsidR="0091083D" w:rsidRPr="00645092" w14:paraId="71661B41" w14:textId="77777777" w:rsidTr="00157527">
        <w:trPr>
          <w:trHeight w:val="243"/>
        </w:trPr>
        <w:tc>
          <w:tcPr>
            <w:tcW w:w="2235" w:type="pct"/>
            <w:tcBorders>
              <w:top w:val="nil"/>
              <w:left w:val="nil"/>
              <w:bottom w:val="nil"/>
              <w:right w:val="nil"/>
            </w:tcBorders>
            <w:shd w:val="clear" w:color="auto" w:fill="auto"/>
            <w:vAlign w:val="center"/>
            <w:hideMark/>
          </w:tcPr>
          <w:p w14:paraId="1D1F5A81"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 xml:space="preserve"> - Produkcia trhová + pre vlastné konečné použitie</w:t>
            </w:r>
          </w:p>
        </w:tc>
        <w:tc>
          <w:tcPr>
            <w:tcW w:w="620" w:type="pct"/>
            <w:tcBorders>
              <w:top w:val="nil"/>
              <w:left w:val="nil"/>
              <w:bottom w:val="nil"/>
              <w:right w:val="nil"/>
            </w:tcBorders>
            <w:shd w:val="clear" w:color="auto" w:fill="auto"/>
            <w:noWrap/>
            <w:vAlign w:val="bottom"/>
            <w:hideMark/>
          </w:tcPr>
          <w:p w14:paraId="56DFC294" w14:textId="7FE896D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2 307 696</w:t>
            </w:r>
          </w:p>
        </w:tc>
        <w:tc>
          <w:tcPr>
            <w:tcW w:w="539" w:type="pct"/>
            <w:tcBorders>
              <w:top w:val="nil"/>
              <w:left w:val="nil"/>
              <w:bottom w:val="nil"/>
              <w:right w:val="nil"/>
            </w:tcBorders>
            <w:shd w:val="clear" w:color="auto" w:fill="auto"/>
            <w:noWrap/>
            <w:vAlign w:val="bottom"/>
            <w:hideMark/>
          </w:tcPr>
          <w:p w14:paraId="61389F0D" w14:textId="68B7A832"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2 570 911</w:t>
            </w:r>
          </w:p>
        </w:tc>
        <w:tc>
          <w:tcPr>
            <w:tcW w:w="548" w:type="pct"/>
            <w:tcBorders>
              <w:top w:val="nil"/>
              <w:left w:val="nil"/>
              <w:bottom w:val="nil"/>
              <w:right w:val="nil"/>
            </w:tcBorders>
            <w:shd w:val="clear" w:color="000000" w:fill="auto"/>
            <w:noWrap/>
            <w:vAlign w:val="bottom"/>
            <w:hideMark/>
          </w:tcPr>
          <w:p w14:paraId="543A9628" w14:textId="230B7AD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2 884 856</w:t>
            </w:r>
          </w:p>
        </w:tc>
        <w:tc>
          <w:tcPr>
            <w:tcW w:w="523" w:type="pct"/>
            <w:tcBorders>
              <w:top w:val="nil"/>
              <w:left w:val="nil"/>
              <w:bottom w:val="nil"/>
              <w:right w:val="nil"/>
            </w:tcBorders>
            <w:shd w:val="clear" w:color="auto" w:fill="auto"/>
            <w:noWrap/>
            <w:vAlign w:val="bottom"/>
            <w:hideMark/>
          </w:tcPr>
          <w:p w14:paraId="669F4D9A" w14:textId="51AF1387"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2 665 316</w:t>
            </w:r>
          </w:p>
        </w:tc>
        <w:tc>
          <w:tcPr>
            <w:tcW w:w="535" w:type="pct"/>
            <w:tcBorders>
              <w:top w:val="nil"/>
              <w:left w:val="nil"/>
              <w:bottom w:val="nil"/>
              <w:right w:val="nil"/>
            </w:tcBorders>
            <w:shd w:val="clear" w:color="auto" w:fill="auto"/>
            <w:noWrap/>
            <w:vAlign w:val="bottom"/>
            <w:hideMark/>
          </w:tcPr>
          <w:p w14:paraId="0870FB52" w14:textId="70E130AD"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12,2</w:t>
            </w:r>
          </w:p>
        </w:tc>
      </w:tr>
      <w:tr w:rsidR="0091083D" w:rsidRPr="00645092" w14:paraId="751B8FB6" w14:textId="77777777" w:rsidTr="00157527">
        <w:trPr>
          <w:trHeight w:val="315"/>
        </w:trPr>
        <w:tc>
          <w:tcPr>
            <w:tcW w:w="2235" w:type="pct"/>
            <w:tcBorders>
              <w:top w:val="nil"/>
              <w:left w:val="nil"/>
              <w:bottom w:val="nil"/>
              <w:right w:val="nil"/>
            </w:tcBorders>
            <w:shd w:val="clear" w:color="auto" w:fill="auto"/>
            <w:noWrap/>
            <w:vAlign w:val="center"/>
            <w:hideMark/>
          </w:tcPr>
          <w:p w14:paraId="75307BBB"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 xml:space="preserve"> - Platby za ostatnú netrhovú produkciu</w:t>
            </w:r>
          </w:p>
        </w:tc>
        <w:tc>
          <w:tcPr>
            <w:tcW w:w="620" w:type="pct"/>
            <w:tcBorders>
              <w:top w:val="nil"/>
              <w:left w:val="nil"/>
              <w:bottom w:val="nil"/>
              <w:right w:val="nil"/>
            </w:tcBorders>
            <w:shd w:val="clear" w:color="auto" w:fill="auto"/>
            <w:noWrap/>
            <w:vAlign w:val="bottom"/>
            <w:hideMark/>
          </w:tcPr>
          <w:p w14:paraId="60079D28" w14:textId="6C7ADD43"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274 985</w:t>
            </w:r>
          </w:p>
        </w:tc>
        <w:tc>
          <w:tcPr>
            <w:tcW w:w="539" w:type="pct"/>
            <w:tcBorders>
              <w:top w:val="nil"/>
              <w:left w:val="nil"/>
              <w:bottom w:val="nil"/>
              <w:right w:val="nil"/>
            </w:tcBorders>
            <w:shd w:val="clear" w:color="auto" w:fill="auto"/>
            <w:noWrap/>
            <w:vAlign w:val="bottom"/>
            <w:hideMark/>
          </w:tcPr>
          <w:p w14:paraId="1F24FAD9" w14:textId="228E6DF7"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381 747</w:t>
            </w:r>
          </w:p>
        </w:tc>
        <w:tc>
          <w:tcPr>
            <w:tcW w:w="548" w:type="pct"/>
            <w:tcBorders>
              <w:top w:val="nil"/>
              <w:left w:val="nil"/>
              <w:bottom w:val="nil"/>
              <w:right w:val="nil"/>
            </w:tcBorders>
            <w:shd w:val="clear" w:color="000000" w:fill="auto"/>
            <w:noWrap/>
            <w:vAlign w:val="bottom"/>
            <w:hideMark/>
          </w:tcPr>
          <w:p w14:paraId="68B81F36" w14:textId="7DB6B814"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533 688</w:t>
            </w:r>
          </w:p>
        </w:tc>
        <w:tc>
          <w:tcPr>
            <w:tcW w:w="523" w:type="pct"/>
            <w:tcBorders>
              <w:top w:val="nil"/>
              <w:left w:val="nil"/>
              <w:bottom w:val="nil"/>
              <w:right w:val="nil"/>
            </w:tcBorders>
            <w:shd w:val="clear" w:color="auto" w:fill="auto"/>
            <w:noWrap/>
            <w:vAlign w:val="bottom"/>
            <w:hideMark/>
          </w:tcPr>
          <w:p w14:paraId="7A924649" w14:textId="32BAC0E5"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256 512</w:t>
            </w:r>
          </w:p>
        </w:tc>
        <w:tc>
          <w:tcPr>
            <w:tcW w:w="535" w:type="pct"/>
            <w:tcBorders>
              <w:top w:val="nil"/>
              <w:left w:val="nil"/>
              <w:bottom w:val="nil"/>
              <w:right w:val="nil"/>
            </w:tcBorders>
            <w:shd w:val="clear" w:color="auto" w:fill="auto"/>
            <w:noWrap/>
            <w:vAlign w:val="bottom"/>
            <w:hideMark/>
          </w:tcPr>
          <w:p w14:paraId="589F5F65" w14:textId="6F2D0C80"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39,8</w:t>
            </w:r>
          </w:p>
        </w:tc>
      </w:tr>
      <w:tr w:rsidR="0091083D" w:rsidRPr="00645092" w14:paraId="6A2BA92B" w14:textId="77777777" w:rsidTr="00157527">
        <w:trPr>
          <w:trHeight w:val="285"/>
        </w:trPr>
        <w:tc>
          <w:tcPr>
            <w:tcW w:w="2235" w:type="pct"/>
            <w:tcBorders>
              <w:top w:val="nil"/>
              <w:left w:val="nil"/>
              <w:bottom w:val="nil"/>
              <w:right w:val="nil"/>
            </w:tcBorders>
            <w:shd w:val="clear" w:color="auto" w:fill="auto"/>
            <w:noWrap/>
            <w:vAlign w:val="center"/>
            <w:hideMark/>
          </w:tcPr>
          <w:p w14:paraId="3D653A25"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Dôchodky z majetku, z toho</w:t>
            </w:r>
          </w:p>
        </w:tc>
        <w:tc>
          <w:tcPr>
            <w:tcW w:w="620" w:type="pct"/>
            <w:tcBorders>
              <w:top w:val="nil"/>
              <w:left w:val="nil"/>
              <w:bottom w:val="nil"/>
              <w:right w:val="nil"/>
            </w:tcBorders>
            <w:shd w:val="clear" w:color="auto" w:fill="auto"/>
            <w:noWrap/>
            <w:vAlign w:val="bottom"/>
            <w:hideMark/>
          </w:tcPr>
          <w:p w14:paraId="6F746F30" w14:textId="397474C4"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757 220</w:t>
            </w:r>
          </w:p>
        </w:tc>
        <w:tc>
          <w:tcPr>
            <w:tcW w:w="539" w:type="pct"/>
            <w:tcBorders>
              <w:top w:val="nil"/>
              <w:left w:val="nil"/>
              <w:bottom w:val="nil"/>
              <w:right w:val="nil"/>
            </w:tcBorders>
            <w:shd w:val="clear" w:color="auto" w:fill="auto"/>
            <w:noWrap/>
            <w:vAlign w:val="bottom"/>
            <w:hideMark/>
          </w:tcPr>
          <w:p w14:paraId="60DA64CB" w14:textId="5FBD62DD"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749 534</w:t>
            </w:r>
          </w:p>
        </w:tc>
        <w:tc>
          <w:tcPr>
            <w:tcW w:w="548" w:type="pct"/>
            <w:tcBorders>
              <w:top w:val="nil"/>
              <w:left w:val="nil"/>
              <w:bottom w:val="nil"/>
              <w:right w:val="nil"/>
            </w:tcBorders>
            <w:shd w:val="clear" w:color="000000" w:fill="auto"/>
            <w:noWrap/>
            <w:vAlign w:val="bottom"/>
            <w:hideMark/>
          </w:tcPr>
          <w:p w14:paraId="3559B05D" w14:textId="6D4F515E"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1 210 927</w:t>
            </w:r>
          </w:p>
        </w:tc>
        <w:tc>
          <w:tcPr>
            <w:tcW w:w="523" w:type="pct"/>
            <w:tcBorders>
              <w:top w:val="nil"/>
              <w:left w:val="nil"/>
              <w:bottom w:val="nil"/>
              <w:right w:val="nil"/>
            </w:tcBorders>
            <w:shd w:val="clear" w:color="auto" w:fill="auto"/>
            <w:noWrap/>
            <w:vAlign w:val="bottom"/>
            <w:hideMark/>
          </w:tcPr>
          <w:p w14:paraId="4CCFB9D9" w14:textId="45A89AB9"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715 532</w:t>
            </w:r>
          </w:p>
        </w:tc>
        <w:tc>
          <w:tcPr>
            <w:tcW w:w="535" w:type="pct"/>
            <w:tcBorders>
              <w:top w:val="nil"/>
              <w:left w:val="nil"/>
              <w:bottom w:val="nil"/>
              <w:right w:val="nil"/>
            </w:tcBorders>
            <w:shd w:val="clear" w:color="auto" w:fill="auto"/>
            <w:noWrap/>
            <w:vAlign w:val="bottom"/>
            <w:hideMark/>
          </w:tcPr>
          <w:p w14:paraId="5819A068" w14:textId="122672B6"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61,6</w:t>
            </w:r>
          </w:p>
        </w:tc>
      </w:tr>
      <w:tr w:rsidR="0091083D" w:rsidRPr="00645092" w14:paraId="62704B61" w14:textId="77777777" w:rsidTr="00157527">
        <w:trPr>
          <w:trHeight w:val="255"/>
        </w:trPr>
        <w:tc>
          <w:tcPr>
            <w:tcW w:w="2235" w:type="pct"/>
            <w:tcBorders>
              <w:top w:val="nil"/>
              <w:left w:val="nil"/>
              <w:bottom w:val="nil"/>
              <w:right w:val="nil"/>
            </w:tcBorders>
            <w:shd w:val="clear" w:color="auto" w:fill="auto"/>
            <w:noWrap/>
            <w:vAlign w:val="center"/>
            <w:hideMark/>
          </w:tcPr>
          <w:p w14:paraId="2805CC56"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 xml:space="preserve"> - Dividendy**</w:t>
            </w:r>
          </w:p>
        </w:tc>
        <w:tc>
          <w:tcPr>
            <w:tcW w:w="620" w:type="pct"/>
            <w:tcBorders>
              <w:top w:val="nil"/>
              <w:left w:val="nil"/>
              <w:bottom w:val="nil"/>
              <w:right w:val="nil"/>
            </w:tcBorders>
            <w:shd w:val="clear" w:color="auto" w:fill="auto"/>
            <w:noWrap/>
            <w:vAlign w:val="bottom"/>
            <w:hideMark/>
          </w:tcPr>
          <w:p w14:paraId="017CC06F" w14:textId="1AA4B11D"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435 075</w:t>
            </w:r>
          </w:p>
        </w:tc>
        <w:tc>
          <w:tcPr>
            <w:tcW w:w="539" w:type="pct"/>
            <w:tcBorders>
              <w:top w:val="nil"/>
              <w:left w:val="nil"/>
              <w:bottom w:val="nil"/>
              <w:right w:val="nil"/>
            </w:tcBorders>
            <w:shd w:val="clear" w:color="auto" w:fill="auto"/>
            <w:noWrap/>
            <w:vAlign w:val="bottom"/>
            <w:hideMark/>
          </w:tcPr>
          <w:p w14:paraId="29EF16DA" w14:textId="0B6F7DD5"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342 436</w:t>
            </w:r>
          </w:p>
        </w:tc>
        <w:tc>
          <w:tcPr>
            <w:tcW w:w="548" w:type="pct"/>
            <w:tcBorders>
              <w:top w:val="nil"/>
              <w:left w:val="nil"/>
              <w:bottom w:val="nil"/>
              <w:right w:val="nil"/>
            </w:tcBorders>
            <w:shd w:val="clear" w:color="000000" w:fill="auto"/>
            <w:noWrap/>
            <w:vAlign w:val="bottom"/>
            <w:hideMark/>
          </w:tcPr>
          <w:p w14:paraId="544C6956" w14:textId="256CFC75"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404 200</w:t>
            </w:r>
          </w:p>
        </w:tc>
        <w:tc>
          <w:tcPr>
            <w:tcW w:w="523" w:type="pct"/>
            <w:tcBorders>
              <w:top w:val="nil"/>
              <w:left w:val="nil"/>
              <w:bottom w:val="nil"/>
              <w:right w:val="nil"/>
            </w:tcBorders>
            <w:shd w:val="clear" w:color="auto" w:fill="auto"/>
            <w:noWrap/>
            <w:vAlign w:val="bottom"/>
            <w:hideMark/>
          </w:tcPr>
          <w:p w14:paraId="1271D9CE" w14:textId="532E0493"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543 085</w:t>
            </w:r>
          </w:p>
        </w:tc>
        <w:tc>
          <w:tcPr>
            <w:tcW w:w="535" w:type="pct"/>
            <w:tcBorders>
              <w:top w:val="nil"/>
              <w:left w:val="nil"/>
              <w:bottom w:val="nil"/>
              <w:right w:val="nil"/>
            </w:tcBorders>
            <w:shd w:val="clear" w:color="auto" w:fill="auto"/>
            <w:noWrap/>
            <w:vAlign w:val="bottom"/>
            <w:hideMark/>
          </w:tcPr>
          <w:p w14:paraId="34BD6FA1" w14:textId="66B04F0A"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18,0</w:t>
            </w:r>
          </w:p>
        </w:tc>
      </w:tr>
      <w:tr w:rsidR="0091083D" w:rsidRPr="00645092" w14:paraId="136BE14D" w14:textId="77777777" w:rsidTr="00157527">
        <w:trPr>
          <w:trHeight w:val="255"/>
        </w:trPr>
        <w:tc>
          <w:tcPr>
            <w:tcW w:w="2235" w:type="pct"/>
            <w:tcBorders>
              <w:top w:val="nil"/>
              <w:left w:val="nil"/>
              <w:bottom w:val="nil"/>
              <w:right w:val="nil"/>
            </w:tcBorders>
            <w:shd w:val="clear" w:color="auto" w:fill="auto"/>
            <w:noWrap/>
            <w:vAlign w:val="center"/>
            <w:hideMark/>
          </w:tcPr>
          <w:p w14:paraId="0908A48E" w14:textId="77777777" w:rsidR="0091083D" w:rsidRPr="000C33E1" w:rsidRDefault="0091083D" w:rsidP="0091083D">
            <w:pPr>
              <w:spacing w:after="0" w:line="240" w:lineRule="auto"/>
              <w:ind w:firstLineChars="100" w:firstLine="180"/>
              <w:rPr>
                <w:color w:val="000000"/>
                <w:sz w:val="18"/>
                <w:szCs w:val="18"/>
                <w:lang w:eastAsia="sk-SK"/>
              </w:rPr>
            </w:pPr>
            <w:r w:rsidRPr="000C33E1">
              <w:rPr>
                <w:color w:val="000000"/>
                <w:sz w:val="18"/>
                <w:szCs w:val="18"/>
                <w:lang w:eastAsia="sk-SK"/>
              </w:rPr>
              <w:t xml:space="preserve"> - Úroky</w:t>
            </w:r>
          </w:p>
        </w:tc>
        <w:tc>
          <w:tcPr>
            <w:tcW w:w="620" w:type="pct"/>
            <w:tcBorders>
              <w:top w:val="nil"/>
              <w:left w:val="nil"/>
              <w:bottom w:val="nil"/>
              <w:right w:val="nil"/>
            </w:tcBorders>
            <w:shd w:val="clear" w:color="auto" w:fill="auto"/>
            <w:noWrap/>
            <w:vAlign w:val="bottom"/>
            <w:hideMark/>
          </w:tcPr>
          <w:p w14:paraId="2B9D86AC" w14:textId="50F819D4"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202 195</w:t>
            </w:r>
          </w:p>
        </w:tc>
        <w:tc>
          <w:tcPr>
            <w:tcW w:w="539" w:type="pct"/>
            <w:tcBorders>
              <w:top w:val="nil"/>
              <w:left w:val="nil"/>
              <w:bottom w:val="nil"/>
              <w:right w:val="nil"/>
            </w:tcBorders>
            <w:shd w:val="clear" w:color="auto" w:fill="auto"/>
            <w:noWrap/>
            <w:vAlign w:val="bottom"/>
            <w:hideMark/>
          </w:tcPr>
          <w:p w14:paraId="554438F8" w14:textId="7FD25650"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285 627</w:t>
            </w:r>
          </w:p>
        </w:tc>
        <w:tc>
          <w:tcPr>
            <w:tcW w:w="548" w:type="pct"/>
            <w:tcBorders>
              <w:top w:val="nil"/>
              <w:left w:val="nil"/>
              <w:bottom w:val="nil"/>
              <w:right w:val="nil"/>
            </w:tcBorders>
            <w:shd w:val="clear" w:color="000000" w:fill="auto"/>
            <w:noWrap/>
            <w:vAlign w:val="bottom"/>
            <w:hideMark/>
          </w:tcPr>
          <w:p w14:paraId="354A5CAF" w14:textId="752C162D"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681 332</w:t>
            </w:r>
          </w:p>
        </w:tc>
        <w:tc>
          <w:tcPr>
            <w:tcW w:w="523" w:type="pct"/>
            <w:tcBorders>
              <w:top w:val="nil"/>
              <w:left w:val="nil"/>
              <w:bottom w:val="nil"/>
              <w:right w:val="nil"/>
            </w:tcBorders>
            <w:shd w:val="clear" w:color="auto" w:fill="auto"/>
            <w:noWrap/>
            <w:vAlign w:val="bottom"/>
            <w:hideMark/>
          </w:tcPr>
          <w:p w14:paraId="00D27035" w14:textId="5382F462" w:rsidR="0091083D" w:rsidRPr="000C33E1" w:rsidRDefault="0091083D" w:rsidP="0091083D">
            <w:pPr>
              <w:spacing w:after="0" w:line="240" w:lineRule="auto"/>
              <w:jc w:val="right"/>
              <w:rPr>
                <w:color w:val="000000"/>
                <w:sz w:val="18"/>
                <w:szCs w:val="18"/>
                <w:lang w:eastAsia="sk-SK"/>
              </w:rPr>
            </w:pPr>
            <w:r w:rsidRPr="000C33E1">
              <w:rPr>
                <w:color w:val="000000"/>
                <w:sz w:val="18"/>
                <w:szCs w:val="18"/>
              </w:rPr>
              <w:t>61 703</w:t>
            </w:r>
          </w:p>
        </w:tc>
        <w:tc>
          <w:tcPr>
            <w:tcW w:w="535" w:type="pct"/>
            <w:tcBorders>
              <w:top w:val="nil"/>
              <w:left w:val="nil"/>
              <w:bottom w:val="nil"/>
              <w:right w:val="nil"/>
            </w:tcBorders>
            <w:shd w:val="clear" w:color="auto" w:fill="auto"/>
            <w:noWrap/>
            <w:vAlign w:val="bottom"/>
            <w:hideMark/>
          </w:tcPr>
          <w:p w14:paraId="2427516F" w14:textId="56DA34AE" w:rsidR="0091083D" w:rsidRPr="000C33E1" w:rsidRDefault="0091083D" w:rsidP="0091083D">
            <w:pPr>
              <w:spacing w:after="0" w:line="240" w:lineRule="auto"/>
              <w:ind w:right="188"/>
              <w:jc w:val="right"/>
              <w:rPr>
                <w:color w:val="000000"/>
                <w:sz w:val="18"/>
                <w:szCs w:val="18"/>
                <w:lang w:eastAsia="sk-SK"/>
              </w:rPr>
            </w:pPr>
            <w:r w:rsidRPr="000C33E1">
              <w:rPr>
                <w:color w:val="000000"/>
                <w:sz w:val="18"/>
                <w:szCs w:val="18"/>
              </w:rPr>
              <w:t>138,5</w:t>
            </w:r>
          </w:p>
        </w:tc>
      </w:tr>
      <w:tr w:rsidR="000C33E1" w:rsidRPr="00645092" w14:paraId="2F748A85" w14:textId="77777777" w:rsidTr="00157527">
        <w:trPr>
          <w:trHeight w:val="255"/>
        </w:trPr>
        <w:tc>
          <w:tcPr>
            <w:tcW w:w="2235" w:type="pct"/>
            <w:tcBorders>
              <w:top w:val="nil"/>
              <w:left w:val="nil"/>
              <w:bottom w:val="nil"/>
              <w:right w:val="nil"/>
            </w:tcBorders>
            <w:shd w:val="clear" w:color="auto" w:fill="auto"/>
            <w:noWrap/>
            <w:vAlign w:val="center"/>
            <w:hideMark/>
          </w:tcPr>
          <w:p w14:paraId="2CAEFB03" w14:textId="77777777" w:rsidR="000C33E1" w:rsidRPr="000C33E1" w:rsidRDefault="000C33E1" w:rsidP="000C33E1">
            <w:pPr>
              <w:spacing w:after="0" w:line="240" w:lineRule="auto"/>
              <w:rPr>
                <w:b/>
                <w:bCs/>
                <w:color w:val="000000"/>
                <w:sz w:val="18"/>
                <w:szCs w:val="18"/>
                <w:lang w:eastAsia="sk-SK"/>
              </w:rPr>
            </w:pPr>
            <w:r w:rsidRPr="000C33E1">
              <w:rPr>
                <w:b/>
                <w:bCs/>
                <w:color w:val="000000"/>
                <w:sz w:val="18"/>
                <w:szCs w:val="18"/>
                <w:lang w:eastAsia="sk-SK"/>
              </w:rPr>
              <w:t>Granty a transfery</w:t>
            </w:r>
          </w:p>
        </w:tc>
        <w:tc>
          <w:tcPr>
            <w:tcW w:w="620" w:type="pct"/>
            <w:tcBorders>
              <w:top w:val="nil"/>
              <w:left w:val="nil"/>
              <w:bottom w:val="nil"/>
              <w:right w:val="nil"/>
            </w:tcBorders>
            <w:shd w:val="clear" w:color="auto" w:fill="auto"/>
            <w:noWrap/>
            <w:vAlign w:val="bottom"/>
            <w:hideMark/>
          </w:tcPr>
          <w:p w14:paraId="4FE06E7B" w14:textId="30800286" w:rsidR="000C33E1" w:rsidRPr="000C33E1" w:rsidRDefault="000C33E1" w:rsidP="000C33E1">
            <w:pPr>
              <w:spacing w:after="0" w:line="240" w:lineRule="auto"/>
              <w:jc w:val="right"/>
              <w:rPr>
                <w:b/>
                <w:bCs/>
                <w:sz w:val="18"/>
                <w:szCs w:val="18"/>
                <w:lang w:eastAsia="sk-SK"/>
              </w:rPr>
            </w:pPr>
            <w:r w:rsidRPr="000C33E1">
              <w:rPr>
                <w:b/>
                <w:bCs/>
                <w:sz w:val="18"/>
                <w:szCs w:val="18"/>
              </w:rPr>
              <w:t>1 670 690</w:t>
            </w:r>
          </w:p>
        </w:tc>
        <w:tc>
          <w:tcPr>
            <w:tcW w:w="539" w:type="pct"/>
            <w:tcBorders>
              <w:top w:val="nil"/>
              <w:left w:val="nil"/>
              <w:bottom w:val="nil"/>
              <w:right w:val="nil"/>
            </w:tcBorders>
            <w:shd w:val="clear" w:color="auto" w:fill="auto"/>
            <w:noWrap/>
            <w:vAlign w:val="bottom"/>
            <w:hideMark/>
          </w:tcPr>
          <w:p w14:paraId="6FFB3258" w14:textId="6A16CE23" w:rsidR="000C33E1" w:rsidRPr="000C33E1" w:rsidRDefault="000C33E1" w:rsidP="000C33E1">
            <w:pPr>
              <w:spacing w:after="0" w:line="240" w:lineRule="auto"/>
              <w:jc w:val="right"/>
              <w:rPr>
                <w:b/>
                <w:bCs/>
                <w:sz w:val="18"/>
                <w:szCs w:val="18"/>
                <w:lang w:eastAsia="sk-SK"/>
              </w:rPr>
            </w:pPr>
            <w:r w:rsidRPr="000C33E1">
              <w:rPr>
                <w:b/>
                <w:bCs/>
                <w:sz w:val="18"/>
                <w:szCs w:val="18"/>
              </w:rPr>
              <w:t>3 111 579</w:t>
            </w:r>
          </w:p>
        </w:tc>
        <w:tc>
          <w:tcPr>
            <w:tcW w:w="548" w:type="pct"/>
            <w:tcBorders>
              <w:top w:val="nil"/>
              <w:left w:val="nil"/>
              <w:bottom w:val="nil"/>
              <w:right w:val="nil"/>
            </w:tcBorders>
            <w:shd w:val="clear" w:color="000000" w:fill="auto"/>
            <w:noWrap/>
            <w:vAlign w:val="bottom"/>
            <w:hideMark/>
          </w:tcPr>
          <w:p w14:paraId="12C75168" w14:textId="78280261" w:rsidR="000C33E1" w:rsidRPr="000C33E1" w:rsidRDefault="000C33E1" w:rsidP="000C33E1">
            <w:pPr>
              <w:spacing w:after="0" w:line="240" w:lineRule="auto"/>
              <w:jc w:val="right"/>
              <w:rPr>
                <w:b/>
                <w:bCs/>
                <w:sz w:val="18"/>
                <w:szCs w:val="18"/>
                <w:lang w:eastAsia="sk-SK"/>
              </w:rPr>
            </w:pPr>
            <w:r w:rsidRPr="000C33E1">
              <w:rPr>
                <w:b/>
                <w:bCs/>
                <w:sz w:val="18"/>
                <w:szCs w:val="18"/>
              </w:rPr>
              <w:t>5 141 507</w:t>
            </w:r>
          </w:p>
        </w:tc>
        <w:tc>
          <w:tcPr>
            <w:tcW w:w="523" w:type="pct"/>
            <w:tcBorders>
              <w:top w:val="nil"/>
              <w:left w:val="nil"/>
              <w:bottom w:val="nil"/>
              <w:right w:val="nil"/>
            </w:tcBorders>
            <w:shd w:val="clear" w:color="auto" w:fill="auto"/>
            <w:noWrap/>
            <w:vAlign w:val="bottom"/>
            <w:hideMark/>
          </w:tcPr>
          <w:p w14:paraId="038ACAF1" w14:textId="67B18ABB" w:rsidR="000C33E1" w:rsidRPr="000C33E1" w:rsidRDefault="000C33E1" w:rsidP="000C33E1">
            <w:pPr>
              <w:spacing w:after="0" w:line="240" w:lineRule="auto"/>
              <w:jc w:val="right"/>
              <w:rPr>
                <w:b/>
                <w:bCs/>
                <w:sz w:val="18"/>
                <w:szCs w:val="18"/>
                <w:lang w:eastAsia="sk-SK"/>
              </w:rPr>
            </w:pPr>
            <w:r w:rsidRPr="000C33E1">
              <w:rPr>
                <w:b/>
                <w:bCs/>
                <w:sz w:val="18"/>
                <w:szCs w:val="18"/>
              </w:rPr>
              <w:t>5 139 286</w:t>
            </w:r>
          </w:p>
        </w:tc>
        <w:tc>
          <w:tcPr>
            <w:tcW w:w="535" w:type="pct"/>
            <w:tcBorders>
              <w:top w:val="nil"/>
              <w:left w:val="nil"/>
              <w:bottom w:val="nil"/>
              <w:right w:val="nil"/>
            </w:tcBorders>
            <w:shd w:val="clear" w:color="auto" w:fill="auto"/>
            <w:noWrap/>
            <w:vAlign w:val="bottom"/>
            <w:hideMark/>
          </w:tcPr>
          <w:p w14:paraId="7E982FF3" w14:textId="01DFC701" w:rsidR="000C33E1" w:rsidRPr="000C33E1" w:rsidRDefault="000C33E1" w:rsidP="000C33E1">
            <w:pPr>
              <w:spacing w:after="0" w:line="240" w:lineRule="auto"/>
              <w:ind w:right="188"/>
              <w:jc w:val="right"/>
              <w:rPr>
                <w:b/>
                <w:bCs/>
                <w:sz w:val="18"/>
                <w:szCs w:val="18"/>
                <w:lang w:eastAsia="sk-SK"/>
              </w:rPr>
            </w:pPr>
            <w:r w:rsidRPr="000C33E1">
              <w:rPr>
                <w:b/>
                <w:bCs/>
                <w:sz w:val="18"/>
                <w:szCs w:val="18"/>
              </w:rPr>
              <w:t>65,2</w:t>
            </w:r>
          </w:p>
        </w:tc>
      </w:tr>
      <w:tr w:rsidR="000C33E1" w:rsidRPr="00645092" w14:paraId="2173B646" w14:textId="77777777" w:rsidTr="00157527">
        <w:trPr>
          <w:trHeight w:val="255"/>
        </w:trPr>
        <w:tc>
          <w:tcPr>
            <w:tcW w:w="2235" w:type="pct"/>
            <w:tcBorders>
              <w:top w:val="nil"/>
              <w:left w:val="nil"/>
              <w:bottom w:val="nil"/>
              <w:right w:val="nil"/>
            </w:tcBorders>
            <w:shd w:val="clear" w:color="auto" w:fill="auto"/>
            <w:noWrap/>
            <w:vAlign w:val="center"/>
            <w:hideMark/>
          </w:tcPr>
          <w:p w14:paraId="24F2D2EE" w14:textId="77777777" w:rsidR="000C33E1" w:rsidRPr="000C33E1" w:rsidRDefault="000C33E1" w:rsidP="000C33E1">
            <w:pPr>
              <w:spacing w:after="0" w:line="240" w:lineRule="auto"/>
              <w:ind w:firstLineChars="100" w:firstLine="180"/>
              <w:rPr>
                <w:i/>
                <w:iCs/>
                <w:color w:val="000000"/>
                <w:sz w:val="18"/>
                <w:szCs w:val="18"/>
                <w:lang w:eastAsia="sk-SK"/>
              </w:rPr>
            </w:pPr>
            <w:r w:rsidRPr="000C33E1">
              <w:rPr>
                <w:i/>
                <w:iCs/>
                <w:color w:val="000000"/>
                <w:sz w:val="18"/>
                <w:szCs w:val="18"/>
                <w:lang w:eastAsia="sk-SK"/>
              </w:rPr>
              <w:t>z toho: z EÚ*</w:t>
            </w:r>
          </w:p>
        </w:tc>
        <w:tc>
          <w:tcPr>
            <w:tcW w:w="620" w:type="pct"/>
            <w:tcBorders>
              <w:top w:val="nil"/>
              <w:left w:val="nil"/>
              <w:bottom w:val="nil"/>
              <w:right w:val="nil"/>
            </w:tcBorders>
            <w:shd w:val="clear" w:color="auto" w:fill="auto"/>
            <w:noWrap/>
            <w:vAlign w:val="bottom"/>
            <w:hideMark/>
          </w:tcPr>
          <w:p w14:paraId="1292BA4C" w14:textId="7F66F55F" w:rsidR="000C33E1" w:rsidRPr="002452B4" w:rsidRDefault="000C33E1" w:rsidP="000C33E1">
            <w:pPr>
              <w:spacing w:after="0" w:line="240" w:lineRule="auto"/>
              <w:jc w:val="right"/>
              <w:rPr>
                <w:color w:val="000000"/>
                <w:sz w:val="18"/>
                <w:szCs w:val="18"/>
                <w:lang w:eastAsia="sk-SK"/>
              </w:rPr>
            </w:pPr>
            <w:r w:rsidRPr="002452B4">
              <w:rPr>
                <w:iCs/>
                <w:color w:val="000000"/>
                <w:sz w:val="18"/>
                <w:szCs w:val="18"/>
              </w:rPr>
              <w:t>1 196 147</w:t>
            </w:r>
          </w:p>
        </w:tc>
        <w:tc>
          <w:tcPr>
            <w:tcW w:w="539" w:type="pct"/>
            <w:tcBorders>
              <w:top w:val="nil"/>
              <w:left w:val="nil"/>
              <w:bottom w:val="nil"/>
              <w:right w:val="nil"/>
            </w:tcBorders>
            <w:shd w:val="clear" w:color="auto" w:fill="auto"/>
            <w:noWrap/>
            <w:vAlign w:val="bottom"/>
            <w:hideMark/>
          </w:tcPr>
          <w:p w14:paraId="2201B42D" w14:textId="526787CE" w:rsidR="000C33E1" w:rsidRPr="002452B4" w:rsidRDefault="000C33E1" w:rsidP="000C33E1">
            <w:pPr>
              <w:spacing w:after="0" w:line="240" w:lineRule="auto"/>
              <w:jc w:val="right"/>
              <w:rPr>
                <w:color w:val="000000"/>
                <w:sz w:val="18"/>
                <w:szCs w:val="18"/>
                <w:lang w:eastAsia="sk-SK"/>
              </w:rPr>
            </w:pPr>
            <w:r w:rsidRPr="002452B4">
              <w:rPr>
                <w:iCs/>
                <w:color w:val="000000"/>
                <w:sz w:val="18"/>
                <w:szCs w:val="18"/>
              </w:rPr>
              <w:t>1 731 618</w:t>
            </w:r>
          </w:p>
        </w:tc>
        <w:tc>
          <w:tcPr>
            <w:tcW w:w="548" w:type="pct"/>
            <w:tcBorders>
              <w:top w:val="nil"/>
              <w:left w:val="nil"/>
              <w:bottom w:val="nil"/>
              <w:right w:val="nil"/>
            </w:tcBorders>
            <w:shd w:val="clear" w:color="000000" w:fill="auto"/>
            <w:noWrap/>
            <w:vAlign w:val="bottom"/>
            <w:hideMark/>
          </w:tcPr>
          <w:p w14:paraId="3669EF86" w14:textId="546BDD13" w:rsidR="000C33E1" w:rsidRPr="002452B4" w:rsidRDefault="000C33E1" w:rsidP="000C33E1">
            <w:pPr>
              <w:spacing w:after="0" w:line="240" w:lineRule="auto"/>
              <w:jc w:val="right"/>
              <w:rPr>
                <w:color w:val="000000"/>
                <w:sz w:val="18"/>
                <w:szCs w:val="18"/>
                <w:lang w:eastAsia="sk-SK"/>
              </w:rPr>
            </w:pPr>
            <w:r w:rsidRPr="002452B4">
              <w:rPr>
                <w:iCs/>
                <w:sz w:val="18"/>
                <w:szCs w:val="18"/>
              </w:rPr>
              <w:t>3 879 821</w:t>
            </w:r>
          </w:p>
        </w:tc>
        <w:tc>
          <w:tcPr>
            <w:tcW w:w="523" w:type="pct"/>
            <w:tcBorders>
              <w:top w:val="nil"/>
              <w:left w:val="nil"/>
              <w:bottom w:val="nil"/>
              <w:right w:val="nil"/>
            </w:tcBorders>
            <w:shd w:val="clear" w:color="auto" w:fill="auto"/>
            <w:noWrap/>
            <w:vAlign w:val="bottom"/>
            <w:hideMark/>
          </w:tcPr>
          <w:p w14:paraId="1916C4F8" w14:textId="16136C4E" w:rsidR="000C33E1" w:rsidRPr="002452B4" w:rsidRDefault="000C33E1" w:rsidP="000C33E1">
            <w:pPr>
              <w:spacing w:after="0" w:line="240" w:lineRule="auto"/>
              <w:jc w:val="right"/>
              <w:rPr>
                <w:color w:val="000000"/>
                <w:sz w:val="18"/>
                <w:szCs w:val="18"/>
                <w:lang w:eastAsia="sk-SK"/>
              </w:rPr>
            </w:pPr>
            <w:r w:rsidRPr="002452B4">
              <w:rPr>
                <w:iCs/>
                <w:color w:val="000000"/>
                <w:sz w:val="18"/>
                <w:szCs w:val="18"/>
              </w:rPr>
              <w:t>3 996 785</w:t>
            </w:r>
          </w:p>
        </w:tc>
        <w:tc>
          <w:tcPr>
            <w:tcW w:w="535" w:type="pct"/>
            <w:tcBorders>
              <w:top w:val="nil"/>
              <w:left w:val="nil"/>
              <w:bottom w:val="nil"/>
              <w:right w:val="nil"/>
            </w:tcBorders>
            <w:shd w:val="clear" w:color="auto" w:fill="auto"/>
            <w:noWrap/>
            <w:vAlign w:val="bottom"/>
            <w:hideMark/>
          </w:tcPr>
          <w:p w14:paraId="198F170B" w14:textId="53568D7B" w:rsidR="000C33E1" w:rsidRPr="000C33E1" w:rsidRDefault="000C33E1" w:rsidP="000C33E1">
            <w:pPr>
              <w:spacing w:after="0" w:line="240" w:lineRule="auto"/>
              <w:ind w:right="188"/>
              <w:jc w:val="right"/>
              <w:rPr>
                <w:color w:val="000000"/>
                <w:sz w:val="18"/>
                <w:szCs w:val="18"/>
                <w:lang w:eastAsia="sk-SK"/>
              </w:rPr>
            </w:pPr>
            <w:r w:rsidRPr="000C33E1">
              <w:rPr>
                <w:color w:val="000000"/>
                <w:sz w:val="18"/>
                <w:szCs w:val="18"/>
              </w:rPr>
              <w:t>124,1</w:t>
            </w:r>
          </w:p>
        </w:tc>
      </w:tr>
      <w:tr w:rsidR="000C33E1" w:rsidRPr="00645092" w14:paraId="7AB85FDA" w14:textId="77777777" w:rsidTr="00157527">
        <w:trPr>
          <w:trHeight w:val="255"/>
        </w:trPr>
        <w:tc>
          <w:tcPr>
            <w:tcW w:w="2235" w:type="pct"/>
            <w:tcBorders>
              <w:top w:val="nil"/>
              <w:left w:val="nil"/>
              <w:bottom w:val="nil"/>
              <w:right w:val="nil"/>
            </w:tcBorders>
            <w:shd w:val="clear" w:color="auto" w:fill="auto"/>
            <w:noWrap/>
            <w:vAlign w:val="center"/>
            <w:hideMark/>
          </w:tcPr>
          <w:p w14:paraId="6F245486" w14:textId="77777777" w:rsidR="000C33E1" w:rsidRPr="000C33E1" w:rsidRDefault="000C33E1" w:rsidP="000C33E1">
            <w:pPr>
              <w:spacing w:after="0" w:line="240" w:lineRule="auto"/>
              <w:ind w:firstLineChars="100" w:firstLine="180"/>
              <w:rPr>
                <w:color w:val="000000"/>
                <w:sz w:val="18"/>
                <w:szCs w:val="18"/>
                <w:lang w:eastAsia="sk-SK"/>
              </w:rPr>
            </w:pPr>
            <w:r w:rsidRPr="000C33E1">
              <w:rPr>
                <w:color w:val="000000"/>
                <w:sz w:val="18"/>
                <w:szCs w:val="18"/>
                <w:lang w:eastAsia="sk-SK"/>
              </w:rPr>
              <w:t>Ostatné bežné transfery</w:t>
            </w:r>
          </w:p>
        </w:tc>
        <w:tc>
          <w:tcPr>
            <w:tcW w:w="620" w:type="pct"/>
            <w:tcBorders>
              <w:top w:val="nil"/>
              <w:left w:val="nil"/>
              <w:bottom w:val="nil"/>
              <w:right w:val="nil"/>
            </w:tcBorders>
            <w:shd w:val="clear" w:color="auto" w:fill="auto"/>
            <w:noWrap/>
            <w:vAlign w:val="bottom"/>
            <w:hideMark/>
          </w:tcPr>
          <w:p w14:paraId="5FCB8241" w14:textId="249A5F12" w:rsidR="000C33E1" w:rsidRPr="000C33E1" w:rsidRDefault="000C33E1" w:rsidP="000C33E1">
            <w:pPr>
              <w:spacing w:after="0" w:line="240" w:lineRule="auto"/>
              <w:jc w:val="right"/>
              <w:rPr>
                <w:color w:val="000000"/>
                <w:sz w:val="18"/>
                <w:szCs w:val="18"/>
                <w:lang w:eastAsia="sk-SK"/>
              </w:rPr>
            </w:pPr>
            <w:r w:rsidRPr="000C33E1">
              <w:rPr>
                <w:color w:val="000000"/>
                <w:sz w:val="18"/>
                <w:szCs w:val="18"/>
              </w:rPr>
              <w:t>884 264</w:t>
            </w:r>
          </w:p>
        </w:tc>
        <w:tc>
          <w:tcPr>
            <w:tcW w:w="539" w:type="pct"/>
            <w:tcBorders>
              <w:top w:val="nil"/>
              <w:left w:val="nil"/>
              <w:bottom w:val="nil"/>
              <w:right w:val="nil"/>
            </w:tcBorders>
            <w:shd w:val="clear" w:color="auto" w:fill="auto"/>
            <w:noWrap/>
            <w:vAlign w:val="bottom"/>
            <w:hideMark/>
          </w:tcPr>
          <w:p w14:paraId="1D50CEE8" w14:textId="4F9F8A6F" w:rsidR="000C33E1" w:rsidRPr="000C33E1" w:rsidRDefault="000C33E1" w:rsidP="000C33E1">
            <w:pPr>
              <w:spacing w:after="0" w:line="240" w:lineRule="auto"/>
              <w:jc w:val="right"/>
              <w:rPr>
                <w:color w:val="000000"/>
                <w:sz w:val="18"/>
                <w:szCs w:val="18"/>
                <w:lang w:eastAsia="sk-SK"/>
              </w:rPr>
            </w:pPr>
            <w:r w:rsidRPr="000C33E1">
              <w:rPr>
                <w:color w:val="000000"/>
                <w:sz w:val="18"/>
                <w:szCs w:val="18"/>
              </w:rPr>
              <w:t>2 004 282</w:t>
            </w:r>
          </w:p>
        </w:tc>
        <w:tc>
          <w:tcPr>
            <w:tcW w:w="548" w:type="pct"/>
            <w:tcBorders>
              <w:top w:val="nil"/>
              <w:left w:val="nil"/>
              <w:bottom w:val="nil"/>
              <w:right w:val="nil"/>
            </w:tcBorders>
            <w:shd w:val="clear" w:color="000000" w:fill="auto"/>
            <w:noWrap/>
            <w:vAlign w:val="bottom"/>
            <w:hideMark/>
          </w:tcPr>
          <w:p w14:paraId="401E6536" w14:textId="19D7B19A" w:rsidR="000C33E1" w:rsidRPr="000C33E1" w:rsidRDefault="000C33E1" w:rsidP="000C33E1">
            <w:pPr>
              <w:spacing w:after="0" w:line="240" w:lineRule="auto"/>
              <w:jc w:val="right"/>
              <w:rPr>
                <w:color w:val="000000"/>
                <w:sz w:val="18"/>
                <w:szCs w:val="18"/>
                <w:lang w:eastAsia="sk-SK"/>
              </w:rPr>
            </w:pPr>
            <w:r w:rsidRPr="000C33E1">
              <w:rPr>
                <w:color w:val="000000"/>
                <w:sz w:val="18"/>
                <w:szCs w:val="18"/>
              </w:rPr>
              <w:t>2 558 141</w:t>
            </w:r>
          </w:p>
        </w:tc>
        <w:tc>
          <w:tcPr>
            <w:tcW w:w="523" w:type="pct"/>
            <w:tcBorders>
              <w:top w:val="nil"/>
              <w:left w:val="nil"/>
              <w:bottom w:val="nil"/>
              <w:right w:val="nil"/>
            </w:tcBorders>
            <w:shd w:val="clear" w:color="auto" w:fill="auto"/>
            <w:noWrap/>
            <w:vAlign w:val="bottom"/>
            <w:hideMark/>
          </w:tcPr>
          <w:p w14:paraId="691D94AB" w14:textId="61171D97" w:rsidR="000C33E1" w:rsidRPr="000C33E1" w:rsidRDefault="000C33E1" w:rsidP="000C33E1">
            <w:pPr>
              <w:spacing w:after="0" w:line="240" w:lineRule="auto"/>
              <w:jc w:val="right"/>
              <w:rPr>
                <w:color w:val="000000"/>
                <w:sz w:val="18"/>
                <w:szCs w:val="18"/>
                <w:lang w:eastAsia="sk-SK"/>
              </w:rPr>
            </w:pPr>
            <w:r w:rsidRPr="000C33E1">
              <w:rPr>
                <w:color w:val="000000"/>
                <w:sz w:val="18"/>
                <w:szCs w:val="18"/>
              </w:rPr>
              <w:t>4 992 083</w:t>
            </w:r>
          </w:p>
        </w:tc>
        <w:tc>
          <w:tcPr>
            <w:tcW w:w="535" w:type="pct"/>
            <w:tcBorders>
              <w:top w:val="nil"/>
              <w:left w:val="nil"/>
              <w:bottom w:val="nil"/>
              <w:right w:val="nil"/>
            </w:tcBorders>
            <w:shd w:val="clear" w:color="auto" w:fill="auto"/>
            <w:noWrap/>
            <w:vAlign w:val="bottom"/>
            <w:hideMark/>
          </w:tcPr>
          <w:p w14:paraId="2EDD4BF9" w14:textId="2B9E565B" w:rsidR="000C33E1" w:rsidRPr="000C33E1" w:rsidRDefault="000C33E1" w:rsidP="000C33E1">
            <w:pPr>
              <w:spacing w:after="0" w:line="240" w:lineRule="auto"/>
              <w:ind w:right="188"/>
              <w:jc w:val="right"/>
              <w:rPr>
                <w:color w:val="000000"/>
                <w:sz w:val="18"/>
                <w:szCs w:val="18"/>
                <w:lang w:eastAsia="sk-SK"/>
              </w:rPr>
            </w:pPr>
            <w:r w:rsidRPr="000C33E1">
              <w:rPr>
                <w:color w:val="000000"/>
                <w:sz w:val="18"/>
                <w:szCs w:val="18"/>
              </w:rPr>
              <w:t>27,6</w:t>
            </w:r>
          </w:p>
        </w:tc>
      </w:tr>
      <w:tr w:rsidR="000C33E1" w:rsidRPr="00645092" w14:paraId="33D82855" w14:textId="77777777" w:rsidTr="00157527">
        <w:trPr>
          <w:trHeight w:val="255"/>
        </w:trPr>
        <w:tc>
          <w:tcPr>
            <w:tcW w:w="2235" w:type="pct"/>
            <w:tcBorders>
              <w:top w:val="nil"/>
              <w:left w:val="nil"/>
              <w:bottom w:val="single" w:sz="4" w:space="0" w:color="auto"/>
              <w:right w:val="nil"/>
            </w:tcBorders>
            <w:shd w:val="clear" w:color="auto" w:fill="auto"/>
            <w:noWrap/>
            <w:vAlign w:val="center"/>
            <w:hideMark/>
          </w:tcPr>
          <w:p w14:paraId="0E422A94" w14:textId="77777777" w:rsidR="000C33E1" w:rsidRPr="000C33E1" w:rsidRDefault="000C33E1" w:rsidP="000C33E1">
            <w:pPr>
              <w:spacing w:after="0" w:line="240" w:lineRule="auto"/>
              <w:ind w:firstLineChars="100" w:firstLine="180"/>
              <w:rPr>
                <w:color w:val="000000"/>
                <w:sz w:val="18"/>
                <w:szCs w:val="18"/>
                <w:lang w:eastAsia="sk-SK"/>
              </w:rPr>
            </w:pPr>
            <w:r w:rsidRPr="000C33E1">
              <w:rPr>
                <w:color w:val="000000"/>
                <w:sz w:val="18"/>
                <w:szCs w:val="18"/>
                <w:lang w:eastAsia="sk-SK"/>
              </w:rPr>
              <w:t>Kapitálové transfery</w:t>
            </w:r>
          </w:p>
        </w:tc>
        <w:tc>
          <w:tcPr>
            <w:tcW w:w="620" w:type="pct"/>
            <w:tcBorders>
              <w:top w:val="nil"/>
              <w:left w:val="nil"/>
              <w:bottom w:val="single" w:sz="4" w:space="0" w:color="auto"/>
              <w:right w:val="nil"/>
            </w:tcBorders>
            <w:shd w:val="clear" w:color="auto" w:fill="auto"/>
            <w:noWrap/>
            <w:vAlign w:val="bottom"/>
            <w:hideMark/>
          </w:tcPr>
          <w:p w14:paraId="1B683753" w14:textId="2E179CFB" w:rsidR="000C33E1" w:rsidRPr="000C33E1" w:rsidRDefault="000C33E1" w:rsidP="000C33E1">
            <w:pPr>
              <w:spacing w:after="0" w:line="240" w:lineRule="auto"/>
              <w:jc w:val="right"/>
              <w:rPr>
                <w:color w:val="000000"/>
                <w:sz w:val="18"/>
                <w:szCs w:val="18"/>
                <w:lang w:eastAsia="sk-SK"/>
              </w:rPr>
            </w:pPr>
            <w:r w:rsidRPr="000C33E1">
              <w:rPr>
                <w:color w:val="000000"/>
                <w:sz w:val="18"/>
                <w:szCs w:val="18"/>
              </w:rPr>
              <w:t>786 426</w:t>
            </w:r>
          </w:p>
        </w:tc>
        <w:tc>
          <w:tcPr>
            <w:tcW w:w="539" w:type="pct"/>
            <w:tcBorders>
              <w:top w:val="nil"/>
              <w:left w:val="nil"/>
              <w:bottom w:val="single" w:sz="4" w:space="0" w:color="auto"/>
              <w:right w:val="nil"/>
            </w:tcBorders>
            <w:shd w:val="clear" w:color="auto" w:fill="auto"/>
            <w:noWrap/>
            <w:vAlign w:val="bottom"/>
            <w:hideMark/>
          </w:tcPr>
          <w:p w14:paraId="081F308A" w14:textId="7CEAAD0A" w:rsidR="000C33E1" w:rsidRPr="000C33E1" w:rsidRDefault="000C33E1" w:rsidP="000C33E1">
            <w:pPr>
              <w:spacing w:after="0" w:line="240" w:lineRule="auto"/>
              <w:jc w:val="right"/>
              <w:rPr>
                <w:color w:val="000000"/>
                <w:sz w:val="18"/>
                <w:szCs w:val="18"/>
                <w:lang w:eastAsia="sk-SK"/>
              </w:rPr>
            </w:pPr>
            <w:r w:rsidRPr="000C33E1">
              <w:rPr>
                <w:color w:val="000000"/>
                <w:sz w:val="18"/>
                <w:szCs w:val="18"/>
              </w:rPr>
              <w:t>1 107 297</w:t>
            </w:r>
          </w:p>
        </w:tc>
        <w:tc>
          <w:tcPr>
            <w:tcW w:w="548" w:type="pct"/>
            <w:tcBorders>
              <w:top w:val="nil"/>
              <w:left w:val="nil"/>
              <w:bottom w:val="single" w:sz="4" w:space="0" w:color="auto"/>
              <w:right w:val="nil"/>
            </w:tcBorders>
            <w:shd w:val="clear" w:color="000000" w:fill="auto"/>
            <w:noWrap/>
            <w:vAlign w:val="bottom"/>
            <w:hideMark/>
          </w:tcPr>
          <w:p w14:paraId="2F95D941" w14:textId="7C4EFDA1" w:rsidR="000C33E1" w:rsidRPr="000C33E1" w:rsidRDefault="000C33E1" w:rsidP="000C33E1">
            <w:pPr>
              <w:spacing w:after="0" w:line="240" w:lineRule="auto"/>
              <w:jc w:val="right"/>
              <w:rPr>
                <w:color w:val="000000"/>
                <w:sz w:val="18"/>
                <w:szCs w:val="18"/>
                <w:lang w:eastAsia="sk-SK"/>
              </w:rPr>
            </w:pPr>
            <w:r w:rsidRPr="000C33E1">
              <w:rPr>
                <w:color w:val="000000"/>
                <w:sz w:val="18"/>
                <w:szCs w:val="18"/>
              </w:rPr>
              <w:t>2 583 366</w:t>
            </w:r>
          </w:p>
        </w:tc>
        <w:tc>
          <w:tcPr>
            <w:tcW w:w="523" w:type="pct"/>
            <w:tcBorders>
              <w:top w:val="nil"/>
              <w:left w:val="nil"/>
              <w:bottom w:val="single" w:sz="4" w:space="0" w:color="auto"/>
              <w:right w:val="nil"/>
            </w:tcBorders>
            <w:shd w:val="clear" w:color="auto" w:fill="auto"/>
            <w:noWrap/>
            <w:vAlign w:val="bottom"/>
            <w:hideMark/>
          </w:tcPr>
          <w:p w14:paraId="22BC5228" w14:textId="257CDC4B" w:rsidR="000C33E1" w:rsidRPr="000C33E1" w:rsidRDefault="000C33E1" w:rsidP="000C33E1">
            <w:pPr>
              <w:spacing w:after="0" w:line="240" w:lineRule="auto"/>
              <w:jc w:val="right"/>
              <w:rPr>
                <w:color w:val="000000"/>
                <w:sz w:val="18"/>
                <w:szCs w:val="18"/>
                <w:lang w:eastAsia="sk-SK"/>
              </w:rPr>
            </w:pPr>
            <w:r w:rsidRPr="000C33E1">
              <w:rPr>
                <w:color w:val="000000"/>
                <w:sz w:val="18"/>
                <w:szCs w:val="18"/>
              </w:rPr>
              <w:t>147 203</w:t>
            </w:r>
          </w:p>
        </w:tc>
        <w:tc>
          <w:tcPr>
            <w:tcW w:w="535" w:type="pct"/>
            <w:tcBorders>
              <w:top w:val="nil"/>
              <w:left w:val="nil"/>
              <w:bottom w:val="single" w:sz="4" w:space="0" w:color="auto"/>
              <w:right w:val="nil"/>
            </w:tcBorders>
            <w:shd w:val="clear" w:color="auto" w:fill="auto"/>
            <w:noWrap/>
            <w:vAlign w:val="bottom"/>
            <w:hideMark/>
          </w:tcPr>
          <w:p w14:paraId="2DA87D35" w14:textId="4353E6D8" w:rsidR="000C33E1" w:rsidRPr="000C33E1" w:rsidRDefault="000C33E1" w:rsidP="000C33E1">
            <w:pPr>
              <w:spacing w:after="0" w:line="240" w:lineRule="auto"/>
              <w:ind w:right="188"/>
              <w:jc w:val="right"/>
              <w:rPr>
                <w:color w:val="000000"/>
                <w:sz w:val="18"/>
                <w:szCs w:val="18"/>
                <w:lang w:eastAsia="sk-SK"/>
              </w:rPr>
            </w:pPr>
            <w:r w:rsidRPr="000C33E1">
              <w:rPr>
                <w:color w:val="000000"/>
                <w:sz w:val="18"/>
                <w:szCs w:val="18"/>
              </w:rPr>
              <w:t>133,3</w:t>
            </w:r>
          </w:p>
        </w:tc>
      </w:tr>
      <w:tr w:rsidR="000C33E1" w:rsidRPr="00645092" w14:paraId="2E22CE73" w14:textId="77777777" w:rsidTr="00157527">
        <w:trPr>
          <w:trHeight w:val="255"/>
        </w:trPr>
        <w:tc>
          <w:tcPr>
            <w:tcW w:w="2235" w:type="pct"/>
            <w:tcBorders>
              <w:top w:val="single" w:sz="4" w:space="0" w:color="auto"/>
              <w:left w:val="nil"/>
              <w:bottom w:val="nil"/>
              <w:right w:val="nil"/>
            </w:tcBorders>
            <w:shd w:val="clear" w:color="auto" w:fill="auto"/>
            <w:vAlign w:val="center"/>
            <w:hideMark/>
          </w:tcPr>
          <w:p w14:paraId="069002B3" w14:textId="77777777" w:rsidR="000C33E1" w:rsidRPr="000C33E1" w:rsidRDefault="000C33E1" w:rsidP="000C33E1">
            <w:pPr>
              <w:spacing w:after="0" w:line="240" w:lineRule="auto"/>
              <w:jc w:val="both"/>
              <w:rPr>
                <w:b/>
                <w:bCs/>
                <w:sz w:val="18"/>
                <w:szCs w:val="18"/>
                <w:lang w:eastAsia="sk-SK"/>
              </w:rPr>
            </w:pPr>
            <w:r w:rsidRPr="000C33E1">
              <w:rPr>
                <w:b/>
                <w:bCs/>
                <w:sz w:val="18"/>
                <w:szCs w:val="18"/>
                <w:lang w:eastAsia="sk-SK"/>
              </w:rPr>
              <w:t>Príjmy spolu</w:t>
            </w:r>
          </w:p>
        </w:tc>
        <w:tc>
          <w:tcPr>
            <w:tcW w:w="620" w:type="pct"/>
            <w:tcBorders>
              <w:top w:val="single" w:sz="4" w:space="0" w:color="auto"/>
              <w:left w:val="nil"/>
              <w:bottom w:val="nil"/>
              <w:right w:val="nil"/>
            </w:tcBorders>
            <w:shd w:val="clear" w:color="auto" w:fill="auto"/>
            <w:noWrap/>
            <w:vAlign w:val="bottom"/>
            <w:hideMark/>
          </w:tcPr>
          <w:p w14:paraId="5DC43AE2" w14:textId="169AEC5C" w:rsidR="000C33E1" w:rsidRPr="000C33E1" w:rsidRDefault="000C33E1" w:rsidP="000C33E1">
            <w:pPr>
              <w:spacing w:after="0" w:line="240" w:lineRule="auto"/>
              <w:jc w:val="right"/>
              <w:rPr>
                <w:b/>
                <w:bCs/>
                <w:color w:val="000000"/>
                <w:sz w:val="18"/>
                <w:szCs w:val="18"/>
                <w:lang w:eastAsia="sk-SK"/>
              </w:rPr>
            </w:pPr>
            <w:r w:rsidRPr="000C33E1">
              <w:rPr>
                <w:b/>
                <w:bCs/>
                <w:color w:val="000000"/>
                <w:sz w:val="18"/>
                <w:szCs w:val="18"/>
              </w:rPr>
              <w:t>40 579 570</w:t>
            </w:r>
          </w:p>
        </w:tc>
        <w:tc>
          <w:tcPr>
            <w:tcW w:w="539" w:type="pct"/>
            <w:tcBorders>
              <w:top w:val="single" w:sz="4" w:space="0" w:color="auto"/>
              <w:left w:val="nil"/>
              <w:bottom w:val="nil"/>
              <w:right w:val="nil"/>
            </w:tcBorders>
            <w:shd w:val="clear" w:color="auto" w:fill="auto"/>
            <w:noWrap/>
            <w:vAlign w:val="bottom"/>
            <w:hideMark/>
          </w:tcPr>
          <w:p w14:paraId="4C13D03C" w14:textId="178590AD" w:rsidR="000C33E1" w:rsidRPr="000C33E1" w:rsidRDefault="000C33E1" w:rsidP="000C33E1">
            <w:pPr>
              <w:spacing w:after="0" w:line="240" w:lineRule="auto"/>
              <w:jc w:val="right"/>
              <w:rPr>
                <w:b/>
                <w:bCs/>
                <w:color w:val="000000"/>
                <w:sz w:val="18"/>
                <w:szCs w:val="18"/>
                <w:lang w:eastAsia="sk-SK"/>
              </w:rPr>
            </w:pPr>
            <w:r w:rsidRPr="000C33E1">
              <w:rPr>
                <w:b/>
                <w:bCs/>
                <w:color w:val="000000"/>
                <w:sz w:val="18"/>
                <w:szCs w:val="18"/>
              </w:rPr>
              <w:t>45 494 902</w:t>
            </w:r>
          </w:p>
        </w:tc>
        <w:tc>
          <w:tcPr>
            <w:tcW w:w="548" w:type="pct"/>
            <w:tcBorders>
              <w:top w:val="single" w:sz="4" w:space="0" w:color="auto"/>
              <w:left w:val="nil"/>
              <w:bottom w:val="nil"/>
              <w:right w:val="nil"/>
            </w:tcBorders>
            <w:shd w:val="clear" w:color="auto" w:fill="auto"/>
            <w:noWrap/>
            <w:vAlign w:val="bottom"/>
            <w:hideMark/>
          </w:tcPr>
          <w:p w14:paraId="2F28695C" w14:textId="386E220C" w:rsidR="000C33E1" w:rsidRPr="000C33E1" w:rsidRDefault="000C33E1" w:rsidP="000C33E1">
            <w:pPr>
              <w:spacing w:after="0" w:line="240" w:lineRule="auto"/>
              <w:jc w:val="right"/>
              <w:rPr>
                <w:b/>
                <w:bCs/>
                <w:color w:val="000000"/>
                <w:sz w:val="18"/>
                <w:szCs w:val="18"/>
                <w:lang w:eastAsia="sk-SK"/>
              </w:rPr>
            </w:pPr>
            <w:r w:rsidRPr="000C33E1">
              <w:rPr>
                <w:b/>
                <w:bCs/>
                <w:color w:val="000000"/>
                <w:sz w:val="18"/>
                <w:szCs w:val="18"/>
              </w:rPr>
              <w:t>53 172 138</w:t>
            </w:r>
          </w:p>
        </w:tc>
        <w:tc>
          <w:tcPr>
            <w:tcW w:w="523" w:type="pct"/>
            <w:tcBorders>
              <w:top w:val="single" w:sz="4" w:space="0" w:color="auto"/>
              <w:left w:val="nil"/>
              <w:bottom w:val="nil"/>
              <w:right w:val="nil"/>
            </w:tcBorders>
            <w:shd w:val="clear" w:color="auto" w:fill="auto"/>
            <w:noWrap/>
            <w:vAlign w:val="bottom"/>
            <w:hideMark/>
          </w:tcPr>
          <w:p w14:paraId="3C5EC6EA" w14:textId="16F0FDF6" w:rsidR="000C33E1" w:rsidRPr="000C33E1" w:rsidRDefault="000C33E1" w:rsidP="000C33E1">
            <w:pPr>
              <w:spacing w:after="0" w:line="240" w:lineRule="auto"/>
              <w:jc w:val="right"/>
              <w:rPr>
                <w:b/>
                <w:bCs/>
                <w:color w:val="000000"/>
                <w:sz w:val="18"/>
                <w:szCs w:val="18"/>
                <w:lang w:eastAsia="sk-SK"/>
              </w:rPr>
            </w:pPr>
            <w:r w:rsidRPr="000C33E1">
              <w:rPr>
                <w:b/>
                <w:bCs/>
                <w:color w:val="000000"/>
                <w:sz w:val="18"/>
                <w:szCs w:val="18"/>
              </w:rPr>
              <w:t>51 094 493</w:t>
            </w:r>
          </w:p>
        </w:tc>
        <w:tc>
          <w:tcPr>
            <w:tcW w:w="535" w:type="pct"/>
            <w:tcBorders>
              <w:top w:val="single" w:sz="4" w:space="0" w:color="auto"/>
              <w:left w:val="nil"/>
              <w:bottom w:val="nil"/>
              <w:right w:val="nil"/>
            </w:tcBorders>
            <w:shd w:val="clear" w:color="auto" w:fill="auto"/>
            <w:noWrap/>
            <w:vAlign w:val="bottom"/>
            <w:hideMark/>
          </w:tcPr>
          <w:p w14:paraId="1B01C658" w14:textId="0B12082D" w:rsidR="000C33E1" w:rsidRPr="000C33E1" w:rsidRDefault="000C33E1" w:rsidP="000C33E1">
            <w:pPr>
              <w:spacing w:after="0" w:line="240" w:lineRule="auto"/>
              <w:ind w:right="188"/>
              <w:jc w:val="right"/>
              <w:rPr>
                <w:b/>
                <w:bCs/>
                <w:color w:val="000000"/>
                <w:sz w:val="18"/>
                <w:szCs w:val="18"/>
                <w:lang w:eastAsia="sk-SK"/>
              </w:rPr>
            </w:pPr>
            <w:r w:rsidRPr="000C33E1">
              <w:rPr>
                <w:b/>
                <w:bCs/>
                <w:color w:val="000000"/>
                <w:sz w:val="18"/>
                <w:szCs w:val="18"/>
              </w:rPr>
              <w:t>16,9</w:t>
            </w:r>
          </w:p>
        </w:tc>
      </w:tr>
      <w:tr w:rsidR="000C33E1" w:rsidRPr="00BB4B6F" w14:paraId="21FA84D6" w14:textId="77777777" w:rsidTr="00157527">
        <w:trPr>
          <w:trHeight w:val="255"/>
        </w:trPr>
        <w:tc>
          <w:tcPr>
            <w:tcW w:w="2235" w:type="pct"/>
            <w:tcBorders>
              <w:top w:val="nil"/>
              <w:left w:val="nil"/>
              <w:bottom w:val="single" w:sz="4" w:space="0" w:color="auto"/>
              <w:right w:val="nil"/>
            </w:tcBorders>
            <w:shd w:val="clear" w:color="auto" w:fill="auto"/>
            <w:noWrap/>
            <w:vAlign w:val="center"/>
            <w:hideMark/>
          </w:tcPr>
          <w:p w14:paraId="0856D943" w14:textId="77777777" w:rsidR="000C33E1" w:rsidRPr="000C33E1" w:rsidRDefault="000C33E1" w:rsidP="000C33E1">
            <w:pPr>
              <w:spacing w:after="0" w:line="240" w:lineRule="auto"/>
              <w:rPr>
                <w:b/>
                <w:bCs/>
                <w:sz w:val="18"/>
                <w:szCs w:val="18"/>
                <w:lang w:eastAsia="sk-SK"/>
              </w:rPr>
            </w:pPr>
            <w:r w:rsidRPr="000C33E1">
              <w:rPr>
                <w:b/>
                <w:bCs/>
                <w:sz w:val="18"/>
                <w:szCs w:val="18"/>
                <w:lang w:eastAsia="sk-SK"/>
              </w:rPr>
              <w:t xml:space="preserve">     % z HDP</w:t>
            </w:r>
          </w:p>
        </w:tc>
        <w:tc>
          <w:tcPr>
            <w:tcW w:w="620" w:type="pct"/>
            <w:tcBorders>
              <w:top w:val="nil"/>
              <w:left w:val="nil"/>
              <w:bottom w:val="single" w:sz="4" w:space="0" w:color="auto"/>
              <w:right w:val="nil"/>
            </w:tcBorders>
            <w:shd w:val="clear" w:color="auto" w:fill="auto"/>
            <w:noWrap/>
            <w:vAlign w:val="bottom"/>
            <w:hideMark/>
          </w:tcPr>
          <w:p w14:paraId="06D99DC2" w14:textId="4CA58A3D" w:rsidR="000C33E1" w:rsidRPr="000C33E1" w:rsidRDefault="000C33E1" w:rsidP="000C33E1">
            <w:pPr>
              <w:spacing w:after="0" w:line="240" w:lineRule="auto"/>
              <w:jc w:val="right"/>
              <w:rPr>
                <w:b/>
                <w:bCs/>
                <w:color w:val="000000"/>
                <w:sz w:val="18"/>
                <w:szCs w:val="18"/>
                <w:lang w:eastAsia="sk-SK"/>
              </w:rPr>
            </w:pPr>
            <w:r w:rsidRPr="000C33E1">
              <w:rPr>
                <w:b/>
                <w:bCs/>
                <w:color w:val="000000"/>
                <w:sz w:val="18"/>
                <w:szCs w:val="18"/>
              </w:rPr>
              <w:t>39,8</w:t>
            </w:r>
          </w:p>
        </w:tc>
        <w:tc>
          <w:tcPr>
            <w:tcW w:w="539" w:type="pct"/>
            <w:tcBorders>
              <w:top w:val="nil"/>
              <w:left w:val="nil"/>
              <w:bottom w:val="single" w:sz="4" w:space="0" w:color="auto"/>
              <w:right w:val="nil"/>
            </w:tcBorders>
            <w:shd w:val="clear" w:color="auto" w:fill="auto"/>
            <w:noWrap/>
            <w:vAlign w:val="bottom"/>
            <w:hideMark/>
          </w:tcPr>
          <w:p w14:paraId="6585DAB7" w14:textId="1100ED05" w:rsidR="000C33E1" w:rsidRPr="000C33E1" w:rsidRDefault="000C33E1" w:rsidP="000C33E1">
            <w:pPr>
              <w:spacing w:after="0" w:line="240" w:lineRule="auto"/>
              <w:jc w:val="right"/>
              <w:rPr>
                <w:b/>
                <w:bCs/>
                <w:color w:val="000000"/>
                <w:sz w:val="18"/>
                <w:szCs w:val="18"/>
                <w:lang w:eastAsia="sk-SK"/>
              </w:rPr>
            </w:pPr>
            <w:r w:rsidRPr="000C33E1">
              <w:rPr>
                <w:b/>
                <w:bCs/>
                <w:color w:val="000000"/>
                <w:sz w:val="18"/>
                <w:szCs w:val="18"/>
              </w:rPr>
              <w:t>41,3</w:t>
            </w:r>
          </w:p>
        </w:tc>
        <w:tc>
          <w:tcPr>
            <w:tcW w:w="548" w:type="pct"/>
            <w:tcBorders>
              <w:top w:val="nil"/>
              <w:left w:val="nil"/>
              <w:bottom w:val="single" w:sz="4" w:space="0" w:color="auto"/>
              <w:right w:val="nil"/>
            </w:tcBorders>
            <w:shd w:val="clear" w:color="auto" w:fill="auto"/>
            <w:noWrap/>
            <w:vAlign w:val="bottom"/>
            <w:hideMark/>
          </w:tcPr>
          <w:p w14:paraId="5B248402" w14:textId="4A7222E6" w:rsidR="000C33E1" w:rsidRPr="000C33E1" w:rsidRDefault="000C33E1" w:rsidP="000C33E1">
            <w:pPr>
              <w:spacing w:after="0" w:line="240" w:lineRule="auto"/>
              <w:jc w:val="right"/>
              <w:rPr>
                <w:b/>
                <w:bCs/>
                <w:color w:val="000000"/>
                <w:sz w:val="18"/>
                <w:szCs w:val="18"/>
                <w:lang w:eastAsia="sk-SK"/>
              </w:rPr>
            </w:pPr>
            <w:r w:rsidRPr="000C33E1">
              <w:rPr>
                <w:b/>
                <w:bCs/>
                <w:color w:val="000000"/>
                <w:sz w:val="18"/>
                <w:szCs w:val="18"/>
              </w:rPr>
              <w:t>43,3</w:t>
            </w:r>
          </w:p>
        </w:tc>
        <w:tc>
          <w:tcPr>
            <w:tcW w:w="523" w:type="pct"/>
            <w:tcBorders>
              <w:top w:val="nil"/>
              <w:left w:val="nil"/>
              <w:bottom w:val="single" w:sz="4" w:space="0" w:color="auto"/>
              <w:right w:val="nil"/>
            </w:tcBorders>
            <w:shd w:val="clear" w:color="auto" w:fill="auto"/>
            <w:noWrap/>
            <w:vAlign w:val="bottom"/>
            <w:hideMark/>
          </w:tcPr>
          <w:p w14:paraId="22E91F4A" w14:textId="17EBFDA4" w:rsidR="000C33E1" w:rsidRPr="000C33E1" w:rsidRDefault="000C33E1" w:rsidP="000C33E1">
            <w:pPr>
              <w:spacing w:after="0" w:line="240" w:lineRule="auto"/>
              <w:jc w:val="right"/>
              <w:rPr>
                <w:b/>
                <w:bCs/>
                <w:color w:val="000000"/>
                <w:sz w:val="18"/>
                <w:szCs w:val="18"/>
                <w:lang w:eastAsia="sk-SK"/>
              </w:rPr>
            </w:pPr>
            <w:r w:rsidRPr="000C33E1">
              <w:rPr>
                <w:b/>
                <w:bCs/>
                <w:color w:val="000000"/>
                <w:sz w:val="18"/>
                <w:szCs w:val="18"/>
              </w:rPr>
              <w:t>41,8</w:t>
            </w:r>
          </w:p>
        </w:tc>
        <w:tc>
          <w:tcPr>
            <w:tcW w:w="535" w:type="pct"/>
            <w:tcBorders>
              <w:top w:val="nil"/>
              <w:left w:val="nil"/>
              <w:bottom w:val="single" w:sz="4" w:space="0" w:color="auto"/>
              <w:right w:val="nil"/>
            </w:tcBorders>
            <w:shd w:val="clear" w:color="auto" w:fill="auto"/>
            <w:noWrap/>
            <w:vAlign w:val="bottom"/>
            <w:hideMark/>
          </w:tcPr>
          <w:p w14:paraId="64621633" w14:textId="44E01EA3" w:rsidR="000C33E1" w:rsidRPr="000C33E1" w:rsidRDefault="000C33E1" w:rsidP="000C33E1">
            <w:pPr>
              <w:tabs>
                <w:tab w:val="left" w:pos="847"/>
              </w:tabs>
              <w:spacing w:after="0" w:line="240" w:lineRule="auto"/>
              <w:ind w:right="38"/>
              <w:jc w:val="center"/>
              <w:rPr>
                <w:b/>
                <w:bCs/>
                <w:color w:val="000000"/>
                <w:sz w:val="18"/>
                <w:szCs w:val="18"/>
                <w:lang w:eastAsia="sk-SK"/>
              </w:rPr>
            </w:pPr>
            <w:r w:rsidRPr="000C33E1">
              <w:rPr>
                <w:b/>
                <w:bCs/>
                <w:color w:val="000000"/>
                <w:sz w:val="18"/>
                <w:szCs w:val="18"/>
              </w:rPr>
              <w:t xml:space="preserve">      1,9</w:t>
            </w:r>
          </w:p>
        </w:tc>
      </w:tr>
    </w:tbl>
    <w:p w14:paraId="22C6C535" w14:textId="0F1F7A60" w:rsidR="008B07BD" w:rsidRDefault="008B07BD" w:rsidP="008B07BD">
      <w:pPr>
        <w:spacing w:after="0" w:line="240" w:lineRule="auto"/>
        <w:jc w:val="both"/>
        <w:rPr>
          <w:bCs/>
          <w:color w:val="000000"/>
          <w:sz w:val="16"/>
          <w:szCs w:val="16"/>
          <w:lang w:eastAsia="sk-SK"/>
        </w:rPr>
      </w:pPr>
      <w:r w:rsidRPr="00BA526A">
        <w:rPr>
          <w:bCs/>
          <w:color w:val="000000"/>
          <w:sz w:val="16"/>
          <w:szCs w:val="16"/>
          <w:lang w:eastAsia="sk-SK"/>
        </w:rPr>
        <w:t xml:space="preserve">* </w:t>
      </w:r>
      <w:r w:rsidR="004D6DF5">
        <w:rPr>
          <w:bCs/>
          <w:color w:val="000000"/>
          <w:sz w:val="16"/>
          <w:szCs w:val="16"/>
          <w:lang w:eastAsia="sk-SK"/>
        </w:rPr>
        <w:t>V</w:t>
      </w:r>
      <w:r w:rsidRPr="00BA526A">
        <w:rPr>
          <w:bCs/>
          <w:color w:val="000000"/>
          <w:sz w:val="16"/>
          <w:szCs w:val="16"/>
          <w:lang w:eastAsia="sk-SK"/>
        </w:rPr>
        <w:t>ykázané na hotovostnej báze z analytických dôvodov.</w:t>
      </w:r>
      <w:r>
        <w:rPr>
          <w:bCs/>
          <w:color w:val="000000"/>
          <w:sz w:val="16"/>
          <w:szCs w:val="16"/>
          <w:lang w:eastAsia="sk-SK"/>
        </w:rPr>
        <w:tab/>
      </w:r>
      <w:r>
        <w:rPr>
          <w:bCs/>
          <w:color w:val="000000"/>
          <w:sz w:val="16"/>
          <w:szCs w:val="16"/>
          <w:lang w:eastAsia="sk-SK"/>
        </w:rPr>
        <w:tab/>
        <w:t xml:space="preserve">      </w:t>
      </w:r>
      <w:r w:rsidRPr="00BA526A">
        <w:rPr>
          <w:bCs/>
          <w:color w:val="000000"/>
          <w:sz w:val="16"/>
          <w:szCs w:val="16"/>
          <w:lang w:eastAsia="sk-SK"/>
        </w:rPr>
        <w:t xml:space="preserve"> </w:t>
      </w:r>
      <w:r w:rsidR="00304F49">
        <w:rPr>
          <w:bCs/>
          <w:color w:val="000000"/>
          <w:sz w:val="16"/>
          <w:szCs w:val="16"/>
          <w:lang w:eastAsia="sk-SK"/>
        </w:rPr>
        <w:t xml:space="preserve">             </w:t>
      </w:r>
      <w:r w:rsidRPr="00BA526A">
        <w:rPr>
          <w:bCs/>
          <w:color w:val="000000"/>
          <w:sz w:val="16"/>
          <w:szCs w:val="16"/>
          <w:lang w:eastAsia="sk-SK"/>
        </w:rPr>
        <w:t xml:space="preserve"> </w:t>
      </w:r>
      <w:r w:rsidR="0048253F">
        <w:rPr>
          <w:bCs/>
          <w:color w:val="000000"/>
          <w:sz w:val="16"/>
          <w:szCs w:val="16"/>
          <w:lang w:eastAsia="sk-SK"/>
        </w:rPr>
        <w:tab/>
      </w:r>
      <w:r w:rsidR="0048253F">
        <w:rPr>
          <w:bCs/>
          <w:color w:val="000000"/>
          <w:sz w:val="16"/>
          <w:szCs w:val="16"/>
          <w:lang w:eastAsia="sk-SK"/>
        </w:rPr>
        <w:tab/>
      </w:r>
      <w:r w:rsidR="0048253F">
        <w:rPr>
          <w:bCs/>
          <w:color w:val="000000"/>
          <w:sz w:val="16"/>
          <w:szCs w:val="16"/>
          <w:lang w:eastAsia="sk-SK"/>
        </w:rPr>
        <w:tab/>
        <w:t xml:space="preserve">    </w:t>
      </w:r>
      <w:r w:rsidRPr="00BA526A">
        <w:rPr>
          <w:sz w:val="16"/>
          <w:szCs w:val="16"/>
          <w:lang w:eastAsia="sk-SK"/>
        </w:rPr>
        <w:t>Zdroj: ŠÚ</w:t>
      </w:r>
      <w:r w:rsidR="00304F49">
        <w:rPr>
          <w:sz w:val="16"/>
          <w:szCs w:val="16"/>
          <w:lang w:eastAsia="sk-SK"/>
        </w:rPr>
        <w:t xml:space="preserve"> </w:t>
      </w:r>
      <w:r w:rsidRPr="00BA526A">
        <w:rPr>
          <w:sz w:val="16"/>
          <w:szCs w:val="16"/>
          <w:lang w:eastAsia="sk-SK"/>
        </w:rPr>
        <w:t>SR, MF SR</w:t>
      </w:r>
    </w:p>
    <w:p w14:paraId="3E885653" w14:textId="77777777" w:rsidR="008B07BD" w:rsidRPr="00BA526A" w:rsidRDefault="008B07BD" w:rsidP="008B07BD">
      <w:pPr>
        <w:spacing w:after="0" w:line="240" w:lineRule="auto"/>
        <w:jc w:val="both"/>
        <w:rPr>
          <w:sz w:val="16"/>
          <w:szCs w:val="16"/>
        </w:rPr>
      </w:pPr>
      <w:r>
        <w:rPr>
          <w:bCs/>
          <w:color w:val="000000"/>
          <w:sz w:val="16"/>
          <w:szCs w:val="16"/>
          <w:lang w:eastAsia="sk-SK"/>
        </w:rPr>
        <w:t xml:space="preserve">** V metodike ESA sa uvádzajú iba riadne dividendy </w:t>
      </w:r>
      <w:r>
        <w:rPr>
          <w:bCs/>
          <w:color w:val="000000"/>
          <w:sz w:val="16"/>
          <w:szCs w:val="16"/>
          <w:lang w:eastAsia="sk-SK"/>
        </w:rPr>
        <w:tab/>
      </w:r>
      <w:r>
        <w:rPr>
          <w:bCs/>
          <w:color w:val="000000"/>
          <w:sz w:val="16"/>
          <w:szCs w:val="16"/>
          <w:lang w:eastAsia="sk-SK"/>
        </w:rPr>
        <w:tab/>
      </w:r>
      <w:r>
        <w:rPr>
          <w:bCs/>
          <w:color w:val="000000"/>
          <w:sz w:val="16"/>
          <w:szCs w:val="16"/>
          <w:lang w:eastAsia="sk-SK"/>
        </w:rPr>
        <w:tab/>
      </w:r>
      <w:r>
        <w:rPr>
          <w:bCs/>
          <w:color w:val="000000"/>
          <w:sz w:val="16"/>
          <w:szCs w:val="16"/>
          <w:lang w:eastAsia="sk-SK"/>
        </w:rPr>
        <w:tab/>
      </w:r>
      <w:r>
        <w:rPr>
          <w:bCs/>
          <w:color w:val="000000"/>
          <w:sz w:val="16"/>
          <w:szCs w:val="16"/>
          <w:lang w:eastAsia="sk-SK"/>
        </w:rPr>
        <w:tab/>
      </w:r>
      <w:r w:rsidRPr="00BA526A">
        <w:rPr>
          <w:bCs/>
          <w:color w:val="000000"/>
          <w:sz w:val="16"/>
          <w:szCs w:val="16"/>
          <w:lang w:eastAsia="sk-SK"/>
        </w:rPr>
        <w:tab/>
      </w:r>
    </w:p>
    <w:p w14:paraId="458681B3" w14:textId="77777777" w:rsidR="000D79E1" w:rsidRDefault="000D79E1" w:rsidP="000D79E1">
      <w:pPr>
        <w:spacing w:after="0"/>
        <w:rPr>
          <w:b/>
          <w:color w:val="4F81BD" w:themeColor="accent1"/>
          <w:sz w:val="24"/>
          <w:szCs w:val="24"/>
        </w:rPr>
      </w:pPr>
    </w:p>
    <w:p w14:paraId="5F43ECF7" w14:textId="25FBBCCB" w:rsidR="00151939" w:rsidRPr="00846C46" w:rsidRDefault="00151939" w:rsidP="000A0D79">
      <w:pPr>
        <w:rPr>
          <w:b/>
          <w:color w:val="4F81BD" w:themeColor="accent1"/>
          <w:sz w:val="24"/>
          <w:szCs w:val="24"/>
        </w:rPr>
      </w:pPr>
      <w:r w:rsidRPr="00846C46">
        <w:rPr>
          <w:b/>
          <w:color w:val="4F81BD" w:themeColor="accent1"/>
          <w:sz w:val="24"/>
          <w:szCs w:val="24"/>
        </w:rPr>
        <w:t>Daňové a odvodové príjmy</w:t>
      </w:r>
    </w:p>
    <w:p w14:paraId="6D3D1C3C" w14:textId="77777777" w:rsidR="002D19D1" w:rsidRDefault="002D19D1" w:rsidP="002D19D1">
      <w:pPr>
        <w:pStyle w:val="Popis"/>
        <w:framePr w:wrap="around" w:y="2492"/>
      </w:pPr>
      <w:r>
        <w:t xml:space="preserve">Tabuľka </w:t>
      </w:r>
      <w:r w:rsidR="001F05DE">
        <w:fldChar w:fldCharType="begin"/>
      </w:r>
      <w:r w:rsidR="001F05DE">
        <w:instrText xml:space="preserve"> SEQ Tabuľka \* ARABIC </w:instrText>
      </w:r>
      <w:r w:rsidR="001F05DE">
        <w:fldChar w:fldCharType="separate"/>
      </w:r>
      <w:r>
        <w:rPr>
          <w:noProof/>
        </w:rPr>
        <w:t>11</w:t>
      </w:r>
      <w:r w:rsidR="001F05DE">
        <w:rPr>
          <w:noProof/>
        </w:rPr>
        <w:fldChar w:fldCharType="end"/>
      </w:r>
      <w:r>
        <w:t xml:space="preserve"> - </w:t>
      </w:r>
      <w:r w:rsidRPr="00F52107">
        <w:t>Daňové a odvodové príjmy (ESA 2010)</w:t>
      </w:r>
      <w:r>
        <w:t xml:space="preserve"> </w:t>
      </w:r>
      <w:r>
        <w:tab/>
      </w:r>
      <w:r>
        <w:tab/>
      </w:r>
      <w:r>
        <w:tab/>
      </w:r>
      <w:r>
        <w:tab/>
      </w:r>
      <w:r>
        <w:tab/>
      </w:r>
      <w:r>
        <w:tab/>
        <w:t>v tis. eur</w:t>
      </w:r>
    </w:p>
    <w:p w14:paraId="5B849135" w14:textId="0162F7BD" w:rsidR="00267B66" w:rsidRPr="002746C4" w:rsidRDefault="00267B66" w:rsidP="00267B66">
      <w:pPr>
        <w:spacing w:after="120" w:line="240" w:lineRule="auto"/>
        <w:jc w:val="both"/>
        <w:rPr>
          <w:highlight w:val="yellow"/>
        </w:rPr>
      </w:pPr>
      <w:r w:rsidRPr="006E5132">
        <w:t>Daňové a odvodové príjmy v roku 2023 tvorili 82</w:t>
      </w:r>
      <w:r w:rsidR="004D02C1">
        <w:t>,0</w:t>
      </w:r>
      <w:r w:rsidRPr="006E5132">
        <w:t> % všetkých príjmov verejnej správy a oproti roku 202</w:t>
      </w:r>
      <w:r>
        <w:t>2</w:t>
      </w:r>
      <w:r w:rsidRPr="006E5132">
        <w:t xml:space="preserve"> </w:t>
      </w:r>
      <w:r w:rsidRPr="008A3C74">
        <w:t>vzrástli o 12,2 %. Väčšina daňových príjmov zaznamenala medziročný nárast. Rast daní je výsledkom vysokých medziročných rastov nominálnych makroekonomických ukazovateľov. V roku 2023 narástol nominálny hrubý domáci pro</w:t>
      </w:r>
      <w:r w:rsidR="00D826DE">
        <w:t>dukt o 11,7</w:t>
      </w:r>
      <w:r w:rsidRPr="008A3C74">
        <w:t> %</w:t>
      </w:r>
      <w:r w:rsidR="00D826DE">
        <w:t xml:space="preserve"> (podľa jesennej notifikácie)</w:t>
      </w:r>
      <w:r w:rsidR="00D826DE">
        <w:rPr>
          <w:rStyle w:val="Odkaznapoznmkupodiarou"/>
        </w:rPr>
        <w:footnoteReference w:id="12"/>
      </w:r>
      <w:r w:rsidRPr="008A3C74">
        <w:t>, reálny o </w:t>
      </w:r>
      <w:r w:rsidR="00214ECD">
        <w:t>1,</w:t>
      </w:r>
      <w:r w:rsidR="00E95D2B">
        <w:t>4</w:t>
      </w:r>
      <w:r w:rsidR="00214ECD">
        <w:t xml:space="preserve"> %. Rast </w:t>
      </w:r>
      <w:r w:rsidR="00E95D2B">
        <w:t xml:space="preserve">nominálnych </w:t>
      </w:r>
      <w:r w:rsidR="00214ECD">
        <w:t>miezd na</w:t>
      </w:r>
      <w:r w:rsidR="00753A30">
        <w:t> </w:t>
      </w:r>
      <w:r w:rsidR="00214ECD">
        <w:t>úrovni 9,7 </w:t>
      </w:r>
      <w:r w:rsidRPr="008A3C74">
        <w:t>% zvýšil príjmy DPFO zo závislej činnosti, sociálnych a zdravotných odvodov. Nárast spotreby domácností o 6,9 % sa pretavil do výrazne vyššieho výberu dani z pridanej hodnoty. Silný rast ekonomiky sa neprejavil v plnej miere do rastu daňových príjmov, čo spôsobilo pokles niektorých efektívnych sadzieb. Najvýraznejšie sa to prejavilo u firemnej dani, DPH či spotrebných daniach.</w:t>
      </w:r>
    </w:p>
    <w:tbl>
      <w:tblPr>
        <w:tblW w:w="9347" w:type="dxa"/>
        <w:tblLayout w:type="fixed"/>
        <w:tblCellMar>
          <w:left w:w="70" w:type="dxa"/>
          <w:right w:w="70" w:type="dxa"/>
        </w:tblCellMar>
        <w:tblLook w:val="04A0" w:firstRow="1" w:lastRow="0" w:firstColumn="1" w:lastColumn="0" w:noHBand="0" w:noVBand="1"/>
      </w:tblPr>
      <w:tblGrid>
        <w:gridCol w:w="3994"/>
        <w:gridCol w:w="84"/>
        <w:gridCol w:w="163"/>
        <w:gridCol w:w="1560"/>
        <w:gridCol w:w="1160"/>
        <w:gridCol w:w="1162"/>
        <w:gridCol w:w="1224"/>
      </w:tblGrid>
      <w:tr w:rsidR="00267B66" w:rsidRPr="006E2C8B" w14:paraId="41BE503A" w14:textId="77777777" w:rsidTr="00C90BEF">
        <w:trPr>
          <w:trHeight w:val="267"/>
          <w:tblHeader/>
        </w:trPr>
        <w:tc>
          <w:tcPr>
            <w:tcW w:w="3994" w:type="dxa"/>
            <w:vMerge w:val="restart"/>
            <w:tcBorders>
              <w:top w:val="single" w:sz="4" w:space="0" w:color="auto"/>
              <w:left w:val="nil"/>
              <w:bottom w:val="single" w:sz="4" w:space="0" w:color="000000"/>
              <w:right w:val="nil"/>
            </w:tcBorders>
            <w:shd w:val="clear" w:color="auto" w:fill="auto"/>
            <w:noWrap/>
            <w:vAlign w:val="center"/>
            <w:hideMark/>
          </w:tcPr>
          <w:p w14:paraId="12F82008" w14:textId="77777777" w:rsidR="00267B66" w:rsidRPr="006E2C8B" w:rsidRDefault="00267B66" w:rsidP="00267B66">
            <w:pPr>
              <w:spacing w:after="0" w:line="240" w:lineRule="auto"/>
              <w:rPr>
                <w:color w:val="000000"/>
                <w:sz w:val="18"/>
                <w:szCs w:val="18"/>
                <w:lang w:eastAsia="sk-SK"/>
              </w:rPr>
            </w:pPr>
            <w:r w:rsidRPr="006E2C8B">
              <w:rPr>
                <w:color w:val="000000"/>
                <w:sz w:val="18"/>
                <w:szCs w:val="18"/>
                <w:lang w:eastAsia="sk-SK"/>
              </w:rPr>
              <w:t> </w:t>
            </w:r>
          </w:p>
        </w:tc>
        <w:tc>
          <w:tcPr>
            <w:tcW w:w="4129" w:type="dxa"/>
            <w:gridSpan w:val="5"/>
            <w:tcBorders>
              <w:top w:val="single" w:sz="4" w:space="0" w:color="auto"/>
              <w:left w:val="nil"/>
              <w:bottom w:val="nil"/>
              <w:right w:val="nil"/>
            </w:tcBorders>
            <w:shd w:val="clear" w:color="auto" w:fill="auto"/>
            <w:noWrap/>
            <w:vAlign w:val="center"/>
            <w:hideMark/>
          </w:tcPr>
          <w:p w14:paraId="53F184BC" w14:textId="77777777" w:rsidR="00267B66" w:rsidRPr="006E2C8B" w:rsidRDefault="00267B66" w:rsidP="00267B66">
            <w:pPr>
              <w:spacing w:after="0" w:line="240" w:lineRule="auto"/>
              <w:jc w:val="center"/>
              <w:rPr>
                <w:b/>
                <w:bCs/>
                <w:color w:val="000000"/>
                <w:sz w:val="18"/>
                <w:szCs w:val="18"/>
                <w:lang w:eastAsia="sk-SK"/>
              </w:rPr>
            </w:pPr>
          </w:p>
        </w:tc>
        <w:tc>
          <w:tcPr>
            <w:tcW w:w="1224" w:type="dxa"/>
            <w:tcBorders>
              <w:top w:val="single" w:sz="4" w:space="0" w:color="auto"/>
              <w:left w:val="nil"/>
              <w:bottom w:val="nil"/>
              <w:right w:val="nil"/>
            </w:tcBorders>
            <w:shd w:val="clear" w:color="auto" w:fill="auto"/>
            <w:noWrap/>
            <w:vAlign w:val="center"/>
            <w:hideMark/>
          </w:tcPr>
          <w:p w14:paraId="737DF21E" w14:textId="77777777" w:rsidR="00267B66" w:rsidRPr="006E2C8B" w:rsidRDefault="00267B66" w:rsidP="00267B66">
            <w:pPr>
              <w:spacing w:after="0" w:line="240" w:lineRule="auto"/>
              <w:jc w:val="center"/>
              <w:rPr>
                <w:b/>
                <w:bCs/>
                <w:color w:val="000000"/>
                <w:sz w:val="18"/>
                <w:szCs w:val="18"/>
                <w:lang w:eastAsia="sk-SK"/>
              </w:rPr>
            </w:pPr>
            <w:r w:rsidRPr="006E2C8B">
              <w:rPr>
                <w:b/>
                <w:bCs/>
                <w:color w:val="000000"/>
                <w:sz w:val="18"/>
                <w:szCs w:val="18"/>
                <w:lang w:eastAsia="sk-SK"/>
              </w:rPr>
              <w:t>2023/2022</w:t>
            </w:r>
          </w:p>
        </w:tc>
      </w:tr>
      <w:tr w:rsidR="00267B66" w:rsidRPr="006E2C8B" w14:paraId="3715E54E" w14:textId="77777777" w:rsidTr="00267B66">
        <w:trPr>
          <w:trHeight w:val="195"/>
        </w:trPr>
        <w:tc>
          <w:tcPr>
            <w:tcW w:w="3994" w:type="dxa"/>
            <w:vMerge/>
            <w:tcBorders>
              <w:top w:val="nil"/>
              <w:left w:val="nil"/>
              <w:bottom w:val="single" w:sz="4" w:space="0" w:color="000000"/>
              <w:right w:val="nil"/>
            </w:tcBorders>
            <w:shd w:val="clear" w:color="auto" w:fill="auto"/>
            <w:vAlign w:val="center"/>
            <w:hideMark/>
          </w:tcPr>
          <w:p w14:paraId="3D188721" w14:textId="77777777" w:rsidR="00267B66" w:rsidRPr="006E2C8B" w:rsidRDefault="00267B66" w:rsidP="00267B66">
            <w:pPr>
              <w:spacing w:after="0" w:line="240" w:lineRule="auto"/>
              <w:rPr>
                <w:color w:val="000000"/>
                <w:sz w:val="18"/>
                <w:szCs w:val="18"/>
                <w:lang w:eastAsia="sk-SK"/>
              </w:rPr>
            </w:pPr>
          </w:p>
        </w:tc>
        <w:tc>
          <w:tcPr>
            <w:tcW w:w="1807" w:type="dxa"/>
            <w:gridSpan w:val="3"/>
            <w:tcBorders>
              <w:top w:val="nil"/>
              <w:left w:val="nil"/>
              <w:bottom w:val="single" w:sz="4" w:space="0" w:color="auto"/>
              <w:right w:val="nil"/>
            </w:tcBorders>
            <w:shd w:val="clear" w:color="auto" w:fill="auto"/>
            <w:noWrap/>
            <w:vAlign w:val="center"/>
            <w:hideMark/>
          </w:tcPr>
          <w:p w14:paraId="7104D075" w14:textId="77777777" w:rsidR="00267B66" w:rsidRPr="006E2C8B" w:rsidRDefault="00267B66" w:rsidP="00267B66">
            <w:pPr>
              <w:spacing w:after="0" w:line="240" w:lineRule="auto"/>
              <w:jc w:val="center"/>
              <w:rPr>
                <w:b/>
                <w:bCs/>
                <w:color w:val="000000"/>
                <w:sz w:val="18"/>
                <w:szCs w:val="18"/>
                <w:lang w:eastAsia="sk-SK"/>
              </w:rPr>
            </w:pPr>
            <w:r w:rsidRPr="006E2C8B">
              <w:rPr>
                <w:b/>
                <w:bCs/>
                <w:color w:val="000000"/>
                <w:sz w:val="18"/>
                <w:szCs w:val="18"/>
                <w:lang w:eastAsia="sk-SK"/>
              </w:rPr>
              <w:t xml:space="preserve">                    2021 S</w:t>
            </w:r>
          </w:p>
        </w:tc>
        <w:tc>
          <w:tcPr>
            <w:tcW w:w="1160" w:type="dxa"/>
            <w:tcBorders>
              <w:top w:val="nil"/>
              <w:left w:val="nil"/>
              <w:bottom w:val="single" w:sz="4" w:space="0" w:color="auto"/>
              <w:right w:val="nil"/>
            </w:tcBorders>
            <w:shd w:val="clear" w:color="auto" w:fill="auto"/>
            <w:noWrap/>
            <w:vAlign w:val="center"/>
            <w:hideMark/>
          </w:tcPr>
          <w:p w14:paraId="60BDFFAE" w14:textId="77777777" w:rsidR="00267B66" w:rsidRPr="006E2C8B" w:rsidRDefault="00267B66" w:rsidP="00267B66">
            <w:pPr>
              <w:spacing w:after="0" w:line="240" w:lineRule="auto"/>
              <w:jc w:val="center"/>
              <w:rPr>
                <w:b/>
                <w:bCs/>
                <w:color w:val="000000"/>
                <w:sz w:val="18"/>
                <w:szCs w:val="18"/>
                <w:lang w:eastAsia="sk-SK"/>
              </w:rPr>
            </w:pPr>
            <w:r w:rsidRPr="006E2C8B">
              <w:rPr>
                <w:b/>
                <w:bCs/>
                <w:color w:val="000000"/>
                <w:sz w:val="18"/>
                <w:szCs w:val="18"/>
                <w:lang w:eastAsia="sk-SK"/>
              </w:rPr>
              <w:t xml:space="preserve">     2022 S</w:t>
            </w:r>
          </w:p>
        </w:tc>
        <w:tc>
          <w:tcPr>
            <w:tcW w:w="1162" w:type="dxa"/>
            <w:tcBorders>
              <w:top w:val="nil"/>
              <w:left w:val="nil"/>
              <w:bottom w:val="single" w:sz="4" w:space="0" w:color="auto"/>
              <w:right w:val="nil"/>
            </w:tcBorders>
            <w:shd w:val="clear" w:color="auto" w:fill="auto"/>
            <w:noWrap/>
            <w:vAlign w:val="center"/>
            <w:hideMark/>
          </w:tcPr>
          <w:p w14:paraId="740694B1" w14:textId="77777777" w:rsidR="00267B66" w:rsidRPr="006E2C8B" w:rsidRDefault="00267B66" w:rsidP="00267B66">
            <w:pPr>
              <w:spacing w:after="0" w:line="240" w:lineRule="auto"/>
              <w:jc w:val="center"/>
              <w:rPr>
                <w:b/>
                <w:bCs/>
                <w:color w:val="000000"/>
                <w:sz w:val="18"/>
                <w:szCs w:val="18"/>
                <w:lang w:eastAsia="sk-SK"/>
              </w:rPr>
            </w:pPr>
            <w:r w:rsidRPr="006E2C8B">
              <w:rPr>
                <w:b/>
                <w:bCs/>
                <w:color w:val="000000"/>
                <w:sz w:val="18"/>
                <w:szCs w:val="18"/>
                <w:lang w:eastAsia="sk-SK"/>
              </w:rPr>
              <w:t xml:space="preserve">     2023 S</w:t>
            </w:r>
          </w:p>
        </w:tc>
        <w:tc>
          <w:tcPr>
            <w:tcW w:w="1224" w:type="dxa"/>
            <w:tcBorders>
              <w:top w:val="nil"/>
              <w:left w:val="nil"/>
              <w:bottom w:val="single" w:sz="4" w:space="0" w:color="auto"/>
              <w:right w:val="nil"/>
            </w:tcBorders>
            <w:shd w:val="clear" w:color="auto" w:fill="auto"/>
            <w:noWrap/>
            <w:vAlign w:val="center"/>
            <w:hideMark/>
          </w:tcPr>
          <w:p w14:paraId="3B834C60" w14:textId="14238E79" w:rsidR="00267B66" w:rsidRPr="006E2C8B" w:rsidRDefault="00025966" w:rsidP="00267B66">
            <w:pPr>
              <w:spacing w:after="0" w:line="240" w:lineRule="auto"/>
              <w:jc w:val="center"/>
              <w:rPr>
                <w:b/>
                <w:bCs/>
                <w:color w:val="000000"/>
                <w:sz w:val="18"/>
                <w:szCs w:val="18"/>
                <w:lang w:eastAsia="sk-SK"/>
              </w:rPr>
            </w:pPr>
            <w:r>
              <w:rPr>
                <w:b/>
                <w:bCs/>
                <w:color w:val="000000"/>
                <w:sz w:val="18"/>
                <w:szCs w:val="18"/>
                <w:lang w:eastAsia="sk-SK"/>
              </w:rPr>
              <w:t>v %</w:t>
            </w:r>
          </w:p>
        </w:tc>
      </w:tr>
      <w:tr w:rsidR="00267B66" w:rsidRPr="006E2C8B" w14:paraId="7DBAFC10" w14:textId="77777777" w:rsidTr="00267B66">
        <w:trPr>
          <w:trHeight w:val="267"/>
        </w:trPr>
        <w:tc>
          <w:tcPr>
            <w:tcW w:w="3994" w:type="dxa"/>
            <w:tcBorders>
              <w:top w:val="nil"/>
              <w:left w:val="nil"/>
              <w:bottom w:val="nil"/>
              <w:right w:val="nil"/>
            </w:tcBorders>
            <w:shd w:val="clear" w:color="auto" w:fill="auto"/>
            <w:noWrap/>
            <w:vAlign w:val="center"/>
            <w:hideMark/>
          </w:tcPr>
          <w:p w14:paraId="5E0AA06D" w14:textId="77777777" w:rsidR="00267B66" w:rsidRPr="006E2C8B" w:rsidRDefault="00267B66" w:rsidP="00267B66">
            <w:pPr>
              <w:spacing w:after="0" w:line="240" w:lineRule="auto"/>
              <w:rPr>
                <w:b/>
                <w:bCs/>
                <w:color w:val="000000"/>
                <w:sz w:val="18"/>
                <w:szCs w:val="18"/>
                <w:lang w:eastAsia="sk-SK"/>
              </w:rPr>
            </w:pPr>
            <w:r w:rsidRPr="006E2C8B">
              <w:rPr>
                <w:b/>
                <w:bCs/>
                <w:color w:val="000000"/>
                <w:sz w:val="18"/>
                <w:szCs w:val="18"/>
                <w:lang w:eastAsia="sk-SK"/>
              </w:rPr>
              <w:t>Daňové a odvodové príjmy VS</w:t>
            </w:r>
          </w:p>
        </w:tc>
        <w:tc>
          <w:tcPr>
            <w:tcW w:w="1807" w:type="dxa"/>
            <w:gridSpan w:val="3"/>
            <w:tcBorders>
              <w:top w:val="nil"/>
              <w:left w:val="nil"/>
              <w:bottom w:val="nil"/>
              <w:right w:val="nil"/>
            </w:tcBorders>
            <w:shd w:val="clear" w:color="auto" w:fill="auto"/>
            <w:noWrap/>
            <w:vAlign w:val="center"/>
            <w:hideMark/>
          </w:tcPr>
          <w:p w14:paraId="58B94D30"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35 568 979</w:t>
            </w:r>
          </w:p>
        </w:tc>
        <w:tc>
          <w:tcPr>
            <w:tcW w:w="1160" w:type="dxa"/>
            <w:tcBorders>
              <w:top w:val="nil"/>
              <w:left w:val="nil"/>
              <w:bottom w:val="nil"/>
              <w:right w:val="nil"/>
            </w:tcBorders>
            <w:shd w:val="clear" w:color="auto" w:fill="auto"/>
            <w:noWrap/>
            <w:vAlign w:val="center"/>
            <w:hideMark/>
          </w:tcPr>
          <w:p w14:paraId="57D3113D"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38 681 131</w:t>
            </w:r>
          </w:p>
        </w:tc>
        <w:tc>
          <w:tcPr>
            <w:tcW w:w="1162" w:type="dxa"/>
            <w:tcBorders>
              <w:top w:val="nil"/>
              <w:left w:val="nil"/>
              <w:bottom w:val="nil"/>
              <w:right w:val="nil"/>
            </w:tcBorders>
            <w:shd w:val="clear" w:color="auto" w:fill="auto"/>
            <w:noWrap/>
            <w:vAlign w:val="center"/>
            <w:hideMark/>
          </w:tcPr>
          <w:p w14:paraId="57493317"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43 401 160</w:t>
            </w:r>
          </w:p>
        </w:tc>
        <w:tc>
          <w:tcPr>
            <w:tcW w:w="1224" w:type="dxa"/>
            <w:tcBorders>
              <w:top w:val="nil"/>
              <w:left w:val="nil"/>
              <w:bottom w:val="nil"/>
              <w:right w:val="nil"/>
            </w:tcBorders>
            <w:shd w:val="clear" w:color="auto" w:fill="auto"/>
            <w:noWrap/>
            <w:vAlign w:val="center"/>
            <w:hideMark/>
          </w:tcPr>
          <w:p w14:paraId="2E39E2B5" w14:textId="77777777" w:rsidR="00267B66" w:rsidRPr="006E2C8B" w:rsidRDefault="00267B66" w:rsidP="00267B66">
            <w:pPr>
              <w:spacing w:after="0" w:line="240" w:lineRule="auto"/>
              <w:ind w:right="-71"/>
              <w:jc w:val="center"/>
              <w:rPr>
                <w:b/>
                <w:bCs/>
                <w:color w:val="000000"/>
                <w:sz w:val="18"/>
                <w:szCs w:val="18"/>
                <w:lang w:eastAsia="sk-SK"/>
              </w:rPr>
            </w:pPr>
            <w:r w:rsidRPr="006E2C8B">
              <w:rPr>
                <w:b/>
                <w:bCs/>
                <w:color w:val="000000"/>
                <w:sz w:val="18"/>
                <w:szCs w:val="18"/>
              </w:rPr>
              <w:t>12,2</w:t>
            </w:r>
          </w:p>
        </w:tc>
      </w:tr>
      <w:tr w:rsidR="00922E05" w:rsidRPr="006E2C8B" w14:paraId="2614955F" w14:textId="77777777" w:rsidTr="00267B66">
        <w:trPr>
          <w:trHeight w:val="267"/>
        </w:trPr>
        <w:tc>
          <w:tcPr>
            <w:tcW w:w="3994" w:type="dxa"/>
            <w:tcBorders>
              <w:top w:val="nil"/>
              <w:left w:val="nil"/>
              <w:bottom w:val="single" w:sz="4" w:space="0" w:color="auto"/>
              <w:right w:val="nil"/>
            </w:tcBorders>
            <w:shd w:val="clear" w:color="auto" w:fill="auto"/>
            <w:noWrap/>
            <w:vAlign w:val="center"/>
            <w:hideMark/>
          </w:tcPr>
          <w:p w14:paraId="4DF7398F" w14:textId="5B391B07" w:rsidR="00922E05" w:rsidRDefault="00922E05" w:rsidP="00922E05">
            <w:pPr>
              <w:spacing w:after="0" w:line="240" w:lineRule="auto"/>
              <w:ind w:firstLineChars="100" w:firstLine="180"/>
              <w:rPr>
                <w:color w:val="000000"/>
                <w:sz w:val="18"/>
                <w:szCs w:val="18"/>
                <w:lang w:eastAsia="sk-SK"/>
              </w:rPr>
            </w:pPr>
            <w:r w:rsidRPr="006E2C8B">
              <w:rPr>
                <w:color w:val="000000"/>
                <w:sz w:val="18"/>
                <w:szCs w:val="18"/>
                <w:lang w:eastAsia="sk-SK"/>
              </w:rPr>
              <w:t>v % HDP (daňová kvóta 2</w:t>
            </w:r>
            <w:r w:rsidR="0018419A">
              <w:rPr>
                <w:rStyle w:val="Odkaznapoznmkupodiarou"/>
                <w:color w:val="000000"/>
                <w:sz w:val="18"/>
                <w:szCs w:val="18"/>
                <w:lang w:eastAsia="sk-SK"/>
              </w:rPr>
              <w:footnoteReference w:id="13"/>
            </w:r>
            <w:r w:rsidRPr="006E2C8B">
              <w:rPr>
                <w:color w:val="000000"/>
                <w:sz w:val="18"/>
                <w:szCs w:val="18"/>
                <w:lang w:eastAsia="sk-SK"/>
              </w:rPr>
              <w:t>)</w:t>
            </w:r>
            <w:r>
              <w:rPr>
                <w:color w:val="000000"/>
                <w:sz w:val="18"/>
                <w:szCs w:val="18"/>
                <w:lang w:eastAsia="sk-SK"/>
              </w:rPr>
              <w:t xml:space="preserve"> </w:t>
            </w:r>
          </w:p>
          <w:p w14:paraId="0964E881" w14:textId="291962FD" w:rsidR="00922E05" w:rsidRPr="006E2C8B" w:rsidRDefault="00922E05" w:rsidP="00922E05">
            <w:pPr>
              <w:spacing w:after="0" w:line="240" w:lineRule="auto"/>
              <w:ind w:firstLineChars="100" w:firstLine="180"/>
              <w:rPr>
                <w:color w:val="000000"/>
                <w:sz w:val="18"/>
                <w:szCs w:val="18"/>
                <w:lang w:eastAsia="sk-SK"/>
              </w:rPr>
            </w:pPr>
            <w:r>
              <w:rPr>
                <w:color w:val="000000"/>
                <w:sz w:val="18"/>
                <w:szCs w:val="18"/>
                <w:lang w:eastAsia="sk-SK"/>
              </w:rPr>
              <w:t>(podľa jesennej notifikácie)</w:t>
            </w:r>
          </w:p>
        </w:tc>
        <w:tc>
          <w:tcPr>
            <w:tcW w:w="1807" w:type="dxa"/>
            <w:gridSpan w:val="3"/>
            <w:tcBorders>
              <w:top w:val="nil"/>
              <w:left w:val="nil"/>
              <w:bottom w:val="single" w:sz="4" w:space="0" w:color="auto"/>
              <w:right w:val="nil"/>
            </w:tcBorders>
            <w:shd w:val="clear" w:color="auto" w:fill="auto"/>
            <w:noWrap/>
            <w:vAlign w:val="center"/>
            <w:hideMark/>
          </w:tcPr>
          <w:p w14:paraId="7F38458C" w14:textId="74CBD0ED" w:rsidR="00922E05" w:rsidRPr="006E2C8B" w:rsidRDefault="00922E05" w:rsidP="00922E05">
            <w:pPr>
              <w:spacing w:after="0" w:line="240" w:lineRule="auto"/>
              <w:jc w:val="right"/>
              <w:rPr>
                <w:color w:val="000000"/>
                <w:sz w:val="18"/>
                <w:szCs w:val="18"/>
                <w:lang w:eastAsia="sk-SK"/>
              </w:rPr>
            </w:pPr>
            <w:r>
              <w:rPr>
                <w:color w:val="000000"/>
                <w:sz w:val="18"/>
                <w:szCs w:val="18"/>
              </w:rPr>
              <w:t>34,89</w:t>
            </w:r>
          </w:p>
        </w:tc>
        <w:tc>
          <w:tcPr>
            <w:tcW w:w="1160" w:type="dxa"/>
            <w:tcBorders>
              <w:top w:val="nil"/>
              <w:left w:val="nil"/>
              <w:bottom w:val="single" w:sz="4" w:space="0" w:color="auto"/>
              <w:right w:val="nil"/>
            </w:tcBorders>
            <w:shd w:val="clear" w:color="auto" w:fill="auto"/>
            <w:noWrap/>
            <w:vAlign w:val="center"/>
            <w:hideMark/>
          </w:tcPr>
          <w:p w14:paraId="2CD0FDE7" w14:textId="0AE9AB1B" w:rsidR="00922E05" w:rsidRPr="006E2C8B" w:rsidRDefault="00922E05" w:rsidP="00922E05">
            <w:pPr>
              <w:spacing w:after="0" w:line="240" w:lineRule="auto"/>
              <w:jc w:val="right"/>
              <w:rPr>
                <w:color w:val="000000"/>
                <w:sz w:val="18"/>
                <w:szCs w:val="18"/>
                <w:lang w:eastAsia="sk-SK"/>
              </w:rPr>
            </w:pPr>
            <w:r>
              <w:rPr>
                <w:color w:val="000000"/>
                <w:sz w:val="18"/>
                <w:szCs w:val="18"/>
              </w:rPr>
              <w:t>35,14</w:t>
            </w:r>
          </w:p>
        </w:tc>
        <w:tc>
          <w:tcPr>
            <w:tcW w:w="1162" w:type="dxa"/>
            <w:tcBorders>
              <w:top w:val="nil"/>
              <w:left w:val="nil"/>
              <w:bottom w:val="single" w:sz="4" w:space="0" w:color="auto"/>
              <w:right w:val="nil"/>
            </w:tcBorders>
            <w:shd w:val="clear" w:color="auto" w:fill="auto"/>
            <w:noWrap/>
            <w:vAlign w:val="center"/>
            <w:hideMark/>
          </w:tcPr>
          <w:p w14:paraId="68A94C13" w14:textId="1412A127" w:rsidR="00922E05" w:rsidRPr="006E2C8B" w:rsidRDefault="00922E05" w:rsidP="00922E05">
            <w:pPr>
              <w:spacing w:after="0" w:line="240" w:lineRule="auto"/>
              <w:jc w:val="right"/>
              <w:rPr>
                <w:color w:val="000000"/>
                <w:sz w:val="18"/>
                <w:szCs w:val="18"/>
                <w:lang w:eastAsia="sk-SK"/>
              </w:rPr>
            </w:pPr>
            <w:r>
              <w:rPr>
                <w:color w:val="000000"/>
                <w:sz w:val="18"/>
                <w:szCs w:val="18"/>
              </w:rPr>
              <w:t>35,31</w:t>
            </w:r>
          </w:p>
        </w:tc>
        <w:tc>
          <w:tcPr>
            <w:tcW w:w="1224" w:type="dxa"/>
            <w:tcBorders>
              <w:top w:val="nil"/>
              <w:left w:val="nil"/>
              <w:bottom w:val="single" w:sz="4" w:space="0" w:color="auto"/>
              <w:right w:val="nil"/>
            </w:tcBorders>
            <w:shd w:val="clear" w:color="auto" w:fill="auto"/>
            <w:noWrap/>
            <w:vAlign w:val="center"/>
            <w:hideMark/>
          </w:tcPr>
          <w:p w14:paraId="41D867D8" w14:textId="77777777" w:rsidR="00922E05" w:rsidRPr="006E2C8B" w:rsidRDefault="00922E05" w:rsidP="00922E05">
            <w:pPr>
              <w:spacing w:after="0" w:line="240" w:lineRule="auto"/>
              <w:ind w:right="-71"/>
              <w:jc w:val="center"/>
              <w:rPr>
                <w:color w:val="000000"/>
                <w:sz w:val="18"/>
                <w:szCs w:val="18"/>
                <w:lang w:eastAsia="sk-SK"/>
              </w:rPr>
            </w:pPr>
          </w:p>
        </w:tc>
      </w:tr>
      <w:tr w:rsidR="00267B66" w:rsidRPr="006E2C8B" w14:paraId="0ACADE70" w14:textId="77777777" w:rsidTr="00267B66">
        <w:trPr>
          <w:trHeight w:val="267"/>
        </w:trPr>
        <w:tc>
          <w:tcPr>
            <w:tcW w:w="3994" w:type="dxa"/>
            <w:tcBorders>
              <w:top w:val="nil"/>
              <w:left w:val="nil"/>
              <w:bottom w:val="nil"/>
              <w:right w:val="nil"/>
            </w:tcBorders>
            <w:shd w:val="clear" w:color="auto" w:fill="auto"/>
            <w:noWrap/>
            <w:vAlign w:val="center"/>
            <w:hideMark/>
          </w:tcPr>
          <w:p w14:paraId="7EB3376C" w14:textId="77777777" w:rsidR="00267B66" w:rsidRPr="006E2C8B" w:rsidRDefault="00267B66" w:rsidP="00267B66">
            <w:pPr>
              <w:spacing w:after="0" w:line="240" w:lineRule="auto"/>
              <w:rPr>
                <w:b/>
                <w:bCs/>
                <w:color w:val="000000"/>
                <w:sz w:val="18"/>
                <w:szCs w:val="18"/>
                <w:lang w:eastAsia="sk-SK"/>
              </w:rPr>
            </w:pPr>
            <w:r w:rsidRPr="006E2C8B">
              <w:rPr>
                <w:b/>
                <w:bCs/>
                <w:color w:val="000000"/>
                <w:sz w:val="18"/>
                <w:szCs w:val="18"/>
                <w:lang w:eastAsia="sk-SK"/>
              </w:rPr>
              <w:t>Dane z produkcie a dovozu</w:t>
            </w:r>
          </w:p>
        </w:tc>
        <w:tc>
          <w:tcPr>
            <w:tcW w:w="1807" w:type="dxa"/>
            <w:gridSpan w:val="3"/>
            <w:tcBorders>
              <w:top w:val="nil"/>
              <w:left w:val="nil"/>
              <w:bottom w:val="nil"/>
              <w:right w:val="nil"/>
            </w:tcBorders>
            <w:shd w:val="clear" w:color="auto" w:fill="auto"/>
            <w:noWrap/>
            <w:vAlign w:val="center"/>
            <w:hideMark/>
          </w:tcPr>
          <w:p w14:paraId="3C62293D"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12 056 528</w:t>
            </w:r>
          </w:p>
        </w:tc>
        <w:tc>
          <w:tcPr>
            <w:tcW w:w="1160" w:type="dxa"/>
            <w:tcBorders>
              <w:top w:val="nil"/>
              <w:left w:val="nil"/>
              <w:bottom w:val="nil"/>
              <w:right w:val="nil"/>
            </w:tcBorders>
            <w:shd w:val="clear" w:color="auto" w:fill="auto"/>
            <w:noWrap/>
            <w:vAlign w:val="center"/>
            <w:hideMark/>
          </w:tcPr>
          <w:p w14:paraId="1CD4DE82"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13 476 479</w:t>
            </w:r>
          </w:p>
        </w:tc>
        <w:tc>
          <w:tcPr>
            <w:tcW w:w="1162" w:type="dxa"/>
            <w:tcBorders>
              <w:top w:val="nil"/>
              <w:left w:val="nil"/>
              <w:bottom w:val="nil"/>
              <w:right w:val="nil"/>
            </w:tcBorders>
            <w:shd w:val="clear" w:color="auto" w:fill="auto"/>
            <w:noWrap/>
            <w:vAlign w:val="center"/>
            <w:hideMark/>
          </w:tcPr>
          <w:p w14:paraId="2D68D06F"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14 754 530</w:t>
            </w:r>
          </w:p>
        </w:tc>
        <w:tc>
          <w:tcPr>
            <w:tcW w:w="1224" w:type="dxa"/>
            <w:tcBorders>
              <w:top w:val="nil"/>
              <w:left w:val="nil"/>
              <w:bottom w:val="nil"/>
              <w:right w:val="nil"/>
            </w:tcBorders>
            <w:shd w:val="clear" w:color="auto" w:fill="auto"/>
            <w:noWrap/>
            <w:vAlign w:val="center"/>
            <w:hideMark/>
          </w:tcPr>
          <w:p w14:paraId="2910F670" w14:textId="77777777" w:rsidR="00267B66" w:rsidRPr="006E2C8B" w:rsidRDefault="00267B66" w:rsidP="00267B66">
            <w:pPr>
              <w:tabs>
                <w:tab w:val="decimal" w:pos="174"/>
              </w:tabs>
              <w:spacing w:after="0" w:line="240" w:lineRule="auto"/>
              <w:ind w:right="-71"/>
              <w:jc w:val="center"/>
              <w:rPr>
                <w:b/>
                <w:bCs/>
                <w:color w:val="000000"/>
                <w:sz w:val="18"/>
                <w:szCs w:val="18"/>
                <w:lang w:eastAsia="sk-SK"/>
              </w:rPr>
            </w:pPr>
            <w:r w:rsidRPr="006E2C8B">
              <w:rPr>
                <w:b/>
                <w:bCs/>
                <w:color w:val="000000"/>
                <w:sz w:val="18"/>
                <w:szCs w:val="18"/>
              </w:rPr>
              <w:t>9,5</w:t>
            </w:r>
          </w:p>
        </w:tc>
      </w:tr>
      <w:tr w:rsidR="00267B66" w:rsidRPr="006E2C8B" w14:paraId="42553F27" w14:textId="77777777" w:rsidTr="00267B66">
        <w:trPr>
          <w:trHeight w:val="267"/>
        </w:trPr>
        <w:tc>
          <w:tcPr>
            <w:tcW w:w="3994" w:type="dxa"/>
            <w:tcBorders>
              <w:top w:val="nil"/>
              <w:left w:val="nil"/>
              <w:bottom w:val="nil"/>
              <w:right w:val="nil"/>
            </w:tcBorders>
            <w:shd w:val="clear" w:color="auto" w:fill="auto"/>
            <w:vAlign w:val="center"/>
            <w:hideMark/>
          </w:tcPr>
          <w:p w14:paraId="23C4278F" w14:textId="77777777" w:rsidR="00267B66" w:rsidRPr="006E2C8B" w:rsidRDefault="00267B66" w:rsidP="00267B66">
            <w:pPr>
              <w:spacing w:after="0" w:line="240" w:lineRule="auto"/>
              <w:ind w:firstLineChars="100" w:firstLine="180"/>
              <w:rPr>
                <w:color w:val="000000"/>
                <w:sz w:val="18"/>
                <w:szCs w:val="18"/>
                <w:lang w:eastAsia="sk-SK"/>
              </w:rPr>
            </w:pPr>
            <w:r w:rsidRPr="006E2C8B">
              <w:rPr>
                <w:color w:val="000000"/>
                <w:sz w:val="18"/>
                <w:szCs w:val="18"/>
                <w:lang w:eastAsia="sk-SK"/>
              </w:rPr>
              <w:t xml:space="preserve"> - Daň z pridanej hodnoty</w:t>
            </w:r>
          </w:p>
        </w:tc>
        <w:tc>
          <w:tcPr>
            <w:tcW w:w="1807" w:type="dxa"/>
            <w:gridSpan w:val="3"/>
            <w:tcBorders>
              <w:top w:val="nil"/>
              <w:left w:val="nil"/>
              <w:bottom w:val="nil"/>
              <w:right w:val="nil"/>
            </w:tcBorders>
            <w:shd w:val="clear" w:color="auto" w:fill="auto"/>
            <w:noWrap/>
            <w:vAlign w:val="center"/>
            <w:hideMark/>
          </w:tcPr>
          <w:p w14:paraId="372E6D9E"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7 494 069</w:t>
            </w:r>
          </w:p>
        </w:tc>
        <w:tc>
          <w:tcPr>
            <w:tcW w:w="1160" w:type="dxa"/>
            <w:tcBorders>
              <w:top w:val="nil"/>
              <w:left w:val="nil"/>
              <w:bottom w:val="nil"/>
              <w:right w:val="nil"/>
            </w:tcBorders>
            <w:shd w:val="clear" w:color="auto" w:fill="auto"/>
            <w:noWrap/>
            <w:vAlign w:val="center"/>
            <w:hideMark/>
          </w:tcPr>
          <w:p w14:paraId="0B3029FB"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8 440 844</w:t>
            </w:r>
          </w:p>
        </w:tc>
        <w:tc>
          <w:tcPr>
            <w:tcW w:w="1162" w:type="dxa"/>
            <w:tcBorders>
              <w:top w:val="nil"/>
              <w:left w:val="nil"/>
              <w:bottom w:val="nil"/>
              <w:right w:val="nil"/>
            </w:tcBorders>
            <w:shd w:val="clear" w:color="auto" w:fill="auto"/>
            <w:noWrap/>
            <w:vAlign w:val="center"/>
            <w:hideMark/>
          </w:tcPr>
          <w:p w14:paraId="51C74505"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9 847 830</w:t>
            </w:r>
          </w:p>
        </w:tc>
        <w:tc>
          <w:tcPr>
            <w:tcW w:w="1224" w:type="dxa"/>
            <w:tcBorders>
              <w:top w:val="nil"/>
              <w:left w:val="nil"/>
              <w:bottom w:val="nil"/>
              <w:right w:val="nil"/>
            </w:tcBorders>
            <w:shd w:val="clear" w:color="auto" w:fill="auto"/>
            <w:noWrap/>
            <w:vAlign w:val="center"/>
            <w:hideMark/>
          </w:tcPr>
          <w:p w14:paraId="64AFAB8D" w14:textId="77777777" w:rsidR="00267B66" w:rsidRPr="006E2C8B" w:rsidRDefault="00267B66" w:rsidP="00267B66">
            <w:pPr>
              <w:tabs>
                <w:tab w:val="decimal" w:pos="174"/>
              </w:tabs>
              <w:spacing w:after="0" w:line="240" w:lineRule="auto"/>
              <w:ind w:right="-71"/>
              <w:jc w:val="center"/>
              <w:rPr>
                <w:color w:val="000000"/>
                <w:sz w:val="18"/>
                <w:szCs w:val="18"/>
                <w:lang w:eastAsia="sk-SK"/>
              </w:rPr>
            </w:pPr>
            <w:r w:rsidRPr="006E2C8B">
              <w:rPr>
                <w:color w:val="000000"/>
                <w:sz w:val="18"/>
                <w:szCs w:val="18"/>
              </w:rPr>
              <w:t>16,7</w:t>
            </w:r>
          </w:p>
        </w:tc>
      </w:tr>
      <w:tr w:rsidR="00267B66" w:rsidRPr="006E2C8B" w14:paraId="12BF2044" w14:textId="77777777" w:rsidTr="00267B66">
        <w:trPr>
          <w:trHeight w:val="267"/>
        </w:trPr>
        <w:tc>
          <w:tcPr>
            <w:tcW w:w="3994" w:type="dxa"/>
            <w:tcBorders>
              <w:top w:val="nil"/>
              <w:left w:val="nil"/>
              <w:bottom w:val="nil"/>
              <w:right w:val="nil"/>
            </w:tcBorders>
            <w:shd w:val="clear" w:color="auto" w:fill="auto"/>
            <w:vAlign w:val="center"/>
            <w:hideMark/>
          </w:tcPr>
          <w:p w14:paraId="5B648977" w14:textId="77777777" w:rsidR="00267B66" w:rsidRPr="006E2C8B" w:rsidRDefault="00267B66" w:rsidP="00267B66">
            <w:pPr>
              <w:spacing w:after="0" w:line="240" w:lineRule="auto"/>
              <w:ind w:firstLineChars="100" w:firstLine="180"/>
              <w:rPr>
                <w:color w:val="000000"/>
                <w:sz w:val="18"/>
                <w:szCs w:val="18"/>
                <w:lang w:eastAsia="sk-SK"/>
              </w:rPr>
            </w:pPr>
            <w:r w:rsidRPr="006E2C8B">
              <w:rPr>
                <w:color w:val="000000"/>
                <w:sz w:val="18"/>
                <w:szCs w:val="18"/>
                <w:lang w:eastAsia="sk-SK"/>
              </w:rPr>
              <w:t xml:space="preserve"> - Spotrebné dane</w:t>
            </w:r>
          </w:p>
        </w:tc>
        <w:tc>
          <w:tcPr>
            <w:tcW w:w="1807" w:type="dxa"/>
            <w:gridSpan w:val="3"/>
            <w:tcBorders>
              <w:top w:val="nil"/>
              <w:left w:val="nil"/>
              <w:bottom w:val="nil"/>
              <w:right w:val="nil"/>
            </w:tcBorders>
            <w:shd w:val="clear" w:color="auto" w:fill="auto"/>
            <w:noWrap/>
            <w:vAlign w:val="center"/>
            <w:hideMark/>
          </w:tcPr>
          <w:p w14:paraId="3AFA9351"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2 958 344</w:t>
            </w:r>
          </w:p>
        </w:tc>
        <w:tc>
          <w:tcPr>
            <w:tcW w:w="1160" w:type="dxa"/>
            <w:tcBorders>
              <w:top w:val="nil"/>
              <w:left w:val="nil"/>
              <w:bottom w:val="nil"/>
              <w:right w:val="nil"/>
            </w:tcBorders>
            <w:shd w:val="clear" w:color="auto" w:fill="auto"/>
            <w:noWrap/>
            <w:vAlign w:val="center"/>
            <w:hideMark/>
          </w:tcPr>
          <w:p w14:paraId="39F25248"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2 797 344</w:t>
            </w:r>
          </w:p>
        </w:tc>
        <w:tc>
          <w:tcPr>
            <w:tcW w:w="1162" w:type="dxa"/>
            <w:tcBorders>
              <w:top w:val="nil"/>
              <w:left w:val="nil"/>
              <w:bottom w:val="nil"/>
              <w:right w:val="nil"/>
            </w:tcBorders>
            <w:shd w:val="clear" w:color="auto" w:fill="auto"/>
            <w:noWrap/>
            <w:vAlign w:val="center"/>
            <w:hideMark/>
          </w:tcPr>
          <w:p w14:paraId="204B756A"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3 020 848</w:t>
            </w:r>
          </w:p>
        </w:tc>
        <w:tc>
          <w:tcPr>
            <w:tcW w:w="1224" w:type="dxa"/>
            <w:tcBorders>
              <w:top w:val="nil"/>
              <w:left w:val="nil"/>
              <w:bottom w:val="nil"/>
              <w:right w:val="nil"/>
            </w:tcBorders>
            <w:shd w:val="clear" w:color="auto" w:fill="auto"/>
            <w:noWrap/>
            <w:vAlign w:val="center"/>
            <w:hideMark/>
          </w:tcPr>
          <w:p w14:paraId="09E43482" w14:textId="77777777" w:rsidR="00267B66" w:rsidRPr="006E2C8B" w:rsidRDefault="00267B66" w:rsidP="00267B66">
            <w:pPr>
              <w:tabs>
                <w:tab w:val="decimal" w:pos="174"/>
              </w:tabs>
              <w:spacing w:after="0" w:line="240" w:lineRule="auto"/>
              <w:ind w:right="-71"/>
              <w:jc w:val="center"/>
              <w:rPr>
                <w:color w:val="000000"/>
                <w:sz w:val="18"/>
                <w:szCs w:val="18"/>
                <w:lang w:eastAsia="sk-SK"/>
              </w:rPr>
            </w:pPr>
            <w:r w:rsidRPr="006E2C8B">
              <w:rPr>
                <w:color w:val="000000"/>
                <w:sz w:val="18"/>
                <w:szCs w:val="18"/>
              </w:rPr>
              <w:t>8,0</w:t>
            </w:r>
          </w:p>
        </w:tc>
      </w:tr>
      <w:tr w:rsidR="00267B66" w:rsidRPr="006E2C8B" w14:paraId="6CDDF7C7" w14:textId="77777777" w:rsidTr="00267B66">
        <w:trPr>
          <w:trHeight w:val="267"/>
        </w:trPr>
        <w:tc>
          <w:tcPr>
            <w:tcW w:w="3994" w:type="dxa"/>
            <w:tcBorders>
              <w:top w:val="nil"/>
              <w:left w:val="nil"/>
              <w:bottom w:val="nil"/>
              <w:right w:val="nil"/>
            </w:tcBorders>
            <w:shd w:val="clear" w:color="auto" w:fill="auto"/>
            <w:vAlign w:val="center"/>
            <w:hideMark/>
          </w:tcPr>
          <w:p w14:paraId="49459DA7" w14:textId="77777777" w:rsidR="00267B66" w:rsidRPr="006E2C8B" w:rsidRDefault="00267B66" w:rsidP="00267B66">
            <w:pPr>
              <w:spacing w:after="0" w:line="240" w:lineRule="auto"/>
              <w:ind w:firstLineChars="100" w:firstLine="180"/>
              <w:rPr>
                <w:color w:val="000000"/>
                <w:sz w:val="18"/>
                <w:szCs w:val="18"/>
                <w:lang w:eastAsia="sk-SK"/>
              </w:rPr>
            </w:pPr>
            <w:r w:rsidRPr="006E2C8B">
              <w:rPr>
                <w:color w:val="000000"/>
                <w:sz w:val="18"/>
                <w:szCs w:val="18"/>
                <w:lang w:eastAsia="sk-SK"/>
              </w:rPr>
              <w:t xml:space="preserve"> - Daň z nehnuteľnosti a iné</w:t>
            </w:r>
          </w:p>
        </w:tc>
        <w:tc>
          <w:tcPr>
            <w:tcW w:w="1807" w:type="dxa"/>
            <w:gridSpan w:val="3"/>
            <w:tcBorders>
              <w:top w:val="nil"/>
              <w:left w:val="nil"/>
              <w:bottom w:val="nil"/>
              <w:right w:val="nil"/>
            </w:tcBorders>
            <w:shd w:val="clear" w:color="auto" w:fill="auto"/>
            <w:noWrap/>
            <w:vAlign w:val="center"/>
            <w:hideMark/>
          </w:tcPr>
          <w:p w14:paraId="0EBDFE6A"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428 351</w:t>
            </w:r>
          </w:p>
        </w:tc>
        <w:tc>
          <w:tcPr>
            <w:tcW w:w="1160" w:type="dxa"/>
            <w:tcBorders>
              <w:top w:val="nil"/>
              <w:left w:val="nil"/>
              <w:bottom w:val="nil"/>
              <w:right w:val="nil"/>
            </w:tcBorders>
            <w:shd w:val="clear" w:color="auto" w:fill="auto"/>
            <w:noWrap/>
            <w:vAlign w:val="center"/>
            <w:hideMark/>
          </w:tcPr>
          <w:p w14:paraId="29D5EDD1"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431 799</w:t>
            </w:r>
          </w:p>
        </w:tc>
        <w:tc>
          <w:tcPr>
            <w:tcW w:w="1162" w:type="dxa"/>
            <w:tcBorders>
              <w:top w:val="nil"/>
              <w:left w:val="nil"/>
              <w:bottom w:val="nil"/>
              <w:right w:val="nil"/>
            </w:tcBorders>
            <w:shd w:val="clear" w:color="auto" w:fill="auto"/>
            <w:noWrap/>
            <w:vAlign w:val="center"/>
            <w:hideMark/>
          </w:tcPr>
          <w:p w14:paraId="0F114571"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469 705</w:t>
            </w:r>
          </w:p>
        </w:tc>
        <w:tc>
          <w:tcPr>
            <w:tcW w:w="1224" w:type="dxa"/>
            <w:tcBorders>
              <w:top w:val="nil"/>
              <w:left w:val="nil"/>
              <w:bottom w:val="nil"/>
              <w:right w:val="nil"/>
            </w:tcBorders>
            <w:shd w:val="clear" w:color="auto" w:fill="auto"/>
            <w:noWrap/>
            <w:vAlign w:val="center"/>
            <w:hideMark/>
          </w:tcPr>
          <w:p w14:paraId="24A1C3B7" w14:textId="77777777" w:rsidR="00267B66" w:rsidRPr="006E2C8B" w:rsidRDefault="00267B66" w:rsidP="00267B66">
            <w:pPr>
              <w:tabs>
                <w:tab w:val="decimal" w:pos="174"/>
              </w:tabs>
              <w:spacing w:after="0" w:line="240" w:lineRule="auto"/>
              <w:ind w:right="-71"/>
              <w:jc w:val="center"/>
              <w:rPr>
                <w:color w:val="000000"/>
                <w:sz w:val="18"/>
                <w:szCs w:val="18"/>
                <w:lang w:eastAsia="sk-SK"/>
              </w:rPr>
            </w:pPr>
            <w:r w:rsidRPr="006E2C8B">
              <w:rPr>
                <w:color w:val="000000"/>
                <w:sz w:val="18"/>
                <w:szCs w:val="18"/>
              </w:rPr>
              <w:t>8,8</w:t>
            </w:r>
          </w:p>
        </w:tc>
      </w:tr>
      <w:tr w:rsidR="00267B66" w:rsidRPr="006E2C8B" w14:paraId="7FF54F3C" w14:textId="77777777" w:rsidTr="00267B66">
        <w:trPr>
          <w:trHeight w:val="267"/>
        </w:trPr>
        <w:tc>
          <w:tcPr>
            <w:tcW w:w="3994" w:type="dxa"/>
            <w:tcBorders>
              <w:top w:val="nil"/>
              <w:left w:val="nil"/>
              <w:bottom w:val="nil"/>
              <w:right w:val="nil"/>
            </w:tcBorders>
            <w:shd w:val="clear" w:color="auto" w:fill="auto"/>
            <w:vAlign w:val="center"/>
            <w:hideMark/>
          </w:tcPr>
          <w:p w14:paraId="1A778541" w14:textId="77777777" w:rsidR="00267B66" w:rsidRPr="006E2C8B" w:rsidRDefault="00267B66" w:rsidP="00267B66">
            <w:pPr>
              <w:spacing w:after="0" w:line="240" w:lineRule="auto"/>
              <w:rPr>
                <w:b/>
                <w:bCs/>
                <w:color w:val="000000"/>
                <w:sz w:val="18"/>
                <w:szCs w:val="18"/>
                <w:lang w:eastAsia="sk-SK"/>
              </w:rPr>
            </w:pPr>
            <w:r w:rsidRPr="006E2C8B">
              <w:rPr>
                <w:b/>
                <w:bCs/>
                <w:color w:val="000000"/>
                <w:sz w:val="18"/>
                <w:szCs w:val="18"/>
                <w:lang w:eastAsia="sk-SK"/>
              </w:rPr>
              <w:t>Bežné dane z dôchodkov, majetku</w:t>
            </w:r>
          </w:p>
        </w:tc>
        <w:tc>
          <w:tcPr>
            <w:tcW w:w="1807" w:type="dxa"/>
            <w:gridSpan w:val="3"/>
            <w:tcBorders>
              <w:top w:val="nil"/>
              <w:left w:val="nil"/>
              <w:bottom w:val="nil"/>
              <w:right w:val="nil"/>
            </w:tcBorders>
            <w:shd w:val="clear" w:color="auto" w:fill="auto"/>
            <w:noWrap/>
            <w:vAlign w:val="center"/>
            <w:hideMark/>
          </w:tcPr>
          <w:p w14:paraId="763FE11B"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7 827 610</w:t>
            </w:r>
          </w:p>
        </w:tc>
        <w:tc>
          <w:tcPr>
            <w:tcW w:w="1160" w:type="dxa"/>
            <w:tcBorders>
              <w:top w:val="nil"/>
              <w:left w:val="nil"/>
              <w:bottom w:val="nil"/>
              <w:right w:val="nil"/>
            </w:tcBorders>
            <w:shd w:val="clear" w:color="auto" w:fill="auto"/>
            <w:noWrap/>
            <w:vAlign w:val="center"/>
            <w:hideMark/>
          </w:tcPr>
          <w:p w14:paraId="0BABC87D"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8 606 469</w:t>
            </w:r>
          </w:p>
        </w:tc>
        <w:tc>
          <w:tcPr>
            <w:tcW w:w="1162" w:type="dxa"/>
            <w:tcBorders>
              <w:top w:val="nil"/>
              <w:left w:val="nil"/>
              <w:bottom w:val="nil"/>
              <w:right w:val="nil"/>
            </w:tcBorders>
            <w:shd w:val="clear" w:color="auto" w:fill="auto"/>
            <w:noWrap/>
            <w:vAlign w:val="center"/>
            <w:hideMark/>
          </w:tcPr>
          <w:p w14:paraId="58372AAA"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9 700 929</w:t>
            </w:r>
          </w:p>
        </w:tc>
        <w:tc>
          <w:tcPr>
            <w:tcW w:w="1224" w:type="dxa"/>
            <w:tcBorders>
              <w:top w:val="nil"/>
              <w:left w:val="nil"/>
              <w:bottom w:val="nil"/>
              <w:right w:val="nil"/>
            </w:tcBorders>
            <w:shd w:val="clear" w:color="auto" w:fill="auto"/>
            <w:noWrap/>
            <w:vAlign w:val="center"/>
            <w:hideMark/>
          </w:tcPr>
          <w:p w14:paraId="576CB1FE" w14:textId="77777777" w:rsidR="00267B66" w:rsidRPr="006E2C8B" w:rsidRDefault="00267B66" w:rsidP="00267B66">
            <w:pPr>
              <w:tabs>
                <w:tab w:val="decimal" w:pos="174"/>
              </w:tabs>
              <w:spacing w:after="0" w:line="240" w:lineRule="auto"/>
              <w:ind w:left="-175" w:right="-71"/>
              <w:jc w:val="center"/>
              <w:rPr>
                <w:b/>
                <w:bCs/>
                <w:color w:val="000000"/>
                <w:sz w:val="18"/>
                <w:szCs w:val="18"/>
                <w:lang w:eastAsia="sk-SK"/>
              </w:rPr>
            </w:pPr>
            <w:r w:rsidRPr="006E2C8B">
              <w:rPr>
                <w:b/>
                <w:bCs/>
                <w:color w:val="000000"/>
                <w:sz w:val="18"/>
                <w:szCs w:val="18"/>
              </w:rPr>
              <w:t>12,7</w:t>
            </w:r>
          </w:p>
        </w:tc>
      </w:tr>
      <w:tr w:rsidR="00267B66" w:rsidRPr="006E2C8B" w14:paraId="5DCCF515" w14:textId="77777777" w:rsidTr="00267B66">
        <w:trPr>
          <w:trHeight w:val="267"/>
        </w:trPr>
        <w:tc>
          <w:tcPr>
            <w:tcW w:w="3994" w:type="dxa"/>
            <w:tcBorders>
              <w:top w:val="nil"/>
              <w:left w:val="nil"/>
              <w:bottom w:val="nil"/>
              <w:right w:val="nil"/>
            </w:tcBorders>
            <w:shd w:val="clear" w:color="auto" w:fill="auto"/>
            <w:vAlign w:val="center"/>
            <w:hideMark/>
          </w:tcPr>
          <w:p w14:paraId="00EDBB91" w14:textId="77777777" w:rsidR="00267B66" w:rsidRPr="006E2C8B" w:rsidRDefault="00267B66" w:rsidP="00267B66">
            <w:pPr>
              <w:spacing w:after="0" w:line="240" w:lineRule="auto"/>
              <w:ind w:right="-921" w:firstLineChars="100" w:firstLine="180"/>
              <w:rPr>
                <w:color w:val="000000"/>
                <w:sz w:val="18"/>
                <w:szCs w:val="18"/>
                <w:lang w:eastAsia="sk-SK"/>
              </w:rPr>
            </w:pPr>
            <w:r w:rsidRPr="006E2C8B">
              <w:rPr>
                <w:color w:val="000000"/>
                <w:sz w:val="18"/>
                <w:szCs w:val="18"/>
                <w:lang w:eastAsia="sk-SK"/>
              </w:rPr>
              <w:t xml:space="preserve"> - Daň z príjmov fyzických osôb</w:t>
            </w:r>
          </w:p>
        </w:tc>
        <w:tc>
          <w:tcPr>
            <w:tcW w:w="1807" w:type="dxa"/>
            <w:gridSpan w:val="3"/>
            <w:tcBorders>
              <w:top w:val="nil"/>
              <w:left w:val="nil"/>
              <w:bottom w:val="nil"/>
              <w:right w:val="nil"/>
            </w:tcBorders>
            <w:shd w:val="clear" w:color="auto" w:fill="auto"/>
            <w:noWrap/>
            <w:vAlign w:val="center"/>
            <w:hideMark/>
          </w:tcPr>
          <w:p w14:paraId="3B416C70"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3 759 707</w:t>
            </w:r>
          </w:p>
        </w:tc>
        <w:tc>
          <w:tcPr>
            <w:tcW w:w="1160" w:type="dxa"/>
            <w:tcBorders>
              <w:top w:val="nil"/>
              <w:left w:val="nil"/>
              <w:bottom w:val="nil"/>
              <w:right w:val="nil"/>
            </w:tcBorders>
            <w:shd w:val="clear" w:color="auto" w:fill="auto"/>
            <w:noWrap/>
            <w:vAlign w:val="center"/>
            <w:hideMark/>
          </w:tcPr>
          <w:p w14:paraId="57E9D875" w14:textId="77777777" w:rsidR="00267B66" w:rsidRPr="006E2C8B" w:rsidRDefault="00267B66" w:rsidP="00267B66">
            <w:pPr>
              <w:spacing w:after="0" w:line="240" w:lineRule="auto"/>
              <w:ind w:left="-183"/>
              <w:jc w:val="right"/>
              <w:rPr>
                <w:color w:val="000000"/>
                <w:sz w:val="18"/>
                <w:szCs w:val="18"/>
                <w:lang w:eastAsia="sk-SK"/>
              </w:rPr>
            </w:pPr>
            <w:r w:rsidRPr="006E2C8B">
              <w:rPr>
                <w:sz w:val="18"/>
                <w:szCs w:val="18"/>
              </w:rPr>
              <w:t>4 125 886</w:t>
            </w:r>
          </w:p>
        </w:tc>
        <w:tc>
          <w:tcPr>
            <w:tcW w:w="1162" w:type="dxa"/>
            <w:tcBorders>
              <w:top w:val="nil"/>
              <w:left w:val="nil"/>
              <w:bottom w:val="nil"/>
              <w:right w:val="nil"/>
            </w:tcBorders>
            <w:shd w:val="clear" w:color="auto" w:fill="auto"/>
            <w:noWrap/>
            <w:vAlign w:val="center"/>
            <w:hideMark/>
          </w:tcPr>
          <w:p w14:paraId="4121E8A8"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4 662 350</w:t>
            </w:r>
          </w:p>
        </w:tc>
        <w:tc>
          <w:tcPr>
            <w:tcW w:w="1224" w:type="dxa"/>
            <w:tcBorders>
              <w:top w:val="nil"/>
              <w:left w:val="nil"/>
              <w:bottom w:val="nil"/>
              <w:right w:val="nil"/>
            </w:tcBorders>
            <w:shd w:val="clear" w:color="auto" w:fill="auto"/>
            <w:noWrap/>
            <w:vAlign w:val="center"/>
            <w:hideMark/>
          </w:tcPr>
          <w:p w14:paraId="4CE73AF0" w14:textId="77777777" w:rsidR="00267B66" w:rsidRPr="006E2C8B" w:rsidRDefault="00267B66" w:rsidP="00267B66">
            <w:pPr>
              <w:tabs>
                <w:tab w:val="decimal" w:pos="174"/>
              </w:tabs>
              <w:spacing w:after="0" w:line="240" w:lineRule="auto"/>
              <w:ind w:right="-71"/>
              <w:jc w:val="center"/>
              <w:rPr>
                <w:color w:val="000000"/>
                <w:sz w:val="18"/>
                <w:szCs w:val="18"/>
              </w:rPr>
            </w:pPr>
            <w:r w:rsidRPr="006E2C8B">
              <w:rPr>
                <w:color w:val="000000"/>
                <w:sz w:val="18"/>
                <w:szCs w:val="18"/>
              </w:rPr>
              <w:t>13,0</w:t>
            </w:r>
          </w:p>
        </w:tc>
      </w:tr>
      <w:tr w:rsidR="00267B66" w:rsidRPr="006E2C8B" w14:paraId="3276C93B" w14:textId="77777777" w:rsidTr="00267B66">
        <w:trPr>
          <w:trHeight w:val="267"/>
        </w:trPr>
        <w:tc>
          <w:tcPr>
            <w:tcW w:w="3994" w:type="dxa"/>
            <w:tcBorders>
              <w:top w:val="nil"/>
              <w:left w:val="nil"/>
              <w:bottom w:val="nil"/>
              <w:right w:val="nil"/>
            </w:tcBorders>
            <w:shd w:val="clear" w:color="auto" w:fill="auto"/>
            <w:noWrap/>
            <w:vAlign w:val="center"/>
            <w:hideMark/>
          </w:tcPr>
          <w:p w14:paraId="1AE3160D" w14:textId="77777777" w:rsidR="00267B66" w:rsidRPr="006E2C8B" w:rsidRDefault="00267B66" w:rsidP="00267B66">
            <w:pPr>
              <w:spacing w:after="0" w:line="240" w:lineRule="auto"/>
              <w:rPr>
                <w:color w:val="000000"/>
                <w:sz w:val="18"/>
                <w:szCs w:val="18"/>
                <w:lang w:eastAsia="sk-SK"/>
              </w:rPr>
            </w:pPr>
            <w:r w:rsidRPr="006E2C8B">
              <w:rPr>
                <w:color w:val="000000"/>
                <w:sz w:val="18"/>
                <w:szCs w:val="18"/>
                <w:lang w:eastAsia="sk-SK"/>
              </w:rPr>
              <w:t xml:space="preserve">         - zo závislej činnosti</w:t>
            </w:r>
          </w:p>
        </w:tc>
        <w:tc>
          <w:tcPr>
            <w:tcW w:w="1807" w:type="dxa"/>
            <w:gridSpan w:val="3"/>
            <w:tcBorders>
              <w:top w:val="nil"/>
              <w:left w:val="nil"/>
              <w:bottom w:val="nil"/>
              <w:right w:val="nil"/>
            </w:tcBorders>
            <w:shd w:val="clear" w:color="auto" w:fill="auto"/>
            <w:noWrap/>
            <w:vAlign w:val="center"/>
            <w:hideMark/>
          </w:tcPr>
          <w:p w14:paraId="14D1A806"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3 630 348</w:t>
            </w:r>
          </w:p>
        </w:tc>
        <w:tc>
          <w:tcPr>
            <w:tcW w:w="1160" w:type="dxa"/>
            <w:tcBorders>
              <w:top w:val="nil"/>
              <w:left w:val="nil"/>
              <w:bottom w:val="nil"/>
              <w:right w:val="nil"/>
            </w:tcBorders>
            <w:shd w:val="clear" w:color="auto" w:fill="auto"/>
            <w:noWrap/>
            <w:vAlign w:val="center"/>
            <w:hideMark/>
          </w:tcPr>
          <w:p w14:paraId="4A27A39A"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3 967 713</w:t>
            </w:r>
          </w:p>
        </w:tc>
        <w:tc>
          <w:tcPr>
            <w:tcW w:w="1162" w:type="dxa"/>
            <w:tcBorders>
              <w:top w:val="nil"/>
              <w:left w:val="nil"/>
              <w:bottom w:val="nil"/>
              <w:right w:val="nil"/>
            </w:tcBorders>
            <w:shd w:val="clear" w:color="auto" w:fill="auto"/>
            <w:noWrap/>
            <w:vAlign w:val="center"/>
            <w:hideMark/>
          </w:tcPr>
          <w:p w14:paraId="6DBC3857"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4 534 852</w:t>
            </w:r>
          </w:p>
        </w:tc>
        <w:tc>
          <w:tcPr>
            <w:tcW w:w="1224" w:type="dxa"/>
            <w:tcBorders>
              <w:top w:val="nil"/>
              <w:left w:val="nil"/>
              <w:bottom w:val="nil"/>
              <w:right w:val="nil"/>
            </w:tcBorders>
            <w:shd w:val="clear" w:color="auto" w:fill="auto"/>
            <w:noWrap/>
            <w:vAlign w:val="center"/>
            <w:hideMark/>
          </w:tcPr>
          <w:p w14:paraId="68CA42EF" w14:textId="77777777" w:rsidR="00267B66" w:rsidRPr="006E2C8B" w:rsidRDefault="00267B66" w:rsidP="00267B66">
            <w:pPr>
              <w:tabs>
                <w:tab w:val="decimal" w:pos="174"/>
              </w:tabs>
              <w:spacing w:after="0" w:line="240" w:lineRule="auto"/>
              <w:ind w:right="-71"/>
              <w:jc w:val="center"/>
              <w:rPr>
                <w:color w:val="000000"/>
                <w:sz w:val="18"/>
                <w:szCs w:val="18"/>
              </w:rPr>
            </w:pPr>
            <w:r w:rsidRPr="006E2C8B">
              <w:rPr>
                <w:color w:val="000000"/>
                <w:sz w:val="18"/>
                <w:szCs w:val="18"/>
              </w:rPr>
              <w:t>14,3</w:t>
            </w:r>
          </w:p>
        </w:tc>
      </w:tr>
      <w:tr w:rsidR="00267B66" w:rsidRPr="006E2C8B" w14:paraId="2DA431B8" w14:textId="77777777" w:rsidTr="00267B66">
        <w:trPr>
          <w:trHeight w:val="267"/>
        </w:trPr>
        <w:tc>
          <w:tcPr>
            <w:tcW w:w="4078" w:type="dxa"/>
            <w:gridSpan w:val="2"/>
            <w:tcBorders>
              <w:top w:val="nil"/>
              <w:left w:val="nil"/>
              <w:bottom w:val="nil"/>
              <w:right w:val="nil"/>
            </w:tcBorders>
            <w:shd w:val="clear" w:color="auto" w:fill="auto"/>
            <w:noWrap/>
            <w:vAlign w:val="center"/>
            <w:hideMark/>
          </w:tcPr>
          <w:p w14:paraId="1212A052" w14:textId="77777777" w:rsidR="00267B66" w:rsidRPr="006E2C8B" w:rsidRDefault="00267B66" w:rsidP="00267B66">
            <w:pPr>
              <w:spacing w:after="0" w:line="240" w:lineRule="auto"/>
              <w:ind w:left="639" w:hanging="639"/>
              <w:rPr>
                <w:color w:val="000000"/>
                <w:sz w:val="18"/>
                <w:szCs w:val="18"/>
              </w:rPr>
            </w:pPr>
            <w:r w:rsidRPr="006E2C8B">
              <w:rPr>
                <w:color w:val="000000"/>
                <w:sz w:val="18"/>
                <w:szCs w:val="18"/>
                <w:lang w:eastAsia="sk-SK"/>
              </w:rPr>
              <w:lastRenderedPageBreak/>
              <w:t xml:space="preserve">         - z podnikania a inej samostatnej                                    zárobkovej činnosti</w:t>
            </w:r>
          </w:p>
        </w:tc>
        <w:tc>
          <w:tcPr>
            <w:tcW w:w="163" w:type="dxa"/>
            <w:tcBorders>
              <w:top w:val="nil"/>
              <w:left w:val="nil"/>
              <w:bottom w:val="nil"/>
              <w:right w:val="nil"/>
            </w:tcBorders>
            <w:shd w:val="clear" w:color="auto" w:fill="auto"/>
            <w:vAlign w:val="center"/>
          </w:tcPr>
          <w:p w14:paraId="6F9D32FE" w14:textId="77777777" w:rsidR="00267B66" w:rsidRPr="006E2C8B" w:rsidRDefault="00267B66" w:rsidP="00267B66">
            <w:pPr>
              <w:ind w:right="-498"/>
              <w:rPr>
                <w:color w:val="000000"/>
                <w:sz w:val="18"/>
                <w:szCs w:val="18"/>
              </w:rPr>
            </w:pPr>
          </w:p>
        </w:tc>
        <w:tc>
          <w:tcPr>
            <w:tcW w:w="1560" w:type="dxa"/>
            <w:tcBorders>
              <w:top w:val="nil"/>
              <w:left w:val="nil"/>
              <w:bottom w:val="nil"/>
              <w:right w:val="nil"/>
            </w:tcBorders>
            <w:shd w:val="clear" w:color="auto" w:fill="auto"/>
            <w:noWrap/>
            <w:vAlign w:val="center"/>
            <w:hideMark/>
          </w:tcPr>
          <w:p w14:paraId="7CBA25DE" w14:textId="77777777" w:rsidR="00267B66" w:rsidRPr="006E2C8B" w:rsidRDefault="00267B66" w:rsidP="00267B66">
            <w:pPr>
              <w:spacing w:after="0" w:line="240" w:lineRule="auto"/>
              <w:ind w:left="783" w:hanging="783"/>
              <w:jc w:val="right"/>
              <w:rPr>
                <w:color w:val="000000"/>
                <w:sz w:val="18"/>
                <w:szCs w:val="18"/>
                <w:lang w:eastAsia="sk-SK"/>
              </w:rPr>
            </w:pPr>
            <w:r w:rsidRPr="006E2C8B">
              <w:rPr>
                <w:sz w:val="18"/>
                <w:szCs w:val="18"/>
              </w:rPr>
              <w:t>129 358</w:t>
            </w:r>
          </w:p>
        </w:tc>
        <w:tc>
          <w:tcPr>
            <w:tcW w:w="1160" w:type="dxa"/>
            <w:tcBorders>
              <w:top w:val="nil"/>
              <w:left w:val="nil"/>
              <w:bottom w:val="nil"/>
              <w:right w:val="nil"/>
            </w:tcBorders>
            <w:shd w:val="clear" w:color="auto" w:fill="auto"/>
            <w:noWrap/>
            <w:vAlign w:val="center"/>
            <w:hideMark/>
          </w:tcPr>
          <w:p w14:paraId="0C4BAF8F"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158 175</w:t>
            </w:r>
          </w:p>
        </w:tc>
        <w:tc>
          <w:tcPr>
            <w:tcW w:w="1162" w:type="dxa"/>
            <w:tcBorders>
              <w:top w:val="nil"/>
              <w:left w:val="nil"/>
              <w:bottom w:val="nil"/>
              <w:right w:val="nil"/>
            </w:tcBorders>
            <w:shd w:val="clear" w:color="auto" w:fill="auto"/>
            <w:noWrap/>
            <w:vAlign w:val="center"/>
            <w:hideMark/>
          </w:tcPr>
          <w:p w14:paraId="4E9AC8CE"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127 497</w:t>
            </w:r>
          </w:p>
        </w:tc>
        <w:tc>
          <w:tcPr>
            <w:tcW w:w="1224" w:type="dxa"/>
            <w:tcBorders>
              <w:top w:val="nil"/>
              <w:left w:val="nil"/>
              <w:bottom w:val="nil"/>
              <w:right w:val="nil"/>
            </w:tcBorders>
            <w:shd w:val="clear" w:color="auto" w:fill="auto"/>
            <w:noWrap/>
            <w:vAlign w:val="center"/>
            <w:hideMark/>
          </w:tcPr>
          <w:p w14:paraId="23166818" w14:textId="77777777" w:rsidR="00267B66" w:rsidRPr="006E2C8B" w:rsidRDefault="00267B66" w:rsidP="00267B66">
            <w:pPr>
              <w:tabs>
                <w:tab w:val="decimal" w:pos="174"/>
              </w:tabs>
              <w:spacing w:after="0" w:line="240" w:lineRule="auto"/>
              <w:ind w:right="-71"/>
              <w:jc w:val="center"/>
              <w:rPr>
                <w:color w:val="000000"/>
                <w:sz w:val="18"/>
                <w:szCs w:val="18"/>
              </w:rPr>
            </w:pPr>
            <w:r w:rsidRPr="006E2C8B">
              <w:rPr>
                <w:color w:val="000000"/>
                <w:sz w:val="18"/>
                <w:szCs w:val="18"/>
              </w:rPr>
              <w:t>-19,4</w:t>
            </w:r>
          </w:p>
        </w:tc>
      </w:tr>
      <w:tr w:rsidR="00267B66" w:rsidRPr="006E2C8B" w14:paraId="4A07D11A" w14:textId="77777777" w:rsidTr="00267B66">
        <w:trPr>
          <w:trHeight w:val="267"/>
        </w:trPr>
        <w:tc>
          <w:tcPr>
            <w:tcW w:w="3994" w:type="dxa"/>
            <w:tcBorders>
              <w:top w:val="nil"/>
              <w:left w:val="nil"/>
              <w:bottom w:val="nil"/>
              <w:right w:val="nil"/>
            </w:tcBorders>
            <w:shd w:val="clear" w:color="auto" w:fill="auto"/>
            <w:noWrap/>
            <w:vAlign w:val="center"/>
            <w:hideMark/>
          </w:tcPr>
          <w:p w14:paraId="0F1420E3" w14:textId="77777777" w:rsidR="00267B66" w:rsidRPr="006E2C8B" w:rsidRDefault="00267B66" w:rsidP="00267B66">
            <w:pPr>
              <w:spacing w:after="0" w:line="240" w:lineRule="auto"/>
              <w:ind w:right="-1631" w:firstLineChars="100" w:firstLine="180"/>
              <w:rPr>
                <w:color w:val="000000"/>
                <w:sz w:val="18"/>
                <w:szCs w:val="18"/>
                <w:lang w:eastAsia="sk-SK"/>
              </w:rPr>
            </w:pPr>
            <w:r w:rsidRPr="006E2C8B">
              <w:rPr>
                <w:color w:val="000000"/>
                <w:sz w:val="18"/>
                <w:szCs w:val="18"/>
                <w:lang w:eastAsia="sk-SK"/>
              </w:rPr>
              <w:t xml:space="preserve"> - Daň z príjmov právnických osôb (vrátane </w:t>
            </w:r>
          </w:p>
          <w:p w14:paraId="123E4B0E" w14:textId="2854F84A" w:rsidR="00267B66" w:rsidRPr="006E2C8B" w:rsidRDefault="00267B66" w:rsidP="00267B66">
            <w:pPr>
              <w:spacing w:after="0" w:line="240" w:lineRule="auto"/>
              <w:ind w:right="-1631" w:firstLineChars="100" w:firstLine="180"/>
              <w:rPr>
                <w:color w:val="000000"/>
                <w:sz w:val="18"/>
                <w:szCs w:val="18"/>
                <w:lang w:eastAsia="sk-SK"/>
              </w:rPr>
            </w:pPr>
            <w:r w:rsidRPr="006E2C8B">
              <w:rPr>
                <w:color w:val="000000"/>
                <w:sz w:val="18"/>
                <w:szCs w:val="18"/>
                <w:lang w:eastAsia="sk-SK"/>
              </w:rPr>
              <w:t xml:space="preserve">    odvodu z regulovaných odvetví</w:t>
            </w:r>
            <w:r w:rsidR="00025966">
              <w:rPr>
                <w:color w:val="000000"/>
                <w:sz w:val="18"/>
                <w:szCs w:val="18"/>
                <w:lang w:eastAsia="sk-SK"/>
              </w:rPr>
              <w:t>)</w:t>
            </w:r>
          </w:p>
        </w:tc>
        <w:tc>
          <w:tcPr>
            <w:tcW w:w="1807" w:type="dxa"/>
            <w:gridSpan w:val="3"/>
            <w:tcBorders>
              <w:top w:val="nil"/>
              <w:left w:val="nil"/>
              <w:bottom w:val="nil"/>
              <w:right w:val="nil"/>
            </w:tcBorders>
            <w:shd w:val="clear" w:color="auto" w:fill="auto"/>
            <w:noWrap/>
            <w:vAlign w:val="center"/>
            <w:hideMark/>
          </w:tcPr>
          <w:p w14:paraId="7AD22077"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3 632 636</w:t>
            </w:r>
          </w:p>
        </w:tc>
        <w:tc>
          <w:tcPr>
            <w:tcW w:w="1160" w:type="dxa"/>
            <w:tcBorders>
              <w:top w:val="nil"/>
              <w:left w:val="nil"/>
              <w:bottom w:val="nil"/>
              <w:right w:val="nil"/>
            </w:tcBorders>
            <w:shd w:val="clear" w:color="auto" w:fill="auto"/>
            <w:noWrap/>
            <w:vAlign w:val="center"/>
            <w:hideMark/>
          </w:tcPr>
          <w:p w14:paraId="6A3460E6"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4 012 156</w:t>
            </w:r>
          </w:p>
        </w:tc>
        <w:tc>
          <w:tcPr>
            <w:tcW w:w="1162" w:type="dxa"/>
            <w:tcBorders>
              <w:top w:val="nil"/>
              <w:left w:val="nil"/>
              <w:bottom w:val="nil"/>
              <w:right w:val="nil"/>
            </w:tcBorders>
            <w:shd w:val="clear" w:color="auto" w:fill="auto"/>
            <w:noWrap/>
            <w:vAlign w:val="center"/>
            <w:hideMark/>
          </w:tcPr>
          <w:p w14:paraId="76765881"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4 481 880</w:t>
            </w:r>
          </w:p>
        </w:tc>
        <w:tc>
          <w:tcPr>
            <w:tcW w:w="1224" w:type="dxa"/>
            <w:tcBorders>
              <w:top w:val="nil"/>
              <w:left w:val="nil"/>
              <w:bottom w:val="nil"/>
              <w:right w:val="nil"/>
            </w:tcBorders>
            <w:shd w:val="clear" w:color="auto" w:fill="auto"/>
            <w:noWrap/>
            <w:vAlign w:val="center"/>
            <w:hideMark/>
          </w:tcPr>
          <w:p w14:paraId="352E3DDB" w14:textId="77777777" w:rsidR="00267B66" w:rsidRPr="006E2C8B" w:rsidRDefault="00267B66" w:rsidP="00267B66">
            <w:pPr>
              <w:tabs>
                <w:tab w:val="decimal" w:pos="174"/>
              </w:tabs>
              <w:spacing w:after="0" w:line="240" w:lineRule="auto"/>
              <w:ind w:right="-71"/>
              <w:jc w:val="center"/>
              <w:rPr>
                <w:color w:val="000000"/>
                <w:sz w:val="18"/>
                <w:szCs w:val="18"/>
              </w:rPr>
            </w:pPr>
            <w:r w:rsidRPr="006E2C8B">
              <w:rPr>
                <w:color w:val="000000"/>
                <w:sz w:val="18"/>
                <w:szCs w:val="18"/>
              </w:rPr>
              <w:t>11,7</w:t>
            </w:r>
          </w:p>
        </w:tc>
      </w:tr>
      <w:tr w:rsidR="00267B66" w:rsidRPr="006E2C8B" w14:paraId="3C969F69" w14:textId="77777777" w:rsidTr="00267B66">
        <w:trPr>
          <w:trHeight w:val="252"/>
        </w:trPr>
        <w:tc>
          <w:tcPr>
            <w:tcW w:w="3994" w:type="dxa"/>
            <w:tcBorders>
              <w:top w:val="nil"/>
              <w:left w:val="nil"/>
              <w:bottom w:val="nil"/>
              <w:right w:val="nil"/>
            </w:tcBorders>
            <w:shd w:val="clear" w:color="auto" w:fill="auto"/>
            <w:noWrap/>
            <w:vAlign w:val="center"/>
            <w:hideMark/>
          </w:tcPr>
          <w:p w14:paraId="28EDA46B" w14:textId="77777777" w:rsidR="00267B66" w:rsidRPr="006E2C8B" w:rsidRDefault="00267B66" w:rsidP="00267B66">
            <w:pPr>
              <w:spacing w:after="0" w:line="240" w:lineRule="auto"/>
              <w:ind w:right="-355" w:firstLineChars="100" w:firstLine="180"/>
              <w:rPr>
                <w:color w:val="000000"/>
                <w:sz w:val="18"/>
                <w:szCs w:val="18"/>
                <w:lang w:eastAsia="sk-SK"/>
              </w:rPr>
            </w:pPr>
            <w:r w:rsidRPr="006E2C8B">
              <w:rPr>
                <w:color w:val="000000"/>
                <w:sz w:val="18"/>
                <w:szCs w:val="18"/>
                <w:lang w:eastAsia="sk-SK"/>
              </w:rPr>
              <w:t xml:space="preserve"> - Daň z príjmov vyberaná zrážkou</w:t>
            </w:r>
          </w:p>
        </w:tc>
        <w:tc>
          <w:tcPr>
            <w:tcW w:w="1807" w:type="dxa"/>
            <w:gridSpan w:val="3"/>
            <w:tcBorders>
              <w:top w:val="nil"/>
              <w:left w:val="nil"/>
              <w:bottom w:val="nil"/>
              <w:right w:val="nil"/>
            </w:tcBorders>
            <w:shd w:val="clear" w:color="auto" w:fill="auto"/>
            <w:noWrap/>
            <w:vAlign w:val="center"/>
            <w:hideMark/>
          </w:tcPr>
          <w:p w14:paraId="3FC96BC5"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289 754</w:t>
            </w:r>
          </w:p>
        </w:tc>
        <w:tc>
          <w:tcPr>
            <w:tcW w:w="1160" w:type="dxa"/>
            <w:tcBorders>
              <w:top w:val="nil"/>
              <w:left w:val="nil"/>
              <w:bottom w:val="nil"/>
              <w:right w:val="nil"/>
            </w:tcBorders>
            <w:shd w:val="clear" w:color="auto" w:fill="auto"/>
            <w:noWrap/>
            <w:vAlign w:val="center"/>
            <w:hideMark/>
          </w:tcPr>
          <w:p w14:paraId="2D3848AC"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314 764</w:t>
            </w:r>
          </w:p>
        </w:tc>
        <w:tc>
          <w:tcPr>
            <w:tcW w:w="1162" w:type="dxa"/>
            <w:tcBorders>
              <w:top w:val="nil"/>
              <w:left w:val="nil"/>
              <w:bottom w:val="nil"/>
              <w:right w:val="nil"/>
            </w:tcBorders>
            <w:shd w:val="clear" w:color="auto" w:fill="auto"/>
            <w:noWrap/>
            <w:vAlign w:val="center"/>
            <w:hideMark/>
          </w:tcPr>
          <w:p w14:paraId="6348BBBC"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430 574</w:t>
            </w:r>
          </w:p>
        </w:tc>
        <w:tc>
          <w:tcPr>
            <w:tcW w:w="1224" w:type="dxa"/>
            <w:tcBorders>
              <w:top w:val="nil"/>
              <w:left w:val="nil"/>
              <w:bottom w:val="nil"/>
              <w:right w:val="nil"/>
            </w:tcBorders>
            <w:shd w:val="clear" w:color="auto" w:fill="auto"/>
            <w:noWrap/>
            <w:vAlign w:val="center"/>
            <w:hideMark/>
          </w:tcPr>
          <w:p w14:paraId="7856FF8C" w14:textId="77777777" w:rsidR="00267B66" w:rsidRPr="006E2C8B" w:rsidRDefault="00267B66" w:rsidP="00267B66">
            <w:pPr>
              <w:tabs>
                <w:tab w:val="decimal" w:pos="174"/>
              </w:tabs>
              <w:spacing w:after="0" w:line="240" w:lineRule="auto"/>
              <w:ind w:right="-71"/>
              <w:jc w:val="center"/>
              <w:rPr>
                <w:color w:val="000000"/>
                <w:sz w:val="18"/>
                <w:szCs w:val="18"/>
              </w:rPr>
            </w:pPr>
            <w:r w:rsidRPr="006E2C8B">
              <w:rPr>
                <w:color w:val="000000"/>
                <w:sz w:val="18"/>
                <w:szCs w:val="18"/>
              </w:rPr>
              <w:t>36,8</w:t>
            </w:r>
          </w:p>
        </w:tc>
      </w:tr>
      <w:tr w:rsidR="00267B66" w:rsidRPr="006E2C8B" w14:paraId="45213D92" w14:textId="77777777" w:rsidTr="00267B66">
        <w:trPr>
          <w:trHeight w:val="267"/>
        </w:trPr>
        <w:tc>
          <w:tcPr>
            <w:tcW w:w="3994" w:type="dxa"/>
            <w:tcBorders>
              <w:top w:val="nil"/>
              <w:left w:val="nil"/>
              <w:bottom w:val="nil"/>
              <w:right w:val="nil"/>
            </w:tcBorders>
            <w:shd w:val="clear" w:color="auto" w:fill="auto"/>
            <w:noWrap/>
            <w:vAlign w:val="center"/>
            <w:hideMark/>
          </w:tcPr>
          <w:p w14:paraId="796E5B3A" w14:textId="77777777" w:rsidR="00267B66" w:rsidRPr="006E2C8B" w:rsidRDefault="00267B66" w:rsidP="00267B66">
            <w:pPr>
              <w:spacing w:after="0" w:line="240" w:lineRule="auto"/>
              <w:ind w:firstLineChars="100" w:firstLine="180"/>
              <w:rPr>
                <w:color w:val="000000"/>
                <w:sz w:val="18"/>
                <w:szCs w:val="18"/>
                <w:lang w:eastAsia="sk-SK"/>
              </w:rPr>
            </w:pPr>
            <w:r w:rsidRPr="006E2C8B">
              <w:rPr>
                <w:color w:val="000000"/>
                <w:sz w:val="18"/>
                <w:szCs w:val="18"/>
                <w:lang w:eastAsia="sk-SK"/>
              </w:rPr>
              <w:t xml:space="preserve"> - Dane z majetku a iné</w:t>
            </w:r>
          </w:p>
        </w:tc>
        <w:tc>
          <w:tcPr>
            <w:tcW w:w="1807" w:type="dxa"/>
            <w:gridSpan w:val="3"/>
            <w:tcBorders>
              <w:top w:val="nil"/>
              <w:left w:val="nil"/>
              <w:bottom w:val="nil"/>
              <w:right w:val="nil"/>
            </w:tcBorders>
            <w:shd w:val="clear" w:color="auto" w:fill="auto"/>
            <w:noWrap/>
            <w:vAlign w:val="center"/>
            <w:hideMark/>
          </w:tcPr>
          <w:p w14:paraId="19AEC957"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37 390</w:t>
            </w:r>
          </w:p>
        </w:tc>
        <w:tc>
          <w:tcPr>
            <w:tcW w:w="1160" w:type="dxa"/>
            <w:tcBorders>
              <w:top w:val="nil"/>
              <w:left w:val="nil"/>
              <w:bottom w:val="nil"/>
              <w:right w:val="nil"/>
            </w:tcBorders>
            <w:shd w:val="clear" w:color="auto" w:fill="auto"/>
            <w:noWrap/>
            <w:vAlign w:val="center"/>
            <w:hideMark/>
          </w:tcPr>
          <w:p w14:paraId="616EDF74"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36 978</w:t>
            </w:r>
          </w:p>
        </w:tc>
        <w:tc>
          <w:tcPr>
            <w:tcW w:w="1162" w:type="dxa"/>
            <w:tcBorders>
              <w:top w:val="nil"/>
              <w:left w:val="nil"/>
              <w:bottom w:val="nil"/>
              <w:right w:val="nil"/>
            </w:tcBorders>
            <w:shd w:val="clear" w:color="auto" w:fill="auto"/>
            <w:noWrap/>
            <w:vAlign w:val="center"/>
            <w:hideMark/>
          </w:tcPr>
          <w:p w14:paraId="757F3E9A"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39 950</w:t>
            </w:r>
          </w:p>
        </w:tc>
        <w:tc>
          <w:tcPr>
            <w:tcW w:w="1224" w:type="dxa"/>
            <w:tcBorders>
              <w:top w:val="nil"/>
              <w:left w:val="nil"/>
              <w:bottom w:val="nil"/>
              <w:right w:val="nil"/>
            </w:tcBorders>
            <w:shd w:val="clear" w:color="auto" w:fill="auto"/>
            <w:noWrap/>
            <w:vAlign w:val="center"/>
            <w:hideMark/>
          </w:tcPr>
          <w:p w14:paraId="2D919581" w14:textId="77777777" w:rsidR="00267B66" w:rsidRPr="006E2C8B" w:rsidRDefault="00267B66" w:rsidP="00267B66">
            <w:pPr>
              <w:tabs>
                <w:tab w:val="decimal" w:pos="174"/>
              </w:tabs>
              <w:spacing w:after="0" w:line="240" w:lineRule="auto"/>
              <w:ind w:right="-71"/>
              <w:jc w:val="center"/>
              <w:rPr>
                <w:color w:val="000000"/>
                <w:sz w:val="18"/>
                <w:szCs w:val="18"/>
              </w:rPr>
            </w:pPr>
            <w:r w:rsidRPr="006E2C8B">
              <w:rPr>
                <w:color w:val="000000"/>
                <w:sz w:val="18"/>
                <w:szCs w:val="18"/>
              </w:rPr>
              <w:t>8,0</w:t>
            </w:r>
          </w:p>
        </w:tc>
      </w:tr>
      <w:tr w:rsidR="00267B66" w:rsidRPr="006E2C8B" w14:paraId="58493F3A" w14:textId="77777777" w:rsidTr="00267B66">
        <w:trPr>
          <w:trHeight w:val="267"/>
        </w:trPr>
        <w:tc>
          <w:tcPr>
            <w:tcW w:w="3994" w:type="dxa"/>
            <w:tcBorders>
              <w:top w:val="nil"/>
              <w:left w:val="nil"/>
              <w:bottom w:val="nil"/>
              <w:right w:val="nil"/>
            </w:tcBorders>
            <w:shd w:val="clear" w:color="auto" w:fill="auto"/>
            <w:noWrap/>
            <w:vAlign w:val="center"/>
            <w:hideMark/>
          </w:tcPr>
          <w:p w14:paraId="2743DD5C" w14:textId="77777777" w:rsidR="00267B66" w:rsidRPr="006E2C8B" w:rsidRDefault="00267B66" w:rsidP="00267B66">
            <w:pPr>
              <w:spacing w:after="0" w:line="240" w:lineRule="auto"/>
              <w:rPr>
                <w:b/>
                <w:bCs/>
                <w:color w:val="000000"/>
                <w:sz w:val="18"/>
                <w:szCs w:val="18"/>
                <w:lang w:eastAsia="sk-SK"/>
              </w:rPr>
            </w:pPr>
            <w:r w:rsidRPr="006E2C8B">
              <w:rPr>
                <w:b/>
                <w:bCs/>
                <w:color w:val="000000"/>
                <w:sz w:val="18"/>
                <w:szCs w:val="18"/>
                <w:lang w:eastAsia="sk-SK"/>
              </w:rPr>
              <w:t>Dane z kapitálu</w:t>
            </w:r>
          </w:p>
        </w:tc>
        <w:tc>
          <w:tcPr>
            <w:tcW w:w="1807" w:type="dxa"/>
            <w:gridSpan w:val="3"/>
            <w:tcBorders>
              <w:top w:val="nil"/>
              <w:left w:val="nil"/>
              <w:bottom w:val="nil"/>
              <w:right w:val="nil"/>
            </w:tcBorders>
            <w:shd w:val="clear" w:color="auto" w:fill="auto"/>
            <w:noWrap/>
            <w:vAlign w:val="center"/>
            <w:hideMark/>
          </w:tcPr>
          <w:p w14:paraId="718FEBA9" w14:textId="77777777" w:rsidR="00267B66" w:rsidRPr="006E2C8B" w:rsidRDefault="00267B66" w:rsidP="00267B66">
            <w:pPr>
              <w:spacing w:after="0" w:line="240" w:lineRule="auto"/>
              <w:jc w:val="right"/>
              <w:rPr>
                <w:b/>
                <w:bCs/>
                <w:color w:val="000000"/>
                <w:sz w:val="18"/>
                <w:szCs w:val="18"/>
                <w:lang w:eastAsia="sk-SK"/>
              </w:rPr>
            </w:pPr>
            <w:r w:rsidRPr="006E2C8B">
              <w:rPr>
                <w:b/>
                <w:bCs/>
                <w:color w:val="000000"/>
                <w:sz w:val="18"/>
                <w:szCs w:val="18"/>
                <w:lang w:eastAsia="sk-SK"/>
              </w:rPr>
              <w:t>0</w:t>
            </w:r>
          </w:p>
        </w:tc>
        <w:tc>
          <w:tcPr>
            <w:tcW w:w="1160" w:type="dxa"/>
            <w:tcBorders>
              <w:top w:val="nil"/>
              <w:left w:val="nil"/>
              <w:bottom w:val="nil"/>
              <w:right w:val="nil"/>
            </w:tcBorders>
            <w:shd w:val="clear" w:color="auto" w:fill="auto"/>
            <w:noWrap/>
            <w:vAlign w:val="center"/>
            <w:hideMark/>
          </w:tcPr>
          <w:p w14:paraId="3950990C" w14:textId="77777777" w:rsidR="00267B66" w:rsidRPr="006E2C8B" w:rsidRDefault="00267B66" w:rsidP="00267B66">
            <w:pPr>
              <w:spacing w:after="0" w:line="240" w:lineRule="auto"/>
              <w:jc w:val="right"/>
              <w:rPr>
                <w:b/>
                <w:bCs/>
                <w:color w:val="000000"/>
                <w:sz w:val="18"/>
                <w:szCs w:val="18"/>
                <w:lang w:eastAsia="sk-SK"/>
              </w:rPr>
            </w:pPr>
            <w:r w:rsidRPr="006E2C8B">
              <w:rPr>
                <w:b/>
                <w:bCs/>
                <w:color w:val="000000"/>
                <w:sz w:val="18"/>
                <w:szCs w:val="18"/>
                <w:lang w:eastAsia="sk-SK"/>
              </w:rPr>
              <w:t>0</w:t>
            </w:r>
          </w:p>
        </w:tc>
        <w:tc>
          <w:tcPr>
            <w:tcW w:w="1162" w:type="dxa"/>
            <w:tcBorders>
              <w:top w:val="nil"/>
              <w:left w:val="nil"/>
              <w:bottom w:val="nil"/>
              <w:right w:val="nil"/>
            </w:tcBorders>
            <w:shd w:val="clear" w:color="auto" w:fill="auto"/>
            <w:noWrap/>
            <w:vAlign w:val="center"/>
            <w:hideMark/>
          </w:tcPr>
          <w:p w14:paraId="640C3581" w14:textId="77777777" w:rsidR="00267B66" w:rsidRPr="006E2C8B" w:rsidRDefault="00267B66" w:rsidP="00267B66">
            <w:pPr>
              <w:spacing w:after="0" w:line="240" w:lineRule="auto"/>
              <w:jc w:val="right"/>
              <w:rPr>
                <w:b/>
                <w:bCs/>
                <w:color w:val="000000"/>
                <w:sz w:val="18"/>
                <w:szCs w:val="18"/>
                <w:lang w:eastAsia="sk-SK"/>
              </w:rPr>
            </w:pPr>
            <w:r w:rsidRPr="006E2C8B">
              <w:rPr>
                <w:b/>
                <w:bCs/>
                <w:color w:val="000000"/>
                <w:sz w:val="18"/>
                <w:szCs w:val="18"/>
                <w:lang w:eastAsia="sk-SK"/>
              </w:rPr>
              <w:t>0</w:t>
            </w:r>
          </w:p>
        </w:tc>
        <w:tc>
          <w:tcPr>
            <w:tcW w:w="1224" w:type="dxa"/>
            <w:tcBorders>
              <w:top w:val="nil"/>
              <w:left w:val="nil"/>
              <w:bottom w:val="nil"/>
              <w:right w:val="nil"/>
            </w:tcBorders>
            <w:shd w:val="clear" w:color="auto" w:fill="auto"/>
            <w:noWrap/>
            <w:vAlign w:val="center"/>
            <w:hideMark/>
          </w:tcPr>
          <w:p w14:paraId="436D6F07" w14:textId="77777777" w:rsidR="00267B66" w:rsidRPr="006E2C8B" w:rsidRDefault="00267B66" w:rsidP="00267B66">
            <w:pPr>
              <w:tabs>
                <w:tab w:val="left" w:pos="227"/>
                <w:tab w:val="left" w:pos="488"/>
              </w:tabs>
              <w:spacing w:after="0" w:line="240" w:lineRule="auto"/>
              <w:ind w:right="-71"/>
              <w:jc w:val="center"/>
              <w:rPr>
                <w:b/>
                <w:bCs/>
                <w:color w:val="000000"/>
                <w:sz w:val="18"/>
                <w:szCs w:val="18"/>
                <w:lang w:eastAsia="sk-SK"/>
              </w:rPr>
            </w:pPr>
          </w:p>
        </w:tc>
      </w:tr>
      <w:tr w:rsidR="00267B66" w:rsidRPr="006E2C8B" w14:paraId="31D5CEDD" w14:textId="77777777" w:rsidTr="00267B66">
        <w:trPr>
          <w:trHeight w:val="267"/>
        </w:trPr>
        <w:tc>
          <w:tcPr>
            <w:tcW w:w="3994" w:type="dxa"/>
            <w:tcBorders>
              <w:top w:val="nil"/>
              <w:left w:val="nil"/>
              <w:bottom w:val="nil"/>
              <w:right w:val="nil"/>
            </w:tcBorders>
            <w:shd w:val="clear" w:color="auto" w:fill="auto"/>
            <w:noWrap/>
            <w:vAlign w:val="center"/>
            <w:hideMark/>
          </w:tcPr>
          <w:p w14:paraId="0D0B6C30" w14:textId="77777777" w:rsidR="00267B66" w:rsidRPr="006E2C8B" w:rsidRDefault="00267B66" w:rsidP="00267B66">
            <w:pPr>
              <w:spacing w:after="0" w:line="240" w:lineRule="auto"/>
              <w:rPr>
                <w:b/>
                <w:bCs/>
                <w:color w:val="000000"/>
                <w:sz w:val="18"/>
                <w:szCs w:val="18"/>
                <w:lang w:eastAsia="sk-SK"/>
              </w:rPr>
            </w:pPr>
            <w:r w:rsidRPr="006E2C8B">
              <w:rPr>
                <w:b/>
                <w:bCs/>
                <w:color w:val="000000"/>
                <w:sz w:val="18"/>
                <w:szCs w:val="18"/>
                <w:lang w:eastAsia="sk-SK"/>
              </w:rPr>
              <w:t>Príspevky na sociálne zabezpečenie</w:t>
            </w:r>
          </w:p>
        </w:tc>
        <w:tc>
          <w:tcPr>
            <w:tcW w:w="1807" w:type="dxa"/>
            <w:gridSpan w:val="3"/>
            <w:tcBorders>
              <w:top w:val="nil"/>
              <w:left w:val="nil"/>
              <w:bottom w:val="nil"/>
              <w:right w:val="nil"/>
            </w:tcBorders>
            <w:shd w:val="clear" w:color="auto" w:fill="auto"/>
            <w:noWrap/>
            <w:vAlign w:val="center"/>
            <w:hideMark/>
          </w:tcPr>
          <w:p w14:paraId="0A42384B"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15 684 841</w:t>
            </w:r>
          </w:p>
        </w:tc>
        <w:tc>
          <w:tcPr>
            <w:tcW w:w="1160" w:type="dxa"/>
            <w:tcBorders>
              <w:top w:val="nil"/>
              <w:left w:val="nil"/>
              <w:bottom w:val="nil"/>
              <w:right w:val="nil"/>
            </w:tcBorders>
            <w:shd w:val="clear" w:color="auto" w:fill="auto"/>
            <w:noWrap/>
            <w:vAlign w:val="center"/>
            <w:hideMark/>
          </w:tcPr>
          <w:p w14:paraId="29765A55"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16 598 183</w:t>
            </w:r>
          </w:p>
        </w:tc>
        <w:tc>
          <w:tcPr>
            <w:tcW w:w="1162" w:type="dxa"/>
            <w:tcBorders>
              <w:top w:val="nil"/>
              <w:left w:val="nil"/>
              <w:bottom w:val="nil"/>
              <w:right w:val="nil"/>
            </w:tcBorders>
            <w:shd w:val="clear" w:color="auto" w:fill="auto"/>
            <w:noWrap/>
            <w:vAlign w:val="center"/>
            <w:hideMark/>
          </w:tcPr>
          <w:p w14:paraId="3C74347D" w14:textId="77777777" w:rsidR="00267B66" w:rsidRPr="006E2C8B" w:rsidRDefault="00267B66" w:rsidP="00267B66">
            <w:pPr>
              <w:spacing w:after="0" w:line="240" w:lineRule="auto"/>
              <w:jc w:val="right"/>
              <w:rPr>
                <w:b/>
                <w:bCs/>
                <w:color w:val="000000"/>
                <w:sz w:val="18"/>
                <w:szCs w:val="18"/>
                <w:lang w:eastAsia="sk-SK"/>
              </w:rPr>
            </w:pPr>
            <w:r w:rsidRPr="006E2C8B">
              <w:rPr>
                <w:b/>
                <w:bCs/>
                <w:sz w:val="18"/>
                <w:szCs w:val="18"/>
              </w:rPr>
              <w:t>18 945 701</w:t>
            </w:r>
          </w:p>
        </w:tc>
        <w:tc>
          <w:tcPr>
            <w:tcW w:w="1224" w:type="dxa"/>
            <w:tcBorders>
              <w:top w:val="nil"/>
              <w:left w:val="nil"/>
              <w:bottom w:val="nil"/>
              <w:right w:val="nil"/>
            </w:tcBorders>
            <w:shd w:val="clear" w:color="auto" w:fill="auto"/>
            <w:noWrap/>
            <w:vAlign w:val="center"/>
            <w:hideMark/>
          </w:tcPr>
          <w:p w14:paraId="510E6F6F" w14:textId="77777777" w:rsidR="00267B66" w:rsidRPr="006E2C8B" w:rsidRDefault="00267B66" w:rsidP="00267B66">
            <w:pPr>
              <w:tabs>
                <w:tab w:val="decimal" w:pos="174"/>
              </w:tabs>
              <w:spacing w:after="0" w:line="240" w:lineRule="auto"/>
              <w:ind w:right="-71"/>
              <w:jc w:val="center"/>
              <w:rPr>
                <w:b/>
                <w:bCs/>
                <w:color w:val="000000"/>
                <w:sz w:val="18"/>
                <w:szCs w:val="18"/>
                <w:lang w:eastAsia="sk-SK"/>
              </w:rPr>
            </w:pPr>
            <w:r w:rsidRPr="006E2C8B">
              <w:rPr>
                <w:b/>
                <w:bCs/>
                <w:color w:val="000000"/>
                <w:sz w:val="18"/>
                <w:szCs w:val="18"/>
              </w:rPr>
              <w:t>14,1</w:t>
            </w:r>
          </w:p>
        </w:tc>
      </w:tr>
      <w:tr w:rsidR="00267B66" w:rsidRPr="006E2C8B" w14:paraId="60181CD2" w14:textId="77777777" w:rsidTr="00267B66">
        <w:trPr>
          <w:trHeight w:val="267"/>
        </w:trPr>
        <w:tc>
          <w:tcPr>
            <w:tcW w:w="3994" w:type="dxa"/>
            <w:tcBorders>
              <w:top w:val="nil"/>
              <w:left w:val="nil"/>
              <w:bottom w:val="nil"/>
              <w:right w:val="nil"/>
            </w:tcBorders>
            <w:shd w:val="clear" w:color="auto" w:fill="auto"/>
            <w:noWrap/>
            <w:vAlign w:val="center"/>
            <w:hideMark/>
          </w:tcPr>
          <w:p w14:paraId="726DD072" w14:textId="77777777" w:rsidR="00267B66" w:rsidRPr="006E2C8B" w:rsidRDefault="00267B66" w:rsidP="00267B66">
            <w:pPr>
              <w:spacing w:after="0" w:line="240" w:lineRule="auto"/>
              <w:ind w:firstLineChars="100" w:firstLine="180"/>
              <w:rPr>
                <w:color w:val="000000"/>
                <w:sz w:val="18"/>
                <w:szCs w:val="18"/>
                <w:lang w:eastAsia="sk-SK"/>
              </w:rPr>
            </w:pPr>
            <w:r w:rsidRPr="006E2C8B">
              <w:rPr>
                <w:color w:val="000000"/>
                <w:sz w:val="18"/>
                <w:szCs w:val="18"/>
                <w:lang w:eastAsia="sk-SK"/>
              </w:rPr>
              <w:t xml:space="preserve"> - Skutočné príspevky na sociálne zabezpečenie</w:t>
            </w:r>
          </w:p>
        </w:tc>
        <w:tc>
          <w:tcPr>
            <w:tcW w:w="1807" w:type="dxa"/>
            <w:gridSpan w:val="3"/>
            <w:tcBorders>
              <w:top w:val="nil"/>
              <w:left w:val="nil"/>
              <w:bottom w:val="nil"/>
              <w:right w:val="nil"/>
            </w:tcBorders>
            <w:shd w:val="clear" w:color="auto" w:fill="auto"/>
            <w:noWrap/>
            <w:vAlign w:val="center"/>
            <w:hideMark/>
          </w:tcPr>
          <w:p w14:paraId="79E28F49"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15 290 671</w:t>
            </w:r>
          </w:p>
        </w:tc>
        <w:tc>
          <w:tcPr>
            <w:tcW w:w="1160" w:type="dxa"/>
            <w:tcBorders>
              <w:top w:val="nil"/>
              <w:left w:val="nil"/>
              <w:bottom w:val="nil"/>
              <w:right w:val="nil"/>
            </w:tcBorders>
            <w:shd w:val="clear" w:color="auto" w:fill="auto"/>
            <w:noWrap/>
            <w:vAlign w:val="center"/>
            <w:hideMark/>
          </w:tcPr>
          <w:p w14:paraId="039FD6B0"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16 196 748</w:t>
            </w:r>
          </w:p>
        </w:tc>
        <w:tc>
          <w:tcPr>
            <w:tcW w:w="1162" w:type="dxa"/>
            <w:tcBorders>
              <w:top w:val="nil"/>
              <w:left w:val="nil"/>
              <w:bottom w:val="nil"/>
              <w:right w:val="nil"/>
            </w:tcBorders>
            <w:shd w:val="clear" w:color="auto" w:fill="auto"/>
            <w:noWrap/>
            <w:vAlign w:val="center"/>
            <w:hideMark/>
          </w:tcPr>
          <w:p w14:paraId="25FBD875"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18 523 359</w:t>
            </w:r>
          </w:p>
        </w:tc>
        <w:tc>
          <w:tcPr>
            <w:tcW w:w="1224" w:type="dxa"/>
            <w:tcBorders>
              <w:top w:val="nil"/>
              <w:left w:val="nil"/>
              <w:bottom w:val="nil"/>
              <w:right w:val="nil"/>
            </w:tcBorders>
            <w:shd w:val="clear" w:color="auto" w:fill="auto"/>
            <w:noWrap/>
            <w:vAlign w:val="center"/>
            <w:hideMark/>
          </w:tcPr>
          <w:p w14:paraId="49ABD506" w14:textId="77777777" w:rsidR="00267B66" w:rsidRPr="006E2C8B" w:rsidRDefault="00267B66" w:rsidP="00267B66">
            <w:pPr>
              <w:tabs>
                <w:tab w:val="decimal" w:pos="176"/>
              </w:tabs>
              <w:spacing w:after="0" w:line="240" w:lineRule="auto"/>
              <w:ind w:right="-71"/>
              <w:jc w:val="center"/>
              <w:rPr>
                <w:color w:val="000000"/>
                <w:sz w:val="18"/>
                <w:szCs w:val="18"/>
                <w:lang w:eastAsia="sk-SK"/>
              </w:rPr>
            </w:pPr>
            <w:r w:rsidRPr="006E2C8B">
              <w:rPr>
                <w:color w:val="000000"/>
                <w:sz w:val="18"/>
                <w:szCs w:val="18"/>
              </w:rPr>
              <w:t>14,4</w:t>
            </w:r>
          </w:p>
        </w:tc>
      </w:tr>
      <w:tr w:rsidR="00267B66" w:rsidRPr="006E2C8B" w14:paraId="6011493C" w14:textId="77777777" w:rsidTr="00267B66">
        <w:trPr>
          <w:trHeight w:val="267"/>
        </w:trPr>
        <w:tc>
          <w:tcPr>
            <w:tcW w:w="3994" w:type="dxa"/>
            <w:tcBorders>
              <w:top w:val="nil"/>
              <w:left w:val="nil"/>
              <w:bottom w:val="nil"/>
              <w:right w:val="nil"/>
            </w:tcBorders>
            <w:shd w:val="clear" w:color="auto" w:fill="auto"/>
            <w:noWrap/>
            <w:vAlign w:val="center"/>
            <w:hideMark/>
          </w:tcPr>
          <w:p w14:paraId="181695BC" w14:textId="77777777" w:rsidR="00267B66" w:rsidRPr="006E2C8B" w:rsidRDefault="00267B66" w:rsidP="00267B66">
            <w:pPr>
              <w:spacing w:after="0" w:line="240" w:lineRule="auto"/>
              <w:ind w:firstLineChars="200" w:firstLine="360"/>
              <w:rPr>
                <w:color w:val="000000"/>
                <w:sz w:val="18"/>
                <w:szCs w:val="18"/>
                <w:lang w:eastAsia="sk-SK"/>
              </w:rPr>
            </w:pPr>
            <w:r w:rsidRPr="006E2C8B">
              <w:rPr>
                <w:color w:val="000000"/>
                <w:sz w:val="18"/>
                <w:szCs w:val="18"/>
                <w:lang w:eastAsia="sk-SK"/>
              </w:rPr>
              <w:t xml:space="preserve"> - z toho EAO + dlžné</w:t>
            </w:r>
          </w:p>
        </w:tc>
        <w:tc>
          <w:tcPr>
            <w:tcW w:w="1807" w:type="dxa"/>
            <w:gridSpan w:val="3"/>
            <w:tcBorders>
              <w:top w:val="nil"/>
              <w:left w:val="nil"/>
              <w:bottom w:val="nil"/>
              <w:right w:val="nil"/>
            </w:tcBorders>
            <w:shd w:val="clear" w:color="auto" w:fill="auto"/>
            <w:noWrap/>
            <w:vAlign w:val="center"/>
            <w:hideMark/>
          </w:tcPr>
          <w:p w14:paraId="357B00EC" w14:textId="77777777" w:rsidR="00267B66" w:rsidRPr="006E2C8B" w:rsidRDefault="00267B66" w:rsidP="00267B66">
            <w:pPr>
              <w:spacing w:after="0" w:line="240" w:lineRule="auto"/>
              <w:jc w:val="right"/>
              <w:rPr>
                <w:sz w:val="18"/>
                <w:szCs w:val="18"/>
                <w:lang w:eastAsia="sk-SK"/>
              </w:rPr>
            </w:pPr>
            <w:r w:rsidRPr="006E2C8B">
              <w:rPr>
                <w:sz w:val="18"/>
                <w:szCs w:val="18"/>
              </w:rPr>
              <w:t>13 079 645</w:t>
            </w:r>
          </w:p>
        </w:tc>
        <w:tc>
          <w:tcPr>
            <w:tcW w:w="1160" w:type="dxa"/>
            <w:tcBorders>
              <w:top w:val="nil"/>
              <w:left w:val="nil"/>
              <w:bottom w:val="nil"/>
              <w:right w:val="nil"/>
            </w:tcBorders>
            <w:shd w:val="clear" w:color="auto" w:fill="auto"/>
            <w:noWrap/>
            <w:vAlign w:val="center"/>
            <w:hideMark/>
          </w:tcPr>
          <w:p w14:paraId="4ADF3D58" w14:textId="77777777" w:rsidR="00267B66" w:rsidRPr="006E2C8B" w:rsidRDefault="00267B66" w:rsidP="00267B66">
            <w:pPr>
              <w:spacing w:after="0" w:line="240" w:lineRule="auto"/>
              <w:jc w:val="right"/>
              <w:rPr>
                <w:sz w:val="18"/>
                <w:szCs w:val="18"/>
                <w:lang w:eastAsia="sk-SK"/>
              </w:rPr>
            </w:pPr>
            <w:r w:rsidRPr="006E2C8B">
              <w:rPr>
                <w:sz w:val="18"/>
                <w:szCs w:val="18"/>
              </w:rPr>
              <w:t>14 174 045</w:t>
            </w:r>
          </w:p>
        </w:tc>
        <w:tc>
          <w:tcPr>
            <w:tcW w:w="1162" w:type="dxa"/>
            <w:tcBorders>
              <w:top w:val="nil"/>
              <w:left w:val="nil"/>
              <w:bottom w:val="nil"/>
              <w:right w:val="nil"/>
            </w:tcBorders>
            <w:shd w:val="clear" w:color="auto" w:fill="auto"/>
            <w:noWrap/>
            <w:vAlign w:val="center"/>
            <w:hideMark/>
          </w:tcPr>
          <w:p w14:paraId="71412A1D" w14:textId="77777777" w:rsidR="00267B66" w:rsidRPr="006E2C8B" w:rsidRDefault="00267B66" w:rsidP="00267B66">
            <w:pPr>
              <w:spacing w:after="0" w:line="240" w:lineRule="auto"/>
              <w:jc w:val="right"/>
              <w:rPr>
                <w:sz w:val="18"/>
                <w:szCs w:val="18"/>
                <w:lang w:eastAsia="sk-SK"/>
              </w:rPr>
            </w:pPr>
            <w:r w:rsidRPr="006E2C8B">
              <w:rPr>
                <w:sz w:val="18"/>
                <w:szCs w:val="18"/>
              </w:rPr>
              <w:t>15 340 057</w:t>
            </w:r>
          </w:p>
        </w:tc>
        <w:tc>
          <w:tcPr>
            <w:tcW w:w="1224" w:type="dxa"/>
            <w:tcBorders>
              <w:top w:val="nil"/>
              <w:left w:val="nil"/>
              <w:bottom w:val="nil"/>
              <w:right w:val="nil"/>
            </w:tcBorders>
            <w:shd w:val="clear" w:color="auto" w:fill="auto"/>
            <w:noWrap/>
            <w:vAlign w:val="center"/>
            <w:hideMark/>
          </w:tcPr>
          <w:p w14:paraId="6BF98FDF" w14:textId="77777777" w:rsidR="00267B66" w:rsidRPr="006E2C8B" w:rsidRDefault="00267B66" w:rsidP="00267B66">
            <w:pPr>
              <w:tabs>
                <w:tab w:val="decimal" w:pos="176"/>
              </w:tabs>
              <w:spacing w:after="0" w:line="240" w:lineRule="auto"/>
              <w:ind w:right="-71"/>
              <w:jc w:val="center"/>
              <w:rPr>
                <w:sz w:val="18"/>
                <w:szCs w:val="18"/>
                <w:lang w:eastAsia="sk-SK"/>
              </w:rPr>
            </w:pPr>
            <w:r w:rsidRPr="006E2C8B">
              <w:rPr>
                <w:color w:val="000000"/>
                <w:sz w:val="18"/>
                <w:szCs w:val="18"/>
              </w:rPr>
              <w:t>8,2</w:t>
            </w:r>
          </w:p>
        </w:tc>
      </w:tr>
      <w:tr w:rsidR="00267B66" w:rsidRPr="006E2C8B" w14:paraId="1A590347" w14:textId="77777777" w:rsidTr="00267B66">
        <w:trPr>
          <w:trHeight w:val="267"/>
        </w:trPr>
        <w:tc>
          <w:tcPr>
            <w:tcW w:w="3994" w:type="dxa"/>
            <w:tcBorders>
              <w:top w:val="nil"/>
              <w:left w:val="nil"/>
              <w:bottom w:val="nil"/>
              <w:right w:val="nil"/>
            </w:tcBorders>
            <w:shd w:val="clear" w:color="auto" w:fill="auto"/>
            <w:noWrap/>
            <w:vAlign w:val="center"/>
            <w:hideMark/>
          </w:tcPr>
          <w:p w14:paraId="123359F1" w14:textId="77777777" w:rsidR="00267B66" w:rsidRPr="006E2C8B" w:rsidRDefault="00267B66" w:rsidP="00267B66">
            <w:pPr>
              <w:spacing w:after="0" w:line="240" w:lineRule="auto"/>
              <w:ind w:firstLineChars="200" w:firstLine="360"/>
              <w:rPr>
                <w:color w:val="000000"/>
                <w:sz w:val="18"/>
                <w:szCs w:val="18"/>
                <w:lang w:eastAsia="sk-SK"/>
              </w:rPr>
            </w:pPr>
            <w:r w:rsidRPr="006E2C8B">
              <w:rPr>
                <w:color w:val="000000"/>
                <w:sz w:val="18"/>
                <w:szCs w:val="18"/>
                <w:lang w:eastAsia="sk-SK"/>
              </w:rPr>
              <w:t xml:space="preserve"> - z toho ostatné*</w:t>
            </w:r>
          </w:p>
        </w:tc>
        <w:tc>
          <w:tcPr>
            <w:tcW w:w="1807" w:type="dxa"/>
            <w:gridSpan w:val="3"/>
            <w:tcBorders>
              <w:top w:val="nil"/>
              <w:left w:val="nil"/>
              <w:bottom w:val="nil"/>
              <w:right w:val="nil"/>
            </w:tcBorders>
            <w:shd w:val="clear" w:color="auto" w:fill="auto"/>
            <w:noWrap/>
            <w:vAlign w:val="center"/>
            <w:hideMark/>
          </w:tcPr>
          <w:p w14:paraId="570E2F8B" w14:textId="77777777" w:rsidR="00267B66" w:rsidRPr="006E2C8B" w:rsidRDefault="00267B66" w:rsidP="00267B66">
            <w:pPr>
              <w:spacing w:after="0" w:line="240" w:lineRule="auto"/>
              <w:jc w:val="right"/>
              <w:rPr>
                <w:sz w:val="18"/>
                <w:szCs w:val="18"/>
                <w:lang w:eastAsia="sk-SK"/>
              </w:rPr>
            </w:pPr>
            <w:r w:rsidRPr="006E2C8B">
              <w:rPr>
                <w:sz w:val="18"/>
                <w:szCs w:val="18"/>
              </w:rPr>
              <w:t>2 211 026</w:t>
            </w:r>
          </w:p>
        </w:tc>
        <w:tc>
          <w:tcPr>
            <w:tcW w:w="1160" w:type="dxa"/>
            <w:tcBorders>
              <w:top w:val="nil"/>
              <w:left w:val="nil"/>
              <w:bottom w:val="nil"/>
              <w:right w:val="nil"/>
            </w:tcBorders>
            <w:shd w:val="clear" w:color="auto" w:fill="auto"/>
            <w:noWrap/>
            <w:vAlign w:val="center"/>
            <w:hideMark/>
          </w:tcPr>
          <w:p w14:paraId="5642BBCA" w14:textId="77777777" w:rsidR="00267B66" w:rsidRPr="006E2C8B" w:rsidRDefault="00267B66" w:rsidP="00267B66">
            <w:pPr>
              <w:spacing w:after="0" w:line="240" w:lineRule="auto"/>
              <w:jc w:val="right"/>
              <w:rPr>
                <w:sz w:val="18"/>
                <w:szCs w:val="18"/>
                <w:lang w:eastAsia="sk-SK"/>
              </w:rPr>
            </w:pPr>
            <w:r w:rsidRPr="006E2C8B">
              <w:rPr>
                <w:sz w:val="18"/>
                <w:szCs w:val="18"/>
              </w:rPr>
              <w:t>2 022 703</w:t>
            </w:r>
          </w:p>
        </w:tc>
        <w:tc>
          <w:tcPr>
            <w:tcW w:w="1162" w:type="dxa"/>
            <w:tcBorders>
              <w:top w:val="nil"/>
              <w:left w:val="nil"/>
              <w:bottom w:val="nil"/>
              <w:right w:val="nil"/>
            </w:tcBorders>
            <w:shd w:val="clear" w:color="auto" w:fill="auto"/>
            <w:noWrap/>
            <w:vAlign w:val="center"/>
            <w:hideMark/>
          </w:tcPr>
          <w:p w14:paraId="592B1B7C" w14:textId="77777777" w:rsidR="00267B66" w:rsidRPr="006E2C8B" w:rsidRDefault="00267B66" w:rsidP="00267B66">
            <w:pPr>
              <w:spacing w:after="0" w:line="240" w:lineRule="auto"/>
              <w:jc w:val="right"/>
              <w:rPr>
                <w:sz w:val="18"/>
                <w:szCs w:val="18"/>
                <w:lang w:eastAsia="sk-SK"/>
              </w:rPr>
            </w:pPr>
            <w:r w:rsidRPr="006E2C8B">
              <w:rPr>
                <w:sz w:val="18"/>
                <w:szCs w:val="18"/>
              </w:rPr>
              <w:t>3 183 302</w:t>
            </w:r>
          </w:p>
        </w:tc>
        <w:tc>
          <w:tcPr>
            <w:tcW w:w="1224" w:type="dxa"/>
            <w:tcBorders>
              <w:top w:val="nil"/>
              <w:left w:val="nil"/>
              <w:bottom w:val="nil"/>
              <w:right w:val="nil"/>
            </w:tcBorders>
            <w:shd w:val="clear" w:color="auto" w:fill="auto"/>
            <w:noWrap/>
            <w:vAlign w:val="center"/>
            <w:hideMark/>
          </w:tcPr>
          <w:p w14:paraId="65CA3B7C" w14:textId="77777777" w:rsidR="00267B66" w:rsidRPr="006E2C8B" w:rsidRDefault="00267B66" w:rsidP="00267B66">
            <w:pPr>
              <w:tabs>
                <w:tab w:val="decimal" w:pos="174"/>
              </w:tabs>
              <w:spacing w:after="0" w:line="240" w:lineRule="auto"/>
              <w:ind w:left="-110" w:right="-71"/>
              <w:jc w:val="center"/>
              <w:rPr>
                <w:sz w:val="18"/>
                <w:szCs w:val="18"/>
              </w:rPr>
            </w:pPr>
            <w:r w:rsidRPr="006E2C8B">
              <w:rPr>
                <w:color w:val="000000"/>
                <w:sz w:val="18"/>
                <w:szCs w:val="18"/>
              </w:rPr>
              <w:t>57,4</w:t>
            </w:r>
          </w:p>
        </w:tc>
      </w:tr>
      <w:tr w:rsidR="00267B66" w:rsidRPr="006E2C8B" w14:paraId="072AB07E" w14:textId="77777777" w:rsidTr="00267B66">
        <w:trPr>
          <w:trHeight w:val="267"/>
        </w:trPr>
        <w:tc>
          <w:tcPr>
            <w:tcW w:w="3994" w:type="dxa"/>
            <w:tcBorders>
              <w:top w:val="nil"/>
              <w:left w:val="nil"/>
              <w:bottom w:val="single" w:sz="4" w:space="0" w:color="auto"/>
              <w:right w:val="nil"/>
            </w:tcBorders>
            <w:shd w:val="clear" w:color="auto" w:fill="auto"/>
            <w:noWrap/>
            <w:vAlign w:val="center"/>
            <w:hideMark/>
          </w:tcPr>
          <w:p w14:paraId="63DF7E9A" w14:textId="77777777" w:rsidR="00267B66" w:rsidRPr="006E2C8B" w:rsidRDefault="00267B66" w:rsidP="00267B66">
            <w:pPr>
              <w:spacing w:after="0" w:line="240" w:lineRule="auto"/>
              <w:rPr>
                <w:color w:val="000000"/>
                <w:sz w:val="18"/>
                <w:szCs w:val="18"/>
                <w:lang w:eastAsia="sk-SK"/>
              </w:rPr>
            </w:pPr>
            <w:r w:rsidRPr="006E2C8B">
              <w:rPr>
                <w:color w:val="000000"/>
                <w:sz w:val="18"/>
                <w:szCs w:val="18"/>
                <w:lang w:eastAsia="sk-SK"/>
              </w:rPr>
              <w:t xml:space="preserve">     - Imputované príspevky na sociálne zabezpečenie</w:t>
            </w:r>
          </w:p>
        </w:tc>
        <w:tc>
          <w:tcPr>
            <w:tcW w:w="1807" w:type="dxa"/>
            <w:gridSpan w:val="3"/>
            <w:tcBorders>
              <w:top w:val="nil"/>
              <w:left w:val="nil"/>
              <w:bottom w:val="single" w:sz="4" w:space="0" w:color="auto"/>
              <w:right w:val="nil"/>
            </w:tcBorders>
            <w:shd w:val="clear" w:color="auto" w:fill="auto"/>
            <w:noWrap/>
            <w:vAlign w:val="center"/>
            <w:hideMark/>
          </w:tcPr>
          <w:p w14:paraId="1008C28C"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394 170</w:t>
            </w:r>
          </w:p>
        </w:tc>
        <w:tc>
          <w:tcPr>
            <w:tcW w:w="1160" w:type="dxa"/>
            <w:tcBorders>
              <w:top w:val="nil"/>
              <w:left w:val="nil"/>
              <w:bottom w:val="single" w:sz="4" w:space="0" w:color="auto"/>
              <w:right w:val="nil"/>
            </w:tcBorders>
            <w:shd w:val="clear" w:color="auto" w:fill="auto"/>
            <w:noWrap/>
            <w:vAlign w:val="center"/>
            <w:hideMark/>
          </w:tcPr>
          <w:p w14:paraId="3B1C3E37"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401 435</w:t>
            </w:r>
          </w:p>
        </w:tc>
        <w:tc>
          <w:tcPr>
            <w:tcW w:w="1162" w:type="dxa"/>
            <w:tcBorders>
              <w:top w:val="nil"/>
              <w:left w:val="nil"/>
              <w:bottom w:val="single" w:sz="4" w:space="0" w:color="auto"/>
              <w:right w:val="nil"/>
            </w:tcBorders>
            <w:shd w:val="clear" w:color="auto" w:fill="auto"/>
            <w:noWrap/>
            <w:vAlign w:val="center"/>
            <w:hideMark/>
          </w:tcPr>
          <w:p w14:paraId="458B9727" w14:textId="77777777" w:rsidR="00267B66" w:rsidRPr="006E2C8B" w:rsidRDefault="00267B66" w:rsidP="00267B66">
            <w:pPr>
              <w:spacing w:after="0" w:line="240" w:lineRule="auto"/>
              <w:jc w:val="right"/>
              <w:rPr>
                <w:color w:val="000000"/>
                <w:sz w:val="18"/>
                <w:szCs w:val="18"/>
                <w:lang w:eastAsia="sk-SK"/>
              </w:rPr>
            </w:pPr>
            <w:r w:rsidRPr="006E2C8B">
              <w:rPr>
                <w:sz w:val="18"/>
                <w:szCs w:val="18"/>
              </w:rPr>
              <w:t>422 342</w:t>
            </w:r>
          </w:p>
        </w:tc>
        <w:tc>
          <w:tcPr>
            <w:tcW w:w="1224" w:type="dxa"/>
            <w:tcBorders>
              <w:top w:val="nil"/>
              <w:left w:val="nil"/>
              <w:bottom w:val="single" w:sz="4" w:space="0" w:color="auto"/>
              <w:right w:val="nil"/>
            </w:tcBorders>
            <w:shd w:val="clear" w:color="auto" w:fill="auto"/>
            <w:noWrap/>
            <w:vAlign w:val="center"/>
            <w:hideMark/>
          </w:tcPr>
          <w:p w14:paraId="17327E79" w14:textId="77777777" w:rsidR="00267B66" w:rsidRPr="006E2C8B" w:rsidRDefault="00267B66" w:rsidP="00267B66">
            <w:pPr>
              <w:tabs>
                <w:tab w:val="decimal" w:pos="174"/>
              </w:tabs>
              <w:spacing w:after="0" w:line="240" w:lineRule="auto"/>
              <w:ind w:right="-71"/>
              <w:jc w:val="center"/>
              <w:rPr>
                <w:color w:val="000000"/>
                <w:sz w:val="18"/>
                <w:szCs w:val="18"/>
                <w:lang w:eastAsia="sk-SK"/>
              </w:rPr>
            </w:pPr>
            <w:r w:rsidRPr="006E2C8B">
              <w:rPr>
                <w:color w:val="000000"/>
                <w:sz w:val="18"/>
                <w:szCs w:val="18"/>
              </w:rPr>
              <w:t>5,2</w:t>
            </w:r>
          </w:p>
        </w:tc>
      </w:tr>
      <w:tr w:rsidR="00267B66" w:rsidRPr="002746C4" w14:paraId="4BB85190" w14:textId="77777777" w:rsidTr="00267B66">
        <w:trPr>
          <w:trHeight w:val="560"/>
        </w:trPr>
        <w:tc>
          <w:tcPr>
            <w:tcW w:w="3994" w:type="dxa"/>
            <w:tcBorders>
              <w:top w:val="nil"/>
              <w:left w:val="nil"/>
              <w:bottom w:val="single" w:sz="4" w:space="0" w:color="auto"/>
              <w:right w:val="nil"/>
            </w:tcBorders>
            <w:shd w:val="clear" w:color="auto" w:fill="auto"/>
            <w:noWrap/>
            <w:vAlign w:val="center"/>
            <w:hideMark/>
          </w:tcPr>
          <w:p w14:paraId="0BC17EA9" w14:textId="77777777" w:rsidR="00267B66" w:rsidRPr="006E2C8B" w:rsidRDefault="00267B66" w:rsidP="00267B66">
            <w:pPr>
              <w:spacing w:after="0" w:line="240" w:lineRule="auto"/>
              <w:jc w:val="both"/>
              <w:rPr>
                <w:b/>
                <w:bCs/>
                <w:i/>
                <w:iCs/>
                <w:color w:val="000000"/>
                <w:sz w:val="18"/>
                <w:szCs w:val="18"/>
                <w:lang w:eastAsia="sk-SK"/>
              </w:rPr>
            </w:pPr>
            <w:r w:rsidRPr="006E2C8B">
              <w:rPr>
                <w:b/>
                <w:bCs/>
                <w:i/>
                <w:iCs/>
                <w:color w:val="000000"/>
                <w:sz w:val="18"/>
                <w:szCs w:val="18"/>
                <w:lang w:eastAsia="sk-SK"/>
              </w:rPr>
              <w:t>Daňové a odvodové príjmy VS prognózované IFP podľa EKRK</w:t>
            </w:r>
          </w:p>
        </w:tc>
        <w:tc>
          <w:tcPr>
            <w:tcW w:w="1807" w:type="dxa"/>
            <w:gridSpan w:val="3"/>
            <w:tcBorders>
              <w:top w:val="nil"/>
              <w:left w:val="nil"/>
              <w:bottom w:val="single" w:sz="4" w:space="0" w:color="auto"/>
              <w:right w:val="nil"/>
            </w:tcBorders>
            <w:shd w:val="clear" w:color="auto" w:fill="auto"/>
            <w:noWrap/>
            <w:vAlign w:val="center"/>
            <w:hideMark/>
          </w:tcPr>
          <w:p w14:paraId="1924C54E" w14:textId="77777777" w:rsidR="00267B66" w:rsidRPr="006E2C8B" w:rsidRDefault="00267B66" w:rsidP="00267B66">
            <w:pPr>
              <w:spacing w:after="0" w:line="240" w:lineRule="auto"/>
              <w:jc w:val="right"/>
              <w:rPr>
                <w:b/>
                <w:bCs/>
                <w:i/>
                <w:iCs/>
                <w:color w:val="000000"/>
                <w:sz w:val="18"/>
                <w:szCs w:val="18"/>
                <w:lang w:eastAsia="sk-SK"/>
              </w:rPr>
            </w:pPr>
            <w:r w:rsidRPr="006E2C8B">
              <w:rPr>
                <w:color w:val="000000"/>
                <w:sz w:val="18"/>
                <w:szCs w:val="18"/>
              </w:rPr>
              <w:t>31 736 509</w:t>
            </w:r>
          </w:p>
        </w:tc>
        <w:tc>
          <w:tcPr>
            <w:tcW w:w="1160" w:type="dxa"/>
            <w:tcBorders>
              <w:top w:val="nil"/>
              <w:left w:val="nil"/>
              <w:bottom w:val="single" w:sz="4" w:space="0" w:color="auto"/>
              <w:right w:val="nil"/>
            </w:tcBorders>
            <w:shd w:val="clear" w:color="auto" w:fill="auto"/>
            <w:noWrap/>
            <w:vAlign w:val="center"/>
            <w:hideMark/>
          </w:tcPr>
          <w:p w14:paraId="32B205BF" w14:textId="77777777" w:rsidR="00267B66" w:rsidRPr="006E2C8B" w:rsidRDefault="00267B66" w:rsidP="00267B66">
            <w:pPr>
              <w:spacing w:after="0" w:line="240" w:lineRule="auto"/>
              <w:jc w:val="right"/>
              <w:rPr>
                <w:b/>
                <w:bCs/>
                <w:i/>
                <w:iCs/>
                <w:color w:val="000000"/>
                <w:sz w:val="18"/>
                <w:szCs w:val="18"/>
                <w:lang w:eastAsia="sk-SK"/>
              </w:rPr>
            </w:pPr>
            <w:r w:rsidRPr="006E2C8B">
              <w:rPr>
                <w:sz w:val="18"/>
                <w:szCs w:val="18"/>
              </w:rPr>
              <w:t>35 237 494</w:t>
            </w:r>
          </w:p>
        </w:tc>
        <w:tc>
          <w:tcPr>
            <w:tcW w:w="1162" w:type="dxa"/>
            <w:tcBorders>
              <w:top w:val="nil"/>
              <w:left w:val="nil"/>
              <w:bottom w:val="single" w:sz="4" w:space="0" w:color="auto"/>
              <w:right w:val="nil"/>
            </w:tcBorders>
            <w:shd w:val="clear" w:color="auto" w:fill="auto"/>
            <w:noWrap/>
            <w:vAlign w:val="center"/>
            <w:hideMark/>
          </w:tcPr>
          <w:p w14:paraId="72934401" w14:textId="77777777" w:rsidR="00267B66" w:rsidRPr="006E2C8B" w:rsidRDefault="00267B66" w:rsidP="00267B66">
            <w:pPr>
              <w:spacing w:after="0" w:line="240" w:lineRule="auto"/>
              <w:jc w:val="right"/>
              <w:rPr>
                <w:b/>
                <w:bCs/>
                <w:i/>
                <w:iCs/>
                <w:color w:val="000000"/>
                <w:sz w:val="18"/>
                <w:szCs w:val="18"/>
                <w:lang w:eastAsia="sk-SK"/>
              </w:rPr>
            </w:pPr>
            <w:r w:rsidRPr="006E2C8B">
              <w:rPr>
                <w:sz w:val="18"/>
                <w:szCs w:val="18"/>
              </w:rPr>
              <w:t>38 580 565</w:t>
            </w:r>
          </w:p>
        </w:tc>
        <w:tc>
          <w:tcPr>
            <w:tcW w:w="1224" w:type="dxa"/>
            <w:tcBorders>
              <w:top w:val="nil"/>
              <w:left w:val="nil"/>
              <w:bottom w:val="single" w:sz="4" w:space="0" w:color="auto"/>
              <w:right w:val="nil"/>
            </w:tcBorders>
            <w:shd w:val="clear" w:color="auto" w:fill="auto"/>
            <w:noWrap/>
            <w:vAlign w:val="center"/>
            <w:hideMark/>
          </w:tcPr>
          <w:p w14:paraId="16A4CF7B" w14:textId="77777777" w:rsidR="00267B66" w:rsidRPr="006E2C8B" w:rsidRDefault="00267B66" w:rsidP="00267B66">
            <w:pPr>
              <w:tabs>
                <w:tab w:val="left" w:pos="315"/>
              </w:tabs>
              <w:spacing w:after="0" w:line="240" w:lineRule="auto"/>
              <w:ind w:right="-71"/>
              <w:jc w:val="center"/>
              <w:rPr>
                <w:b/>
                <w:bCs/>
                <w:i/>
                <w:iCs/>
                <w:color w:val="000000"/>
                <w:sz w:val="18"/>
                <w:szCs w:val="18"/>
                <w:lang w:eastAsia="sk-SK"/>
              </w:rPr>
            </w:pPr>
            <w:r w:rsidRPr="006E2C8B">
              <w:rPr>
                <w:color w:val="000000"/>
                <w:sz w:val="18"/>
                <w:szCs w:val="18"/>
              </w:rPr>
              <w:t>9,5</w:t>
            </w:r>
          </w:p>
        </w:tc>
      </w:tr>
    </w:tbl>
    <w:p w14:paraId="791DDDC5" w14:textId="79B38604" w:rsidR="00267B66" w:rsidRPr="00263772" w:rsidRDefault="00267B66" w:rsidP="00267B66">
      <w:pPr>
        <w:spacing w:after="0" w:line="240" w:lineRule="auto"/>
        <w:jc w:val="both"/>
        <w:rPr>
          <w:sz w:val="16"/>
          <w:szCs w:val="16"/>
          <w:lang w:eastAsia="sk-SK"/>
        </w:rPr>
      </w:pPr>
      <w:r w:rsidRPr="00304F49">
        <w:rPr>
          <w:sz w:val="16"/>
          <w:szCs w:val="16"/>
          <w:lang w:eastAsia="sk-SK"/>
        </w:rPr>
        <w:t>*ostatné obsahuje štátom platené poistné a poistné za ozbrojené zložky</w:t>
      </w:r>
      <w:r w:rsidRPr="00304F49">
        <w:rPr>
          <w:sz w:val="16"/>
          <w:szCs w:val="16"/>
          <w:lang w:eastAsia="sk-SK"/>
        </w:rPr>
        <w:tab/>
      </w:r>
      <w:r w:rsidRPr="00304F49">
        <w:rPr>
          <w:sz w:val="16"/>
          <w:szCs w:val="16"/>
          <w:lang w:eastAsia="sk-SK"/>
        </w:rPr>
        <w:tab/>
      </w:r>
      <w:r w:rsidRPr="00304F49">
        <w:rPr>
          <w:sz w:val="16"/>
          <w:szCs w:val="16"/>
          <w:lang w:eastAsia="sk-SK"/>
        </w:rPr>
        <w:tab/>
        <w:t xml:space="preserve">                                            Zdroj: ŠÚ</w:t>
      </w:r>
      <w:r w:rsidR="00304F49">
        <w:rPr>
          <w:sz w:val="16"/>
          <w:szCs w:val="16"/>
          <w:lang w:eastAsia="sk-SK"/>
        </w:rPr>
        <w:t xml:space="preserve"> </w:t>
      </w:r>
      <w:r w:rsidRPr="00304F49">
        <w:rPr>
          <w:sz w:val="16"/>
          <w:szCs w:val="16"/>
          <w:lang w:eastAsia="sk-SK"/>
        </w:rPr>
        <w:t>SR, IFP</w:t>
      </w:r>
    </w:p>
    <w:p w14:paraId="09D1D451" w14:textId="5BB71793" w:rsidR="00267B66" w:rsidRPr="00304F49" w:rsidRDefault="00267B66" w:rsidP="00267B66">
      <w:pPr>
        <w:spacing w:line="240" w:lineRule="auto"/>
        <w:jc w:val="both"/>
        <w:rPr>
          <w:sz w:val="16"/>
          <w:szCs w:val="16"/>
          <w:lang w:eastAsia="sk-SK"/>
        </w:rPr>
      </w:pPr>
      <w:r w:rsidRPr="00304F49">
        <w:rPr>
          <w:sz w:val="16"/>
          <w:szCs w:val="16"/>
          <w:lang w:eastAsia="sk-SK"/>
        </w:rPr>
        <w:t>Pozn.: Daňové a odvodové príjmy VS prognózované IFP podľa EKRK tvoria cca. 90</w:t>
      </w:r>
      <w:r w:rsidR="004D02C1">
        <w:rPr>
          <w:sz w:val="16"/>
          <w:szCs w:val="16"/>
          <w:lang w:eastAsia="sk-SK"/>
        </w:rPr>
        <w:t>,0</w:t>
      </w:r>
      <w:r w:rsidRPr="00304F49">
        <w:rPr>
          <w:sz w:val="16"/>
          <w:szCs w:val="16"/>
          <w:lang w:eastAsia="sk-SK"/>
        </w:rPr>
        <w:t> % celkových vykazovaných daňovo-odvodových</w:t>
      </w:r>
      <w:r w:rsidR="002D60B6">
        <w:rPr>
          <w:sz w:val="16"/>
          <w:szCs w:val="16"/>
          <w:lang w:eastAsia="sk-SK"/>
        </w:rPr>
        <w:t xml:space="preserve"> príjmov (posledný riadok v ta</w:t>
      </w:r>
      <w:r w:rsidRPr="00304F49">
        <w:rPr>
          <w:sz w:val="16"/>
          <w:szCs w:val="16"/>
          <w:lang w:eastAsia="sk-SK"/>
        </w:rPr>
        <w:t>buľke).</w:t>
      </w:r>
    </w:p>
    <w:tbl>
      <w:tblPr>
        <w:tblStyle w:val="Mriekatabuky"/>
        <w:tblpPr w:leftFromText="141" w:rightFromText="141" w:vertAnchor="text" w:horzAnchor="margin" w:tblpY="10"/>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698"/>
        <w:gridCol w:w="4656"/>
      </w:tblGrid>
      <w:tr w:rsidR="003724FD" w:rsidRPr="002746C4" w14:paraId="3214B06C" w14:textId="77777777" w:rsidTr="003724FD">
        <w:trPr>
          <w:trHeight w:val="2829"/>
        </w:trPr>
        <w:tc>
          <w:tcPr>
            <w:tcW w:w="4698" w:type="dxa"/>
          </w:tcPr>
          <w:p w14:paraId="5C4B7F2C" w14:textId="77777777" w:rsidR="003724FD" w:rsidRDefault="003724FD" w:rsidP="003724FD">
            <w:pPr>
              <w:pStyle w:val="Popis"/>
              <w:framePr w:hSpace="0" w:wrap="auto" w:vAnchor="margin" w:hAnchor="text" w:xAlign="left" w:yAlign="inline"/>
            </w:pPr>
            <w:r>
              <w:t xml:space="preserve">Graf </w:t>
            </w:r>
            <w:r w:rsidR="001F05DE">
              <w:fldChar w:fldCharType="begin"/>
            </w:r>
            <w:r w:rsidR="001F05DE">
              <w:instrText xml:space="preserve"> SEQ Graf \* ARABIC </w:instrText>
            </w:r>
            <w:r w:rsidR="001F05DE">
              <w:fldChar w:fldCharType="separate"/>
            </w:r>
            <w:r>
              <w:rPr>
                <w:noProof/>
              </w:rPr>
              <w:t>1</w:t>
            </w:r>
            <w:r w:rsidR="001F05DE">
              <w:rPr>
                <w:noProof/>
              </w:rPr>
              <w:fldChar w:fldCharType="end"/>
            </w:r>
            <w:r>
              <w:t xml:space="preserve"> - </w:t>
            </w:r>
            <w:r w:rsidRPr="002F3F7D">
              <w:t>Medziročný vývoj daňových a odvodových príjmov</w:t>
            </w:r>
            <w:r>
              <w:t xml:space="preserve"> VS podľa jednotlivých faktorov                      </w:t>
            </w:r>
            <w:r w:rsidRPr="002F3F7D">
              <w:t>(ESA 2010, v mil. eur)</w:t>
            </w:r>
          </w:p>
          <w:p w14:paraId="575AA262" w14:textId="77777777" w:rsidR="003724FD" w:rsidRPr="00263772" w:rsidRDefault="003724FD" w:rsidP="003724FD">
            <w:pPr>
              <w:jc w:val="center"/>
              <w:rPr>
                <w:color w:val="FF0000"/>
              </w:rPr>
            </w:pPr>
            <w:r w:rsidRPr="00263772">
              <w:rPr>
                <w:noProof/>
                <w:color w:val="FF0000"/>
              </w:rPr>
              <w:drawing>
                <wp:inline distT="0" distB="0" distL="0" distR="0" wp14:anchorId="5EC0F9D2" wp14:editId="2C3CDE48">
                  <wp:extent cx="2720358" cy="1650213"/>
                  <wp:effectExtent l="0" t="0" r="3810" b="762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7510" cy="1654551"/>
                          </a:xfrm>
                          <a:prstGeom prst="rect">
                            <a:avLst/>
                          </a:prstGeom>
                          <a:noFill/>
                        </pic:spPr>
                      </pic:pic>
                    </a:graphicData>
                  </a:graphic>
                </wp:inline>
              </w:drawing>
            </w:r>
          </w:p>
        </w:tc>
        <w:tc>
          <w:tcPr>
            <w:tcW w:w="4656" w:type="dxa"/>
          </w:tcPr>
          <w:p w14:paraId="4B147CEA" w14:textId="77777777" w:rsidR="003724FD" w:rsidRDefault="003724FD" w:rsidP="003724FD">
            <w:pPr>
              <w:pStyle w:val="Popis"/>
              <w:framePr w:hSpace="0" w:wrap="auto" w:vAnchor="margin" w:hAnchor="text" w:xAlign="left" w:yAlign="inline"/>
            </w:pPr>
            <w:r>
              <w:t xml:space="preserve">Graf </w:t>
            </w:r>
            <w:r w:rsidR="001F05DE">
              <w:fldChar w:fldCharType="begin"/>
            </w:r>
            <w:r w:rsidR="001F05DE">
              <w:instrText xml:space="preserve"> SEQ Graf \* ARABIC </w:instrText>
            </w:r>
            <w:r w:rsidR="001F05DE">
              <w:fldChar w:fldCharType="separate"/>
            </w:r>
            <w:r>
              <w:rPr>
                <w:noProof/>
              </w:rPr>
              <w:t>2</w:t>
            </w:r>
            <w:r w:rsidR="001F05DE">
              <w:rPr>
                <w:noProof/>
              </w:rPr>
              <w:fldChar w:fldCharType="end"/>
            </w:r>
            <w:r>
              <w:t xml:space="preserve"> - Medziročný vývoj daňových a odvodových príjmov VS podľa daní a odvodov                       (ESA 2010, v mil. eur)</w:t>
            </w:r>
          </w:p>
          <w:p w14:paraId="6C090BC0" w14:textId="77777777" w:rsidR="003724FD" w:rsidRPr="00263772" w:rsidRDefault="003724FD" w:rsidP="003724FD">
            <w:pPr>
              <w:jc w:val="center"/>
              <w:rPr>
                <w:color w:val="FF0000"/>
              </w:rPr>
            </w:pPr>
            <w:r w:rsidRPr="00263772">
              <w:rPr>
                <w:noProof/>
                <w:color w:val="FF0000"/>
              </w:rPr>
              <w:drawing>
                <wp:inline distT="0" distB="0" distL="0" distR="0" wp14:anchorId="362846B3" wp14:editId="422D1300">
                  <wp:extent cx="2573655" cy="1649730"/>
                  <wp:effectExtent l="0" t="0" r="0" b="762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4931" cy="1656958"/>
                          </a:xfrm>
                          <a:prstGeom prst="rect">
                            <a:avLst/>
                          </a:prstGeom>
                          <a:noFill/>
                        </pic:spPr>
                      </pic:pic>
                    </a:graphicData>
                  </a:graphic>
                </wp:inline>
              </w:drawing>
            </w:r>
          </w:p>
        </w:tc>
      </w:tr>
    </w:tbl>
    <w:p w14:paraId="5153482F" w14:textId="637977DA" w:rsidR="00535DF2" w:rsidRPr="003724FD" w:rsidRDefault="00666BB0" w:rsidP="003724FD">
      <w:pPr>
        <w:autoSpaceDE w:val="0"/>
        <w:autoSpaceDN w:val="0"/>
        <w:adjustRightInd w:val="0"/>
        <w:spacing w:after="120" w:line="240" w:lineRule="auto"/>
        <w:ind w:left="3545"/>
        <w:jc w:val="both"/>
        <w:rPr>
          <w:b/>
          <w:highlight w:val="yellow"/>
        </w:rPr>
      </w:pPr>
      <w:r>
        <w:rPr>
          <w:sz w:val="16"/>
          <w:szCs w:val="16"/>
          <w:lang w:eastAsia="sk-SK"/>
        </w:rPr>
        <w:tab/>
      </w:r>
      <w:r>
        <w:rPr>
          <w:sz w:val="16"/>
          <w:szCs w:val="16"/>
          <w:lang w:eastAsia="sk-SK"/>
        </w:rPr>
        <w:tab/>
      </w:r>
      <w:r>
        <w:rPr>
          <w:sz w:val="16"/>
          <w:szCs w:val="16"/>
          <w:lang w:eastAsia="sk-SK"/>
        </w:rPr>
        <w:tab/>
      </w:r>
      <w:r>
        <w:rPr>
          <w:sz w:val="16"/>
          <w:szCs w:val="16"/>
          <w:lang w:eastAsia="sk-SK"/>
        </w:rPr>
        <w:tab/>
      </w:r>
      <w:r>
        <w:rPr>
          <w:sz w:val="16"/>
          <w:szCs w:val="16"/>
          <w:lang w:eastAsia="sk-SK"/>
        </w:rPr>
        <w:tab/>
      </w:r>
      <w:r>
        <w:rPr>
          <w:sz w:val="16"/>
          <w:szCs w:val="16"/>
          <w:lang w:eastAsia="sk-SK"/>
        </w:rPr>
        <w:tab/>
        <w:t xml:space="preserve"> </w:t>
      </w:r>
      <w:r w:rsidR="0084621C" w:rsidRPr="00304F49">
        <w:rPr>
          <w:sz w:val="16"/>
          <w:szCs w:val="16"/>
          <w:lang w:eastAsia="sk-SK"/>
        </w:rPr>
        <w:t>Zdroj: IFP</w:t>
      </w:r>
    </w:p>
    <w:p w14:paraId="24795E1F" w14:textId="5CC37458" w:rsidR="00267B66" w:rsidRPr="002746C4" w:rsidRDefault="00267B66" w:rsidP="00267B66">
      <w:pPr>
        <w:autoSpaceDE w:val="0"/>
        <w:autoSpaceDN w:val="0"/>
        <w:adjustRightInd w:val="0"/>
        <w:spacing w:before="120" w:after="120" w:line="240" w:lineRule="auto"/>
        <w:jc w:val="both"/>
        <w:rPr>
          <w:b/>
          <w:highlight w:val="yellow"/>
        </w:rPr>
      </w:pPr>
      <w:r w:rsidRPr="00263772">
        <w:rPr>
          <w:b/>
        </w:rPr>
        <w:t xml:space="preserve">Daň z pridanej hodnoty (DPH) </w:t>
      </w:r>
      <w:r w:rsidRPr="00263772">
        <w:t>medziročne</w:t>
      </w:r>
      <w:r w:rsidR="00A6517C">
        <w:t xml:space="preserve"> stúpla o 1 406 986 tis.</w:t>
      </w:r>
      <w:r w:rsidRPr="00950565">
        <w:t xml:space="preserve"> eur (16,7 %). </w:t>
      </w:r>
      <w:r w:rsidRPr="00130E93">
        <w:t xml:space="preserve">Pod výrazné navýšenie výnosu DPH sa v roku 2023 podpísala </w:t>
      </w:r>
      <w:r>
        <w:t xml:space="preserve">najmä </w:t>
      </w:r>
      <w:r w:rsidRPr="00130E93">
        <w:t xml:space="preserve">nominálna spotreba domácností, ale aj jednorazové efekty, predovšetkým v podobe poskytnutej energopomoci domácnostiam, v malej miere i čerpanie prostriedkov z Plánu obnovy a odolnosti. K vysokému rastu </w:t>
      </w:r>
      <w:r>
        <w:t xml:space="preserve">významne </w:t>
      </w:r>
      <w:r w:rsidRPr="00130E93">
        <w:t xml:space="preserve">prispel aj faktor </w:t>
      </w:r>
      <w:r>
        <w:t xml:space="preserve">jednorazového </w:t>
      </w:r>
      <w:r w:rsidRPr="00130E93">
        <w:t xml:space="preserve">dodatočného splatenia DPH jedným </w:t>
      </w:r>
      <w:r>
        <w:t xml:space="preserve">právnickým </w:t>
      </w:r>
      <w:r w:rsidRPr="00130E93">
        <w:t>subjektom v rámci splátky za predošlé zdaňovacie obdobia.</w:t>
      </w:r>
      <w:r>
        <w:t xml:space="preserve"> Ako jediná ťahala výnos DPH nadol medziročne zhoršená efektivita výberu.</w:t>
      </w:r>
    </w:p>
    <w:p w14:paraId="5F1CA2A0" w14:textId="0412B61C" w:rsidR="00267B66" w:rsidRPr="002746C4" w:rsidRDefault="00267B66" w:rsidP="00267B66">
      <w:pPr>
        <w:spacing w:after="120" w:line="240" w:lineRule="auto"/>
        <w:jc w:val="both"/>
        <w:rPr>
          <w:highlight w:val="yellow"/>
        </w:rPr>
      </w:pPr>
      <w:r w:rsidRPr="00263772">
        <w:rPr>
          <w:b/>
        </w:rPr>
        <w:t>Spotrebné dane</w:t>
      </w:r>
      <w:r w:rsidRPr="00263772">
        <w:t xml:space="preserve"> (SD) vzrástli</w:t>
      </w:r>
      <w:r w:rsidRPr="00471F47">
        <w:t xml:space="preserve"> v </w:t>
      </w:r>
      <w:r w:rsidR="00A6517C">
        <w:t>roku 2023 o 8,0 % (223 504 </w:t>
      </w:r>
      <w:r w:rsidRPr="00950565">
        <w:t>tis.</w:t>
      </w:r>
      <w:r w:rsidR="00214ECD">
        <w:t> eur) (bez vplyvu SD za </w:t>
      </w:r>
      <w:r w:rsidRPr="00950565">
        <w:t>zelenú energiu medziročne vzrástli o 2</w:t>
      </w:r>
      <w:r w:rsidR="00A6517C">
        <w:t>,7 </w:t>
      </w:r>
      <w:r w:rsidRPr="00950565">
        <w:t>%)</w:t>
      </w:r>
      <w:r w:rsidRPr="00950565">
        <w:rPr>
          <w:rStyle w:val="Odkaznapoznmkupodiarou"/>
        </w:rPr>
        <w:footnoteReference w:id="14"/>
      </w:r>
      <w:r w:rsidRPr="00950565">
        <w:t>. Výnos spotrebných daní je tvorený najmä SD z minerálneho oleja a SD z tabakových výrobkov. Výnos spotrebnej dane z minerálneho oleja medziročne vzrástol o 1,6 % (+20</w:t>
      </w:r>
      <w:r w:rsidR="00A6517C">
        <w:t> </w:t>
      </w:r>
      <w:r w:rsidRPr="00950565">
        <w:t>909</w:t>
      </w:r>
      <w:r w:rsidR="00A6517C">
        <w:t> </w:t>
      </w:r>
      <w:r w:rsidR="00214ECD">
        <w:t>tis. </w:t>
      </w:r>
      <w:r w:rsidRPr="00950565">
        <w:t>eur), čo bolo spôsobené najmä vyššou výkonnosťou ekonomiky. Medziročný nárast výnosu spotrebnej dane z tabak</w:t>
      </w:r>
      <w:r w:rsidR="00A6517C">
        <w:t>ových výrobkov o 3,9 % (+35 354 </w:t>
      </w:r>
      <w:r w:rsidR="00214ECD">
        <w:t>tis. </w:t>
      </w:r>
      <w:r w:rsidRPr="00950565">
        <w:t xml:space="preserve">eur) tvorí predovšetkým vplyv zvýšenia sadzieb </w:t>
      </w:r>
      <w:r w:rsidRPr="001272F7">
        <w:t>spotrebnej dane z jednotlivých tabakových výrobkov.</w:t>
      </w:r>
    </w:p>
    <w:p w14:paraId="6897CC62" w14:textId="035BE2C6" w:rsidR="00267B66" w:rsidRPr="002746C4" w:rsidRDefault="00267B66" w:rsidP="00267B66">
      <w:pPr>
        <w:spacing w:after="120" w:line="240" w:lineRule="auto"/>
        <w:jc w:val="both"/>
        <w:rPr>
          <w:highlight w:val="yellow"/>
        </w:rPr>
      </w:pPr>
      <w:r w:rsidRPr="001272F7">
        <w:t xml:space="preserve">Výnos </w:t>
      </w:r>
      <w:r w:rsidRPr="001272F7">
        <w:rPr>
          <w:b/>
        </w:rPr>
        <w:t>dane z príjmu právnických osôb</w:t>
      </w:r>
      <w:r w:rsidRPr="001272F7">
        <w:t xml:space="preserve"> medzir</w:t>
      </w:r>
      <w:r w:rsidR="00025966">
        <w:t>očne vzrástol</w:t>
      </w:r>
      <w:r w:rsidR="00214ECD">
        <w:t xml:space="preserve"> o 11,7 </w:t>
      </w:r>
      <w:r w:rsidR="00A6517C">
        <w:t>% (469 724 </w:t>
      </w:r>
      <w:r w:rsidR="00214ECD">
        <w:t>tis. </w:t>
      </w:r>
      <w:r w:rsidRPr="001272F7">
        <w:t>eur). V tomto výnose podľa metodiky ESA 2010 je okrem dane z príjmu právnických osôb (DP</w:t>
      </w:r>
      <w:r w:rsidR="00214ECD">
        <w:t xml:space="preserve">PO) zahrnutý aj osobitný odvod </w:t>
      </w:r>
      <w:r w:rsidRPr="001272F7">
        <w:t xml:space="preserve">z podnikania v regulovaných odvetviach. </w:t>
      </w:r>
      <w:r w:rsidRPr="00464A09">
        <w:t xml:space="preserve">Výnos DPPO </w:t>
      </w:r>
      <w:r w:rsidR="00ED5428" w:rsidRPr="00ED5428">
        <w:t xml:space="preserve">(bez osobitného odvodu z podnikania v regulovaných odvetviach) </w:t>
      </w:r>
      <w:r w:rsidRPr="00ED5428">
        <w:t>vzrás</w:t>
      </w:r>
      <w:r w:rsidR="00A6517C" w:rsidRPr="00ED5428">
        <w:t>tol oproti roku 2022 o 446 274 </w:t>
      </w:r>
      <w:r w:rsidR="00214ECD" w:rsidRPr="00ED5428">
        <w:t>tis. </w:t>
      </w:r>
      <w:r w:rsidRPr="00ED5428">
        <w:t>eur, čo p</w:t>
      </w:r>
      <w:r w:rsidR="00214ECD" w:rsidRPr="00ED5428">
        <w:t xml:space="preserve">redstavuje medziročný rast </w:t>
      </w:r>
      <w:r w:rsidR="00214ECD" w:rsidRPr="00ED5428">
        <w:lastRenderedPageBreak/>
        <w:t>11,4 </w:t>
      </w:r>
      <w:r w:rsidRPr="00ED5428">
        <w:t>%. Napriek tomu, že výnos dane bol silný, spomalil za</w:t>
      </w:r>
      <w:r w:rsidR="00C860A6" w:rsidRPr="00ED5428">
        <w:t> </w:t>
      </w:r>
      <w:r w:rsidRPr="00ED5428">
        <w:t>vývojom makrobázy, ktorá v roku 2023 rástla 12,9</w:t>
      </w:r>
      <w:r w:rsidR="00A6517C" w:rsidRPr="00ED5428">
        <w:t> </w:t>
      </w:r>
      <w:r w:rsidRPr="00ED5428">
        <w:t>%, čo sa prejavilo na poklese efektívnej daňovej sadzby. Výnos z osobitného odv</w:t>
      </w:r>
      <w:r w:rsidRPr="00464A09">
        <w:t>odu z podnikania v regulovaných odvetviach vzrástol medziročne o 25,1</w:t>
      </w:r>
      <w:r w:rsidR="00A6517C">
        <w:t> </w:t>
      </w:r>
      <w:r w:rsidRPr="00464A09">
        <w:t>% (+23</w:t>
      </w:r>
      <w:r w:rsidR="00A6517C">
        <w:t> </w:t>
      </w:r>
      <w:r w:rsidRPr="00464A09">
        <w:t>450</w:t>
      </w:r>
      <w:r w:rsidR="00A6517C">
        <w:t> </w:t>
      </w:r>
      <w:r w:rsidRPr="00464A09">
        <w:t>tis.</w:t>
      </w:r>
      <w:r w:rsidR="00A6517C">
        <w:t> </w:t>
      </w:r>
      <w:r w:rsidRPr="00464A09">
        <w:t>eur). Podobne ako pri DPPO, je za</w:t>
      </w:r>
      <w:r w:rsidR="008A1278">
        <w:t> </w:t>
      </w:r>
      <w:r w:rsidRPr="00464A09">
        <w:t>vyšším výnosom najmä vyššia ziskovosť firiem</w:t>
      </w:r>
      <w:r>
        <w:t xml:space="preserve"> podliehajúcich plateniu tohto odvodu</w:t>
      </w:r>
      <w:r w:rsidRPr="00464A09">
        <w:t>.</w:t>
      </w:r>
    </w:p>
    <w:p w14:paraId="2288B9E6" w14:textId="694B5130" w:rsidR="00267B66" w:rsidRDefault="00267B66" w:rsidP="00267B66">
      <w:pPr>
        <w:spacing w:after="120" w:line="240" w:lineRule="auto"/>
        <w:jc w:val="both"/>
      </w:pPr>
      <w:r w:rsidRPr="00937C4E">
        <w:rPr>
          <w:b/>
        </w:rPr>
        <w:t>Solidárny príspevok z činností v odvetviach ropy, zemného plynu, uhlia a rafinérií</w:t>
      </w:r>
      <w:r w:rsidRPr="00937C4E">
        <w:t xml:space="preserve"> vznikol implementáciou nariadenia Rady</w:t>
      </w:r>
      <w:r w:rsidR="00A023CD">
        <w:t> </w:t>
      </w:r>
      <w:r w:rsidRPr="00937C4E">
        <w:t>(EÚ)</w:t>
      </w:r>
      <w:r w:rsidR="00A023CD">
        <w:t> </w:t>
      </w:r>
      <w:r w:rsidRPr="00937C4E">
        <w:t>2022/1854 zo 6.</w:t>
      </w:r>
      <w:r w:rsidR="00A023CD">
        <w:t> </w:t>
      </w:r>
      <w:r w:rsidRPr="00937C4E">
        <w:t>októbra 2022. Účinnosť bola pôvodne nastavená len na rok 2023 (ale ekonomicky sa príspevok týkal obdobia za</w:t>
      </w:r>
      <w:r w:rsidR="00D56A76">
        <w:t> </w:t>
      </w:r>
      <w:r w:rsidRPr="00937C4E">
        <w:t>rok 2022), následne bol predĺžený aj na</w:t>
      </w:r>
      <w:r w:rsidR="00D56A76">
        <w:t> </w:t>
      </w:r>
      <w:r w:rsidRPr="00937C4E">
        <w:t xml:space="preserve">rok 2024 (akruálne </w:t>
      </w:r>
      <w:r w:rsidR="00DA2997">
        <w:t>z</w:t>
      </w:r>
      <w:r w:rsidRPr="00937C4E">
        <w:t>a rok 2023) so zvýšenou sadbou z</w:t>
      </w:r>
      <w:r w:rsidR="004D02C1">
        <w:t> </w:t>
      </w:r>
      <w:r w:rsidRPr="00937C4E">
        <w:t>55</w:t>
      </w:r>
      <w:r w:rsidR="004D02C1">
        <w:t>,0</w:t>
      </w:r>
      <w:r w:rsidR="00214ECD">
        <w:t> </w:t>
      </w:r>
      <w:r w:rsidRPr="00937C4E">
        <w:t>% na 70</w:t>
      </w:r>
      <w:r w:rsidR="004D02C1">
        <w:t>,0</w:t>
      </w:r>
      <w:r w:rsidR="00214ECD">
        <w:t> </w:t>
      </w:r>
      <w:r w:rsidRPr="00937C4E">
        <w:t xml:space="preserve">%. Avšak podľa </w:t>
      </w:r>
      <w:r w:rsidR="00DA2997" w:rsidRPr="00937C4E">
        <w:t xml:space="preserve"> </w:t>
      </w:r>
      <w:r w:rsidRPr="00937C4E">
        <w:t xml:space="preserve">informácií </w:t>
      </w:r>
      <w:r w:rsidR="00DA2997">
        <w:t xml:space="preserve">z jesennej notifikácie </w:t>
      </w:r>
      <w:r w:rsidRPr="00464A09">
        <w:t>významný subjekt túto daň nezaplatí, nakoľko sa nenapln</w:t>
      </w:r>
      <w:r w:rsidR="00D56A76">
        <w:t>ili legislatívne predpoklady na </w:t>
      </w:r>
      <w:r w:rsidRPr="00464A09">
        <w:t>odvedenie dane.</w:t>
      </w:r>
    </w:p>
    <w:p w14:paraId="72506E6A" w14:textId="294A9B0F" w:rsidR="00267B66" w:rsidRPr="002746C4" w:rsidRDefault="00267B66" w:rsidP="00267B66">
      <w:pPr>
        <w:spacing w:after="120" w:line="240" w:lineRule="auto"/>
        <w:jc w:val="both"/>
        <w:rPr>
          <w:highlight w:val="yellow"/>
        </w:rPr>
      </w:pPr>
      <w:r w:rsidRPr="00464A09">
        <w:rPr>
          <w:b/>
        </w:rPr>
        <w:t>Daň z príjm</w:t>
      </w:r>
      <w:r>
        <w:rPr>
          <w:b/>
        </w:rPr>
        <w:t>ov</w:t>
      </w:r>
      <w:r w:rsidRPr="00464A09">
        <w:rPr>
          <w:b/>
        </w:rPr>
        <w:t xml:space="preserve"> fyzických osôb</w:t>
      </w:r>
      <w:r w:rsidR="00B6008D">
        <w:rPr>
          <w:b/>
        </w:rPr>
        <w:t xml:space="preserve"> (DPFO)</w:t>
      </w:r>
      <w:r w:rsidRPr="001D4F6D">
        <w:rPr>
          <w:b/>
          <w:bCs/>
        </w:rPr>
        <w:t xml:space="preserve"> zo závislej činnosti</w:t>
      </w:r>
      <w:r w:rsidRPr="00464A09">
        <w:t xml:space="preserve"> zaznamenala medziročné tempo rastu 14,3 % (567 139 tis. eur). </w:t>
      </w:r>
      <w:r w:rsidRPr="00D143BB">
        <w:t>Za vysokým rastom je najmä vysoký rast miezd (+9,7</w:t>
      </w:r>
      <w:r>
        <w:t> </w:t>
      </w:r>
      <w:r w:rsidRPr="00D143BB">
        <w:t xml:space="preserve">%), ktorý je umocnený vplyvom tichého zdanenia. Tento jav je spôsobený </w:t>
      </w:r>
      <w:r>
        <w:t>naviazaním</w:t>
      </w:r>
      <w:r w:rsidRPr="00D143BB">
        <w:t xml:space="preserve"> nezdaniteľn</w:t>
      </w:r>
      <w:r>
        <w:t>ej</w:t>
      </w:r>
      <w:r w:rsidRPr="00D143BB">
        <w:t xml:space="preserve"> časti základu dane a in</w:t>
      </w:r>
      <w:r>
        <w:t>ých</w:t>
      </w:r>
      <w:r w:rsidRPr="00D143BB">
        <w:t xml:space="preserve"> parametr</w:t>
      </w:r>
      <w:r>
        <w:t>ov</w:t>
      </w:r>
      <w:r w:rsidRPr="00D143BB">
        <w:t xml:space="preserve"> </w:t>
      </w:r>
      <w:r w:rsidRPr="004A462B">
        <w:t>systému dane z príjmov na sumu životného minima, ktorá v roku 2023 rástla pomalšie než mzdy. Výnos DPFO z podnikania</w:t>
      </w:r>
      <w:r w:rsidRPr="00D24131">
        <w:rPr>
          <w:b/>
        </w:rPr>
        <w:t xml:space="preserve"> </w:t>
      </w:r>
      <w:r w:rsidRPr="006845CA">
        <w:rPr>
          <w:bCs/>
        </w:rPr>
        <w:t>medziročne klesol</w:t>
      </w:r>
      <w:r>
        <w:rPr>
          <w:b/>
        </w:rPr>
        <w:t xml:space="preserve"> </w:t>
      </w:r>
      <w:r w:rsidRPr="00D24131">
        <w:t>o 19,4 %</w:t>
      </w:r>
      <w:r>
        <w:t>. Hlavným dôvodom je nepretavenie m</w:t>
      </w:r>
      <w:r w:rsidRPr="00E93740">
        <w:t>akroekonomick</w:t>
      </w:r>
      <w:r>
        <w:t xml:space="preserve">ých predpokladov </w:t>
      </w:r>
      <w:r w:rsidRPr="00E93740">
        <w:t>do zvýšenej ziskovosti živnostníkov</w:t>
      </w:r>
      <w:r>
        <w:t>. Pokles je spôsobený aj vyšším n</w:t>
      </w:r>
      <w:r w:rsidR="00D56A76">
        <w:t>egatívnym vyrovnaním dohodárov.</w:t>
      </w:r>
    </w:p>
    <w:p w14:paraId="12A8CBC0" w14:textId="7C5136A5" w:rsidR="00267B66" w:rsidRPr="002746C4" w:rsidRDefault="00267B66" w:rsidP="00267B66">
      <w:pPr>
        <w:spacing w:after="120" w:line="240" w:lineRule="auto"/>
        <w:jc w:val="both"/>
        <w:rPr>
          <w:highlight w:val="yellow"/>
        </w:rPr>
      </w:pPr>
      <w:r w:rsidRPr="004A462B">
        <w:rPr>
          <w:b/>
        </w:rPr>
        <w:t>Príspevky na sociálne zabezpečenie (sociálne aj zdravotné odvody platené ekonomicky aktívnym obyvateľstvom (vrátane dlžného poistného))</w:t>
      </w:r>
      <w:r w:rsidRPr="004A462B">
        <w:t xml:space="preserve"> medziročne</w:t>
      </w:r>
      <w:r w:rsidR="00D56A76">
        <w:t xml:space="preserve"> vzrástli o 8,2 </w:t>
      </w:r>
      <w:r w:rsidRPr="00464A09">
        <w:t>%.</w:t>
      </w:r>
      <w:r>
        <w:t xml:space="preserve"> K nárastu prispel rast makroekonomických indikátorov, primárne mzdy a</w:t>
      </w:r>
      <w:r w:rsidR="00D56A76">
        <w:t> čiastočne aj zamestnanosti. Na </w:t>
      </w:r>
      <w:r>
        <w:t>výber zdravotných odvodov pozitívne vplývalo zavedenie minimálneho poistného</w:t>
      </w:r>
      <w:r w:rsidR="000A496D">
        <w:rPr>
          <w:rStyle w:val="Odkaznapoznmkupodiarou"/>
        </w:rPr>
        <w:footnoteReference w:id="15"/>
      </w:r>
      <w:r>
        <w:t>. Sociálne odvody boli pod</w:t>
      </w:r>
      <w:r w:rsidR="00D56A76">
        <w:t> </w:t>
      </w:r>
      <w:r>
        <w:t>vplyvom viacerých novo-zavedených legisl</w:t>
      </w:r>
      <w:r w:rsidR="00D56A76">
        <w:t>atívnych opatrení. Negatívne na </w:t>
      </w:r>
      <w:r>
        <w:t>výber vplývalo zavedenie odvodovo-odpočítateľnej položky pre sezónnych pracovníkov a odpustenie odvodov v sektore potravinárs</w:t>
      </w:r>
      <w:r w:rsidR="00D56A76">
        <w:t>tva. Zmeny v II. </w:t>
      </w:r>
      <w:r>
        <w:t>pilieri jednak zvyšovali výber do</w:t>
      </w:r>
      <w:r w:rsidR="00D56A76">
        <w:t> I. </w:t>
      </w:r>
      <w:r>
        <w:t>pilie</w:t>
      </w:r>
      <w:r w:rsidR="00D56A76">
        <w:t>ra zmrazením výšky príspevku do II. </w:t>
      </w:r>
      <w:r>
        <w:t>piliera, a na druhej strane výber znižovali po zavedení automatického vstupu do II. piliera.</w:t>
      </w:r>
    </w:p>
    <w:p w14:paraId="054F69E5" w14:textId="6F62566D" w:rsidR="00D74F08" w:rsidRPr="002746C4" w:rsidRDefault="00267B66" w:rsidP="00267B66">
      <w:pPr>
        <w:spacing w:after="120" w:line="240" w:lineRule="auto"/>
        <w:jc w:val="both"/>
        <w:rPr>
          <w:highlight w:val="yellow"/>
        </w:rPr>
      </w:pPr>
      <w:r w:rsidRPr="004A462B">
        <w:rPr>
          <w:b/>
        </w:rPr>
        <w:t>Daň vyberaná zrážkou</w:t>
      </w:r>
      <w:r w:rsidR="00D56A76">
        <w:t xml:space="preserve"> vzr</w:t>
      </w:r>
      <w:r w:rsidR="00031FF7">
        <w:t>ástla medziročne o 115 810 tis. </w:t>
      </w:r>
      <w:r w:rsidR="00D56A76">
        <w:t>eur (36,8 </w:t>
      </w:r>
      <w:r w:rsidRPr="004A462B">
        <w:t>%). Za nárastom je výrazný nárast úrokových sadzieb a taktiež</w:t>
      </w:r>
      <w:r w:rsidRPr="0008513E">
        <w:t xml:space="preserve"> vyšší rast príjmov z dividend, licenčných </w:t>
      </w:r>
      <w:r>
        <w:t xml:space="preserve">a ostatných </w:t>
      </w:r>
      <w:r w:rsidRPr="0008513E">
        <w:t>poplatkov. Úrokové sadzby v roku 2023 výrazne rástli. Priemer</w:t>
      </w:r>
      <w:r w:rsidR="00D56A76">
        <w:t>ná úroková miera z roku 2022 vo </w:t>
      </w:r>
      <w:r w:rsidR="009A59C7">
        <w:t>výške 0,1</w:t>
      </w:r>
      <w:r w:rsidR="00D56A76">
        <w:t> % vzrástla v roku 2023 na </w:t>
      </w:r>
      <w:r w:rsidR="009A59C7">
        <w:t>úroveň 0,7</w:t>
      </w:r>
      <w:r w:rsidRPr="0008513E">
        <w:t> % (medziročný rast 448</w:t>
      </w:r>
      <w:r w:rsidR="009A59C7">
        <w:t>,0</w:t>
      </w:r>
      <w:r w:rsidR="00D56A76">
        <w:t> %). Na výnos zo zdanenia úrokov z </w:t>
      </w:r>
      <w:r w:rsidRPr="0008513E">
        <w:t>vkladov sa to však neprejavilo ešte v plnej miere, keďže úroky a výnosy z nich rástli len postupne. Daň z úrokov z vklad</w:t>
      </w:r>
      <w:r w:rsidR="00D56A76">
        <w:t>ov medziročne vzrástla o 53 079 tis. </w:t>
      </w:r>
      <w:r w:rsidRPr="0008513E">
        <w:t>eur (155</w:t>
      </w:r>
      <w:r w:rsidR="009A59C7">
        <w:t>,0</w:t>
      </w:r>
      <w:r w:rsidR="00D56A76">
        <w:t> </w:t>
      </w:r>
      <w:r w:rsidRPr="0008513E">
        <w:t xml:space="preserve">%).  </w:t>
      </w:r>
      <w:r>
        <w:t>Výnosy z dividend a ostatných platieb sú vyššie vplyvom pozitívneho vývoja ekonomiky. Vyššia daň z dividend zaplatili tak pravidelní platcovia ako aj prvoplatitelia (t.</w:t>
      </w:r>
      <w:r w:rsidR="00535971">
        <w:t> </w:t>
      </w:r>
      <w:r>
        <w:t>j. firmy, ktoré daň z </w:t>
      </w:r>
      <w:r w:rsidR="00D56A76">
        <w:t>dividend zaplatili prvýkrát od </w:t>
      </w:r>
      <w:r>
        <w:t>roku 2018 až v roku 2023).</w:t>
      </w:r>
    </w:p>
    <w:p w14:paraId="2D93739F" w14:textId="77777777" w:rsidR="00151939" w:rsidRPr="00F8601D" w:rsidRDefault="00151939" w:rsidP="00151939">
      <w:pPr>
        <w:spacing w:after="120" w:line="240" w:lineRule="auto"/>
        <w:jc w:val="both"/>
        <w:rPr>
          <w:b/>
          <w:color w:val="4F81BD" w:themeColor="accent1"/>
          <w:sz w:val="24"/>
          <w:szCs w:val="24"/>
        </w:rPr>
      </w:pPr>
      <w:r w:rsidRPr="00F8601D">
        <w:rPr>
          <w:b/>
          <w:color w:val="4F81BD" w:themeColor="accent1"/>
          <w:sz w:val="24"/>
          <w:szCs w:val="24"/>
        </w:rPr>
        <w:t>Nedaňové príjmy</w:t>
      </w:r>
    </w:p>
    <w:p w14:paraId="57CB3F97" w14:textId="0746B7B4" w:rsidR="00B15547" w:rsidRPr="002746C4" w:rsidRDefault="00F8601D" w:rsidP="00B15547">
      <w:pPr>
        <w:spacing w:after="0" w:line="240" w:lineRule="auto"/>
        <w:jc w:val="both"/>
        <w:rPr>
          <w:szCs w:val="22"/>
          <w:highlight w:val="yellow"/>
        </w:rPr>
      </w:pPr>
      <w:r w:rsidRPr="002D75BA">
        <w:rPr>
          <w:szCs w:val="22"/>
        </w:rPr>
        <w:t xml:space="preserve">V rámci nedaňových príjmov v roku 2023 vzrástli </w:t>
      </w:r>
      <w:r w:rsidRPr="002D75BA">
        <w:rPr>
          <w:b/>
          <w:szCs w:val="22"/>
        </w:rPr>
        <w:t>výnosy z tržieb</w:t>
      </w:r>
      <w:r w:rsidRPr="002D75BA">
        <w:rPr>
          <w:szCs w:val="22"/>
        </w:rPr>
        <w:t xml:space="preserve"> za produkciu verejnej správy o 15,8 % (nárast o 465 886 tis. eur). Najvýraznejšie vzrástli platby za </w:t>
      </w:r>
      <w:r w:rsidRPr="002D75BA">
        <w:rPr>
          <w:szCs w:val="22"/>
          <w:u w:val="single"/>
        </w:rPr>
        <w:t>ostatnú netrhovú produkciu</w:t>
      </w:r>
      <w:r w:rsidRPr="002D75BA">
        <w:rPr>
          <w:szCs w:val="22"/>
        </w:rPr>
        <w:t xml:space="preserve"> o 39,8 % (nárast o 151 941 tis. eur</w:t>
      </w:r>
      <w:r w:rsidRPr="0075755F">
        <w:rPr>
          <w:szCs w:val="22"/>
        </w:rPr>
        <w:t xml:space="preserve">). Išlo najmä o zvýšené príjmy týchto </w:t>
      </w:r>
      <w:r w:rsidR="001D4F6D">
        <w:rPr>
          <w:szCs w:val="22"/>
        </w:rPr>
        <w:t>subjektov/</w:t>
      </w:r>
      <w:r w:rsidRPr="0075755F">
        <w:rPr>
          <w:szCs w:val="22"/>
        </w:rPr>
        <w:t>zložiek verejnej správy:</w:t>
      </w:r>
    </w:p>
    <w:p w14:paraId="46271CAA" w14:textId="7E00F0EE" w:rsidR="00F8601D" w:rsidRPr="00DD6806" w:rsidRDefault="00902EE6" w:rsidP="00F8601D">
      <w:pPr>
        <w:pStyle w:val="Odsekzoznamu"/>
        <w:numPr>
          <w:ilvl w:val="0"/>
          <w:numId w:val="35"/>
        </w:numPr>
        <w:spacing w:before="120" w:after="120"/>
        <w:contextualSpacing w:val="0"/>
        <w:jc w:val="both"/>
      </w:pPr>
      <w:r>
        <w:rPr>
          <w:b/>
          <w:i/>
        </w:rPr>
        <w:t>SVP</w:t>
      </w:r>
      <w:r w:rsidR="00F8601D" w:rsidRPr="0035767B">
        <w:rPr>
          <w:b/>
          <w:i/>
        </w:rPr>
        <w:t xml:space="preserve"> o 46</w:t>
      </w:r>
      <w:r w:rsidR="00F8601D">
        <w:rPr>
          <w:b/>
          <w:i/>
        </w:rPr>
        <w:t> </w:t>
      </w:r>
      <w:r w:rsidR="00F8601D" w:rsidRPr="0035767B">
        <w:rPr>
          <w:b/>
          <w:i/>
        </w:rPr>
        <w:t>643</w:t>
      </w:r>
      <w:r w:rsidR="00F8601D">
        <w:rPr>
          <w:b/>
          <w:i/>
        </w:rPr>
        <w:t> </w:t>
      </w:r>
      <w:r w:rsidR="00F8601D" w:rsidRPr="0035767B">
        <w:rPr>
          <w:b/>
          <w:i/>
        </w:rPr>
        <w:t>tis.</w:t>
      </w:r>
      <w:r w:rsidR="00F8601D">
        <w:rPr>
          <w:b/>
          <w:i/>
        </w:rPr>
        <w:t> </w:t>
      </w:r>
      <w:r w:rsidR="00F8601D" w:rsidRPr="0035767B">
        <w:rPr>
          <w:b/>
          <w:i/>
        </w:rPr>
        <w:t>eur</w:t>
      </w:r>
      <w:r>
        <w:t xml:space="preserve"> - zaznamenal</w:t>
      </w:r>
      <w:r w:rsidR="00F8601D" w:rsidRPr="0035767B">
        <w:t xml:space="preserve"> medziročne vyššie príjmy najmä za hydroenergetický potenciál </w:t>
      </w:r>
      <w:r w:rsidR="00C860A6">
        <w:t>vody, výrobu elektriny, nájom a </w:t>
      </w:r>
      <w:r w:rsidR="00F8601D" w:rsidRPr="0035767B">
        <w:t>služby pre</w:t>
      </w:r>
      <w:r w:rsidR="00F8601D">
        <w:t> </w:t>
      </w:r>
      <w:r w:rsidR="00F8601D" w:rsidRPr="0035767B">
        <w:t>Vodohospodársku výstavbu,</w:t>
      </w:r>
      <w:r w:rsidR="00F8601D">
        <w:t> </w:t>
      </w:r>
      <w:r w:rsidR="00F8601D" w:rsidRPr="0035767B">
        <w:t>š.</w:t>
      </w:r>
      <w:r w:rsidR="00F8601D">
        <w:t> </w:t>
      </w:r>
      <w:r w:rsidR="00F8601D" w:rsidRPr="0035767B">
        <w:t>p. o 8 183 tis. eur. Zvyšný ná</w:t>
      </w:r>
      <w:r w:rsidR="00F8601D">
        <w:t>rast príjmov súvisel s</w:t>
      </w:r>
      <w:r w:rsidR="00C724DF">
        <w:t xml:space="preserve"> medziročným </w:t>
      </w:r>
      <w:r w:rsidR="00F8601D" w:rsidRPr="0035767B">
        <w:t xml:space="preserve">nárastom pohľadávok </w:t>
      </w:r>
      <w:r w:rsidR="00C724DF">
        <w:t xml:space="preserve">prevažne </w:t>
      </w:r>
      <w:r w:rsidR="00F8601D" w:rsidRPr="0035767B">
        <w:t>z obchodného styku (o 15 017 tis. eur) hlavne u</w:t>
      </w:r>
      <w:r w:rsidR="00C860A6">
        <w:t> </w:t>
      </w:r>
      <w:r w:rsidR="00F8601D" w:rsidRPr="0035767B">
        <w:t xml:space="preserve">dvoch obchodných partnerov </w:t>
      </w:r>
      <w:r w:rsidR="00AA13FB">
        <w:t>a </w:t>
      </w:r>
      <w:r w:rsidR="00F8601D" w:rsidRPr="00DD6806">
        <w:t>daňových pohľadávok o</w:t>
      </w:r>
      <w:r w:rsidR="00F8601D">
        <w:t> </w:t>
      </w:r>
      <w:r w:rsidR="00F8601D" w:rsidRPr="00DD6806">
        <w:t>7</w:t>
      </w:r>
      <w:r w:rsidR="00F8601D">
        <w:t> </w:t>
      </w:r>
      <w:r w:rsidR="00F8601D" w:rsidRPr="00DD6806">
        <w:t>641</w:t>
      </w:r>
      <w:r w:rsidR="00F8601D">
        <w:t> </w:t>
      </w:r>
      <w:r w:rsidR="00F8601D" w:rsidRPr="00DD6806">
        <w:t>tis.</w:t>
      </w:r>
      <w:r w:rsidR="007416DA">
        <w:t> eur.</w:t>
      </w:r>
    </w:p>
    <w:p w14:paraId="65837D0C" w14:textId="75F444C8" w:rsidR="00F8601D" w:rsidRPr="00DD6806" w:rsidRDefault="00B6008D" w:rsidP="00F8601D">
      <w:pPr>
        <w:pStyle w:val="Odsekzoznamu"/>
        <w:numPr>
          <w:ilvl w:val="0"/>
          <w:numId w:val="35"/>
        </w:numPr>
        <w:spacing w:before="120" w:after="120"/>
        <w:ind w:left="714" w:hanging="357"/>
        <w:contextualSpacing w:val="0"/>
        <w:jc w:val="both"/>
      </w:pPr>
      <w:r>
        <w:rPr>
          <w:b/>
          <w:i/>
        </w:rPr>
        <w:t>ZSSK</w:t>
      </w:r>
      <w:r w:rsidR="00F8601D">
        <w:rPr>
          <w:b/>
          <w:i/>
        </w:rPr>
        <w:t> o 25 077 </w:t>
      </w:r>
      <w:r w:rsidR="00F8601D" w:rsidRPr="00DD6806">
        <w:rPr>
          <w:b/>
          <w:i/>
        </w:rPr>
        <w:t>tis.</w:t>
      </w:r>
      <w:r w:rsidR="00F8601D">
        <w:rPr>
          <w:b/>
          <w:i/>
        </w:rPr>
        <w:t> </w:t>
      </w:r>
      <w:r w:rsidR="00F8601D" w:rsidRPr="00DD6806">
        <w:rPr>
          <w:b/>
          <w:i/>
        </w:rPr>
        <w:t>eur</w:t>
      </w:r>
      <w:r w:rsidR="00F8601D" w:rsidRPr="00DD6806">
        <w:t xml:space="preserve"> - zaznamenala v roku 2023 rekordné tržby z prepravy cestujúcich na úrovni 94</w:t>
      </w:r>
      <w:r w:rsidR="00F8601D">
        <w:t> </w:t>
      </w:r>
      <w:r w:rsidR="00F8601D" w:rsidRPr="00DD6806">
        <w:t>000</w:t>
      </w:r>
      <w:r w:rsidR="00F8601D">
        <w:t> </w:t>
      </w:r>
      <w:r w:rsidR="00F8601D" w:rsidRPr="00DD6806">
        <w:t>tis.</w:t>
      </w:r>
      <w:r w:rsidR="00F8601D">
        <w:t> </w:t>
      </w:r>
      <w:r w:rsidR="00F8601D" w:rsidRPr="00DD6806">
        <w:t>eur</w:t>
      </w:r>
      <w:r w:rsidR="00F8601D">
        <w:t>, čím prekonala aj obdobie pred </w:t>
      </w:r>
      <w:r w:rsidR="00F8601D" w:rsidRPr="00DD6806">
        <w:t>zavedením bezplatnej prepravy pre deti, študentov a dôchodcov. O sumu 24 458 tis. eur medziročne vzrástli príjmy za predaj výrobkov, tovarov a služieb, z toho o 15 000 tis. eur narástli tržby z prepravy cestujúcich. Ostatné prekročenia boli generované nárastom príjmov z aktivít do</w:t>
      </w:r>
      <w:r w:rsidR="00F8601D">
        <w:t> </w:t>
      </w:r>
      <w:r w:rsidR="00F8601D" w:rsidRPr="00DD6806">
        <w:t>externého prostredia (tržby za kovový a iný odpad, vyššie dopravné výkony, zameniteľné poštové služby a iné služby). Medziročný nárast iných nedaňových príjmov o 5 1</w:t>
      </w:r>
      <w:r w:rsidR="00C860A6">
        <w:t>30 tis. eur tvoria dobropisy od </w:t>
      </w:r>
      <w:r w:rsidR="00F8601D" w:rsidRPr="00DD6806">
        <w:t>ŽSR za</w:t>
      </w:r>
      <w:r w:rsidR="00F8601D">
        <w:t> </w:t>
      </w:r>
      <w:r w:rsidR="00F8601D" w:rsidRPr="00DD6806">
        <w:t xml:space="preserve">trakčnú elektrickú energiu, úhrady </w:t>
      </w:r>
      <w:r w:rsidR="00F8601D" w:rsidRPr="00DD6806">
        <w:lastRenderedPageBreak/>
        <w:t>poistných plnení od poisťovní a vinníkov za</w:t>
      </w:r>
      <w:r w:rsidR="00F8601D">
        <w:t> </w:t>
      </w:r>
      <w:r w:rsidR="00F8601D" w:rsidRPr="00DD6806">
        <w:t>škodové udalosti a príjmy z medzinárodného zúčtovania</w:t>
      </w:r>
      <w:r w:rsidR="004C73FE">
        <w:t>.</w:t>
      </w:r>
    </w:p>
    <w:p w14:paraId="006126A8" w14:textId="53D4994A" w:rsidR="00F8601D" w:rsidRPr="00DD6806" w:rsidRDefault="00F8601D" w:rsidP="00F8601D">
      <w:pPr>
        <w:pStyle w:val="Odsekzoznamu"/>
        <w:numPr>
          <w:ilvl w:val="0"/>
          <w:numId w:val="35"/>
        </w:numPr>
        <w:spacing w:before="120" w:after="120"/>
        <w:contextualSpacing w:val="0"/>
        <w:jc w:val="both"/>
      </w:pPr>
      <w:r w:rsidRPr="00DD6806">
        <w:rPr>
          <w:b/>
          <w:i/>
        </w:rPr>
        <w:t>Obce</w:t>
      </w:r>
      <w:r w:rsidR="00A94716">
        <w:rPr>
          <w:b/>
          <w:i/>
        </w:rPr>
        <w:t xml:space="preserve"> a ich RO</w:t>
      </w:r>
      <w:r w:rsidRPr="00DD6806">
        <w:rPr>
          <w:b/>
          <w:i/>
        </w:rPr>
        <w:t xml:space="preserve"> o 15</w:t>
      </w:r>
      <w:r>
        <w:rPr>
          <w:b/>
          <w:i/>
        </w:rPr>
        <w:t> </w:t>
      </w:r>
      <w:r w:rsidRPr="00DD6806">
        <w:rPr>
          <w:b/>
          <w:i/>
        </w:rPr>
        <w:t>198</w:t>
      </w:r>
      <w:r>
        <w:rPr>
          <w:b/>
          <w:i/>
        </w:rPr>
        <w:t> </w:t>
      </w:r>
      <w:r w:rsidRPr="00DD6806">
        <w:rPr>
          <w:b/>
          <w:i/>
        </w:rPr>
        <w:t>tis.</w:t>
      </w:r>
      <w:r>
        <w:rPr>
          <w:b/>
          <w:i/>
        </w:rPr>
        <w:t> </w:t>
      </w:r>
      <w:r w:rsidRPr="00DD6806">
        <w:rPr>
          <w:b/>
          <w:i/>
        </w:rPr>
        <w:t>eur</w:t>
      </w:r>
      <w:r w:rsidRPr="00DD6806">
        <w:t xml:space="preserve"> – došlo k nárastu príjmov za poplatky </w:t>
      </w:r>
      <w:r w:rsidR="00F45453">
        <w:t>vyberané formou školného v školských kluboch detí, v</w:t>
      </w:r>
      <w:r w:rsidR="00AA13FB">
        <w:t> </w:t>
      </w:r>
      <w:r w:rsidR="00F45453">
        <w:t>materských školách</w:t>
      </w:r>
      <w:r w:rsidRPr="00DD6806">
        <w:t>,</w:t>
      </w:r>
      <w:r w:rsidR="00F45453">
        <w:t xml:space="preserve"> v základných umeleckých školách a v </w:t>
      </w:r>
      <w:r w:rsidRPr="00DD6806">
        <w:t>centrá</w:t>
      </w:r>
      <w:r w:rsidR="00F45453">
        <w:t>ch</w:t>
      </w:r>
      <w:r w:rsidRPr="00DD6806">
        <w:t xml:space="preserve"> voľn</w:t>
      </w:r>
      <w:r>
        <w:t>ého času, ktoré sú stanovené vo </w:t>
      </w:r>
      <w:r w:rsidR="00F45453">
        <w:t>všeobecne záväzných nariadeniach miest a obcí. Medziročne</w:t>
      </w:r>
      <w:r w:rsidRPr="00DD6806">
        <w:t xml:space="preserve"> </w:t>
      </w:r>
      <w:r w:rsidR="00F45453">
        <w:t>narástli aj príjmy</w:t>
      </w:r>
      <w:r w:rsidRPr="00DD6806">
        <w:t xml:space="preserve"> z poplatkov v</w:t>
      </w:r>
      <w:r w:rsidR="00F45453">
        <w:t xml:space="preserve"> domovoch dôchodcov a </w:t>
      </w:r>
      <w:r w:rsidRPr="00DD6806">
        <w:t>v kultúrnych zariadeniach.</w:t>
      </w:r>
    </w:p>
    <w:p w14:paraId="2A14A0B9" w14:textId="3F29E93A" w:rsidR="00F8601D" w:rsidRPr="00DD6806" w:rsidRDefault="00F8601D" w:rsidP="00F8601D">
      <w:pPr>
        <w:spacing w:before="120" w:after="120" w:line="240" w:lineRule="auto"/>
        <w:jc w:val="both"/>
        <w:rPr>
          <w:rFonts w:cs="Book Antiqua"/>
          <w:szCs w:val="22"/>
          <w:lang w:eastAsia="sk-SK"/>
        </w:rPr>
      </w:pPr>
      <w:r w:rsidRPr="00DD6806">
        <w:rPr>
          <w:szCs w:val="22"/>
        </w:rPr>
        <w:t xml:space="preserve">Platby </w:t>
      </w:r>
      <w:r w:rsidRPr="00DD6806">
        <w:rPr>
          <w:szCs w:val="22"/>
          <w:u w:val="single"/>
        </w:rPr>
        <w:t>za trhovú produkciu</w:t>
      </w:r>
      <w:r w:rsidRPr="00DD6806">
        <w:rPr>
          <w:szCs w:val="22"/>
        </w:rPr>
        <w:t xml:space="preserve"> zaznamenali nárast oproti roku 2022 o 12,2 % (nárast o 313 945 tis. eur), išlo predovšetkým o zvýšené príjmy </w:t>
      </w:r>
      <w:r>
        <w:rPr>
          <w:szCs w:val="22"/>
        </w:rPr>
        <w:t>týchto zložiek verejnej správy:</w:t>
      </w:r>
    </w:p>
    <w:p w14:paraId="74669AB1" w14:textId="76C1B903" w:rsidR="00F8601D" w:rsidRPr="00D21B14" w:rsidRDefault="00F8601D" w:rsidP="00F8601D">
      <w:pPr>
        <w:pStyle w:val="Odsekzoznamu"/>
        <w:numPr>
          <w:ilvl w:val="0"/>
          <w:numId w:val="35"/>
        </w:numPr>
        <w:spacing w:before="120" w:after="120"/>
        <w:contextualSpacing w:val="0"/>
        <w:jc w:val="both"/>
      </w:pPr>
      <w:r>
        <w:rPr>
          <w:b/>
          <w:i/>
        </w:rPr>
        <w:t>Obce</w:t>
      </w:r>
      <w:r w:rsidR="00A94716">
        <w:rPr>
          <w:b/>
          <w:i/>
        </w:rPr>
        <w:t xml:space="preserve"> a ich RO</w:t>
      </w:r>
      <w:r>
        <w:rPr>
          <w:b/>
          <w:i/>
        </w:rPr>
        <w:t xml:space="preserve"> o 98 850 tis. </w:t>
      </w:r>
      <w:r w:rsidRPr="00DD6806">
        <w:rPr>
          <w:b/>
          <w:i/>
        </w:rPr>
        <w:t>eur</w:t>
      </w:r>
      <w:r w:rsidRPr="00DD6806">
        <w:t xml:space="preserve"> - medziročný nárast príjmu z poplatku </w:t>
      </w:r>
      <w:r w:rsidRPr="00474213">
        <w:t>za komunálny odpad</w:t>
      </w:r>
      <w:r w:rsidR="008F7AAF">
        <w:rPr>
          <w:rStyle w:val="Odkaznapoznmkupodiarou"/>
        </w:rPr>
        <w:footnoteReference w:id="16"/>
      </w:r>
      <w:r w:rsidRPr="00474213">
        <w:t xml:space="preserve"> a</w:t>
      </w:r>
      <w:r w:rsidRPr="00DD6806">
        <w:t> drobný stavebný odpad u</w:t>
      </w:r>
      <w:r w:rsidR="005542E5">
        <w:t> fyzických a právnických osôb</w:t>
      </w:r>
      <w:r w:rsidRPr="00DD6806">
        <w:t xml:space="preserve"> v dôsledku zvýšených sadzieb od</w:t>
      </w:r>
      <w:r w:rsidR="00C765EA">
        <w:t> </w:t>
      </w:r>
      <w:r w:rsidRPr="00DD6806">
        <w:t>roku 2023. Príjmy z</w:t>
      </w:r>
      <w:r>
        <w:t> </w:t>
      </w:r>
      <w:r w:rsidRPr="00DD6806">
        <w:t>poplatku za</w:t>
      </w:r>
      <w:r>
        <w:t> </w:t>
      </w:r>
      <w:r w:rsidRPr="00D21B14">
        <w:t>komunálne odpady ako u fyzických osôb, tak pri množst</w:t>
      </w:r>
      <w:r w:rsidR="00AC6942">
        <w:t>e</w:t>
      </w:r>
      <w:r w:rsidRPr="00D21B14">
        <w:t>v</w:t>
      </w:r>
      <w:r w:rsidR="00AC6942">
        <w:t>n</w:t>
      </w:r>
      <w:r w:rsidRPr="00D21B14">
        <w:t>om zbere, nepostačujú v</w:t>
      </w:r>
      <w:r>
        <w:t> </w:t>
      </w:r>
      <w:r w:rsidRPr="00D21B14">
        <w:t>plnej miere kryť výdavky vynaložené</w:t>
      </w:r>
      <w:r w:rsidR="00C765EA">
        <w:t xml:space="preserve"> na zber, prepravu, separáciu a </w:t>
      </w:r>
      <w:r w:rsidRPr="00D21B14">
        <w:t>likvidáciu odpadov a čistenia na</w:t>
      </w:r>
      <w:r>
        <w:t> </w:t>
      </w:r>
      <w:r w:rsidRPr="00D21B14">
        <w:t>území mesta. Tieto rozdiely z väčšej</w:t>
      </w:r>
      <w:r w:rsidR="00C765EA">
        <w:t xml:space="preserve"> časti uhrádzajú obce a mestá z </w:t>
      </w:r>
      <w:r w:rsidRPr="00D21B14">
        <w:t>ostatných vlastných príjmov. Taktiež vzrástli príjmy za predaj propagačných materiálov, kníh, poplatky za</w:t>
      </w:r>
      <w:r w:rsidR="00C765EA">
        <w:t> </w:t>
      </w:r>
      <w:r w:rsidRPr="00D21B14">
        <w:t>parkovné, za</w:t>
      </w:r>
      <w:r>
        <w:t> </w:t>
      </w:r>
      <w:r w:rsidRPr="00D21B14">
        <w:t>služby pultu centralizovanej ochrany, za služby poskytované v</w:t>
      </w:r>
      <w:r w:rsidR="00C765EA">
        <w:t> </w:t>
      </w:r>
      <w:r w:rsidRPr="00D21B14">
        <w:t>súvislosti organizáciou kultúrnych a</w:t>
      </w:r>
      <w:r w:rsidR="00C860A6">
        <w:t> </w:t>
      </w:r>
      <w:r w:rsidRPr="00D21B14">
        <w:t>športových podujatí (poskytnutie reklamného priestoru, poplatky bytovéh</w:t>
      </w:r>
      <w:r>
        <w:t>o a</w:t>
      </w:r>
      <w:r w:rsidR="00A33E57">
        <w:t> </w:t>
      </w:r>
      <w:r>
        <w:t>nebytového hospodárstva, za </w:t>
      </w:r>
      <w:r w:rsidRPr="00D21B14">
        <w:t>poskytovanie sociálnych služieb (sociálny taxík)</w:t>
      </w:r>
      <w:r w:rsidR="00EC277B">
        <w:t xml:space="preserve"> a ďalšie.</w:t>
      </w:r>
    </w:p>
    <w:p w14:paraId="1F497D73" w14:textId="7A623DBB" w:rsidR="00F8601D" w:rsidRDefault="00F8601D" w:rsidP="00F8601D">
      <w:pPr>
        <w:pStyle w:val="Odsekzoznamu"/>
        <w:numPr>
          <w:ilvl w:val="0"/>
          <w:numId w:val="35"/>
        </w:numPr>
        <w:spacing w:before="120" w:after="120"/>
        <w:contextualSpacing w:val="0"/>
        <w:jc w:val="both"/>
      </w:pPr>
      <w:r w:rsidRPr="00D21B14">
        <w:rPr>
          <w:b/>
          <w:i/>
        </w:rPr>
        <w:t>Valaliky Industrial Park</w:t>
      </w:r>
      <w:r w:rsidR="00584786">
        <w:rPr>
          <w:b/>
          <w:i/>
        </w:rPr>
        <w:t>,  s. r. o.</w:t>
      </w:r>
      <w:r w:rsidRPr="00D21B14">
        <w:rPr>
          <w:b/>
          <w:i/>
        </w:rPr>
        <w:t xml:space="preserve"> o 41</w:t>
      </w:r>
      <w:r>
        <w:rPr>
          <w:b/>
          <w:i/>
        </w:rPr>
        <w:t> </w:t>
      </w:r>
      <w:r w:rsidRPr="00D21B14">
        <w:rPr>
          <w:b/>
          <w:i/>
        </w:rPr>
        <w:t>046</w:t>
      </w:r>
      <w:r>
        <w:rPr>
          <w:b/>
          <w:i/>
        </w:rPr>
        <w:t> </w:t>
      </w:r>
      <w:r w:rsidRPr="00D21B14">
        <w:rPr>
          <w:b/>
          <w:i/>
        </w:rPr>
        <w:t>tis.</w:t>
      </w:r>
      <w:r>
        <w:rPr>
          <w:b/>
          <w:i/>
        </w:rPr>
        <w:t> </w:t>
      </w:r>
      <w:r w:rsidRPr="00D21B14">
        <w:rPr>
          <w:b/>
          <w:i/>
        </w:rPr>
        <w:t>eur</w:t>
      </w:r>
      <w:r w:rsidRPr="00D21B14">
        <w:t xml:space="preserve"> – pohľadávka voči spoločnosti Volvo Car</w:t>
      </w:r>
      <w:r w:rsidR="00410A90">
        <w:t>s</w:t>
      </w:r>
      <w:r w:rsidRPr="00D21B14">
        <w:t xml:space="preserve"> Slovakia, s. r. o., ktorá vznikla uzatvorením kúpnej zmluvy </w:t>
      </w:r>
      <w:r>
        <w:t xml:space="preserve">na pozemky pod závod </w:t>
      </w:r>
      <w:r w:rsidR="00A70185">
        <w:t xml:space="preserve">budúceho </w:t>
      </w:r>
      <w:r>
        <w:t>investora</w:t>
      </w:r>
      <w:r w:rsidR="007416DA">
        <w:t>.</w:t>
      </w:r>
    </w:p>
    <w:p w14:paraId="21B0CB85" w14:textId="4ED901B5" w:rsidR="00FC3B9F" w:rsidRDefault="00F8601D" w:rsidP="006558EA">
      <w:pPr>
        <w:pStyle w:val="Odsekzoznamu"/>
        <w:numPr>
          <w:ilvl w:val="0"/>
          <w:numId w:val="35"/>
        </w:numPr>
        <w:spacing w:before="120" w:after="120"/>
        <w:contextualSpacing w:val="0"/>
        <w:jc w:val="both"/>
      </w:pPr>
      <w:r w:rsidRPr="00FC3B9F">
        <w:rPr>
          <w:b/>
          <w:i/>
        </w:rPr>
        <w:t>RT</w:t>
      </w:r>
      <w:r w:rsidR="00A70185" w:rsidRPr="00FC3B9F">
        <w:rPr>
          <w:b/>
          <w:i/>
        </w:rPr>
        <w:t>V</w:t>
      </w:r>
      <w:r w:rsidRPr="00FC3B9F">
        <w:rPr>
          <w:b/>
          <w:i/>
        </w:rPr>
        <w:t>S o 32 080 tis. eur</w:t>
      </w:r>
      <w:r w:rsidRPr="00D21B14">
        <w:t xml:space="preserve"> – </w:t>
      </w:r>
      <w:r w:rsidR="00520C2A">
        <w:t xml:space="preserve">ide najmä o </w:t>
      </w:r>
      <w:r w:rsidR="00FC3B9F" w:rsidRPr="00520C2A">
        <w:t>medziročný</w:t>
      </w:r>
      <w:r w:rsidR="00FC3B9F">
        <w:t xml:space="preserve"> nárast </w:t>
      </w:r>
      <w:r w:rsidR="002B76F2">
        <w:t xml:space="preserve">pri uplatnení </w:t>
      </w:r>
      <w:r w:rsidR="00FC3B9F">
        <w:t>metodiky</w:t>
      </w:r>
      <w:r w:rsidR="00C765EA">
        <w:t xml:space="preserve"> ESA zo </w:t>
      </w:r>
      <w:r w:rsidR="002B76F2">
        <w:t>strany ŠÚ SR</w:t>
      </w:r>
      <w:r w:rsidR="00FC3B9F">
        <w:t xml:space="preserve">, ktorou sa  imputuje vyčíslenie hodnoty originálov zábavných, literárnych alebo umeleckých diel ako sú napríklad filmy, televízne a rozhlasové vysielanie, ktoré vo vlastnej réžii produkuje RTVS. </w:t>
      </w:r>
    </w:p>
    <w:p w14:paraId="7FE493CF" w14:textId="7C5B706D" w:rsidR="00F8601D" w:rsidRPr="00D21B14" w:rsidRDefault="00F8601D" w:rsidP="006558EA">
      <w:pPr>
        <w:pStyle w:val="Odsekzoznamu"/>
        <w:numPr>
          <w:ilvl w:val="0"/>
          <w:numId w:val="35"/>
        </w:numPr>
        <w:spacing w:before="120" w:after="120"/>
        <w:contextualSpacing w:val="0"/>
        <w:jc w:val="both"/>
      </w:pPr>
      <w:r w:rsidRPr="00FC3B9F">
        <w:rPr>
          <w:b/>
          <w:i/>
        </w:rPr>
        <w:t>OSVS o 29 356 tis. eur</w:t>
      </w:r>
      <w:r w:rsidRPr="00D21B14">
        <w:t xml:space="preserve"> - príjmy z predaja tovaru, materiálu a služieb, </w:t>
      </w:r>
      <w:r w:rsidR="007416DA">
        <w:t>z prebytočného drobného majetku.</w:t>
      </w:r>
    </w:p>
    <w:p w14:paraId="7F077564" w14:textId="6BD95274" w:rsidR="00F8601D" w:rsidRPr="00D21B14" w:rsidRDefault="00F8601D" w:rsidP="00F8601D">
      <w:pPr>
        <w:pStyle w:val="Odsekzoznamu"/>
        <w:numPr>
          <w:ilvl w:val="0"/>
          <w:numId w:val="35"/>
        </w:numPr>
        <w:spacing w:before="120" w:after="120"/>
        <w:contextualSpacing w:val="0"/>
        <w:jc w:val="both"/>
      </w:pPr>
      <w:r w:rsidRPr="00D21B14">
        <w:rPr>
          <w:b/>
          <w:i/>
        </w:rPr>
        <w:t>JAVYS</w:t>
      </w:r>
      <w:r w:rsidR="00DD1FFC">
        <w:rPr>
          <w:b/>
          <w:i/>
        </w:rPr>
        <w:t> </w:t>
      </w:r>
      <w:r>
        <w:rPr>
          <w:b/>
          <w:i/>
        </w:rPr>
        <w:t>o 26 968 </w:t>
      </w:r>
      <w:r w:rsidRPr="00D21B14">
        <w:rPr>
          <w:b/>
          <w:i/>
        </w:rPr>
        <w:t>tis.</w:t>
      </w:r>
      <w:r>
        <w:rPr>
          <w:b/>
          <w:i/>
        </w:rPr>
        <w:t> </w:t>
      </w:r>
      <w:r w:rsidRPr="00D21B14">
        <w:rPr>
          <w:b/>
          <w:i/>
        </w:rPr>
        <w:t>eur</w:t>
      </w:r>
      <w:r w:rsidRPr="00D21B14">
        <w:t xml:space="preserve"> –</w:t>
      </w:r>
      <w:r w:rsidR="00412D1B">
        <w:t>najmä</w:t>
      </w:r>
      <w:r w:rsidRPr="00D21B14">
        <w:t xml:space="preserve"> príjmy súvisiace s vyraďovaním </w:t>
      </w:r>
      <w:r w:rsidR="007416DA">
        <w:t>jadrových zariadení z prevádzky.</w:t>
      </w:r>
    </w:p>
    <w:p w14:paraId="5C2F6DA5" w14:textId="343D398E" w:rsidR="00F8601D" w:rsidRPr="00D21B14" w:rsidRDefault="00F8601D" w:rsidP="00F8601D">
      <w:pPr>
        <w:pStyle w:val="Odsekzoznamu"/>
        <w:numPr>
          <w:ilvl w:val="0"/>
          <w:numId w:val="35"/>
        </w:numPr>
        <w:spacing w:before="120" w:after="120"/>
        <w:contextualSpacing w:val="0"/>
        <w:jc w:val="both"/>
      </w:pPr>
      <w:r>
        <w:rPr>
          <w:b/>
          <w:i/>
        </w:rPr>
        <w:t>Verejné vysoké školy o 26 070 </w:t>
      </w:r>
      <w:r w:rsidRPr="00D21B14">
        <w:rPr>
          <w:b/>
          <w:i/>
        </w:rPr>
        <w:t>tis.</w:t>
      </w:r>
      <w:r>
        <w:rPr>
          <w:b/>
          <w:i/>
        </w:rPr>
        <w:t> </w:t>
      </w:r>
      <w:r w:rsidRPr="00D21B14">
        <w:rPr>
          <w:b/>
          <w:i/>
        </w:rPr>
        <w:t>eur</w:t>
      </w:r>
      <w:r w:rsidRPr="00D21B14">
        <w:t xml:space="preserve"> – medziročný nárast súvisí najmä s vyššími príjmami za</w:t>
      </w:r>
      <w:r>
        <w:t> </w:t>
      </w:r>
      <w:r w:rsidRPr="00D21B14">
        <w:t>školné a ubytovanie študentov. Taktiež došlo k nárastu príjmov za ubytova</w:t>
      </w:r>
      <w:r>
        <w:t>nie cudzích osôb a za </w:t>
      </w:r>
      <w:r w:rsidRPr="00D21B14">
        <w:t xml:space="preserve">prenájom nebytových priestorov </w:t>
      </w:r>
      <w:r w:rsidR="00574487">
        <w:t>v rámci podnikateľskej činnosti.</w:t>
      </w:r>
    </w:p>
    <w:p w14:paraId="228E3792" w14:textId="58733381" w:rsidR="00F8601D" w:rsidRPr="00D21B14" w:rsidRDefault="00F8601D" w:rsidP="00F8601D">
      <w:pPr>
        <w:pStyle w:val="Odsekzoznamu"/>
        <w:numPr>
          <w:ilvl w:val="0"/>
          <w:numId w:val="35"/>
        </w:numPr>
        <w:spacing w:before="120" w:after="120"/>
        <w:contextualSpacing w:val="0"/>
        <w:jc w:val="both"/>
      </w:pPr>
      <w:r w:rsidRPr="00D21B14">
        <w:rPr>
          <w:b/>
          <w:i/>
        </w:rPr>
        <w:t>SZRB o 24</w:t>
      </w:r>
      <w:r>
        <w:rPr>
          <w:b/>
          <w:i/>
        </w:rPr>
        <w:t> </w:t>
      </w:r>
      <w:r w:rsidRPr="00D21B14">
        <w:rPr>
          <w:b/>
          <w:i/>
        </w:rPr>
        <w:t>420</w:t>
      </w:r>
      <w:r>
        <w:rPr>
          <w:b/>
          <w:i/>
        </w:rPr>
        <w:t> </w:t>
      </w:r>
      <w:r w:rsidRPr="00D21B14">
        <w:rPr>
          <w:b/>
          <w:i/>
        </w:rPr>
        <w:t>tis.</w:t>
      </w:r>
      <w:r>
        <w:rPr>
          <w:b/>
          <w:i/>
        </w:rPr>
        <w:t> </w:t>
      </w:r>
      <w:r w:rsidRPr="00D21B14">
        <w:rPr>
          <w:b/>
          <w:i/>
        </w:rPr>
        <w:t>eur</w:t>
      </w:r>
      <w:r w:rsidRPr="00D21B14">
        <w:t xml:space="preserve"> - príjem z poplatkov za poskytnutie finančnej záruky a</w:t>
      </w:r>
      <w:r>
        <w:t> </w:t>
      </w:r>
      <w:r w:rsidRPr="00D21B14">
        <w:t>za</w:t>
      </w:r>
      <w:r>
        <w:t> poplatky spojené s </w:t>
      </w:r>
      <w:r w:rsidR="00574487">
        <w:t>úverovou činnosťou.</w:t>
      </w:r>
    </w:p>
    <w:p w14:paraId="44F6B3B5" w14:textId="5074D24B" w:rsidR="00F8601D" w:rsidRPr="00D21B14" w:rsidRDefault="00F8601D" w:rsidP="00F8601D">
      <w:pPr>
        <w:pStyle w:val="Odsekzoznamu"/>
        <w:numPr>
          <w:ilvl w:val="0"/>
          <w:numId w:val="35"/>
        </w:numPr>
        <w:spacing w:before="120" w:after="120"/>
        <w:contextualSpacing w:val="0"/>
        <w:jc w:val="both"/>
      </w:pPr>
      <w:r w:rsidRPr="00D21B14">
        <w:rPr>
          <w:b/>
          <w:i/>
        </w:rPr>
        <w:t>Národná diaľničná spo</w:t>
      </w:r>
      <w:r>
        <w:rPr>
          <w:b/>
          <w:i/>
        </w:rPr>
        <w:t>ločnosť, </w:t>
      </w:r>
      <w:r w:rsidRPr="00D21B14">
        <w:rPr>
          <w:b/>
          <w:i/>
        </w:rPr>
        <w:t>a.</w:t>
      </w:r>
      <w:r>
        <w:t> </w:t>
      </w:r>
      <w:r w:rsidRPr="00D21B14">
        <w:rPr>
          <w:b/>
          <w:i/>
        </w:rPr>
        <w:t>s.</w:t>
      </w:r>
      <w:r>
        <w:rPr>
          <w:b/>
          <w:i/>
        </w:rPr>
        <w:t> </w:t>
      </w:r>
      <w:r w:rsidRPr="0053232F">
        <w:rPr>
          <w:b/>
          <w:i/>
        </w:rPr>
        <w:t>o 22 30</w:t>
      </w:r>
      <w:r w:rsidR="0053232F" w:rsidRPr="0053232F">
        <w:rPr>
          <w:b/>
          <w:i/>
        </w:rPr>
        <w:t>9</w:t>
      </w:r>
      <w:r w:rsidRPr="0053232F">
        <w:rPr>
          <w:b/>
          <w:i/>
        </w:rPr>
        <w:t> tis.</w:t>
      </w:r>
      <w:r>
        <w:rPr>
          <w:b/>
          <w:i/>
        </w:rPr>
        <w:t> </w:t>
      </w:r>
      <w:r w:rsidRPr="00D21B14">
        <w:rPr>
          <w:b/>
          <w:i/>
        </w:rPr>
        <w:t>eur</w:t>
      </w:r>
      <w:r w:rsidRPr="00D21B14">
        <w:t xml:space="preserve"> - medziročný nárast bol spôsobený najmä vplyvom vyšších príjmov za predaj </w:t>
      </w:r>
      <w:r w:rsidR="001D4F6D">
        <w:t>elektronickej diaľničnej známky (</w:t>
      </w:r>
      <w:r w:rsidRPr="00D21B14">
        <w:t>eDZ</w:t>
      </w:r>
      <w:r w:rsidR="001D4F6D">
        <w:t>)</w:t>
      </w:r>
      <w:r w:rsidRPr="00D21B14">
        <w:t xml:space="preserve"> o</w:t>
      </w:r>
      <w:r>
        <w:t> </w:t>
      </w:r>
      <w:r w:rsidRPr="00D21B14">
        <w:t>20</w:t>
      </w:r>
      <w:r>
        <w:t> </w:t>
      </w:r>
      <w:r w:rsidRPr="00D21B14">
        <w:t>591</w:t>
      </w:r>
      <w:r>
        <w:t> </w:t>
      </w:r>
      <w:r w:rsidRPr="00D21B14">
        <w:t>tis.</w:t>
      </w:r>
      <w:r>
        <w:t> </w:t>
      </w:r>
      <w:r w:rsidRPr="00D21B14">
        <w:t>eur a to z</w:t>
      </w:r>
      <w:r w:rsidR="008A1278">
        <w:t> </w:t>
      </w:r>
      <w:r w:rsidRPr="00D21B14">
        <w:t>dôvodu vyššej predajnej ceny eDZ od rok</w:t>
      </w:r>
      <w:r w:rsidR="00A70185">
        <w:t>u</w:t>
      </w:r>
      <w:r w:rsidRPr="00D21B14">
        <w:t xml:space="preserve"> 2023, kedy došlo k zvýšeniu cien diaľničných známok o</w:t>
      </w:r>
      <w:r w:rsidR="004D02C1">
        <w:t> </w:t>
      </w:r>
      <w:r w:rsidRPr="00D21B14">
        <w:t>20</w:t>
      </w:r>
      <w:r w:rsidR="004D02C1">
        <w:t>,0</w:t>
      </w:r>
      <w:r w:rsidRPr="00D21B14">
        <w:t xml:space="preserve"> %. Nárast príjmov súvisiacich s tržbami za predaj ETC </w:t>
      </w:r>
      <w:r w:rsidR="00124000">
        <w:t>bol</w:t>
      </w:r>
      <w:r w:rsidR="00574487">
        <w:t> 15 915 tis. eur.</w:t>
      </w:r>
      <w:r w:rsidR="00E7676E">
        <w:t xml:space="preserve"> Nárast príjmov bol eliminovaný poklesom pohľadávok z dôvodu prijatia platieb za mýto ku koncu roka 2023 a taktiež poklesom pohľadávky za predaj staveniska voči zhotoviteľovi SKANSKA SK, ktorá sa počas roka 2023 postupne započítavala.</w:t>
      </w:r>
    </w:p>
    <w:p w14:paraId="4758EE29" w14:textId="7292DE92" w:rsidR="00F8601D" w:rsidRPr="00E44107" w:rsidRDefault="00F8601D" w:rsidP="00F8601D">
      <w:pPr>
        <w:pStyle w:val="Odsekzoznamu"/>
        <w:numPr>
          <w:ilvl w:val="0"/>
          <w:numId w:val="35"/>
        </w:numPr>
        <w:spacing w:before="120" w:after="120"/>
        <w:contextualSpacing w:val="0"/>
        <w:jc w:val="both"/>
      </w:pPr>
      <w:r w:rsidRPr="00D21B14">
        <w:rPr>
          <w:b/>
          <w:i/>
        </w:rPr>
        <w:t xml:space="preserve">Príspevkové organizácie VÚC </w:t>
      </w:r>
      <w:r w:rsidRPr="0053232F">
        <w:rPr>
          <w:b/>
          <w:i/>
        </w:rPr>
        <w:t>o 19 94</w:t>
      </w:r>
      <w:r w:rsidR="0053232F" w:rsidRPr="0053232F">
        <w:rPr>
          <w:b/>
          <w:i/>
        </w:rPr>
        <w:t>2</w:t>
      </w:r>
      <w:r>
        <w:rPr>
          <w:b/>
          <w:i/>
        </w:rPr>
        <w:t> </w:t>
      </w:r>
      <w:r w:rsidRPr="00D21B14">
        <w:rPr>
          <w:b/>
          <w:i/>
        </w:rPr>
        <w:t>tis.</w:t>
      </w:r>
      <w:r>
        <w:rPr>
          <w:b/>
          <w:i/>
        </w:rPr>
        <w:t> </w:t>
      </w:r>
      <w:r w:rsidRPr="00D21B14">
        <w:rPr>
          <w:b/>
          <w:i/>
        </w:rPr>
        <w:t>eur</w:t>
      </w:r>
      <w:r w:rsidRPr="00D21B14">
        <w:t xml:space="preserve"> - ide o príjmy na zabezpečenie činnosti v oblasti kultúry (organizovanie výstav, edičná činnosť múzeí, reštaurovanie), školstva, životného prostredia, pôdohospodárstva, výskumu, služieb a informatiky. PO VUC zabezpečujú </w:t>
      </w:r>
      <w:r w:rsidR="00B6012C">
        <w:t xml:space="preserve">najmä </w:t>
      </w:r>
      <w:r w:rsidRPr="00D21B14">
        <w:t xml:space="preserve">činnosti </w:t>
      </w:r>
      <w:r w:rsidRPr="00E44107">
        <w:t xml:space="preserve">údržby a opravy ciest II. a III. </w:t>
      </w:r>
      <w:r w:rsidR="00B6012C">
        <w:t>t</w:t>
      </w:r>
      <w:r w:rsidR="00574487">
        <w:t>riedy pre samosprávne kraje.</w:t>
      </w:r>
    </w:p>
    <w:p w14:paraId="39B578B5" w14:textId="54D47E4B" w:rsidR="00F8601D" w:rsidRPr="00E44107" w:rsidRDefault="00C53D78" w:rsidP="00F8601D">
      <w:pPr>
        <w:pStyle w:val="Odsekzoznamu"/>
        <w:numPr>
          <w:ilvl w:val="0"/>
          <w:numId w:val="35"/>
        </w:numPr>
        <w:spacing w:before="120" w:after="120"/>
        <w:contextualSpacing w:val="0"/>
        <w:jc w:val="both"/>
      </w:pPr>
      <w:r>
        <w:rPr>
          <w:b/>
          <w:i/>
        </w:rPr>
        <w:t>P</w:t>
      </w:r>
      <w:r w:rsidR="00F8601D" w:rsidRPr="00E44107">
        <w:rPr>
          <w:b/>
          <w:i/>
        </w:rPr>
        <w:t>ríspevkové organizácie štátne o</w:t>
      </w:r>
      <w:r w:rsidR="00F8601D">
        <w:rPr>
          <w:b/>
          <w:i/>
        </w:rPr>
        <w:t> </w:t>
      </w:r>
      <w:r w:rsidR="00F8601D" w:rsidRPr="00E44107">
        <w:rPr>
          <w:b/>
          <w:i/>
        </w:rPr>
        <w:t>18</w:t>
      </w:r>
      <w:r w:rsidR="00F8601D">
        <w:rPr>
          <w:b/>
          <w:i/>
        </w:rPr>
        <w:t> </w:t>
      </w:r>
      <w:r w:rsidR="00F8601D" w:rsidRPr="00E44107">
        <w:rPr>
          <w:b/>
          <w:i/>
        </w:rPr>
        <w:t>139</w:t>
      </w:r>
      <w:r w:rsidR="00F8601D">
        <w:rPr>
          <w:b/>
          <w:i/>
        </w:rPr>
        <w:t> </w:t>
      </w:r>
      <w:r w:rsidR="00F8601D" w:rsidRPr="00E44107">
        <w:rPr>
          <w:b/>
          <w:i/>
        </w:rPr>
        <w:t>tis.</w:t>
      </w:r>
      <w:r w:rsidR="00F8601D">
        <w:rPr>
          <w:b/>
          <w:i/>
        </w:rPr>
        <w:t> </w:t>
      </w:r>
      <w:r w:rsidR="00F8601D" w:rsidRPr="00E44107">
        <w:rPr>
          <w:b/>
          <w:i/>
        </w:rPr>
        <w:t>eur</w:t>
      </w:r>
      <w:r w:rsidR="00F8601D" w:rsidRPr="00E44107">
        <w:t xml:space="preserve"> – zvýšenie príjmov za predaj výrobkov, tovarov a služieb bol zaznamenaný najmä pri subjekte Slovenské národné divadlo za predaj vlastných služieb (najmä z odohratých predstavení) a z tržieb za predaj  tovaro</w:t>
      </w:r>
      <w:r w:rsidR="00F179C7">
        <w:t xml:space="preserve">v, Centrum účelových </w:t>
      </w:r>
      <w:r w:rsidR="00F179C7">
        <w:lastRenderedPageBreak/>
        <w:t xml:space="preserve">zariadení </w:t>
      </w:r>
      <w:r w:rsidR="00F8601D" w:rsidRPr="00E44107">
        <w:t>za služby ubytovania a stravovania z dôvodu vyššieho využitia ubytovacích kapacít, Správa Národného parku Muránska planina so sídlom v Revúcej za ťažbu a predaj dreva a súvisiacich tovarov a služieb, keďže vznikli 31.3.2022 a počas predchádzajúceho roku neboli v plnej prevádzke, Slovenské národné múzeum za tržby zo vstupného, ktoré boli ovplyvnené nárastom návštevníkov o viac ako 20</w:t>
      </w:r>
      <w:r w:rsidR="004D02C1">
        <w:t>,0</w:t>
      </w:r>
      <w:r w:rsidR="00F179C7">
        <w:t> </w:t>
      </w:r>
      <w:r w:rsidR="00F8601D" w:rsidRPr="00E44107">
        <w:t>%, zvýšenou cenou vstupného a realizáciou nových podujatí.</w:t>
      </w:r>
    </w:p>
    <w:p w14:paraId="01E47B1E" w14:textId="1DC4199F" w:rsidR="00F8601D" w:rsidRPr="00D21B14" w:rsidRDefault="00F8601D" w:rsidP="00F8601D">
      <w:pPr>
        <w:pStyle w:val="Odsekzoznamu"/>
        <w:numPr>
          <w:ilvl w:val="0"/>
          <w:numId w:val="35"/>
        </w:numPr>
        <w:spacing w:before="120" w:after="120"/>
        <w:contextualSpacing w:val="0"/>
        <w:jc w:val="both"/>
      </w:pPr>
      <w:r w:rsidRPr="00D21B14">
        <w:rPr>
          <w:b/>
          <w:i/>
        </w:rPr>
        <w:t>VÚC</w:t>
      </w:r>
      <w:r w:rsidR="000177FD">
        <w:rPr>
          <w:b/>
          <w:i/>
        </w:rPr>
        <w:t xml:space="preserve"> a ich RO</w:t>
      </w:r>
      <w:r w:rsidRPr="00D21B14">
        <w:rPr>
          <w:b/>
          <w:i/>
        </w:rPr>
        <w:t xml:space="preserve"> o</w:t>
      </w:r>
      <w:r w:rsidR="00F179C7">
        <w:rPr>
          <w:b/>
          <w:i/>
        </w:rPr>
        <w:t> </w:t>
      </w:r>
      <w:r w:rsidRPr="00802840">
        <w:rPr>
          <w:b/>
          <w:i/>
        </w:rPr>
        <w:t>15</w:t>
      </w:r>
      <w:r w:rsidR="00F179C7" w:rsidRPr="00802840">
        <w:rPr>
          <w:b/>
          <w:i/>
        </w:rPr>
        <w:t> </w:t>
      </w:r>
      <w:r w:rsidRPr="00802840">
        <w:rPr>
          <w:b/>
          <w:i/>
        </w:rPr>
        <w:t>4</w:t>
      </w:r>
      <w:r w:rsidR="00802840" w:rsidRPr="00802840">
        <w:rPr>
          <w:b/>
          <w:i/>
        </w:rPr>
        <w:t>04</w:t>
      </w:r>
      <w:r w:rsidR="00F179C7">
        <w:rPr>
          <w:b/>
          <w:i/>
        </w:rPr>
        <w:t> </w:t>
      </w:r>
      <w:r w:rsidRPr="00D21B14">
        <w:rPr>
          <w:b/>
          <w:i/>
        </w:rPr>
        <w:t>tis.</w:t>
      </w:r>
      <w:r w:rsidR="00F179C7">
        <w:rPr>
          <w:b/>
          <w:i/>
        </w:rPr>
        <w:t> </w:t>
      </w:r>
      <w:r w:rsidRPr="00D21B14">
        <w:rPr>
          <w:b/>
          <w:i/>
        </w:rPr>
        <w:t>eur</w:t>
      </w:r>
      <w:r w:rsidRPr="00D21B14">
        <w:t xml:space="preserve"> - zvýšené príjmy z poplatkov a platieb za poskytovanie služieb v</w:t>
      </w:r>
      <w:r w:rsidR="00F179C7">
        <w:t> </w:t>
      </w:r>
      <w:r w:rsidRPr="00D21B14">
        <w:t>školských jedálňach, zariadeniach sociálnych služieb, z úhrad za ubytovanie žiakov v</w:t>
      </w:r>
      <w:r w:rsidR="00F179C7">
        <w:t> </w:t>
      </w:r>
      <w:r w:rsidRPr="00D21B14">
        <w:t xml:space="preserve">školských internátoch, za predaj knižných publikácií, </w:t>
      </w:r>
      <w:r w:rsidR="00574487">
        <w:t>prebytočného hnuteľného majetku.</w:t>
      </w:r>
    </w:p>
    <w:p w14:paraId="3553ECB0" w14:textId="14D9A107" w:rsidR="00F8601D" w:rsidRPr="00D21B14" w:rsidRDefault="00F8601D" w:rsidP="00F8601D">
      <w:pPr>
        <w:pStyle w:val="Odsekzoznamu"/>
        <w:numPr>
          <w:ilvl w:val="0"/>
          <w:numId w:val="35"/>
        </w:numPr>
        <w:spacing w:before="120" w:after="120"/>
        <w:contextualSpacing w:val="0"/>
        <w:jc w:val="both"/>
      </w:pPr>
      <w:r w:rsidRPr="00D21B14">
        <w:rPr>
          <w:b/>
          <w:i/>
        </w:rPr>
        <w:t>príspevkové organizácie obcí o</w:t>
      </w:r>
      <w:r w:rsidR="00F179C7">
        <w:rPr>
          <w:b/>
          <w:i/>
        </w:rPr>
        <w:t> </w:t>
      </w:r>
      <w:r w:rsidRPr="00D21B14">
        <w:rPr>
          <w:b/>
          <w:i/>
        </w:rPr>
        <w:t>11</w:t>
      </w:r>
      <w:r w:rsidR="00F179C7">
        <w:rPr>
          <w:b/>
          <w:i/>
        </w:rPr>
        <w:t> </w:t>
      </w:r>
      <w:r w:rsidRPr="00D21B14">
        <w:rPr>
          <w:b/>
          <w:i/>
        </w:rPr>
        <w:t>880</w:t>
      </w:r>
      <w:r w:rsidR="00F179C7">
        <w:rPr>
          <w:b/>
          <w:i/>
        </w:rPr>
        <w:t> </w:t>
      </w:r>
      <w:r w:rsidRPr="00D21B14">
        <w:rPr>
          <w:b/>
          <w:i/>
        </w:rPr>
        <w:t>tis.</w:t>
      </w:r>
      <w:r w:rsidR="00F179C7">
        <w:rPr>
          <w:b/>
          <w:i/>
        </w:rPr>
        <w:t> </w:t>
      </w:r>
      <w:r w:rsidRPr="00D21B14">
        <w:rPr>
          <w:b/>
          <w:i/>
        </w:rPr>
        <w:t>eur</w:t>
      </w:r>
      <w:r w:rsidR="007F5AC8">
        <w:rPr>
          <w:b/>
          <w:i/>
        </w:rPr>
        <w:t xml:space="preserve"> </w:t>
      </w:r>
      <w:r w:rsidRPr="00D21B14">
        <w:t>- poplatky za prijaté</w:t>
      </w:r>
      <w:r>
        <w:t xml:space="preserve"> služby, ktoré platia klienti v </w:t>
      </w:r>
      <w:r w:rsidRPr="00D21B14">
        <w:t>zariadeniach pre seniorov (ubytovanie, odborné a o</w:t>
      </w:r>
      <w:r w:rsidR="00C765EA">
        <w:t xml:space="preserve">bslužné činnosti), za terénnu </w:t>
      </w:r>
      <w:r w:rsidR="00C765EA" w:rsidRPr="00C765EA">
        <w:t>a</w:t>
      </w:r>
      <w:r w:rsidR="00C765EA">
        <w:t> </w:t>
      </w:r>
      <w:r w:rsidRPr="00C765EA">
        <w:t>domovú</w:t>
      </w:r>
      <w:r w:rsidRPr="00D21B14">
        <w:t xml:space="preserve"> opatrovateľskú službu, za réžiu zo stravného</w:t>
      </w:r>
      <w:r>
        <w:t>.</w:t>
      </w:r>
    </w:p>
    <w:p w14:paraId="2A7995E3" w14:textId="77777777" w:rsidR="002D19D1" w:rsidRDefault="002D19D1" w:rsidP="002D19D1">
      <w:pPr>
        <w:pStyle w:val="Popis"/>
        <w:framePr w:wrap="around" w:x="1660" w:y="1715"/>
      </w:pPr>
      <w:bookmarkStart w:id="30" w:name="_Ref180132925"/>
      <w:bookmarkStart w:id="31" w:name="_Ref180132914"/>
      <w:r>
        <w:t xml:space="preserve">Graf </w:t>
      </w:r>
      <w:r w:rsidR="001F05DE">
        <w:fldChar w:fldCharType="begin"/>
      </w:r>
      <w:r w:rsidR="001F05DE">
        <w:instrText xml:space="preserve"> SEQ Graf \* ARABIC </w:instrText>
      </w:r>
      <w:r w:rsidR="001F05DE">
        <w:fldChar w:fldCharType="separate"/>
      </w:r>
      <w:r>
        <w:rPr>
          <w:noProof/>
        </w:rPr>
        <w:t>3</w:t>
      </w:r>
      <w:r w:rsidR="001F05DE">
        <w:rPr>
          <w:noProof/>
        </w:rPr>
        <w:fldChar w:fldCharType="end"/>
      </w:r>
      <w:bookmarkEnd w:id="30"/>
      <w:r>
        <w:t xml:space="preserve"> - Vývoj dividend v metodike ESA 2010</w:t>
      </w:r>
      <w:bookmarkEnd w:id="31"/>
    </w:p>
    <w:p w14:paraId="3EFE2A6A" w14:textId="38C64673" w:rsidR="0058646C" w:rsidRPr="002746C4" w:rsidRDefault="008C4117" w:rsidP="0058646C">
      <w:pPr>
        <w:spacing w:after="120" w:line="240" w:lineRule="auto"/>
        <w:jc w:val="both"/>
        <w:rPr>
          <w:szCs w:val="22"/>
          <w:highlight w:val="yellow"/>
        </w:rPr>
      </w:pPr>
      <w:r>
        <w:rPr>
          <w:bCs/>
          <w:u w:val="single"/>
        </w:rPr>
        <w:t xml:space="preserve">Dividendy </w:t>
      </w:r>
      <w:r w:rsidR="00945AB8" w:rsidRPr="00821D14">
        <w:rPr>
          <w:bCs/>
          <w:u w:val="single"/>
        </w:rPr>
        <w:t>v</w:t>
      </w:r>
      <w:r w:rsidR="00151939" w:rsidRPr="00821D14">
        <w:rPr>
          <w:bCs/>
          <w:u w:val="single"/>
        </w:rPr>
        <w:t xml:space="preserve">erejnej správy </w:t>
      </w:r>
      <w:r>
        <w:rPr>
          <w:bCs/>
          <w:u w:val="single"/>
        </w:rPr>
        <w:t xml:space="preserve">a </w:t>
      </w:r>
      <w:r w:rsidR="00151939" w:rsidRPr="00821D14">
        <w:rPr>
          <w:bCs/>
          <w:u w:val="single"/>
        </w:rPr>
        <w:t>odvod</w:t>
      </w:r>
      <w:r>
        <w:rPr>
          <w:bCs/>
          <w:u w:val="single"/>
        </w:rPr>
        <w:t>y</w:t>
      </w:r>
      <w:r w:rsidR="00151939" w:rsidRPr="00821D14">
        <w:rPr>
          <w:bCs/>
          <w:u w:val="single"/>
        </w:rPr>
        <w:t xml:space="preserve"> zo zisku</w:t>
      </w:r>
      <w:r w:rsidR="00151939" w:rsidRPr="00821D14">
        <w:rPr>
          <w:b/>
          <w:bCs/>
        </w:rPr>
        <w:t xml:space="preserve"> </w:t>
      </w:r>
      <w:r w:rsidR="0058646C" w:rsidRPr="00821D14">
        <w:rPr>
          <w:szCs w:val="22"/>
        </w:rPr>
        <w:t>ako hlavný zdroj nedaňových príjmov štátneho rozpočtu nezaznamenali za sledov</w:t>
      </w:r>
      <w:r w:rsidR="00F268A5">
        <w:rPr>
          <w:szCs w:val="22"/>
        </w:rPr>
        <w:t>ané obdobie stabilný vývoj (</w:t>
      </w:r>
      <w:r w:rsidR="00F268A5">
        <w:rPr>
          <w:szCs w:val="22"/>
        </w:rPr>
        <w:fldChar w:fldCharType="begin"/>
      </w:r>
      <w:r w:rsidR="00F268A5">
        <w:rPr>
          <w:szCs w:val="22"/>
        </w:rPr>
        <w:instrText xml:space="preserve"> REF _Ref180132925 \h </w:instrText>
      </w:r>
      <w:r w:rsidR="00F268A5">
        <w:rPr>
          <w:szCs w:val="22"/>
        </w:rPr>
      </w:r>
      <w:r w:rsidR="00F268A5">
        <w:rPr>
          <w:szCs w:val="22"/>
        </w:rPr>
        <w:fldChar w:fldCharType="separate"/>
      </w:r>
      <w:r w:rsidR="001348DE">
        <w:t xml:space="preserve">Graf </w:t>
      </w:r>
      <w:r w:rsidR="001348DE">
        <w:rPr>
          <w:noProof/>
        </w:rPr>
        <w:t>3</w:t>
      </w:r>
      <w:r w:rsidR="00F268A5">
        <w:rPr>
          <w:szCs w:val="22"/>
        </w:rPr>
        <w:fldChar w:fldCharType="end"/>
      </w:r>
      <w:r w:rsidR="0058646C" w:rsidRPr="00821D14">
        <w:rPr>
          <w:szCs w:val="22"/>
        </w:rPr>
        <w:t>). Dôvodom tejto nestability bol hlavne vývojový trend v energetickom odvetví národného hospodárstva, v ktorom sa generuje majoritný podiel dividend (</w:t>
      </w:r>
      <w:r w:rsidR="00BE5C49">
        <w:rPr>
          <w:szCs w:val="22"/>
        </w:rPr>
        <w:t>v priemere 86,0</w:t>
      </w:r>
      <w:r w:rsidR="00441C52" w:rsidRPr="00821D14">
        <w:rPr>
          <w:szCs w:val="22"/>
        </w:rPr>
        <w:t> %</w:t>
      </w:r>
      <w:r w:rsidR="0058646C" w:rsidRPr="00821D14">
        <w:rPr>
          <w:szCs w:val="22"/>
        </w:rPr>
        <w:t xml:space="preserve">). Za nezanedbateľné pozitívum, </w:t>
      </w:r>
      <w:r w:rsidR="00F268A5">
        <w:rPr>
          <w:szCs w:val="22"/>
        </w:rPr>
        <w:t xml:space="preserve">ktoré možno sledovať na vývoji </w:t>
      </w:r>
      <w:r w:rsidR="00441C52" w:rsidRPr="00821D14">
        <w:rPr>
          <w:szCs w:val="22"/>
        </w:rPr>
        <w:t xml:space="preserve">ESA </w:t>
      </w:r>
      <w:r w:rsidR="0058646C" w:rsidRPr="00821D14">
        <w:rPr>
          <w:szCs w:val="22"/>
        </w:rPr>
        <w:t xml:space="preserve">príjmov z dividend je rast podielu </w:t>
      </w:r>
      <w:r w:rsidR="00411903" w:rsidRPr="00821D14">
        <w:rPr>
          <w:szCs w:val="22"/>
        </w:rPr>
        <w:t>ESA</w:t>
      </w:r>
      <w:r w:rsidR="0058646C" w:rsidRPr="00821D14">
        <w:rPr>
          <w:szCs w:val="22"/>
        </w:rPr>
        <w:t xml:space="preserve"> dividend vo vzťahu k celkovým príjmom z dividend (z</w:t>
      </w:r>
      <w:r w:rsidR="00441C52" w:rsidRPr="00821D14">
        <w:rPr>
          <w:szCs w:val="22"/>
        </w:rPr>
        <w:t> 83,0 % v roku 2022 na </w:t>
      </w:r>
      <w:r w:rsidR="00BE5C49">
        <w:rPr>
          <w:szCs w:val="22"/>
        </w:rPr>
        <w:t>94,0</w:t>
      </w:r>
      <w:r w:rsidR="00821D14" w:rsidRPr="00821D14">
        <w:rPr>
          <w:szCs w:val="22"/>
        </w:rPr>
        <w:t> %</w:t>
      </w:r>
      <w:r w:rsidR="0058646C" w:rsidRPr="00821D14">
        <w:rPr>
          <w:szCs w:val="22"/>
        </w:rPr>
        <w:t xml:space="preserve"> v roku 202</w:t>
      </w:r>
      <w:r w:rsidR="00821D14" w:rsidRPr="00821D14">
        <w:rPr>
          <w:szCs w:val="22"/>
        </w:rPr>
        <w:t>3</w:t>
      </w:r>
      <w:r w:rsidR="0058646C" w:rsidRPr="00821D14">
        <w:rPr>
          <w:szCs w:val="22"/>
        </w:rPr>
        <w:t>), ktoré sú tiež výsledkom štruktúry vyplatených dividend energetickými podnikmi.</w:t>
      </w:r>
    </w:p>
    <w:p w14:paraId="2A849CAD" w14:textId="59B13198" w:rsidR="0058646C" w:rsidRPr="002746C4" w:rsidRDefault="00B8032A" w:rsidP="0058646C">
      <w:pPr>
        <w:spacing w:line="360" w:lineRule="auto"/>
        <w:jc w:val="center"/>
        <w:rPr>
          <w:color w:val="FF0000"/>
          <w:szCs w:val="22"/>
          <w:highlight w:val="yellow"/>
        </w:rPr>
      </w:pPr>
      <w:r>
        <w:rPr>
          <w:noProof/>
          <w:lang w:eastAsia="sk-SK"/>
        </w:rPr>
        <w:drawing>
          <wp:inline distT="0" distB="0" distL="0" distR="0" wp14:anchorId="14254ECA" wp14:editId="655B67B2">
            <wp:extent cx="5054803" cy="3080387"/>
            <wp:effectExtent l="0" t="0" r="0" b="5715"/>
            <wp:docPr id="3" name="Obrázok 3" descr="cid:image001.png@01DB1A2A.C9B87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B1A2A.C9B8782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057569" cy="3082073"/>
                    </a:xfrm>
                    <a:prstGeom prst="rect">
                      <a:avLst/>
                    </a:prstGeom>
                    <a:noFill/>
                    <a:ln>
                      <a:noFill/>
                    </a:ln>
                  </pic:spPr>
                </pic:pic>
              </a:graphicData>
            </a:graphic>
          </wp:inline>
        </w:drawing>
      </w:r>
    </w:p>
    <w:p w14:paraId="1250D253" w14:textId="1A9E3AA8" w:rsidR="00B8032A" w:rsidRPr="00B8032A" w:rsidRDefault="00B8032A" w:rsidP="00B8032A">
      <w:pPr>
        <w:spacing w:after="120" w:line="240" w:lineRule="auto"/>
        <w:jc w:val="both"/>
        <w:rPr>
          <w:szCs w:val="22"/>
        </w:rPr>
      </w:pPr>
      <w:r w:rsidRPr="00B8032A">
        <w:rPr>
          <w:szCs w:val="22"/>
        </w:rPr>
        <w:t>Medziročná zmena objemu prijatých di</w:t>
      </w:r>
      <w:r>
        <w:rPr>
          <w:szCs w:val="22"/>
        </w:rPr>
        <w:t>vidend štátom a MH Manažmentom, </w:t>
      </w:r>
      <w:r w:rsidRPr="00B8032A">
        <w:rPr>
          <w:szCs w:val="22"/>
        </w:rPr>
        <w:t>a.</w:t>
      </w:r>
      <w:r>
        <w:rPr>
          <w:szCs w:val="22"/>
        </w:rPr>
        <w:t> </w:t>
      </w:r>
      <w:r w:rsidRPr="00B8032A">
        <w:rPr>
          <w:szCs w:val="22"/>
        </w:rPr>
        <w:t>s. (rast o</w:t>
      </w:r>
      <w:r w:rsidR="00BE5C49">
        <w:rPr>
          <w:szCs w:val="22"/>
        </w:rPr>
        <w:t> 17 313</w:t>
      </w:r>
      <w:r w:rsidRPr="00B8032A">
        <w:rPr>
          <w:szCs w:val="22"/>
        </w:rPr>
        <w:t> tis. eur) pozostávala predovšetkým z </w:t>
      </w:r>
      <w:r w:rsidR="00BE5C49">
        <w:rPr>
          <w:szCs w:val="22"/>
        </w:rPr>
        <w:t>rastu ESA dividend o 18,0</w:t>
      </w:r>
      <w:r>
        <w:rPr>
          <w:szCs w:val="22"/>
        </w:rPr>
        <w:t> % (61 </w:t>
      </w:r>
      <w:r w:rsidR="00BE5C49">
        <w:rPr>
          <w:szCs w:val="22"/>
        </w:rPr>
        <w:t>764</w:t>
      </w:r>
      <w:r w:rsidRPr="00B8032A">
        <w:rPr>
          <w:szCs w:val="22"/>
        </w:rPr>
        <w:t> tis. eur) a zároveň z pokle</w:t>
      </w:r>
      <w:r>
        <w:rPr>
          <w:szCs w:val="22"/>
        </w:rPr>
        <w:t>su hodnoty superdividend o 63,5 % (44 451 </w:t>
      </w:r>
      <w:r w:rsidRPr="00B8032A">
        <w:rPr>
          <w:szCs w:val="22"/>
        </w:rPr>
        <w:t>tis. eur).  Pozitívna medziročná zmena v objeme ESA dividend v roku 2023 bola výsledkom podniku V</w:t>
      </w:r>
      <w:r>
        <w:rPr>
          <w:szCs w:val="22"/>
        </w:rPr>
        <w:t>odohospodárska výstavba, </w:t>
      </w:r>
      <w:r w:rsidRPr="00B8032A">
        <w:rPr>
          <w:szCs w:val="22"/>
        </w:rPr>
        <w:t>š.</w:t>
      </w:r>
      <w:r>
        <w:rPr>
          <w:szCs w:val="22"/>
        </w:rPr>
        <w:t> </w:t>
      </w:r>
      <w:r w:rsidRPr="00B8032A">
        <w:rPr>
          <w:szCs w:val="22"/>
        </w:rPr>
        <w:t>p.</w:t>
      </w:r>
      <w:r>
        <w:rPr>
          <w:szCs w:val="22"/>
        </w:rPr>
        <w:t>,</w:t>
      </w:r>
      <w:r w:rsidRPr="00B8032A">
        <w:rPr>
          <w:szCs w:val="22"/>
        </w:rPr>
        <w:t xml:space="preserve"> ktorý v roku 2023 priznal celkový </w:t>
      </w:r>
      <w:r>
        <w:rPr>
          <w:szCs w:val="22"/>
        </w:rPr>
        <w:t>odvod zo zisku vo výške 152 000 tis. </w:t>
      </w:r>
      <w:r w:rsidRPr="00B8032A">
        <w:rPr>
          <w:szCs w:val="22"/>
        </w:rPr>
        <w:t xml:space="preserve">eur, pričom za ESA príjem bol uznaný v plnej výške. Súčasne aj priznané dividendy spoločnosťou Slovenská </w:t>
      </w:r>
      <w:r>
        <w:rPr>
          <w:szCs w:val="22"/>
        </w:rPr>
        <w:t>elektrizačná prenosová sústava, </w:t>
      </w:r>
      <w:r w:rsidRPr="00B8032A">
        <w:rPr>
          <w:szCs w:val="22"/>
        </w:rPr>
        <w:t>a.</w:t>
      </w:r>
      <w:r>
        <w:rPr>
          <w:szCs w:val="22"/>
        </w:rPr>
        <w:t> </w:t>
      </w:r>
      <w:r w:rsidRPr="00B8032A">
        <w:rPr>
          <w:szCs w:val="22"/>
        </w:rPr>
        <w:t>s., vo výške 79</w:t>
      </w:r>
      <w:r>
        <w:rPr>
          <w:szCs w:val="22"/>
        </w:rPr>
        <w:t> 338 </w:t>
      </w:r>
      <w:r w:rsidRPr="00B8032A">
        <w:rPr>
          <w:szCs w:val="22"/>
        </w:rPr>
        <w:t>tis.</w:t>
      </w:r>
      <w:r>
        <w:rPr>
          <w:szCs w:val="22"/>
        </w:rPr>
        <w:t> </w:t>
      </w:r>
      <w:r w:rsidRPr="00B8032A">
        <w:rPr>
          <w:szCs w:val="22"/>
        </w:rPr>
        <w:t>eur, boli v plnej výške uznané za ESA dividendy. Celkový rast ESA dividend čiastočne zmiernila absencia ESA dividend od SPP.</w:t>
      </w:r>
    </w:p>
    <w:p w14:paraId="4AA18ED0" w14:textId="607EA3AE" w:rsidR="003724FD" w:rsidRPr="002D19D1" w:rsidRDefault="00B8032A" w:rsidP="00053376">
      <w:pPr>
        <w:spacing w:after="120" w:line="240" w:lineRule="auto"/>
        <w:jc w:val="both"/>
      </w:pPr>
      <w:r w:rsidRPr="004D02C1">
        <w:rPr>
          <w:szCs w:val="22"/>
        </w:rPr>
        <w:t>Medziročný pokles zaznamenaný na položke superdividend bol vo výške 44 451 tis. eur, pričom podiel superdividend na celkovom objeme prijatých dividend sa znížil  (zo 17,0 % v roku 2022 na 6,0 %  v roku 2023).  Medziročný pokles superdividend bol zaznamenaný pri SPP, ktoré v roku 2023 nepriznalo žiadne dividendy. Celkový pokles superdividend čiastočne zmiernil rast superdividend priznaných Tipos, a. s. (vo výške 24 297 tis. eur), z dôvodu priznanej dividendy</w:t>
      </w:r>
      <w:r>
        <w:t xml:space="preserve"> aj z nerozdeleného zisku minulých období.</w:t>
      </w:r>
    </w:p>
    <w:p w14:paraId="1BF2E4A1" w14:textId="6560CC49" w:rsidR="00107CE1" w:rsidRDefault="00107CE1" w:rsidP="003724FD">
      <w:pPr>
        <w:pStyle w:val="Popis"/>
        <w:framePr w:wrap="around" w:x="904" w:y="-74"/>
      </w:pPr>
      <w:r>
        <w:lastRenderedPageBreak/>
        <w:t xml:space="preserve">Tabuľka </w:t>
      </w:r>
      <w:r w:rsidR="001F05DE">
        <w:fldChar w:fldCharType="begin"/>
      </w:r>
      <w:r w:rsidR="001F05DE">
        <w:instrText xml:space="preserve"> SEQ Tabuľka \* ARABIC </w:instrText>
      </w:r>
      <w:r w:rsidR="001F05DE">
        <w:fldChar w:fldCharType="separate"/>
      </w:r>
      <w:r w:rsidR="001348DE">
        <w:rPr>
          <w:noProof/>
        </w:rPr>
        <w:t>12</w:t>
      </w:r>
      <w:r w:rsidR="001F05DE">
        <w:rPr>
          <w:noProof/>
        </w:rPr>
        <w:fldChar w:fldCharType="end"/>
      </w:r>
      <w:r>
        <w:t xml:space="preserve"> - </w:t>
      </w:r>
      <w:r w:rsidRPr="00887FC7">
        <w:t>Prehľad v</w:t>
      </w:r>
      <w:r>
        <w:t xml:space="preserve">ýznamných príjmov z dividend </w:t>
      </w:r>
      <w:r>
        <w:tab/>
      </w:r>
      <w:r>
        <w:tab/>
      </w:r>
      <w:r>
        <w:tab/>
      </w:r>
      <w:r>
        <w:tab/>
      </w:r>
      <w:r>
        <w:tab/>
      </w:r>
      <w:r>
        <w:tab/>
        <w:t>v tis. eur</w:t>
      </w:r>
    </w:p>
    <w:tbl>
      <w:tblPr>
        <w:tblW w:w="5000" w:type="pct"/>
        <w:tblCellMar>
          <w:left w:w="70" w:type="dxa"/>
          <w:right w:w="70" w:type="dxa"/>
        </w:tblCellMar>
        <w:tblLook w:val="04A0" w:firstRow="1" w:lastRow="0" w:firstColumn="1" w:lastColumn="0" w:noHBand="0" w:noVBand="1"/>
      </w:tblPr>
      <w:tblGrid>
        <w:gridCol w:w="4304"/>
        <w:gridCol w:w="696"/>
        <w:gridCol w:w="1040"/>
        <w:gridCol w:w="1121"/>
        <w:gridCol w:w="999"/>
        <w:gridCol w:w="1194"/>
      </w:tblGrid>
      <w:tr w:rsidR="003511D3" w:rsidRPr="002746C4" w14:paraId="2A581259" w14:textId="77777777" w:rsidTr="00410A90">
        <w:trPr>
          <w:trHeight w:val="300"/>
          <w:tblHeader/>
        </w:trPr>
        <w:tc>
          <w:tcPr>
            <w:tcW w:w="2301" w:type="pct"/>
            <w:tcBorders>
              <w:top w:val="single" w:sz="4" w:space="0" w:color="auto"/>
              <w:bottom w:val="single" w:sz="4" w:space="0" w:color="auto"/>
              <w:right w:val="nil"/>
            </w:tcBorders>
            <w:shd w:val="clear" w:color="auto" w:fill="auto"/>
            <w:noWrap/>
            <w:vAlign w:val="center"/>
          </w:tcPr>
          <w:p w14:paraId="1B58DAF3" w14:textId="77777777" w:rsidR="003511D3" w:rsidRPr="0051435C" w:rsidRDefault="003511D3" w:rsidP="005019EB">
            <w:pPr>
              <w:spacing w:after="0" w:line="240" w:lineRule="auto"/>
              <w:rPr>
                <w:bCs/>
                <w:color w:val="000000"/>
                <w:sz w:val="18"/>
                <w:szCs w:val="18"/>
                <w:lang w:eastAsia="sk-SK"/>
              </w:rPr>
            </w:pPr>
            <w:r w:rsidRPr="0051435C">
              <w:rPr>
                <w:bCs/>
                <w:sz w:val="18"/>
                <w:szCs w:val="18"/>
                <w:lang w:eastAsia="sk-SK"/>
              </w:rPr>
              <w:t>Kapitola štátneho rozpočtu / spoločnosť</w:t>
            </w:r>
          </w:p>
        </w:tc>
        <w:tc>
          <w:tcPr>
            <w:tcW w:w="372" w:type="pct"/>
            <w:tcBorders>
              <w:top w:val="single" w:sz="4" w:space="0" w:color="auto"/>
              <w:left w:val="nil"/>
              <w:bottom w:val="single" w:sz="4" w:space="0" w:color="auto"/>
              <w:right w:val="nil"/>
            </w:tcBorders>
            <w:shd w:val="clear" w:color="auto" w:fill="auto"/>
            <w:noWrap/>
            <w:vAlign w:val="center"/>
          </w:tcPr>
          <w:p w14:paraId="3AD4682E" w14:textId="77777777" w:rsidR="003511D3" w:rsidRPr="0051435C" w:rsidRDefault="003511D3" w:rsidP="005019EB">
            <w:pPr>
              <w:spacing w:after="0" w:line="240" w:lineRule="auto"/>
              <w:jc w:val="center"/>
              <w:rPr>
                <w:b/>
                <w:bCs/>
                <w:color w:val="000000"/>
                <w:sz w:val="18"/>
                <w:szCs w:val="18"/>
                <w:lang w:eastAsia="sk-SK"/>
              </w:rPr>
            </w:pPr>
            <w:r w:rsidRPr="0051435C">
              <w:rPr>
                <w:b/>
                <w:bCs/>
                <w:color w:val="000000"/>
                <w:sz w:val="18"/>
                <w:szCs w:val="18"/>
                <w:lang w:eastAsia="sk-SK"/>
              </w:rPr>
              <w:t>Typ</w:t>
            </w:r>
          </w:p>
        </w:tc>
        <w:tc>
          <w:tcPr>
            <w:tcW w:w="555" w:type="pct"/>
            <w:tcBorders>
              <w:top w:val="single" w:sz="4" w:space="0" w:color="auto"/>
              <w:left w:val="nil"/>
              <w:bottom w:val="single" w:sz="4" w:space="0" w:color="auto"/>
              <w:right w:val="nil"/>
            </w:tcBorders>
            <w:shd w:val="clear" w:color="auto" w:fill="auto"/>
            <w:noWrap/>
            <w:vAlign w:val="center"/>
          </w:tcPr>
          <w:p w14:paraId="01AD86A1" w14:textId="5A13266A" w:rsidR="003511D3" w:rsidRPr="0051435C" w:rsidRDefault="003511D3" w:rsidP="0051435C">
            <w:pPr>
              <w:spacing w:after="0" w:line="240" w:lineRule="auto"/>
              <w:jc w:val="center"/>
              <w:rPr>
                <w:b/>
                <w:bCs/>
                <w:color w:val="000000"/>
                <w:sz w:val="18"/>
                <w:szCs w:val="18"/>
                <w:lang w:eastAsia="sk-SK"/>
              </w:rPr>
            </w:pPr>
            <w:r w:rsidRPr="0051435C">
              <w:rPr>
                <w:b/>
                <w:bCs/>
                <w:sz w:val="18"/>
                <w:szCs w:val="18"/>
                <w:lang w:eastAsia="sk-SK"/>
              </w:rPr>
              <w:t>202</w:t>
            </w:r>
            <w:r w:rsidR="0051435C" w:rsidRPr="0051435C">
              <w:rPr>
                <w:b/>
                <w:bCs/>
                <w:sz w:val="18"/>
                <w:szCs w:val="18"/>
                <w:lang w:eastAsia="sk-SK"/>
              </w:rPr>
              <w:t>1</w:t>
            </w:r>
            <w:r w:rsidRPr="0051435C">
              <w:rPr>
                <w:b/>
                <w:bCs/>
                <w:sz w:val="18"/>
                <w:szCs w:val="18"/>
                <w:lang w:eastAsia="sk-SK"/>
              </w:rPr>
              <w:t xml:space="preserve"> S</w:t>
            </w:r>
          </w:p>
        </w:tc>
        <w:tc>
          <w:tcPr>
            <w:tcW w:w="599" w:type="pct"/>
            <w:tcBorders>
              <w:top w:val="single" w:sz="4" w:space="0" w:color="auto"/>
              <w:left w:val="nil"/>
              <w:bottom w:val="single" w:sz="4" w:space="0" w:color="auto"/>
              <w:right w:val="nil"/>
            </w:tcBorders>
            <w:shd w:val="clear" w:color="auto" w:fill="auto"/>
            <w:noWrap/>
            <w:vAlign w:val="center"/>
          </w:tcPr>
          <w:p w14:paraId="791280C3" w14:textId="4386D7F5" w:rsidR="003511D3" w:rsidRPr="0051435C" w:rsidRDefault="003511D3" w:rsidP="0051435C">
            <w:pPr>
              <w:spacing w:after="0" w:line="240" w:lineRule="auto"/>
              <w:jc w:val="center"/>
              <w:rPr>
                <w:b/>
                <w:bCs/>
                <w:color w:val="000000"/>
                <w:sz w:val="18"/>
                <w:szCs w:val="18"/>
                <w:lang w:eastAsia="sk-SK"/>
              </w:rPr>
            </w:pPr>
            <w:r w:rsidRPr="0051435C">
              <w:rPr>
                <w:b/>
                <w:bCs/>
                <w:sz w:val="18"/>
                <w:szCs w:val="18"/>
                <w:lang w:eastAsia="sk-SK"/>
              </w:rPr>
              <w:t>202</w:t>
            </w:r>
            <w:r w:rsidR="0051435C" w:rsidRPr="0051435C">
              <w:rPr>
                <w:b/>
                <w:bCs/>
                <w:sz w:val="18"/>
                <w:szCs w:val="18"/>
                <w:lang w:eastAsia="sk-SK"/>
              </w:rPr>
              <w:t>2</w:t>
            </w:r>
            <w:r w:rsidRPr="0051435C">
              <w:rPr>
                <w:b/>
                <w:bCs/>
                <w:sz w:val="18"/>
                <w:szCs w:val="18"/>
                <w:lang w:eastAsia="sk-SK"/>
              </w:rPr>
              <w:t xml:space="preserve"> S</w:t>
            </w:r>
          </w:p>
        </w:tc>
        <w:tc>
          <w:tcPr>
            <w:tcW w:w="534" w:type="pct"/>
            <w:tcBorders>
              <w:top w:val="single" w:sz="4" w:space="0" w:color="auto"/>
              <w:left w:val="nil"/>
              <w:bottom w:val="single" w:sz="4" w:space="0" w:color="auto"/>
              <w:right w:val="nil"/>
            </w:tcBorders>
            <w:shd w:val="clear" w:color="auto" w:fill="auto"/>
            <w:noWrap/>
            <w:vAlign w:val="center"/>
          </w:tcPr>
          <w:p w14:paraId="55E2B479" w14:textId="77159683" w:rsidR="003511D3" w:rsidRPr="0051435C" w:rsidRDefault="003511D3" w:rsidP="0051435C">
            <w:pPr>
              <w:spacing w:after="0" w:line="240" w:lineRule="auto"/>
              <w:jc w:val="center"/>
              <w:rPr>
                <w:b/>
                <w:bCs/>
                <w:color w:val="000000"/>
                <w:sz w:val="18"/>
                <w:szCs w:val="18"/>
                <w:lang w:eastAsia="sk-SK"/>
              </w:rPr>
            </w:pPr>
            <w:r w:rsidRPr="0051435C">
              <w:rPr>
                <w:b/>
                <w:bCs/>
                <w:sz w:val="18"/>
                <w:szCs w:val="18"/>
                <w:lang w:eastAsia="sk-SK"/>
              </w:rPr>
              <w:t>202</w:t>
            </w:r>
            <w:r w:rsidR="0051435C" w:rsidRPr="0051435C">
              <w:rPr>
                <w:b/>
                <w:bCs/>
                <w:sz w:val="18"/>
                <w:szCs w:val="18"/>
                <w:lang w:eastAsia="sk-SK"/>
              </w:rPr>
              <w:t>3</w:t>
            </w:r>
            <w:r w:rsidRPr="0051435C">
              <w:rPr>
                <w:b/>
                <w:bCs/>
                <w:sz w:val="18"/>
                <w:szCs w:val="18"/>
                <w:lang w:eastAsia="sk-SK"/>
              </w:rPr>
              <w:t xml:space="preserve"> S</w:t>
            </w:r>
          </w:p>
        </w:tc>
        <w:tc>
          <w:tcPr>
            <w:tcW w:w="639" w:type="pct"/>
            <w:tcBorders>
              <w:top w:val="single" w:sz="4" w:space="0" w:color="auto"/>
              <w:left w:val="nil"/>
              <w:bottom w:val="single" w:sz="4" w:space="0" w:color="auto"/>
            </w:tcBorders>
            <w:shd w:val="clear" w:color="auto" w:fill="auto"/>
            <w:noWrap/>
            <w:vAlign w:val="center"/>
          </w:tcPr>
          <w:p w14:paraId="75326BA2" w14:textId="21069340" w:rsidR="003511D3" w:rsidRPr="0051435C" w:rsidRDefault="003511D3" w:rsidP="005019EB">
            <w:pPr>
              <w:spacing w:after="0" w:line="240" w:lineRule="auto"/>
              <w:jc w:val="center"/>
              <w:rPr>
                <w:b/>
                <w:bCs/>
                <w:color w:val="000000"/>
                <w:sz w:val="18"/>
                <w:szCs w:val="18"/>
                <w:lang w:eastAsia="sk-SK"/>
              </w:rPr>
            </w:pPr>
            <w:r w:rsidRPr="0051435C">
              <w:rPr>
                <w:b/>
                <w:bCs/>
                <w:sz w:val="18"/>
                <w:szCs w:val="18"/>
                <w:lang w:eastAsia="sk-SK"/>
              </w:rPr>
              <w:t>Δ</w:t>
            </w:r>
            <w:r w:rsidR="0051435C" w:rsidRPr="0051435C">
              <w:rPr>
                <w:b/>
                <w:bCs/>
                <w:sz w:val="18"/>
                <w:szCs w:val="18"/>
                <w:lang w:eastAsia="sk-SK"/>
              </w:rPr>
              <w:t>(2023-2022</w:t>
            </w:r>
            <w:r w:rsidRPr="0051435C">
              <w:rPr>
                <w:b/>
                <w:bCs/>
                <w:sz w:val="18"/>
                <w:szCs w:val="18"/>
                <w:lang w:eastAsia="sk-SK"/>
              </w:rPr>
              <w:t>)</w:t>
            </w:r>
          </w:p>
        </w:tc>
      </w:tr>
      <w:tr w:rsidR="00743ACA" w:rsidRPr="002746C4" w14:paraId="792B53EC" w14:textId="77777777" w:rsidTr="00410A90">
        <w:trPr>
          <w:trHeight w:val="300"/>
        </w:trPr>
        <w:tc>
          <w:tcPr>
            <w:tcW w:w="2301" w:type="pct"/>
            <w:tcBorders>
              <w:top w:val="single" w:sz="4" w:space="0" w:color="auto"/>
              <w:bottom w:val="single" w:sz="4" w:space="0" w:color="auto"/>
              <w:right w:val="nil"/>
            </w:tcBorders>
            <w:shd w:val="clear" w:color="auto" w:fill="auto"/>
            <w:noWrap/>
            <w:vAlign w:val="center"/>
          </w:tcPr>
          <w:p w14:paraId="7CDC9F5C" w14:textId="6875821E" w:rsidR="00743ACA" w:rsidRPr="00385D9E" w:rsidRDefault="00743ACA" w:rsidP="00743ACA">
            <w:pPr>
              <w:spacing w:after="0" w:line="240" w:lineRule="auto"/>
              <w:rPr>
                <w:b/>
                <w:bCs/>
                <w:color w:val="000000"/>
                <w:sz w:val="18"/>
                <w:szCs w:val="18"/>
                <w:lang w:eastAsia="sk-SK"/>
              </w:rPr>
            </w:pPr>
            <w:r w:rsidRPr="00385D9E">
              <w:rPr>
                <w:b/>
                <w:bCs/>
                <w:color w:val="000000"/>
                <w:sz w:val="18"/>
                <w:szCs w:val="18"/>
                <w:lang w:eastAsia="sk-SK"/>
              </w:rPr>
              <w:t>Ministerstvo hospodárstva SR</w:t>
            </w:r>
          </w:p>
        </w:tc>
        <w:tc>
          <w:tcPr>
            <w:tcW w:w="372" w:type="pct"/>
            <w:tcBorders>
              <w:top w:val="single" w:sz="4" w:space="0" w:color="auto"/>
              <w:left w:val="nil"/>
              <w:bottom w:val="single" w:sz="4" w:space="0" w:color="auto"/>
              <w:right w:val="nil"/>
            </w:tcBorders>
            <w:shd w:val="clear" w:color="auto" w:fill="auto"/>
            <w:noWrap/>
            <w:vAlign w:val="center"/>
          </w:tcPr>
          <w:p w14:paraId="36DA8847" w14:textId="77777777" w:rsidR="00743ACA" w:rsidRPr="002746C4" w:rsidRDefault="00743ACA" w:rsidP="00743ACA">
            <w:pPr>
              <w:spacing w:after="0" w:line="240" w:lineRule="auto"/>
              <w:jc w:val="center"/>
              <w:rPr>
                <w:b/>
                <w:bCs/>
                <w:color w:val="000000"/>
                <w:sz w:val="18"/>
                <w:szCs w:val="18"/>
                <w:highlight w:val="yellow"/>
                <w:lang w:eastAsia="sk-SK"/>
              </w:rPr>
            </w:pPr>
          </w:p>
        </w:tc>
        <w:tc>
          <w:tcPr>
            <w:tcW w:w="555" w:type="pct"/>
            <w:tcBorders>
              <w:top w:val="single" w:sz="4" w:space="0" w:color="auto"/>
              <w:left w:val="nil"/>
              <w:bottom w:val="single" w:sz="4" w:space="0" w:color="auto"/>
              <w:right w:val="nil"/>
            </w:tcBorders>
            <w:shd w:val="clear" w:color="auto" w:fill="auto"/>
            <w:noWrap/>
            <w:vAlign w:val="center"/>
          </w:tcPr>
          <w:p w14:paraId="78AAEF5F" w14:textId="77777777" w:rsidR="00743ACA" w:rsidRPr="002746C4" w:rsidRDefault="00743ACA" w:rsidP="00743ACA">
            <w:pPr>
              <w:spacing w:after="0" w:line="240" w:lineRule="auto"/>
              <w:jc w:val="center"/>
              <w:rPr>
                <w:b/>
                <w:bCs/>
                <w:color w:val="000000"/>
                <w:sz w:val="18"/>
                <w:szCs w:val="18"/>
                <w:highlight w:val="yellow"/>
                <w:lang w:eastAsia="sk-SK"/>
              </w:rPr>
            </w:pPr>
          </w:p>
        </w:tc>
        <w:tc>
          <w:tcPr>
            <w:tcW w:w="599" w:type="pct"/>
            <w:tcBorders>
              <w:top w:val="single" w:sz="4" w:space="0" w:color="auto"/>
              <w:left w:val="nil"/>
              <w:bottom w:val="single" w:sz="4" w:space="0" w:color="auto"/>
              <w:right w:val="nil"/>
            </w:tcBorders>
            <w:shd w:val="clear" w:color="auto" w:fill="auto"/>
            <w:noWrap/>
            <w:vAlign w:val="center"/>
          </w:tcPr>
          <w:p w14:paraId="50ADF8B6" w14:textId="77777777" w:rsidR="00743ACA" w:rsidRPr="002746C4" w:rsidRDefault="00743ACA" w:rsidP="00743ACA">
            <w:pPr>
              <w:spacing w:after="0" w:line="240" w:lineRule="auto"/>
              <w:jc w:val="center"/>
              <w:rPr>
                <w:b/>
                <w:bCs/>
                <w:color w:val="000000"/>
                <w:sz w:val="18"/>
                <w:szCs w:val="18"/>
                <w:highlight w:val="yellow"/>
                <w:lang w:eastAsia="sk-SK"/>
              </w:rPr>
            </w:pPr>
          </w:p>
        </w:tc>
        <w:tc>
          <w:tcPr>
            <w:tcW w:w="534" w:type="pct"/>
            <w:tcBorders>
              <w:top w:val="single" w:sz="4" w:space="0" w:color="auto"/>
              <w:left w:val="nil"/>
              <w:bottom w:val="single" w:sz="4" w:space="0" w:color="auto"/>
              <w:right w:val="nil"/>
            </w:tcBorders>
            <w:shd w:val="clear" w:color="auto" w:fill="auto"/>
            <w:noWrap/>
            <w:vAlign w:val="center"/>
          </w:tcPr>
          <w:p w14:paraId="3D2B38DB" w14:textId="77777777" w:rsidR="00743ACA" w:rsidRPr="002746C4" w:rsidRDefault="00743ACA" w:rsidP="00743ACA">
            <w:pPr>
              <w:spacing w:after="0" w:line="240" w:lineRule="auto"/>
              <w:jc w:val="center"/>
              <w:rPr>
                <w:b/>
                <w:bCs/>
                <w:color w:val="000000"/>
                <w:sz w:val="18"/>
                <w:szCs w:val="18"/>
                <w:highlight w:val="yellow"/>
                <w:lang w:eastAsia="sk-SK"/>
              </w:rPr>
            </w:pPr>
          </w:p>
        </w:tc>
        <w:tc>
          <w:tcPr>
            <w:tcW w:w="639" w:type="pct"/>
            <w:tcBorders>
              <w:top w:val="single" w:sz="4" w:space="0" w:color="auto"/>
              <w:left w:val="nil"/>
              <w:bottom w:val="single" w:sz="4" w:space="0" w:color="auto"/>
            </w:tcBorders>
            <w:shd w:val="clear" w:color="auto" w:fill="auto"/>
            <w:noWrap/>
            <w:vAlign w:val="center"/>
          </w:tcPr>
          <w:p w14:paraId="3E310220" w14:textId="77777777" w:rsidR="00743ACA" w:rsidRPr="002746C4" w:rsidRDefault="00743ACA" w:rsidP="00743ACA">
            <w:pPr>
              <w:spacing w:after="0" w:line="240" w:lineRule="auto"/>
              <w:jc w:val="center"/>
              <w:rPr>
                <w:b/>
                <w:bCs/>
                <w:color w:val="000000"/>
                <w:sz w:val="18"/>
                <w:szCs w:val="18"/>
                <w:highlight w:val="yellow"/>
                <w:lang w:eastAsia="sk-SK"/>
              </w:rPr>
            </w:pPr>
          </w:p>
        </w:tc>
      </w:tr>
      <w:tr w:rsidR="00A839C5" w:rsidRPr="002746C4" w14:paraId="0196080C" w14:textId="77777777" w:rsidTr="00410A90">
        <w:trPr>
          <w:trHeight w:val="300"/>
        </w:trPr>
        <w:tc>
          <w:tcPr>
            <w:tcW w:w="2301" w:type="pct"/>
            <w:vMerge w:val="restart"/>
            <w:tcBorders>
              <w:right w:val="nil"/>
            </w:tcBorders>
            <w:shd w:val="clear" w:color="auto" w:fill="auto"/>
            <w:vAlign w:val="center"/>
            <w:hideMark/>
          </w:tcPr>
          <w:p w14:paraId="3189DB09" w14:textId="3C49EA7C" w:rsidR="00A839C5" w:rsidRPr="00385D9E" w:rsidRDefault="00A839C5" w:rsidP="00A839C5">
            <w:pPr>
              <w:spacing w:after="0" w:line="240" w:lineRule="auto"/>
              <w:rPr>
                <w:sz w:val="18"/>
                <w:szCs w:val="18"/>
                <w:lang w:eastAsia="sk-SK"/>
              </w:rPr>
            </w:pPr>
            <w:r w:rsidRPr="00385D9E">
              <w:rPr>
                <w:sz w:val="18"/>
                <w:szCs w:val="18"/>
                <w:lang w:eastAsia="sk-SK"/>
              </w:rPr>
              <w:t>Slovenský plynárenský priemysel, a.</w:t>
            </w:r>
            <w:r>
              <w:rPr>
                <w:sz w:val="18"/>
                <w:szCs w:val="18"/>
                <w:lang w:eastAsia="sk-SK"/>
              </w:rPr>
              <w:t> </w:t>
            </w:r>
            <w:r w:rsidRPr="00385D9E">
              <w:rPr>
                <w:sz w:val="18"/>
                <w:szCs w:val="18"/>
                <w:lang w:eastAsia="sk-SK"/>
              </w:rPr>
              <w:t xml:space="preserve">s.  </w:t>
            </w:r>
          </w:p>
        </w:tc>
        <w:tc>
          <w:tcPr>
            <w:tcW w:w="372" w:type="pct"/>
            <w:tcBorders>
              <w:left w:val="nil"/>
              <w:right w:val="nil"/>
            </w:tcBorders>
            <w:shd w:val="clear" w:color="auto" w:fill="auto"/>
            <w:vAlign w:val="bottom"/>
            <w:hideMark/>
          </w:tcPr>
          <w:p w14:paraId="10A4B201" w14:textId="67AA0226" w:rsidR="00A839C5" w:rsidRPr="002746C4" w:rsidRDefault="00A839C5" w:rsidP="00A839C5">
            <w:pPr>
              <w:spacing w:after="0" w:line="240" w:lineRule="auto"/>
              <w:rPr>
                <w:sz w:val="18"/>
                <w:szCs w:val="18"/>
                <w:highlight w:val="yellow"/>
                <w:lang w:eastAsia="sk-SK"/>
              </w:rPr>
            </w:pPr>
            <w:r>
              <w:rPr>
                <w:b/>
                <w:bCs/>
                <w:sz w:val="18"/>
                <w:szCs w:val="18"/>
              </w:rPr>
              <w:t>Spolu</w:t>
            </w:r>
          </w:p>
        </w:tc>
        <w:tc>
          <w:tcPr>
            <w:tcW w:w="555" w:type="pct"/>
            <w:tcBorders>
              <w:left w:val="nil"/>
              <w:right w:val="nil"/>
            </w:tcBorders>
            <w:shd w:val="clear" w:color="auto" w:fill="auto"/>
            <w:noWrap/>
            <w:vAlign w:val="bottom"/>
            <w:hideMark/>
          </w:tcPr>
          <w:p w14:paraId="194D79A7" w14:textId="1C5C045C" w:rsidR="00A839C5" w:rsidRPr="002746C4" w:rsidRDefault="00A839C5" w:rsidP="00A839C5">
            <w:pPr>
              <w:spacing w:after="0" w:line="240" w:lineRule="auto"/>
              <w:jc w:val="right"/>
              <w:rPr>
                <w:b/>
                <w:bCs/>
                <w:sz w:val="18"/>
                <w:szCs w:val="18"/>
                <w:highlight w:val="yellow"/>
                <w:lang w:eastAsia="sk-SK"/>
              </w:rPr>
            </w:pPr>
            <w:r>
              <w:rPr>
                <w:b/>
                <w:bCs/>
                <w:sz w:val="18"/>
                <w:szCs w:val="18"/>
              </w:rPr>
              <w:t>254 400</w:t>
            </w:r>
          </w:p>
        </w:tc>
        <w:tc>
          <w:tcPr>
            <w:tcW w:w="599" w:type="pct"/>
            <w:tcBorders>
              <w:left w:val="nil"/>
              <w:right w:val="nil"/>
            </w:tcBorders>
            <w:shd w:val="clear" w:color="auto" w:fill="auto"/>
            <w:noWrap/>
            <w:vAlign w:val="bottom"/>
            <w:hideMark/>
          </w:tcPr>
          <w:p w14:paraId="4C40B25D" w14:textId="12E7D66A" w:rsidR="00A839C5" w:rsidRPr="002746C4" w:rsidRDefault="00A839C5" w:rsidP="00A839C5">
            <w:pPr>
              <w:spacing w:after="0" w:line="240" w:lineRule="auto"/>
              <w:jc w:val="right"/>
              <w:rPr>
                <w:b/>
                <w:bCs/>
                <w:sz w:val="18"/>
                <w:szCs w:val="18"/>
                <w:highlight w:val="yellow"/>
                <w:lang w:eastAsia="sk-SK"/>
              </w:rPr>
            </w:pPr>
            <w:r>
              <w:rPr>
                <w:b/>
                <w:bCs/>
                <w:sz w:val="18"/>
                <w:szCs w:val="18"/>
              </w:rPr>
              <w:t>220 000</w:t>
            </w:r>
          </w:p>
        </w:tc>
        <w:tc>
          <w:tcPr>
            <w:tcW w:w="534" w:type="pct"/>
            <w:tcBorders>
              <w:left w:val="nil"/>
              <w:right w:val="nil"/>
            </w:tcBorders>
            <w:shd w:val="clear" w:color="auto" w:fill="auto"/>
            <w:noWrap/>
            <w:vAlign w:val="bottom"/>
            <w:hideMark/>
          </w:tcPr>
          <w:p w14:paraId="69078A8D" w14:textId="6107B611" w:rsidR="00A839C5" w:rsidRPr="002746C4" w:rsidRDefault="00A839C5" w:rsidP="00A839C5">
            <w:pPr>
              <w:spacing w:after="0" w:line="240" w:lineRule="auto"/>
              <w:jc w:val="right"/>
              <w:rPr>
                <w:b/>
                <w:bCs/>
                <w:sz w:val="18"/>
                <w:szCs w:val="18"/>
                <w:highlight w:val="yellow"/>
                <w:lang w:eastAsia="sk-SK"/>
              </w:rPr>
            </w:pPr>
            <w:r>
              <w:rPr>
                <w:b/>
                <w:bCs/>
                <w:sz w:val="18"/>
                <w:szCs w:val="18"/>
              </w:rPr>
              <w:t>0</w:t>
            </w:r>
          </w:p>
        </w:tc>
        <w:tc>
          <w:tcPr>
            <w:tcW w:w="639" w:type="pct"/>
            <w:tcBorders>
              <w:left w:val="nil"/>
            </w:tcBorders>
            <w:shd w:val="clear" w:color="auto" w:fill="auto"/>
            <w:noWrap/>
            <w:vAlign w:val="bottom"/>
            <w:hideMark/>
          </w:tcPr>
          <w:p w14:paraId="615B2B39" w14:textId="64ED2B56" w:rsidR="00A839C5" w:rsidRPr="002746C4" w:rsidRDefault="00A839C5" w:rsidP="00A839C5">
            <w:pPr>
              <w:spacing w:after="0" w:line="240" w:lineRule="auto"/>
              <w:jc w:val="right"/>
              <w:rPr>
                <w:b/>
                <w:bCs/>
                <w:sz w:val="18"/>
                <w:szCs w:val="18"/>
                <w:highlight w:val="yellow"/>
                <w:lang w:eastAsia="sk-SK"/>
              </w:rPr>
            </w:pPr>
            <w:r>
              <w:rPr>
                <w:b/>
                <w:bCs/>
                <w:sz w:val="18"/>
                <w:szCs w:val="18"/>
              </w:rPr>
              <w:t>-220 000</w:t>
            </w:r>
          </w:p>
        </w:tc>
      </w:tr>
      <w:tr w:rsidR="00A839C5" w:rsidRPr="002746C4" w14:paraId="13659979" w14:textId="77777777" w:rsidTr="00410A90">
        <w:trPr>
          <w:trHeight w:val="300"/>
        </w:trPr>
        <w:tc>
          <w:tcPr>
            <w:tcW w:w="2301" w:type="pct"/>
            <w:vMerge/>
            <w:tcBorders>
              <w:right w:val="nil"/>
            </w:tcBorders>
            <w:vAlign w:val="center"/>
            <w:hideMark/>
          </w:tcPr>
          <w:p w14:paraId="73BF5BC5" w14:textId="77777777" w:rsidR="00A839C5" w:rsidRPr="00385D9E" w:rsidRDefault="00A839C5" w:rsidP="00A839C5">
            <w:pPr>
              <w:spacing w:after="0" w:line="240" w:lineRule="auto"/>
              <w:rPr>
                <w:sz w:val="18"/>
                <w:szCs w:val="18"/>
                <w:lang w:eastAsia="sk-SK"/>
              </w:rPr>
            </w:pPr>
          </w:p>
        </w:tc>
        <w:tc>
          <w:tcPr>
            <w:tcW w:w="372" w:type="pct"/>
            <w:tcBorders>
              <w:left w:val="nil"/>
              <w:right w:val="nil"/>
            </w:tcBorders>
            <w:shd w:val="clear" w:color="auto" w:fill="auto"/>
            <w:vAlign w:val="bottom"/>
            <w:hideMark/>
          </w:tcPr>
          <w:p w14:paraId="0F30833D" w14:textId="349DBE93" w:rsidR="00A839C5" w:rsidRPr="002746C4" w:rsidRDefault="00A839C5" w:rsidP="00A839C5">
            <w:pPr>
              <w:spacing w:after="0" w:line="240" w:lineRule="auto"/>
              <w:rPr>
                <w:sz w:val="18"/>
                <w:szCs w:val="18"/>
                <w:highlight w:val="yellow"/>
                <w:lang w:eastAsia="sk-SK"/>
              </w:rPr>
            </w:pPr>
            <w:r>
              <w:rPr>
                <w:sz w:val="18"/>
                <w:szCs w:val="18"/>
              </w:rPr>
              <w:t xml:space="preserve">ESA </w:t>
            </w:r>
          </w:p>
        </w:tc>
        <w:tc>
          <w:tcPr>
            <w:tcW w:w="555" w:type="pct"/>
            <w:tcBorders>
              <w:left w:val="nil"/>
              <w:right w:val="nil"/>
            </w:tcBorders>
            <w:shd w:val="clear" w:color="auto" w:fill="auto"/>
            <w:noWrap/>
            <w:vAlign w:val="bottom"/>
            <w:hideMark/>
          </w:tcPr>
          <w:p w14:paraId="5327851D" w14:textId="28512957" w:rsidR="00A839C5" w:rsidRPr="002746C4" w:rsidRDefault="00A839C5" w:rsidP="00A839C5">
            <w:pPr>
              <w:spacing w:after="0" w:line="240" w:lineRule="auto"/>
              <w:jc w:val="right"/>
              <w:rPr>
                <w:sz w:val="18"/>
                <w:szCs w:val="18"/>
                <w:highlight w:val="yellow"/>
                <w:lang w:eastAsia="sk-SK"/>
              </w:rPr>
            </w:pPr>
            <w:r>
              <w:rPr>
                <w:color w:val="000000"/>
                <w:sz w:val="18"/>
                <w:szCs w:val="18"/>
              </w:rPr>
              <w:t>249 510</w:t>
            </w:r>
          </w:p>
        </w:tc>
        <w:tc>
          <w:tcPr>
            <w:tcW w:w="599" w:type="pct"/>
            <w:tcBorders>
              <w:left w:val="nil"/>
              <w:right w:val="nil"/>
            </w:tcBorders>
            <w:shd w:val="clear" w:color="auto" w:fill="auto"/>
            <w:noWrap/>
            <w:vAlign w:val="bottom"/>
            <w:hideMark/>
          </w:tcPr>
          <w:p w14:paraId="2E2A8E17" w14:textId="71757A47"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160 817</w:t>
            </w:r>
          </w:p>
        </w:tc>
        <w:tc>
          <w:tcPr>
            <w:tcW w:w="534" w:type="pct"/>
            <w:tcBorders>
              <w:left w:val="nil"/>
              <w:right w:val="nil"/>
            </w:tcBorders>
            <w:shd w:val="clear" w:color="auto" w:fill="auto"/>
            <w:noWrap/>
            <w:vAlign w:val="bottom"/>
            <w:hideMark/>
          </w:tcPr>
          <w:p w14:paraId="3199D90E" w14:textId="4A86922D"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c>
          <w:tcPr>
            <w:tcW w:w="639" w:type="pct"/>
            <w:tcBorders>
              <w:left w:val="nil"/>
            </w:tcBorders>
            <w:shd w:val="clear" w:color="auto" w:fill="auto"/>
            <w:noWrap/>
            <w:vAlign w:val="bottom"/>
            <w:hideMark/>
          </w:tcPr>
          <w:p w14:paraId="7628B99C" w14:textId="27EF5DAF"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-160 817</w:t>
            </w:r>
          </w:p>
        </w:tc>
      </w:tr>
      <w:tr w:rsidR="00A839C5" w:rsidRPr="002746C4" w14:paraId="2BD71573" w14:textId="77777777" w:rsidTr="00410A90">
        <w:trPr>
          <w:trHeight w:val="300"/>
        </w:trPr>
        <w:tc>
          <w:tcPr>
            <w:tcW w:w="2301" w:type="pct"/>
            <w:vMerge/>
            <w:tcBorders>
              <w:right w:val="nil"/>
            </w:tcBorders>
            <w:vAlign w:val="center"/>
            <w:hideMark/>
          </w:tcPr>
          <w:p w14:paraId="3BBD7DEA" w14:textId="77777777" w:rsidR="00A839C5" w:rsidRPr="00385D9E" w:rsidRDefault="00A839C5" w:rsidP="00A839C5">
            <w:pPr>
              <w:spacing w:after="0" w:line="240" w:lineRule="auto"/>
              <w:rPr>
                <w:sz w:val="18"/>
                <w:szCs w:val="18"/>
                <w:lang w:eastAsia="sk-SK"/>
              </w:rPr>
            </w:pPr>
          </w:p>
        </w:tc>
        <w:tc>
          <w:tcPr>
            <w:tcW w:w="372" w:type="pct"/>
            <w:tcBorders>
              <w:left w:val="nil"/>
              <w:right w:val="nil"/>
            </w:tcBorders>
            <w:shd w:val="clear" w:color="auto" w:fill="auto"/>
            <w:vAlign w:val="bottom"/>
            <w:hideMark/>
          </w:tcPr>
          <w:p w14:paraId="6F94545E" w14:textId="3A1007D0" w:rsidR="00A839C5" w:rsidRPr="002746C4" w:rsidRDefault="00A839C5" w:rsidP="00A839C5">
            <w:pPr>
              <w:spacing w:after="0" w:line="240" w:lineRule="auto"/>
              <w:rPr>
                <w:sz w:val="18"/>
                <w:szCs w:val="18"/>
                <w:highlight w:val="yellow"/>
                <w:lang w:eastAsia="sk-SK"/>
              </w:rPr>
            </w:pPr>
            <w:r>
              <w:rPr>
                <w:sz w:val="18"/>
                <w:szCs w:val="18"/>
              </w:rPr>
              <w:t>Super</w:t>
            </w:r>
          </w:p>
        </w:tc>
        <w:tc>
          <w:tcPr>
            <w:tcW w:w="555" w:type="pct"/>
            <w:tcBorders>
              <w:left w:val="nil"/>
              <w:right w:val="nil"/>
            </w:tcBorders>
            <w:shd w:val="clear" w:color="auto" w:fill="auto"/>
            <w:noWrap/>
            <w:vAlign w:val="bottom"/>
            <w:hideMark/>
          </w:tcPr>
          <w:p w14:paraId="28759C9A" w14:textId="23B8DDB6" w:rsidR="00A839C5" w:rsidRPr="002746C4" w:rsidRDefault="00A839C5" w:rsidP="00A839C5">
            <w:pPr>
              <w:spacing w:after="0" w:line="240" w:lineRule="auto"/>
              <w:jc w:val="right"/>
              <w:rPr>
                <w:sz w:val="18"/>
                <w:szCs w:val="18"/>
                <w:highlight w:val="yellow"/>
                <w:lang w:eastAsia="sk-SK"/>
              </w:rPr>
            </w:pPr>
            <w:r>
              <w:rPr>
                <w:color w:val="000000"/>
                <w:sz w:val="18"/>
                <w:szCs w:val="18"/>
              </w:rPr>
              <w:t>4 890</w:t>
            </w:r>
          </w:p>
        </w:tc>
        <w:tc>
          <w:tcPr>
            <w:tcW w:w="599" w:type="pct"/>
            <w:tcBorders>
              <w:left w:val="nil"/>
              <w:right w:val="nil"/>
            </w:tcBorders>
            <w:shd w:val="clear" w:color="auto" w:fill="auto"/>
            <w:noWrap/>
            <w:vAlign w:val="bottom"/>
            <w:hideMark/>
          </w:tcPr>
          <w:p w14:paraId="43057C90" w14:textId="52356FA8"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59 183</w:t>
            </w:r>
          </w:p>
        </w:tc>
        <w:tc>
          <w:tcPr>
            <w:tcW w:w="534" w:type="pct"/>
            <w:tcBorders>
              <w:left w:val="nil"/>
              <w:right w:val="nil"/>
            </w:tcBorders>
            <w:shd w:val="clear" w:color="auto" w:fill="auto"/>
            <w:noWrap/>
            <w:vAlign w:val="bottom"/>
            <w:hideMark/>
          </w:tcPr>
          <w:p w14:paraId="44887821" w14:textId="6E871DA3"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c>
          <w:tcPr>
            <w:tcW w:w="639" w:type="pct"/>
            <w:tcBorders>
              <w:left w:val="nil"/>
            </w:tcBorders>
            <w:shd w:val="clear" w:color="auto" w:fill="auto"/>
            <w:noWrap/>
            <w:vAlign w:val="bottom"/>
            <w:hideMark/>
          </w:tcPr>
          <w:p w14:paraId="42755F55" w14:textId="2D93C463"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-59 183</w:t>
            </w:r>
          </w:p>
        </w:tc>
      </w:tr>
      <w:tr w:rsidR="00A839C5" w:rsidRPr="002746C4" w14:paraId="710790E1" w14:textId="77777777" w:rsidTr="00410A90">
        <w:trPr>
          <w:trHeight w:val="300"/>
        </w:trPr>
        <w:tc>
          <w:tcPr>
            <w:tcW w:w="2301" w:type="pct"/>
            <w:vMerge w:val="restart"/>
            <w:tcBorders>
              <w:top w:val="nil"/>
              <w:right w:val="nil"/>
            </w:tcBorders>
            <w:shd w:val="clear" w:color="auto" w:fill="auto"/>
            <w:vAlign w:val="center"/>
            <w:hideMark/>
          </w:tcPr>
          <w:p w14:paraId="755EA0E2" w14:textId="206800BE" w:rsidR="00A839C5" w:rsidRPr="00385D9E" w:rsidRDefault="00A839C5" w:rsidP="00A839C5">
            <w:pPr>
              <w:spacing w:after="0" w:line="240" w:lineRule="auto"/>
              <w:rPr>
                <w:sz w:val="18"/>
                <w:szCs w:val="18"/>
                <w:lang w:eastAsia="sk-SK"/>
              </w:rPr>
            </w:pPr>
            <w:r w:rsidRPr="00385D9E">
              <w:rPr>
                <w:sz w:val="18"/>
                <w:szCs w:val="18"/>
                <w:lang w:eastAsia="sk-SK"/>
              </w:rPr>
              <w:t>Západoslovenská energetika, a.</w:t>
            </w:r>
            <w:r>
              <w:rPr>
                <w:sz w:val="18"/>
                <w:szCs w:val="18"/>
                <w:lang w:eastAsia="sk-SK"/>
              </w:rPr>
              <w:t> </w:t>
            </w:r>
            <w:r w:rsidRPr="00385D9E">
              <w:rPr>
                <w:sz w:val="18"/>
                <w:szCs w:val="18"/>
                <w:lang w:eastAsia="sk-SK"/>
              </w:rPr>
              <w:t xml:space="preserve">s. </w:t>
            </w:r>
          </w:p>
        </w:tc>
        <w:tc>
          <w:tcPr>
            <w:tcW w:w="372" w:type="pct"/>
            <w:tcBorders>
              <w:top w:val="nil"/>
              <w:left w:val="nil"/>
              <w:right w:val="nil"/>
            </w:tcBorders>
            <w:shd w:val="clear" w:color="auto" w:fill="auto"/>
            <w:vAlign w:val="bottom"/>
            <w:hideMark/>
          </w:tcPr>
          <w:p w14:paraId="4A4F0293" w14:textId="29806EF4" w:rsidR="00A839C5" w:rsidRPr="002746C4" w:rsidRDefault="00A839C5" w:rsidP="00A839C5">
            <w:pPr>
              <w:spacing w:after="0" w:line="240" w:lineRule="auto"/>
              <w:rPr>
                <w:sz w:val="18"/>
                <w:szCs w:val="18"/>
                <w:highlight w:val="yellow"/>
                <w:lang w:eastAsia="sk-SK"/>
              </w:rPr>
            </w:pPr>
            <w:r>
              <w:rPr>
                <w:b/>
                <w:bCs/>
                <w:sz w:val="18"/>
                <w:szCs w:val="18"/>
              </w:rPr>
              <w:t>Spolu</w:t>
            </w:r>
          </w:p>
        </w:tc>
        <w:tc>
          <w:tcPr>
            <w:tcW w:w="555" w:type="pct"/>
            <w:tcBorders>
              <w:top w:val="nil"/>
              <w:left w:val="nil"/>
              <w:right w:val="nil"/>
            </w:tcBorders>
            <w:shd w:val="clear" w:color="auto" w:fill="auto"/>
            <w:noWrap/>
            <w:vAlign w:val="bottom"/>
            <w:hideMark/>
          </w:tcPr>
          <w:p w14:paraId="5422A0A3" w14:textId="496E10C8" w:rsidR="00A839C5" w:rsidRPr="002746C4" w:rsidRDefault="00A839C5" w:rsidP="00A839C5">
            <w:pPr>
              <w:spacing w:after="0" w:line="240" w:lineRule="auto"/>
              <w:jc w:val="right"/>
              <w:rPr>
                <w:b/>
                <w:bCs/>
                <w:sz w:val="18"/>
                <w:szCs w:val="18"/>
                <w:highlight w:val="yellow"/>
                <w:lang w:eastAsia="sk-SK"/>
              </w:rPr>
            </w:pPr>
            <w:r>
              <w:rPr>
                <w:b/>
                <w:bCs/>
                <w:sz w:val="18"/>
                <w:szCs w:val="18"/>
              </w:rPr>
              <w:t>45 697</w:t>
            </w:r>
          </w:p>
        </w:tc>
        <w:tc>
          <w:tcPr>
            <w:tcW w:w="599" w:type="pct"/>
            <w:tcBorders>
              <w:top w:val="nil"/>
              <w:left w:val="nil"/>
              <w:right w:val="nil"/>
            </w:tcBorders>
            <w:shd w:val="clear" w:color="auto" w:fill="auto"/>
            <w:noWrap/>
            <w:vAlign w:val="bottom"/>
            <w:hideMark/>
          </w:tcPr>
          <w:p w14:paraId="4F7961E2" w14:textId="2BF56C41" w:rsidR="00A839C5" w:rsidRPr="002746C4" w:rsidRDefault="00A839C5" w:rsidP="00A839C5">
            <w:pPr>
              <w:spacing w:after="0" w:line="240" w:lineRule="auto"/>
              <w:jc w:val="right"/>
              <w:rPr>
                <w:b/>
                <w:bCs/>
                <w:sz w:val="18"/>
                <w:szCs w:val="18"/>
                <w:highlight w:val="yellow"/>
                <w:lang w:eastAsia="sk-SK"/>
              </w:rPr>
            </w:pPr>
            <w:r>
              <w:rPr>
                <w:b/>
                <w:bCs/>
                <w:sz w:val="18"/>
                <w:szCs w:val="18"/>
              </w:rPr>
              <w:t>44 839</w:t>
            </w:r>
          </w:p>
        </w:tc>
        <w:tc>
          <w:tcPr>
            <w:tcW w:w="534" w:type="pct"/>
            <w:tcBorders>
              <w:top w:val="nil"/>
              <w:left w:val="nil"/>
              <w:right w:val="nil"/>
            </w:tcBorders>
            <w:shd w:val="clear" w:color="auto" w:fill="auto"/>
            <w:noWrap/>
            <w:vAlign w:val="bottom"/>
            <w:hideMark/>
          </w:tcPr>
          <w:p w14:paraId="7EACFEAE" w14:textId="111769C3" w:rsidR="00A839C5" w:rsidRPr="002746C4" w:rsidRDefault="00A839C5" w:rsidP="00A839C5">
            <w:pPr>
              <w:spacing w:after="0" w:line="240" w:lineRule="auto"/>
              <w:jc w:val="right"/>
              <w:rPr>
                <w:b/>
                <w:bCs/>
                <w:sz w:val="18"/>
                <w:szCs w:val="18"/>
                <w:highlight w:val="yellow"/>
                <w:lang w:eastAsia="sk-SK"/>
              </w:rPr>
            </w:pPr>
            <w:r>
              <w:rPr>
                <w:b/>
                <w:bCs/>
                <w:sz w:val="18"/>
                <w:szCs w:val="18"/>
              </w:rPr>
              <w:t>37 091</w:t>
            </w:r>
          </w:p>
        </w:tc>
        <w:tc>
          <w:tcPr>
            <w:tcW w:w="639" w:type="pct"/>
            <w:tcBorders>
              <w:top w:val="nil"/>
              <w:left w:val="nil"/>
            </w:tcBorders>
            <w:shd w:val="clear" w:color="auto" w:fill="auto"/>
            <w:noWrap/>
            <w:vAlign w:val="bottom"/>
            <w:hideMark/>
          </w:tcPr>
          <w:p w14:paraId="4DB34269" w14:textId="3D284EC3" w:rsidR="00A839C5" w:rsidRPr="002746C4" w:rsidRDefault="00A839C5" w:rsidP="00A839C5">
            <w:pPr>
              <w:spacing w:after="0" w:line="240" w:lineRule="auto"/>
              <w:jc w:val="right"/>
              <w:rPr>
                <w:b/>
                <w:bCs/>
                <w:sz w:val="18"/>
                <w:szCs w:val="18"/>
                <w:highlight w:val="yellow"/>
                <w:lang w:eastAsia="sk-SK"/>
              </w:rPr>
            </w:pPr>
            <w:r>
              <w:rPr>
                <w:b/>
                <w:bCs/>
                <w:sz w:val="18"/>
                <w:szCs w:val="18"/>
              </w:rPr>
              <w:t>-7 748</w:t>
            </w:r>
          </w:p>
        </w:tc>
      </w:tr>
      <w:tr w:rsidR="00A839C5" w:rsidRPr="002746C4" w14:paraId="648661F7" w14:textId="77777777" w:rsidTr="00410A90">
        <w:trPr>
          <w:trHeight w:val="300"/>
        </w:trPr>
        <w:tc>
          <w:tcPr>
            <w:tcW w:w="2301" w:type="pct"/>
            <w:vMerge/>
            <w:tcBorders>
              <w:top w:val="nil"/>
              <w:right w:val="nil"/>
            </w:tcBorders>
            <w:vAlign w:val="center"/>
            <w:hideMark/>
          </w:tcPr>
          <w:p w14:paraId="4A4E06AB" w14:textId="77777777" w:rsidR="00A839C5" w:rsidRPr="00385D9E" w:rsidRDefault="00A839C5" w:rsidP="00A839C5">
            <w:pPr>
              <w:spacing w:after="0" w:line="240" w:lineRule="auto"/>
              <w:rPr>
                <w:sz w:val="18"/>
                <w:szCs w:val="18"/>
                <w:lang w:eastAsia="sk-SK"/>
              </w:rPr>
            </w:pPr>
          </w:p>
        </w:tc>
        <w:tc>
          <w:tcPr>
            <w:tcW w:w="372" w:type="pct"/>
            <w:tcBorders>
              <w:top w:val="nil"/>
              <w:left w:val="nil"/>
              <w:right w:val="nil"/>
            </w:tcBorders>
            <w:shd w:val="clear" w:color="auto" w:fill="auto"/>
            <w:vAlign w:val="bottom"/>
            <w:hideMark/>
          </w:tcPr>
          <w:p w14:paraId="2E629C93" w14:textId="3247F683" w:rsidR="00A839C5" w:rsidRPr="002746C4" w:rsidRDefault="00A839C5" w:rsidP="00A839C5">
            <w:pPr>
              <w:spacing w:after="0" w:line="240" w:lineRule="auto"/>
              <w:rPr>
                <w:sz w:val="18"/>
                <w:szCs w:val="18"/>
                <w:highlight w:val="yellow"/>
                <w:lang w:eastAsia="sk-SK"/>
              </w:rPr>
            </w:pPr>
            <w:r>
              <w:rPr>
                <w:sz w:val="18"/>
                <w:szCs w:val="18"/>
              </w:rPr>
              <w:t xml:space="preserve">ESA </w:t>
            </w:r>
          </w:p>
        </w:tc>
        <w:tc>
          <w:tcPr>
            <w:tcW w:w="555" w:type="pct"/>
            <w:tcBorders>
              <w:top w:val="nil"/>
              <w:left w:val="nil"/>
              <w:right w:val="nil"/>
            </w:tcBorders>
            <w:shd w:val="clear" w:color="auto" w:fill="auto"/>
            <w:noWrap/>
            <w:vAlign w:val="bottom"/>
            <w:hideMark/>
          </w:tcPr>
          <w:p w14:paraId="181D6DB3" w14:textId="69DD6A13" w:rsidR="00A839C5" w:rsidRPr="002746C4" w:rsidRDefault="00A839C5" w:rsidP="00A839C5">
            <w:pPr>
              <w:spacing w:after="0" w:line="240" w:lineRule="auto"/>
              <w:jc w:val="right"/>
              <w:rPr>
                <w:sz w:val="18"/>
                <w:szCs w:val="18"/>
                <w:highlight w:val="yellow"/>
                <w:lang w:eastAsia="sk-SK"/>
              </w:rPr>
            </w:pPr>
            <w:r>
              <w:rPr>
                <w:color w:val="000000"/>
                <w:sz w:val="18"/>
                <w:szCs w:val="18"/>
              </w:rPr>
              <w:t>45 697</w:t>
            </w:r>
          </w:p>
        </w:tc>
        <w:tc>
          <w:tcPr>
            <w:tcW w:w="599" w:type="pct"/>
            <w:tcBorders>
              <w:top w:val="nil"/>
              <w:left w:val="nil"/>
              <w:right w:val="nil"/>
            </w:tcBorders>
            <w:shd w:val="clear" w:color="auto" w:fill="auto"/>
            <w:noWrap/>
            <w:vAlign w:val="bottom"/>
            <w:hideMark/>
          </w:tcPr>
          <w:p w14:paraId="3C062BA4" w14:textId="74B5DCE7"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44 839</w:t>
            </w:r>
          </w:p>
        </w:tc>
        <w:tc>
          <w:tcPr>
            <w:tcW w:w="534" w:type="pct"/>
            <w:tcBorders>
              <w:top w:val="nil"/>
              <w:left w:val="nil"/>
              <w:right w:val="nil"/>
            </w:tcBorders>
            <w:shd w:val="clear" w:color="auto" w:fill="auto"/>
            <w:noWrap/>
            <w:vAlign w:val="bottom"/>
            <w:hideMark/>
          </w:tcPr>
          <w:p w14:paraId="53C51495" w14:textId="14EB3153"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36 898</w:t>
            </w:r>
          </w:p>
        </w:tc>
        <w:tc>
          <w:tcPr>
            <w:tcW w:w="639" w:type="pct"/>
            <w:tcBorders>
              <w:top w:val="nil"/>
              <w:left w:val="nil"/>
            </w:tcBorders>
            <w:shd w:val="clear" w:color="auto" w:fill="auto"/>
            <w:noWrap/>
            <w:vAlign w:val="bottom"/>
            <w:hideMark/>
          </w:tcPr>
          <w:p w14:paraId="4AB38872" w14:textId="4F6B89D9"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-7 941</w:t>
            </w:r>
          </w:p>
        </w:tc>
      </w:tr>
      <w:tr w:rsidR="00A839C5" w:rsidRPr="002746C4" w14:paraId="0523FCBF" w14:textId="77777777" w:rsidTr="00410A90">
        <w:trPr>
          <w:trHeight w:val="300"/>
        </w:trPr>
        <w:tc>
          <w:tcPr>
            <w:tcW w:w="2301" w:type="pct"/>
            <w:vMerge/>
            <w:tcBorders>
              <w:top w:val="nil"/>
              <w:right w:val="nil"/>
            </w:tcBorders>
            <w:vAlign w:val="center"/>
            <w:hideMark/>
          </w:tcPr>
          <w:p w14:paraId="126937CB" w14:textId="77777777" w:rsidR="00A839C5" w:rsidRPr="00385D9E" w:rsidRDefault="00A839C5" w:rsidP="00A839C5">
            <w:pPr>
              <w:spacing w:after="0" w:line="240" w:lineRule="auto"/>
              <w:rPr>
                <w:sz w:val="18"/>
                <w:szCs w:val="18"/>
                <w:lang w:eastAsia="sk-SK"/>
              </w:rPr>
            </w:pPr>
          </w:p>
        </w:tc>
        <w:tc>
          <w:tcPr>
            <w:tcW w:w="372" w:type="pct"/>
            <w:tcBorders>
              <w:top w:val="nil"/>
              <w:left w:val="nil"/>
              <w:right w:val="nil"/>
            </w:tcBorders>
            <w:shd w:val="clear" w:color="auto" w:fill="auto"/>
            <w:vAlign w:val="bottom"/>
            <w:hideMark/>
          </w:tcPr>
          <w:p w14:paraId="698E3246" w14:textId="2BF89CDE" w:rsidR="00A839C5" w:rsidRPr="002746C4" w:rsidRDefault="00A839C5" w:rsidP="00A839C5">
            <w:pPr>
              <w:spacing w:after="0" w:line="240" w:lineRule="auto"/>
              <w:rPr>
                <w:sz w:val="18"/>
                <w:szCs w:val="18"/>
                <w:highlight w:val="yellow"/>
                <w:lang w:eastAsia="sk-SK"/>
              </w:rPr>
            </w:pPr>
            <w:r>
              <w:rPr>
                <w:sz w:val="18"/>
                <w:szCs w:val="18"/>
              </w:rPr>
              <w:t>Super</w:t>
            </w:r>
          </w:p>
        </w:tc>
        <w:tc>
          <w:tcPr>
            <w:tcW w:w="555" w:type="pct"/>
            <w:tcBorders>
              <w:top w:val="nil"/>
              <w:left w:val="nil"/>
              <w:right w:val="nil"/>
            </w:tcBorders>
            <w:shd w:val="clear" w:color="auto" w:fill="auto"/>
            <w:noWrap/>
            <w:vAlign w:val="bottom"/>
            <w:hideMark/>
          </w:tcPr>
          <w:p w14:paraId="0F2B84DE" w14:textId="451B1877" w:rsidR="00A839C5" w:rsidRPr="002746C4" w:rsidRDefault="00A839C5" w:rsidP="00A839C5">
            <w:pPr>
              <w:spacing w:after="0" w:line="240" w:lineRule="auto"/>
              <w:jc w:val="right"/>
              <w:rPr>
                <w:sz w:val="18"/>
                <w:szCs w:val="18"/>
                <w:highlight w:val="yellow"/>
                <w:lang w:eastAsia="sk-SK"/>
              </w:rPr>
            </w:pPr>
            <w:r>
              <w:rPr>
                <w:color w:val="000000"/>
                <w:sz w:val="18"/>
                <w:szCs w:val="18"/>
              </w:rPr>
              <w:t>0</w:t>
            </w:r>
          </w:p>
        </w:tc>
        <w:tc>
          <w:tcPr>
            <w:tcW w:w="599" w:type="pct"/>
            <w:tcBorders>
              <w:top w:val="nil"/>
              <w:left w:val="nil"/>
              <w:right w:val="nil"/>
            </w:tcBorders>
            <w:shd w:val="clear" w:color="auto" w:fill="auto"/>
            <w:noWrap/>
            <w:vAlign w:val="bottom"/>
            <w:hideMark/>
          </w:tcPr>
          <w:p w14:paraId="1394FF89" w14:textId="304956E6"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c>
          <w:tcPr>
            <w:tcW w:w="534" w:type="pct"/>
            <w:tcBorders>
              <w:top w:val="nil"/>
              <w:left w:val="nil"/>
              <w:right w:val="nil"/>
            </w:tcBorders>
            <w:shd w:val="clear" w:color="auto" w:fill="auto"/>
            <w:noWrap/>
            <w:vAlign w:val="bottom"/>
            <w:hideMark/>
          </w:tcPr>
          <w:p w14:paraId="561BD7CD" w14:textId="38343513"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193</w:t>
            </w:r>
          </w:p>
        </w:tc>
        <w:tc>
          <w:tcPr>
            <w:tcW w:w="639" w:type="pct"/>
            <w:tcBorders>
              <w:top w:val="nil"/>
              <w:left w:val="nil"/>
            </w:tcBorders>
            <w:shd w:val="clear" w:color="auto" w:fill="auto"/>
            <w:noWrap/>
            <w:vAlign w:val="bottom"/>
            <w:hideMark/>
          </w:tcPr>
          <w:p w14:paraId="0532B3AF" w14:textId="77CFBB14"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193</w:t>
            </w:r>
          </w:p>
        </w:tc>
      </w:tr>
      <w:tr w:rsidR="00A839C5" w:rsidRPr="002746C4" w14:paraId="7CCD908D" w14:textId="77777777" w:rsidTr="00410A90">
        <w:trPr>
          <w:trHeight w:val="300"/>
        </w:trPr>
        <w:tc>
          <w:tcPr>
            <w:tcW w:w="2301" w:type="pct"/>
            <w:vMerge w:val="restart"/>
            <w:tcBorders>
              <w:top w:val="nil"/>
              <w:right w:val="nil"/>
            </w:tcBorders>
            <w:shd w:val="clear" w:color="auto" w:fill="auto"/>
            <w:vAlign w:val="center"/>
            <w:hideMark/>
          </w:tcPr>
          <w:p w14:paraId="50A3D964" w14:textId="14F529C9" w:rsidR="00A839C5" w:rsidRPr="00385D9E" w:rsidRDefault="00A839C5" w:rsidP="00A839C5">
            <w:pPr>
              <w:spacing w:after="0" w:line="240" w:lineRule="auto"/>
              <w:rPr>
                <w:sz w:val="18"/>
                <w:szCs w:val="18"/>
                <w:lang w:eastAsia="sk-SK"/>
              </w:rPr>
            </w:pPr>
            <w:r w:rsidRPr="00385D9E">
              <w:rPr>
                <w:sz w:val="18"/>
                <w:szCs w:val="18"/>
                <w:lang w:eastAsia="sk-SK"/>
              </w:rPr>
              <w:t>Stredoslovenská energetika Holding, a.</w:t>
            </w:r>
            <w:r>
              <w:rPr>
                <w:sz w:val="18"/>
                <w:szCs w:val="18"/>
                <w:lang w:eastAsia="sk-SK"/>
              </w:rPr>
              <w:t> </w:t>
            </w:r>
            <w:r w:rsidRPr="00385D9E">
              <w:rPr>
                <w:sz w:val="18"/>
                <w:szCs w:val="18"/>
                <w:lang w:eastAsia="sk-SK"/>
              </w:rPr>
              <w:t>s.</w:t>
            </w:r>
          </w:p>
        </w:tc>
        <w:tc>
          <w:tcPr>
            <w:tcW w:w="372" w:type="pct"/>
            <w:tcBorders>
              <w:top w:val="nil"/>
              <w:left w:val="nil"/>
              <w:right w:val="nil"/>
            </w:tcBorders>
            <w:shd w:val="clear" w:color="auto" w:fill="auto"/>
            <w:vAlign w:val="bottom"/>
            <w:hideMark/>
          </w:tcPr>
          <w:p w14:paraId="38D7BF66" w14:textId="40482D80" w:rsidR="00A839C5" w:rsidRPr="002746C4" w:rsidRDefault="00A839C5" w:rsidP="00A839C5">
            <w:pPr>
              <w:spacing w:after="0" w:line="240" w:lineRule="auto"/>
              <w:rPr>
                <w:sz w:val="18"/>
                <w:szCs w:val="18"/>
                <w:highlight w:val="yellow"/>
                <w:lang w:eastAsia="sk-SK"/>
              </w:rPr>
            </w:pPr>
            <w:r>
              <w:rPr>
                <w:b/>
                <w:bCs/>
                <w:sz w:val="18"/>
                <w:szCs w:val="18"/>
              </w:rPr>
              <w:t>Spolu</w:t>
            </w:r>
          </w:p>
        </w:tc>
        <w:tc>
          <w:tcPr>
            <w:tcW w:w="555" w:type="pct"/>
            <w:tcBorders>
              <w:top w:val="nil"/>
              <w:left w:val="nil"/>
              <w:right w:val="nil"/>
            </w:tcBorders>
            <w:shd w:val="clear" w:color="auto" w:fill="auto"/>
            <w:noWrap/>
            <w:vAlign w:val="bottom"/>
            <w:hideMark/>
          </w:tcPr>
          <w:p w14:paraId="47D67F60" w14:textId="0CEACB9B" w:rsidR="00A839C5" w:rsidRPr="002746C4" w:rsidRDefault="00A839C5" w:rsidP="00A839C5">
            <w:pPr>
              <w:spacing w:after="0" w:line="240" w:lineRule="auto"/>
              <w:jc w:val="right"/>
              <w:rPr>
                <w:b/>
                <w:bCs/>
                <w:sz w:val="18"/>
                <w:szCs w:val="18"/>
                <w:highlight w:val="yellow"/>
                <w:lang w:eastAsia="sk-SK"/>
              </w:rPr>
            </w:pPr>
            <w:r>
              <w:rPr>
                <w:b/>
                <w:bCs/>
                <w:sz w:val="18"/>
                <w:szCs w:val="18"/>
              </w:rPr>
              <w:t>113 071</w:t>
            </w:r>
          </w:p>
        </w:tc>
        <w:tc>
          <w:tcPr>
            <w:tcW w:w="599" w:type="pct"/>
            <w:tcBorders>
              <w:top w:val="nil"/>
              <w:left w:val="nil"/>
              <w:right w:val="nil"/>
            </w:tcBorders>
            <w:shd w:val="clear" w:color="auto" w:fill="auto"/>
            <w:noWrap/>
            <w:vAlign w:val="bottom"/>
            <w:hideMark/>
          </w:tcPr>
          <w:p w14:paraId="0AE15F1E" w14:textId="4044CE2C" w:rsidR="00A839C5" w:rsidRPr="002746C4" w:rsidRDefault="00A839C5" w:rsidP="00A839C5">
            <w:pPr>
              <w:spacing w:after="0" w:line="240" w:lineRule="auto"/>
              <w:jc w:val="right"/>
              <w:rPr>
                <w:b/>
                <w:bCs/>
                <w:sz w:val="18"/>
                <w:szCs w:val="18"/>
                <w:highlight w:val="yellow"/>
                <w:lang w:eastAsia="sk-SK"/>
              </w:rPr>
            </w:pPr>
            <w:r>
              <w:rPr>
                <w:b/>
                <w:bCs/>
                <w:sz w:val="18"/>
                <w:szCs w:val="18"/>
              </w:rPr>
              <w:t>74 777</w:t>
            </w:r>
          </w:p>
        </w:tc>
        <w:tc>
          <w:tcPr>
            <w:tcW w:w="534" w:type="pct"/>
            <w:tcBorders>
              <w:top w:val="nil"/>
              <w:left w:val="nil"/>
              <w:right w:val="nil"/>
            </w:tcBorders>
            <w:shd w:val="clear" w:color="auto" w:fill="auto"/>
            <w:noWrap/>
            <w:vAlign w:val="bottom"/>
            <w:hideMark/>
          </w:tcPr>
          <w:p w14:paraId="030AC231" w14:textId="46079361" w:rsidR="00A839C5" w:rsidRPr="002746C4" w:rsidRDefault="00A839C5" w:rsidP="00A839C5">
            <w:pPr>
              <w:spacing w:after="0" w:line="240" w:lineRule="auto"/>
              <w:jc w:val="right"/>
              <w:rPr>
                <w:b/>
                <w:bCs/>
                <w:sz w:val="18"/>
                <w:szCs w:val="18"/>
                <w:highlight w:val="yellow"/>
                <w:lang w:eastAsia="sk-SK"/>
              </w:rPr>
            </w:pPr>
            <w:r>
              <w:rPr>
                <w:b/>
                <w:bCs/>
                <w:sz w:val="18"/>
                <w:szCs w:val="18"/>
              </w:rPr>
              <w:t>38 784</w:t>
            </w:r>
          </w:p>
        </w:tc>
        <w:tc>
          <w:tcPr>
            <w:tcW w:w="639" w:type="pct"/>
            <w:tcBorders>
              <w:top w:val="nil"/>
              <w:left w:val="nil"/>
            </w:tcBorders>
            <w:shd w:val="clear" w:color="auto" w:fill="auto"/>
            <w:noWrap/>
            <w:vAlign w:val="bottom"/>
            <w:hideMark/>
          </w:tcPr>
          <w:p w14:paraId="4EC87F6E" w14:textId="45003502" w:rsidR="00A839C5" w:rsidRPr="002746C4" w:rsidRDefault="00A839C5" w:rsidP="00A839C5">
            <w:pPr>
              <w:spacing w:after="0" w:line="240" w:lineRule="auto"/>
              <w:jc w:val="right"/>
              <w:rPr>
                <w:b/>
                <w:bCs/>
                <w:sz w:val="18"/>
                <w:szCs w:val="18"/>
                <w:highlight w:val="yellow"/>
                <w:lang w:eastAsia="sk-SK"/>
              </w:rPr>
            </w:pPr>
            <w:r>
              <w:rPr>
                <w:b/>
                <w:bCs/>
                <w:sz w:val="18"/>
                <w:szCs w:val="18"/>
              </w:rPr>
              <w:t>-35 993</w:t>
            </w:r>
          </w:p>
        </w:tc>
      </w:tr>
      <w:tr w:rsidR="00A839C5" w:rsidRPr="002746C4" w14:paraId="5E4E2651" w14:textId="77777777" w:rsidTr="00410A90">
        <w:trPr>
          <w:trHeight w:val="300"/>
        </w:trPr>
        <w:tc>
          <w:tcPr>
            <w:tcW w:w="2301" w:type="pct"/>
            <w:vMerge/>
            <w:tcBorders>
              <w:top w:val="nil"/>
              <w:right w:val="nil"/>
            </w:tcBorders>
            <w:vAlign w:val="center"/>
            <w:hideMark/>
          </w:tcPr>
          <w:p w14:paraId="752F7026" w14:textId="77777777" w:rsidR="00A839C5" w:rsidRPr="00385D9E" w:rsidRDefault="00A839C5" w:rsidP="00A839C5">
            <w:pPr>
              <w:spacing w:after="0" w:line="240" w:lineRule="auto"/>
              <w:rPr>
                <w:sz w:val="18"/>
                <w:szCs w:val="18"/>
                <w:lang w:eastAsia="sk-SK"/>
              </w:rPr>
            </w:pPr>
          </w:p>
        </w:tc>
        <w:tc>
          <w:tcPr>
            <w:tcW w:w="372" w:type="pct"/>
            <w:tcBorders>
              <w:top w:val="nil"/>
              <w:left w:val="nil"/>
              <w:right w:val="nil"/>
            </w:tcBorders>
            <w:shd w:val="clear" w:color="auto" w:fill="auto"/>
            <w:vAlign w:val="bottom"/>
            <w:hideMark/>
          </w:tcPr>
          <w:p w14:paraId="37EE569E" w14:textId="4028CABF" w:rsidR="00A839C5" w:rsidRPr="002746C4" w:rsidRDefault="00A839C5" w:rsidP="00A839C5">
            <w:pPr>
              <w:spacing w:after="0" w:line="240" w:lineRule="auto"/>
              <w:rPr>
                <w:sz w:val="18"/>
                <w:szCs w:val="18"/>
                <w:highlight w:val="yellow"/>
                <w:lang w:eastAsia="sk-SK"/>
              </w:rPr>
            </w:pPr>
            <w:r>
              <w:rPr>
                <w:sz w:val="18"/>
                <w:szCs w:val="18"/>
              </w:rPr>
              <w:t xml:space="preserve">ESA </w:t>
            </w:r>
          </w:p>
        </w:tc>
        <w:tc>
          <w:tcPr>
            <w:tcW w:w="555" w:type="pct"/>
            <w:tcBorders>
              <w:top w:val="nil"/>
              <w:left w:val="nil"/>
              <w:right w:val="nil"/>
            </w:tcBorders>
            <w:shd w:val="clear" w:color="auto" w:fill="auto"/>
            <w:noWrap/>
            <w:vAlign w:val="bottom"/>
            <w:hideMark/>
          </w:tcPr>
          <w:p w14:paraId="4D7DCC21" w14:textId="54DA8B04" w:rsidR="00A839C5" w:rsidRPr="002746C4" w:rsidRDefault="00A839C5" w:rsidP="00A839C5">
            <w:pPr>
              <w:spacing w:after="0" w:line="240" w:lineRule="auto"/>
              <w:jc w:val="right"/>
              <w:rPr>
                <w:sz w:val="18"/>
                <w:szCs w:val="18"/>
                <w:highlight w:val="yellow"/>
                <w:lang w:eastAsia="sk-SK"/>
              </w:rPr>
            </w:pPr>
            <w:r>
              <w:rPr>
                <w:color w:val="000000"/>
                <w:sz w:val="18"/>
                <w:szCs w:val="18"/>
              </w:rPr>
              <w:t>62 037</w:t>
            </w:r>
          </w:p>
        </w:tc>
        <w:tc>
          <w:tcPr>
            <w:tcW w:w="599" w:type="pct"/>
            <w:tcBorders>
              <w:top w:val="nil"/>
              <w:left w:val="nil"/>
              <w:right w:val="nil"/>
            </w:tcBorders>
            <w:shd w:val="clear" w:color="auto" w:fill="auto"/>
            <w:noWrap/>
            <w:vAlign w:val="bottom"/>
            <w:hideMark/>
          </w:tcPr>
          <w:p w14:paraId="6E0CFAEE" w14:textId="1D98DE05"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74 777</w:t>
            </w:r>
          </w:p>
        </w:tc>
        <w:tc>
          <w:tcPr>
            <w:tcW w:w="534" w:type="pct"/>
            <w:tcBorders>
              <w:top w:val="nil"/>
              <w:left w:val="nil"/>
              <w:right w:val="nil"/>
            </w:tcBorders>
            <w:shd w:val="clear" w:color="auto" w:fill="auto"/>
            <w:noWrap/>
            <w:vAlign w:val="bottom"/>
            <w:hideMark/>
          </w:tcPr>
          <w:p w14:paraId="030380B7" w14:textId="2CADB93E"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38 784</w:t>
            </w:r>
          </w:p>
        </w:tc>
        <w:tc>
          <w:tcPr>
            <w:tcW w:w="639" w:type="pct"/>
            <w:tcBorders>
              <w:top w:val="nil"/>
              <w:left w:val="nil"/>
            </w:tcBorders>
            <w:shd w:val="clear" w:color="auto" w:fill="auto"/>
            <w:noWrap/>
            <w:vAlign w:val="bottom"/>
            <w:hideMark/>
          </w:tcPr>
          <w:p w14:paraId="386D9086" w14:textId="15D2B4FB"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-35 993</w:t>
            </w:r>
          </w:p>
        </w:tc>
      </w:tr>
      <w:tr w:rsidR="00A839C5" w:rsidRPr="002746C4" w14:paraId="36E27217" w14:textId="77777777" w:rsidTr="00410A90">
        <w:trPr>
          <w:trHeight w:val="300"/>
        </w:trPr>
        <w:tc>
          <w:tcPr>
            <w:tcW w:w="2301" w:type="pct"/>
            <w:vMerge/>
            <w:tcBorders>
              <w:top w:val="nil"/>
              <w:right w:val="nil"/>
            </w:tcBorders>
            <w:vAlign w:val="center"/>
            <w:hideMark/>
          </w:tcPr>
          <w:p w14:paraId="7720E6C3" w14:textId="77777777" w:rsidR="00A839C5" w:rsidRPr="00385D9E" w:rsidRDefault="00A839C5" w:rsidP="00A839C5">
            <w:pPr>
              <w:spacing w:after="0" w:line="240" w:lineRule="auto"/>
              <w:rPr>
                <w:sz w:val="18"/>
                <w:szCs w:val="18"/>
                <w:lang w:eastAsia="sk-SK"/>
              </w:rPr>
            </w:pPr>
          </w:p>
        </w:tc>
        <w:tc>
          <w:tcPr>
            <w:tcW w:w="372" w:type="pct"/>
            <w:tcBorders>
              <w:top w:val="nil"/>
              <w:left w:val="nil"/>
              <w:right w:val="nil"/>
            </w:tcBorders>
            <w:shd w:val="clear" w:color="auto" w:fill="auto"/>
            <w:vAlign w:val="bottom"/>
            <w:hideMark/>
          </w:tcPr>
          <w:p w14:paraId="4441B1EA" w14:textId="7394B290" w:rsidR="00A839C5" w:rsidRPr="002746C4" w:rsidRDefault="00A839C5" w:rsidP="00A839C5">
            <w:pPr>
              <w:spacing w:after="0" w:line="240" w:lineRule="auto"/>
              <w:rPr>
                <w:sz w:val="18"/>
                <w:szCs w:val="18"/>
                <w:highlight w:val="yellow"/>
                <w:lang w:eastAsia="sk-SK"/>
              </w:rPr>
            </w:pPr>
            <w:r>
              <w:rPr>
                <w:sz w:val="18"/>
                <w:szCs w:val="18"/>
              </w:rPr>
              <w:t>Super</w:t>
            </w:r>
          </w:p>
        </w:tc>
        <w:tc>
          <w:tcPr>
            <w:tcW w:w="555" w:type="pct"/>
            <w:tcBorders>
              <w:top w:val="nil"/>
              <w:left w:val="nil"/>
              <w:right w:val="nil"/>
            </w:tcBorders>
            <w:shd w:val="clear" w:color="auto" w:fill="auto"/>
            <w:noWrap/>
            <w:vAlign w:val="bottom"/>
            <w:hideMark/>
          </w:tcPr>
          <w:p w14:paraId="27532737" w14:textId="69C74E41" w:rsidR="00A839C5" w:rsidRPr="002746C4" w:rsidRDefault="00A839C5" w:rsidP="00A839C5">
            <w:pPr>
              <w:spacing w:after="0" w:line="240" w:lineRule="auto"/>
              <w:jc w:val="right"/>
              <w:rPr>
                <w:sz w:val="18"/>
                <w:szCs w:val="18"/>
                <w:highlight w:val="yellow"/>
                <w:lang w:eastAsia="sk-SK"/>
              </w:rPr>
            </w:pPr>
            <w:r>
              <w:rPr>
                <w:color w:val="000000"/>
                <w:sz w:val="18"/>
                <w:szCs w:val="18"/>
              </w:rPr>
              <w:t>51 034</w:t>
            </w:r>
          </w:p>
        </w:tc>
        <w:tc>
          <w:tcPr>
            <w:tcW w:w="599" w:type="pct"/>
            <w:tcBorders>
              <w:top w:val="nil"/>
              <w:left w:val="nil"/>
              <w:right w:val="nil"/>
            </w:tcBorders>
            <w:shd w:val="clear" w:color="auto" w:fill="auto"/>
            <w:noWrap/>
            <w:vAlign w:val="bottom"/>
            <w:hideMark/>
          </w:tcPr>
          <w:p w14:paraId="3C142E37" w14:textId="35A63513"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c>
          <w:tcPr>
            <w:tcW w:w="534" w:type="pct"/>
            <w:tcBorders>
              <w:top w:val="nil"/>
              <w:left w:val="nil"/>
              <w:right w:val="nil"/>
            </w:tcBorders>
            <w:shd w:val="clear" w:color="auto" w:fill="auto"/>
            <w:noWrap/>
            <w:vAlign w:val="bottom"/>
            <w:hideMark/>
          </w:tcPr>
          <w:p w14:paraId="6D3DC786" w14:textId="22208643"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c>
          <w:tcPr>
            <w:tcW w:w="639" w:type="pct"/>
            <w:tcBorders>
              <w:top w:val="nil"/>
              <w:left w:val="nil"/>
            </w:tcBorders>
            <w:shd w:val="clear" w:color="auto" w:fill="auto"/>
            <w:noWrap/>
            <w:vAlign w:val="bottom"/>
            <w:hideMark/>
          </w:tcPr>
          <w:p w14:paraId="761C4DD2" w14:textId="1B589E13"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r>
      <w:tr w:rsidR="00A839C5" w:rsidRPr="002746C4" w14:paraId="7C1B9D48" w14:textId="77777777" w:rsidTr="00410A90">
        <w:trPr>
          <w:trHeight w:val="300"/>
        </w:trPr>
        <w:tc>
          <w:tcPr>
            <w:tcW w:w="2301" w:type="pct"/>
            <w:vMerge w:val="restart"/>
            <w:tcBorders>
              <w:top w:val="nil"/>
              <w:right w:val="nil"/>
            </w:tcBorders>
            <w:shd w:val="clear" w:color="auto" w:fill="auto"/>
            <w:vAlign w:val="center"/>
            <w:hideMark/>
          </w:tcPr>
          <w:p w14:paraId="283FBF7D" w14:textId="7FF5E6B6" w:rsidR="00A839C5" w:rsidRPr="00385D9E" w:rsidRDefault="00A839C5" w:rsidP="00A839C5">
            <w:pPr>
              <w:spacing w:after="0" w:line="240" w:lineRule="auto"/>
              <w:rPr>
                <w:sz w:val="18"/>
                <w:szCs w:val="18"/>
                <w:lang w:eastAsia="sk-SK"/>
              </w:rPr>
            </w:pPr>
            <w:r w:rsidRPr="00385D9E">
              <w:rPr>
                <w:sz w:val="18"/>
                <w:szCs w:val="18"/>
                <w:lang w:eastAsia="sk-SK"/>
              </w:rPr>
              <w:t>Východoslovenská energetika Holding, a.</w:t>
            </w:r>
            <w:r>
              <w:rPr>
                <w:sz w:val="18"/>
                <w:szCs w:val="18"/>
                <w:lang w:eastAsia="sk-SK"/>
              </w:rPr>
              <w:t> </w:t>
            </w:r>
            <w:r w:rsidRPr="00385D9E">
              <w:rPr>
                <w:sz w:val="18"/>
                <w:szCs w:val="18"/>
                <w:lang w:eastAsia="sk-SK"/>
              </w:rPr>
              <w:t>s.</w:t>
            </w:r>
          </w:p>
        </w:tc>
        <w:tc>
          <w:tcPr>
            <w:tcW w:w="372" w:type="pct"/>
            <w:tcBorders>
              <w:top w:val="nil"/>
              <w:left w:val="nil"/>
              <w:right w:val="nil"/>
            </w:tcBorders>
            <w:shd w:val="clear" w:color="auto" w:fill="auto"/>
            <w:vAlign w:val="bottom"/>
            <w:hideMark/>
          </w:tcPr>
          <w:p w14:paraId="30A1DDCD" w14:textId="071395C8" w:rsidR="00A839C5" w:rsidRPr="002746C4" w:rsidRDefault="00A839C5" w:rsidP="00A839C5">
            <w:pPr>
              <w:spacing w:after="0" w:line="240" w:lineRule="auto"/>
              <w:rPr>
                <w:sz w:val="18"/>
                <w:szCs w:val="18"/>
                <w:highlight w:val="yellow"/>
                <w:lang w:eastAsia="sk-SK"/>
              </w:rPr>
            </w:pPr>
            <w:r>
              <w:rPr>
                <w:b/>
                <w:bCs/>
                <w:sz w:val="18"/>
                <w:szCs w:val="18"/>
              </w:rPr>
              <w:t>Spolu</w:t>
            </w:r>
          </w:p>
        </w:tc>
        <w:tc>
          <w:tcPr>
            <w:tcW w:w="555" w:type="pct"/>
            <w:tcBorders>
              <w:top w:val="nil"/>
              <w:left w:val="nil"/>
              <w:right w:val="nil"/>
            </w:tcBorders>
            <w:shd w:val="clear" w:color="auto" w:fill="auto"/>
            <w:noWrap/>
            <w:vAlign w:val="bottom"/>
            <w:hideMark/>
          </w:tcPr>
          <w:p w14:paraId="4CC6CE93" w14:textId="7FE56737" w:rsidR="00A839C5" w:rsidRPr="002746C4" w:rsidRDefault="00A839C5" w:rsidP="00A839C5">
            <w:pPr>
              <w:spacing w:after="0" w:line="240" w:lineRule="auto"/>
              <w:jc w:val="right"/>
              <w:rPr>
                <w:b/>
                <w:bCs/>
                <w:sz w:val="18"/>
                <w:szCs w:val="18"/>
                <w:highlight w:val="yellow"/>
                <w:lang w:eastAsia="sk-SK"/>
              </w:rPr>
            </w:pPr>
            <w:r>
              <w:rPr>
                <w:b/>
                <w:bCs/>
                <w:sz w:val="18"/>
                <w:szCs w:val="18"/>
              </w:rPr>
              <w:t>33 677</w:t>
            </w:r>
          </w:p>
        </w:tc>
        <w:tc>
          <w:tcPr>
            <w:tcW w:w="599" w:type="pct"/>
            <w:tcBorders>
              <w:top w:val="nil"/>
              <w:left w:val="nil"/>
              <w:right w:val="nil"/>
            </w:tcBorders>
            <w:shd w:val="clear" w:color="auto" w:fill="auto"/>
            <w:noWrap/>
            <w:vAlign w:val="bottom"/>
            <w:hideMark/>
          </w:tcPr>
          <w:p w14:paraId="01EFB3B9" w14:textId="398A28DC" w:rsidR="00A839C5" w:rsidRPr="002746C4" w:rsidRDefault="00A839C5" w:rsidP="00A839C5">
            <w:pPr>
              <w:spacing w:after="0" w:line="240" w:lineRule="auto"/>
              <w:jc w:val="right"/>
              <w:rPr>
                <w:b/>
                <w:bCs/>
                <w:sz w:val="18"/>
                <w:szCs w:val="18"/>
                <w:highlight w:val="yellow"/>
                <w:lang w:eastAsia="sk-SK"/>
              </w:rPr>
            </w:pPr>
            <w:r>
              <w:rPr>
                <w:b/>
                <w:bCs/>
                <w:sz w:val="18"/>
                <w:szCs w:val="18"/>
              </w:rPr>
              <w:t>29 070</w:t>
            </w:r>
          </w:p>
        </w:tc>
        <w:tc>
          <w:tcPr>
            <w:tcW w:w="534" w:type="pct"/>
            <w:tcBorders>
              <w:top w:val="nil"/>
              <w:left w:val="nil"/>
              <w:right w:val="nil"/>
            </w:tcBorders>
            <w:shd w:val="clear" w:color="auto" w:fill="auto"/>
            <w:noWrap/>
            <w:vAlign w:val="bottom"/>
            <w:hideMark/>
          </w:tcPr>
          <w:p w14:paraId="63CE7D46" w14:textId="4C3E065E" w:rsidR="00A839C5" w:rsidRPr="002746C4" w:rsidRDefault="00A839C5" w:rsidP="00A839C5">
            <w:pPr>
              <w:spacing w:after="0" w:line="240" w:lineRule="auto"/>
              <w:jc w:val="right"/>
              <w:rPr>
                <w:b/>
                <w:bCs/>
                <w:sz w:val="18"/>
                <w:szCs w:val="18"/>
                <w:highlight w:val="yellow"/>
                <w:lang w:eastAsia="sk-SK"/>
              </w:rPr>
            </w:pPr>
            <w:r>
              <w:rPr>
                <w:b/>
                <w:bCs/>
                <w:sz w:val="18"/>
                <w:szCs w:val="18"/>
              </w:rPr>
              <w:t>10 710</w:t>
            </w:r>
          </w:p>
        </w:tc>
        <w:tc>
          <w:tcPr>
            <w:tcW w:w="639" w:type="pct"/>
            <w:tcBorders>
              <w:top w:val="nil"/>
              <w:left w:val="nil"/>
            </w:tcBorders>
            <w:shd w:val="clear" w:color="auto" w:fill="auto"/>
            <w:noWrap/>
            <w:vAlign w:val="bottom"/>
            <w:hideMark/>
          </w:tcPr>
          <w:p w14:paraId="03A8C1B3" w14:textId="12C1B9AA" w:rsidR="00A839C5" w:rsidRPr="002746C4" w:rsidRDefault="00A839C5" w:rsidP="00A839C5">
            <w:pPr>
              <w:spacing w:after="0" w:line="240" w:lineRule="auto"/>
              <w:jc w:val="right"/>
              <w:rPr>
                <w:b/>
                <w:bCs/>
                <w:sz w:val="18"/>
                <w:szCs w:val="18"/>
                <w:highlight w:val="yellow"/>
                <w:lang w:eastAsia="sk-SK"/>
              </w:rPr>
            </w:pPr>
            <w:r>
              <w:rPr>
                <w:b/>
                <w:bCs/>
                <w:sz w:val="18"/>
                <w:szCs w:val="18"/>
              </w:rPr>
              <w:t>-18 360</w:t>
            </w:r>
          </w:p>
        </w:tc>
      </w:tr>
      <w:tr w:rsidR="00A839C5" w:rsidRPr="002746C4" w14:paraId="721338C1" w14:textId="77777777" w:rsidTr="00410A90">
        <w:trPr>
          <w:trHeight w:val="300"/>
        </w:trPr>
        <w:tc>
          <w:tcPr>
            <w:tcW w:w="2301" w:type="pct"/>
            <w:vMerge/>
            <w:tcBorders>
              <w:top w:val="nil"/>
              <w:right w:val="nil"/>
            </w:tcBorders>
            <w:vAlign w:val="center"/>
            <w:hideMark/>
          </w:tcPr>
          <w:p w14:paraId="4A6DC845" w14:textId="77777777" w:rsidR="00A839C5" w:rsidRPr="00385D9E" w:rsidRDefault="00A839C5" w:rsidP="00A839C5">
            <w:pPr>
              <w:spacing w:after="0" w:line="240" w:lineRule="auto"/>
              <w:rPr>
                <w:sz w:val="18"/>
                <w:szCs w:val="18"/>
                <w:lang w:eastAsia="sk-SK"/>
              </w:rPr>
            </w:pPr>
          </w:p>
        </w:tc>
        <w:tc>
          <w:tcPr>
            <w:tcW w:w="372" w:type="pct"/>
            <w:tcBorders>
              <w:top w:val="nil"/>
              <w:left w:val="nil"/>
              <w:right w:val="nil"/>
            </w:tcBorders>
            <w:shd w:val="clear" w:color="auto" w:fill="auto"/>
            <w:vAlign w:val="bottom"/>
            <w:hideMark/>
          </w:tcPr>
          <w:p w14:paraId="70A8D54E" w14:textId="6C2E7F7E" w:rsidR="00A839C5" w:rsidRPr="002746C4" w:rsidRDefault="00A839C5" w:rsidP="00A839C5">
            <w:pPr>
              <w:spacing w:after="0" w:line="240" w:lineRule="auto"/>
              <w:rPr>
                <w:sz w:val="18"/>
                <w:szCs w:val="18"/>
                <w:highlight w:val="yellow"/>
                <w:lang w:eastAsia="sk-SK"/>
              </w:rPr>
            </w:pPr>
            <w:r>
              <w:rPr>
                <w:sz w:val="18"/>
                <w:szCs w:val="18"/>
              </w:rPr>
              <w:t xml:space="preserve">ESA </w:t>
            </w:r>
          </w:p>
        </w:tc>
        <w:tc>
          <w:tcPr>
            <w:tcW w:w="555" w:type="pct"/>
            <w:tcBorders>
              <w:top w:val="nil"/>
              <w:left w:val="nil"/>
              <w:right w:val="nil"/>
            </w:tcBorders>
            <w:shd w:val="clear" w:color="auto" w:fill="auto"/>
            <w:noWrap/>
            <w:vAlign w:val="bottom"/>
            <w:hideMark/>
          </w:tcPr>
          <w:p w14:paraId="180C142A" w14:textId="32C2E6FD" w:rsidR="00A839C5" w:rsidRPr="002746C4" w:rsidRDefault="00A839C5" w:rsidP="00A839C5">
            <w:pPr>
              <w:spacing w:after="0" w:line="240" w:lineRule="auto"/>
              <w:jc w:val="right"/>
              <w:rPr>
                <w:sz w:val="18"/>
                <w:szCs w:val="18"/>
                <w:highlight w:val="yellow"/>
                <w:lang w:eastAsia="sk-SK"/>
              </w:rPr>
            </w:pPr>
            <w:r>
              <w:rPr>
                <w:color w:val="000000"/>
                <w:sz w:val="18"/>
                <w:szCs w:val="18"/>
              </w:rPr>
              <w:t>25 220</w:t>
            </w:r>
          </w:p>
        </w:tc>
        <w:tc>
          <w:tcPr>
            <w:tcW w:w="599" w:type="pct"/>
            <w:tcBorders>
              <w:top w:val="nil"/>
              <w:left w:val="nil"/>
              <w:right w:val="nil"/>
            </w:tcBorders>
            <w:shd w:val="clear" w:color="auto" w:fill="auto"/>
            <w:noWrap/>
            <w:vAlign w:val="bottom"/>
            <w:hideMark/>
          </w:tcPr>
          <w:p w14:paraId="226E486E" w14:textId="5AF44BDD"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23 231</w:t>
            </w:r>
          </w:p>
        </w:tc>
        <w:tc>
          <w:tcPr>
            <w:tcW w:w="534" w:type="pct"/>
            <w:tcBorders>
              <w:top w:val="nil"/>
              <w:left w:val="nil"/>
              <w:right w:val="nil"/>
            </w:tcBorders>
            <w:shd w:val="clear" w:color="auto" w:fill="auto"/>
            <w:noWrap/>
            <w:vAlign w:val="bottom"/>
            <w:hideMark/>
          </w:tcPr>
          <w:p w14:paraId="7BDD6E23" w14:textId="0C182661"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9 666</w:t>
            </w:r>
          </w:p>
        </w:tc>
        <w:tc>
          <w:tcPr>
            <w:tcW w:w="639" w:type="pct"/>
            <w:tcBorders>
              <w:top w:val="nil"/>
              <w:left w:val="nil"/>
            </w:tcBorders>
            <w:shd w:val="clear" w:color="auto" w:fill="auto"/>
            <w:noWrap/>
            <w:vAlign w:val="bottom"/>
            <w:hideMark/>
          </w:tcPr>
          <w:p w14:paraId="78D72E2C" w14:textId="2EFB3D7F"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-13 565</w:t>
            </w:r>
          </w:p>
        </w:tc>
      </w:tr>
      <w:tr w:rsidR="00A839C5" w:rsidRPr="002746C4" w14:paraId="5AA3FA23" w14:textId="77777777" w:rsidTr="00410A90">
        <w:trPr>
          <w:trHeight w:val="300"/>
        </w:trPr>
        <w:tc>
          <w:tcPr>
            <w:tcW w:w="2301" w:type="pct"/>
            <w:vMerge/>
            <w:tcBorders>
              <w:top w:val="nil"/>
              <w:right w:val="nil"/>
            </w:tcBorders>
            <w:vAlign w:val="center"/>
            <w:hideMark/>
          </w:tcPr>
          <w:p w14:paraId="66753E2B" w14:textId="77777777" w:rsidR="00A839C5" w:rsidRPr="00385D9E" w:rsidRDefault="00A839C5" w:rsidP="00A839C5">
            <w:pPr>
              <w:spacing w:after="0" w:line="240" w:lineRule="auto"/>
              <w:rPr>
                <w:sz w:val="18"/>
                <w:szCs w:val="18"/>
                <w:lang w:eastAsia="sk-SK"/>
              </w:rPr>
            </w:pPr>
          </w:p>
        </w:tc>
        <w:tc>
          <w:tcPr>
            <w:tcW w:w="372" w:type="pct"/>
            <w:tcBorders>
              <w:top w:val="nil"/>
              <w:left w:val="nil"/>
              <w:right w:val="nil"/>
            </w:tcBorders>
            <w:shd w:val="clear" w:color="auto" w:fill="auto"/>
            <w:vAlign w:val="bottom"/>
            <w:hideMark/>
          </w:tcPr>
          <w:p w14:paraId="3ADEF3C7" w14:textId="0EDE5F85" w:rsidR="00A839C5" w:rsidRPr="002746C4" w:rsidRDefault="00A839C5" w:rsidP="00A839C5">
            <w:pPr>
              <w:spacing w:after="0" w:line="240" w:lineRule="auto"/>
              <w:rPr>
                <w:sz w:val="18"/>
                <w:szCs w:val="18"/>
                <w:highlight w:val="yellow"/>
                <w:lang w:eastAsia="sk-SK"/>
              </w:rPr>
            </w:pPr>
            <w:r>
              <w:rPr>
                <w:sz w:val="18"/>
                <w:szCs w:val="18"/>
              </w:rPr>
              <w:t>Super</w:t>
            </w:r>
          </w:p>
        </w:tc>
        <w:tc>
          <w:tcPr>
            <w:tcW w:w="555" w:type="pct"/>
            <w:tcBorders>
              <w:top w:val="nil"/>
              <w:left w:val="nil"/>
              <w:right w:val="nil"/>
            </w:tcBorders>
            <w:shd w:val="clear" w:color="auto" w:fill="auto"/>
            <w:noWrap/>
            <w:vAlign w:val="bottom"/>
            <w:hideMark/>
          </w:tcPr>
          <w:p w14:paraId="163AF250" w14:textId="07D54F5A" w:rsidR="00A839C5" w:rsidRPr="002746C4" w:rsidRDefault="00A839C5" w:rsidP="00A839C5">
            <w:pPr>
              <w:spacing w:after="0" w:line="240" w:lineRule="auto"/>
              <w:jc w:val="right"/>
              <w:rPr>
                <w:b/>
                <w:bCs/>
                <w:color w:val="000000"/>
                <w:sz w:val="18"/>
                <w:szCs w:val="18"/>
                <w:highlight w:val="yellow"/>
                <w:lang w:eastAsia="sk-SK"/>
              </w:rPr>
            </w:pPr>
            <w:r>
              <w:rPr>
                <w:color w:val="000000"/>
                <w:sz w:val="18"/>
                <w:szCs w:val="18"/>
              </w:rPr>
              <w:t>8 457</w:t>
            </w:r>
          </w:p>
        </w:tc>
        <w:tc>
          <w:tcPr>
            <w:tcW w:w="599" w:type="pct"/>
            <w:tcBorders>
              <w:top w:val="nil"/>
              <w:left w:val="nil"/>
              <w:right w:val="nil"/>
            </w:tcBorders>
            <w:shd w:val="clear" w:color="auto" w:fill="auto"/>
            <w:noWrap/>
            <w:vAlign w:val="bottom"/>
            <w:hideMark/>
          </w:tcPr>
          <w:p w14:paraId="6E6E9272" w14:textId="6B118ECF"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5 839</w:t>
            </w:r>
          </w:p>
        </w:tc>
        <w:tc>
          <w:tcPr>
            <w:tcW w:w="534" w:type="pct"/>
            <w:tcBorders>
              <w:top w:val="nil"/>
              <w:left w:val="nil"/>
              <w:right w:val="nil"/>
            </w:tcBorders>
            <w:shd w:val="clear" w:color="auto" w:fill="auto"/>
            <w:noWrap/>
            <w:vAlign w:val="bottom"/>
            <w:hideMark/>
          </w:tcPr>
          <w:p w14:paraId="22F4FFC6" w14:textId="76A84783"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1 044</w:t>
            </w:r>
          </w:p>
        </w:tc>
        <w:tc>
          <w:tcPr>
            <w:tcW w:w="639" w:type="pct"/>
            <w:tcBorders>
              <w:top w:val="nil"/>
              <w:left w:val="nil"/>
            </w:tcBorders>
            <w:shd w:val="clear" w:color="auto" w:fill="auto"/>
            <w:noWrap/>
            <w:vAlign w:val="bottom"/>
            <w:hideMark/>
          </w:tcPr>
          <w:p w14:paraId="2C05192F" w14:textId="2E4E0FDF"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-4 795</w:t>
            </w:r>
          </w:p>
        </w:tc>
      </w:tr>
      <w:tr w:rsidR="00A839C5" w:rsidRPr="002746C4" w14:paraId="33B1EA5F" w14:textId="77777777" w:rsidTr="00410A90">
        <w:trPr>
          <w:trHeight w:val="300"/>
        </w:trPr>
        <w:tc>
          <w:tcPr>
            <w:tcW w:w="2301" w:type="pct"/>
            <w:vMerge w:val="restart"/>
            <w:tcBorders>
              <w:top w:val="nil"/>
              <w:right w:val="nil"/>
            </w:tcBorders>
            <w:shd w:val="clear" w:color="auto" w:fill="auto"/>
            <w:vAlign w:val="center"/>
            <w:hideMark/>
          </w:tcPr>
          <w:p w14:paraId="5FBFF74A" w14:textId="0765B27C" w:rsidR="00A839C5" w:rsidRPr="00385D9E" w:rsidRDefault="00A839C5" w:rsidP="00A839C5">
            <w:pPr>
              <w:spacing w:after="0" w:line="240" w:lineRule="auto"/>
              <w:rPr>
                <w:sz w:val="18"/>
                <w:szCs w:val="18"/>
                <w:lang w:eastAsia="sk-SK"/>
              </w:rPr>
            </w:pPr>
            <w:r w:rsidRPr="00385D9E">
              <w:rPr>
                <w:sz w:val="18"/>
                <w:szCs w:val="18"/>
                <w:lang w:eastAsia="sk-SK"/>
              </w:rPr>
              <w:t>Transpetrol, a.</w:t>
            </w:r>
            <w:r>
              <w:rPr>
                <w:sz w:val="18"/>
                <w:szCs w:val="18"/>
                <w:lang w:eastAsia="sk-SK"/>
              </w:rPr>
              <w:t> </w:t>
            </w:r>
            <w:r w:rsidRPr="00385D9E">
              <w:rPr>
                <w:sz w:val="18"/>
                <w:szCs w:val="18"/>
                <w:lang w:eastAsia="sk-SK"/>
              </w:rPr>
              <w:t>s.</w:t>
            </w:r>
          </w:p>
        </w:tc>
        <w:tc>
          <w:tcPr>
            <w:tcW w:w="372" w:type="pct"/>
            <w:tcBorders>
              <w:top w:val="nil"/>
              <w:left w:val="nil"/>
              <w:right w:val="nil"/>
            </w:tcBorders>
            <w:shd w:val="clear" w:color="auto" w:fill="auto"/>
            <w:vAlign w:val="bottom"/>
            <w:hideMark/>
          </w:tcPr>
          <w:p w14:paraId="627EC545" w14:textId="0263468F" w:rsidR="00A839C5" w:rsidRPr="002746C4" w:rsidRDefault="00A839C5" w:rsidP="00A839C5">
            <w:pPr>
              <w:spacing w:after="0" w:line="240" w:lineRule="auto"/>
              <w:rPr>
                <w:sz w:val="18"/>
                <w:szCs w:val="18"/>
                <w:highlight w:val="yellow"/>
                <w:lang w:eastAsia="sk-SK"/>
              </w:rPr>
            </w:pPr>
            <w:r>
              <w:rPr>
                <w:b/>
                <w:bCs/>
                <w:sz w:val="18"/>
                <w:szCs w:val="18"/>
              </w:rPr>
              <w:t>Spolu</w:t>
            </w:r>
          </w:p>
        </w:tc>
        <w:tc>
          <w:tcPr>
            <w:tcW w:w="555" w:type="pct"/>
            <w:tcBorders>
              <w:top w:val="nil"/>
              <w:left w:val="nil"/>
              <w:right w:val="nil"/>
            </w:tcBorders>
            <w:shd w:val="clear" w:color="auto" w:fill="auto"/>
            <w:noWrap/>
            <w:vAlign w:val="bottom"/>
            <w:hideMark/>
          </w:tcPr>
          <w:p w14:paraId="3462DDC8" w14:textId="6AB309A9" w:rsidR="00A839C5" w:rsidRPr="002746C4" w:rsidRDefault="00A839C5" w:rsidP="00A839C5">
            <w:pPr>
              <w:spacing w:after="0" w:line="240" w:lineRule="auto"/>
              <w:jc w:val="right"/>
              <w:rPr>
                <w:b/>
                <w:bCs/>
                <w:sz w:val="18"/>
                <w:szCs w:val="18"/>
                <w:highlight w:val="yellow"/>
                <w:lang w:eastAsia="sk-SK"/>
              </w:rPr>
            </w:pPr>
            <w:r>
              <w:rPr>
                <w:b/>
                <w:bCs/>
                <w:sz w:val="18"/>
                <w:szCs w:val="18"/>
              </w:rPr>
              <w:t>2 000</w:t>
            </w:r>
          </w:p>
        </w:tc>
        <w:tc>
          <w:tcPr>
            <w:tcW w:w="599" w:type="pct"/>
            <w:tcBorders>
              <w:top w:val="nil"/>
              <w:left w:val="nil"/>
              <w:right w:val="nil"/>
            </w:tcBorders>
            <w:shd w:val="clear" w:color="auto" w:fill="auto"/>
            <w:noWrap/>
            <w:vAlign w:val="bottom"/>
            <w:hideMark/>
          </w:tcPr>
          <w:p w14:paraId="4FE302D8" w14:textId="4FFB60E5" w:rsidR="00A839C5" w:rsidRPr="002746C4" w:rsidRDefault="00A839C5" w:rsidP="00A839C5">
            <w:pPr>
              <w:spacing w:after="0" w:line="240" w:lineRule="auto"/>
              <w:jc w:val="right"/>
              <w:rPr>
                <w:b/>
                <w:bCs/>
                <w:sz w:val="18"/>
                <w:szCs w:val="18"/>
                <w:highlight w:val="yellow"/>
                <w:lang w:eastAsia="sk-SK"/>
              </w:rPr>
            </w:pPr>
            <w:r>
              <w:rPr>
                <w:b/>
                <w:bCs/>
                <w:sz w:val="18"/>
                <w:szCs w:val="18"/>
              </w:rPr>
              <w:t>1 500</w:t>
            </w:r>
          </w:p>
        </w:tc>
        <w:tc>
          <w:tcPr>
            <w:tcW w:w="534" w:type="pct"/>
            <w:tcBorders>
              <w:top w:val="nil"/>
              <w:left w:val="nil"/>
              <w:right w:val="nil"/>
            </w:tcBorders>
            <w:shd w:val="clear" w:color="auto" w:fill="auto"/>
            <w:noWrap/>
            <w:vAlign w:val="bottom"/>
            <w:hideMark/>
          </w:tcPr>
          <w:p w14:paraId="52F0F35B" w14:textId="0123DD4D" w:rsidR="00A839C5" w:rsidRPr="002746C4" w:rsidRDefault="00A839C5" w:rsidP="00A839C5">
            <w:pPr>
              <w:spacing w:after="0" w:line="240" w:lineRule="auto"/>
              <w:jc w:val="right"/>
              <w:rPr>
                <w:b/>
                <w:bCs/>
                <w:sz w:val="18"/>
                <w:szCs w:val="18"/>
                <w:highlight w:val="yellow"/>
                <w:lang w:eastAsia="sk-SK"/>
              </w:rPr>
            </w:pPr>
            <w:r>
              <w:rPr>
                <w:b/>
                <w:bCs/>
                <w:sz w:val="18"/>
                <w:szCs w:val="18"/>
              </w:rPr>
              <w:t>1 500</w:t>
            </w:r>
          </w:p>
        </w:tc>
        <w:tc>
          <w:tcPr>
            <w:tcW w:w="639" w:type="pct"/>
            <w:tcBorders>
              <w:top w:val="nil"/>
              <w:left w:val="nil"/>
            </w:tcBorders>
            <w:shd w:val="clear" w:color="auto" w:fill="auto"/>
            <w:noWrap/>
            <w:vAlign w:val="bottom"/>
            <w:hideMark/>
          </w:tcPr>
          <w:p w14:paraId="00B4D091" w14:textId="4F6B2E84" w:rsidR="00A839C5" w:rsidRPr="002746C4" w:rsidRDefault="00A839C5" w:rsidP="00A839C5">
            <w:pPr>
              <w:spacing w:after="0" w:line="240" w:lineRule="auto"/>
              <w:jc w:val="right"/>
              <w:rPr>
                <w:b/>
                <w:bCs/>
                <w:sz w:val="18"/>
                <w:szCs w:val="18"/>
                <w:highlight w:val="yellow"/>
                <w:lang w:eastAsia="sk-SK"/>
              </w:rPr>
            </w:pPr>
            <w:r>
              <w:rPr>
                <w:b/>
                <w:bCs/>
                <w:sz w:val="18"/>
                <w:szCs w:val="18"/>
              </w:rPr>
              <w:t>0</w:t>
            </w:r>
          </w:p>
        </w:tc>
      </w:tr>
      <w:tr w:rsidR="00A839C5" w:rsidRPr="002746C4" w14:paraId="5BEF45BA" w14:textId="77777777" w:rsidTr="00410A90">
        <w:trPr>
          <w:trHeight w:val="300"/>
        </w:trPr>
        <w:tc>
          <w:tcPr>
            <w:tcW w:w="2301" w:type="pct"/>
            <w:vMerge/>
            <w:tcBorders>
              <w:top w:val="nil"/>
              <w:right w:val="nil"/>
            </w:tcBorders>
            <w:vAlign w:val="center"/>
            <w:hideMark/>
          </w:tcPr>
          <w:p w14:paraId="4B7911FC" w14:textId="77777777" w:rsidR="00A839C5" w:rsidRPr="00385D9E" w:rsidRDefault="00A839C5" w:rsidP="00A839C5">
            <w:pPr>
              <w:spacing w:after="0" w:line="240" w:lineRule="auto"/>
              <w:rPr>
                <w:sz w:val="18"/>
                <w:szCs w:val="18"/>
                <w:lang w:eastAsia="sk-SK"/>
              </w:rPr>
            </w:pPr>
          </w:p>
        </w:tc>
        <w:tc>
          <w:tcPr>
            <w:tcW w:w="372" w:type="pct"/>
            <w:tcBorders>
              <w:top w:val="nil"/>
              <w:left w:val="nil"/>
              <w:right w:val="nil"/>
            </w:tcBorders>
            <w:shd w:val="clear" w:color="auto" w:fill="auto"/>
            <w:vAlign w:val="bottom"/>
            <w:hideMark/>
          </w:tcPr>
          <w:p w14:paraId="7EB3BCDC" w14:textId="1F2AD457" w:rsidR="00A839C5" w:rsidRPr="002746C4" w:rsidRDefault="00A839C5" w:rsidP="00A839C5">
            <w:pPr>
              <w:spacing w:after="0" w:line="240" w:lineRule="auto"/>
              <w:rPr>
                <w:sz w:val="18"/>
                <w:szCs w:val="18"/>
                <w:highlight w:val="yellow"/>
                <w:lang w:eastAsia="sk-SK"/>
              </w:rPr>
            </w:pPr>
            <w:r>
              <w:rPr>
                <w:sz w:val="18"/>
                <w:szCs w:val="18"/>
              </w:rPr>
              <w:t xml:space="preserve">ESA </w:t>
            </w:r>
          </w:p>
        </w:tc>
        <w:tc>
          <w:tcPr>
            <w:tcW w:w="555" w:type="pct"/>
            <w:tcBorders>
              <w:top w:val="nil"/>
              <w:left w:val="nil"/>
              <w:right w:val="nil"/>
            </w:tcBorders>
            <w:shd w:val="clear" w:color="auto" w:fill="auto"/>
            <w:noWrap/>
            <w:vAlign w:val="bottom"/>
            <w:hideMark/>
          </w:tcPr>
          <w:p w14:paraId="50613104" w14:textId="08B5F324" w:rsidR="00A839C5" w:rsidRPr="002746C4" w:rsidRDefault="00A839C5" w:rsidP="00A839C5">
            <w:pPr>
              <w:spacing w:after="0" w:line="240" w:lineRule="auto"/>
              <w:jc w:val="right"/>
              <w:rPr>
                <w:sz w:val="18"/>
                <w:szCs w:val="18"/>
                <w:highlight w:val="yellow"/>
                <w:lang w:eastAsia="sk-SK"/>
              </w:rPr>
            </w:pPr>
            <w:r>
              <w:rPr>
                <w:color w:val="000000"/>
                <w:sz w:val="18"/>
                <w:szCs w:val="18"/>
              </w:rPr>
              <w:t>2 000</w:t>
            </w:r>
          </w:p>
        </w:tc>
        <w:tc>
          <w:tcPr>
            <w:tcW w:w="599" w:type="pct"/>
            <w:tcBorders>
              <w:top w:val="nil"/>
              <w:left w:val="nil"/>
              <w:right w:val="nil"/>
            </w:tcBorders>
            <w:shd w:val="clear" w:color="auto" w:fill="auto"/>
            <w:noWrap/>
            <w:vAlign w:val="bottom"/>
            <w:hideMark/>
          </w:tcPr>
          <w:p w14:paraId="3BA25247" w14:textId="18A73AD7"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1 500</w:t>
            </w:r>
          </w:p>
        </w:tc>
        <w:tc>
          <w:tcPr>
            <w:tcW w:w="534" w:type="pct"/>
            <w:tcBorders>
              <w:top w:val="nil"/>
              <w:left w:val="nil"/>
              <w:right w:val="nil"/>
            </w:tcBorders>
            <w:shd w:val="clear" w:color="auto" w:fill="auto"/>
            <w:noWrap/>
            <w:vAlign w:val="bottom"/>
            <w:hideMark/>
          </w:tcPr>
          <w:p w14:paraId="5D3B2FE1" w14:textId="3B587B9B"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1 500</w:t>
            </w:r>
          </w:p>
        </w:tc>
        <w:tc>
          <w:tcPr>
            <w:tcW w:w="639" w:type="pct"/>
            <w:tcBorders>
              <w:top w:val="nil"/>
              <w:left w:val="nil"/>
            </w:tcBorders>
            <w:shd w:val="clear" w:color="auto" w:fill="auto"/>
            <w:noWrap/>
            <w:vAlign w:val="bottom"/>
            <w:hideMark/>
          </w:tcPr>
          <w:p w14:paraId="42A8AC85" w14:textId="00429371"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r>
      <w:tr w:rsidR="00A839C5" w:rsidRPr="002746C4" w14:paraId="5EE24C12" w14:textId="77777777" w:rsidTr="00410A90">
        <w:trPr>
          <w:trHeight w:val="300"/>
        </w:trPr>
        <w:tc>
          <w:tcPr>
            <w:tcW w:w="2301" w:type="pct"/>
            <w:vMerge/>
            <w:tcBorders>
              <w:top w:val="nil"/>
              <w:right w:val="nil"/>
            </w:tcBorders>
            <w:vAlign w:val="center"/>
            <w:hideMark/>
          </w:tcPr>
          <w:p w14:paraId="0552E17E" w14:textId="77777777" w:rsidR="00A839C5" w:rsidRPr="00385D9E" w:rsidRDefault="00A839C5" w:rsidP="00A839C5">
            <w:pPr>
              <w:spacing w:after="0" w:line="240" w:lineRule="auto"/>
              <w:rPr>
                <w:sz w:val="18"/>
                <w:szCs w:val="18"/>
                <w:lang w:eastAsia="sk-SK"/>
              </w:rPr>
            </w:pPr>
          </w:p>
        </w:tc>
        <w:tc>
          <w:tcPr>
            <w:tcW w:w="372" w:type="pct"/>
            <w:tcBorders>
              <w:top w:val="nil"/>
              <w:left w:val="nil"/>
              <w:right w:val="nil"/>
            </w:tcBorders>
            <w:shd w:val="clear" w:color="auto" w:fill="auto"/>
            <w:vAlign w:val="bottom"/>
            <w:hideMark/>
          </w:tcPr>
          <w:p w14:paraId="57A147FC" w14:textId="61224435" w:rsidR="00A839C5" w:rsidRPr="002746C4" w:rsidRDefault="00A839C5" w:rsidP="00A839C5">
            <w:pPr>
              <w:spacing w:after="0" w:line="240" w:lineRule="auto"/>
              <w:rPr>
                <w:sz w:val="18"/>
                <w:szCs w:val="18"/>
                <w:highlight w:val="yellow"/>
                <w:lang w:eastAsia="sk-SK"/>
              </w:rPr>
            </w:pPr>
            <w:r>
              <w:rPr>
                <w:sz w:val="18"/>
                <w:szCs w:val="18"/>
              </w:rPr>
              <w:t>Super</w:t>
            </w:r>
          </w:p>
        </w:tc>
        <w:tc>
          <w:tcPr>
            <w:tcW w:w="555" w:type="pct"/>
            <w:tcBorders>
              <w:top w:val="nil"/>
              <w:left w:val="nil"/>
              <w:right w:val="nil"/>
            </w:tcBorders>
            <w:shd w:val="clear" w:color="auto" w:fill="auto"/>
            <w:noWrap/>
            <w:vAlign w:val="bottom"/>
            <w:hideMark/>
          </w:tcPr>
          <w:p w14:paraId="615364A3" w14:textId="58054576" w:rsidR="00A839C5" w:rsidRPr="002746C4" w:rsidRDefault="00A839C5" w:rsidP="00A839C5">
            <w:pPr>
              <w:spacing w:after="0" w:line="240" w:lineRule="auto"/>
              <w:jc w:val="right"/>
              <w:rPr>
                <w:sz w:val="18"/>
                <w:szCs w:val="18"/>
                <w:highlight w:val="yellow"/>
                <w:lang w:eastAsia="sk-SK"/>
              </w:rPr>
            </w:pPr>
            <w:r>
              <w:rPr>
                <w:sz w:val="18"/>
                <w:szCs w:val="18"/>
              </w:rPr>
              <w:t>0</w:t>
            </w:r>
          </w:p>
        </w:tc>
        <w:tc>
          <w:tcPr>
            <w:tcW w:w="599" w:type="pct"/>
            <w:tcBorders>
              <w:top w:val="nil"/>
              <w:left w:val="nil"/>
              <w:right w:val="nil"/>
            </w:tcBorders>
            <w:shd w:val="clear" w:color="auto" w:fill="auto"/>
            <w:noWrap/>
            <w:vAlign w:val="bottom"/>
            <w:hideMark/>
          </w:tcPr>
          <w:p w14:paraId="5748B61A" w14:textId="79B9F875" w:rsidR="00A839C5" w:rsidRPr="002746C4" w:rsidRDefault="00A839C5" w:rsidP="00A839C5">
            <w:pPr>
              <w:spacing w:after="0" w:line="240" w:lineRule="auto"/>
              <w:jc w:val="right"/>
              <w:rPr>
                <w:sz w:val="18"/>
                <w:szCs w:val="18"/>
                <w:highlight w:val="yellow"/>
                <w:lang w:eastAsia="sk-SK"/>
              </w:rPr>
            </w:pPr>
            <w:r>
              <w:rPr>
                <w:sz w:val="18"/>
                <w:szCs w:val="18"/>
              </w:rPr>
              <w:t>0</w:t>
            </w:r>
          </w:p>
        </w:tc>
        <w:tc>
          <w:tcPr>
            <w:tcW w:w="534" w:type="pct"/>
            <w:tcBorders>
              <w:top w:val="nil"/>
              <w:left w:val="nil"/>
              <w:right w:val="nil"/>
            </w:tcBorders>
            <w:shd w:val="clear" w:color="auto" w:fill="auto"/>
            <w:noWrap/>
            <w:vAlign w:val="bottom"/>
            <w:hideMark/>
          </w:tcPr>
          <w:p w14:paraId="1B7EEB13" w14:textId="61047A1B" w:rsidR="00A839C5" w:rsidRPr="002746C4" w:rsidRDefault="00A839C5" w:rsidP="00A839C5">
            <w:pPr>
              <w:spacing w:after="0" w:line="240" w:lineRule="auto"/>
              <w:jc w:val="right"/>
              <w:rPr>
                <w:sz w:val="18"/>
                <w:szCs w:val="18"/>
                <w:highlight w:val="yellow"/>
                <w:lang w:eastAsia="sk-SK"/>
              </w:rPr>
            </w:pPr>
            <w:r>
              <w:rPr>
                <w:sz w:val="18"/>
                <w:szCs w:val="18"/>
              </w:rPr>
              <w:t>0</w:t>
            </w:r>
          </w:p>
        </w:tc>
        <w:tc>
          <w:tcPr>
            <w:tcW w:w="639" w:type="pct"/>
            <w:tcBorders>
              <w:top w:val="nil"/>
              <w:left w:val="nil"/>
            </w:tcBorders>
            <w:shd w:val="clear" w:color="auto" w:fill="auto"/>
            <w:noWrap/>
            <w:vAlign w:val="bottom"/>
            <w:hideMark/>
          </w:tcPr>
          <w:p w14:paraId="6F0CF365" w14:textId="780CB13A"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r>
      <w:tr w:rsidR="00A839C5" w:rsidRPr="002746C4" w14:paraId="696670F3" w14:textId="77777777" w:rsidTr="00410A90">
        <w:trPr>
          <w:trHeight w:val="300"/>
        </w:trPr>
        <w:tc>
          <w:tcPr>
            <w:tcW w:w="2301" w:type="pct"/>
            <w:vMerge w:val="restart"/>
            <w:tcBorders>
              <w:top w:val="nil"/>
              <w:right w:val="nil"/>
            </w:tcBorders>
            <w:shd w:val="clear" w:color="auto" w:fill="auto"/>
            <w:vAlign w:val="center"/>
            <w:hideMark/>
          </w:tcPr>
          <w:p w14:paraId="2A8D3B69" w14:textId="77777777" w:rsidR="00A839C5" w:rsidRPr="00385D9E" w:rsidRDefault="00A839C5" w:rsidP="00A839C5">
            <w:pPr>
              <w:spacing w:after="0" w:line="240" w:lineRule="auto"/>
              <w:rPr>
                <w:sz w:val="18"/>
                <w:szCs w:val="18"/>
                <w:lang w:eastAsia="sk-SK"/>
              </w:rPr>
            </w:pPr>
            <w:r w:rsidRPr="00385D9E">
              <w:rPr>
                <w:sz w:val="18"/>
                <w:szCs w:val="18"/>
                <w:lang w:eastAsia="sk-SK"/>
              </w:rPr>
              <w:t>Jadrová a vyraďovacia spoločnosť, a. s.</w:t>
            </w:r>
          </w:p>
        </w:tc>
        <w:tc>
          <w:tcPr>
            <w:tcW w:w="372" w:type="pct"/>
            <w:tcBorders>
              <w:top w:val="nil"/>
              <w:left w:val="nil"/>
              <w:right w:val="nil"/>
            </w:tcBorders>
            <w:shd w:val="clear" w:color="auto" w:fill="auto"/>
            <w:vAlign w:val="bottom"/>
            <w:hideMark/>
          </w:tcPr>
          <w:p w14:paraId="072D0211" w14:textId="5633BF98" w:rsidR="00A839C5" w:rsidRPr="002746C4" w:rsidRDefault="00A839C5" w:rsidP="00A839C5">
            <w:pPr>
              <w:spacing w:after="0" w:line="240" w:lineRule="auto"/>
              <w:rPr>
                <w:sz w:val="18"/>
                <w:szCs w:val="18"/>
                <w:highlight w:val="yellow"/>
                <w:lang w:eastAsia="sk-SK"/>
              </w:rPr>
            </w:pPr>
            <w:r>
              <w:rPr>
                <w:b/>
                <w:bCs/>
                <w:sz w:val="18"/>
                <w:szCs w:val="18"/>
              </w:rPr>
              <w:t>Spolu</w:t>
            </w:r>
          </w:p>
        </w:tc>
        <w:tc>
          <w:tcPr>
            <w:tcW w:w="555" w:type="pct"/>
            <w:tcBorders>
              <w:top w:val="nil"/>
              <w:left w:val="nil"/>
              <w:right w:val="nil"/>
            </w:tcBorders>
            <w:shd w:val="clear" w:color="auto" w:fill="auto"/>
            <w:noWrap/>
            <w:vAlign w:val="bottom"/>
            <w:hideMark/>
          </w:tcPr>
          <w:p w14:paraId="64B4EE43" w14:textId="26DD8A5A" w:rsidR="00A839C5" w:rsidRPr="002746C4" w:rsidRDefault="00A839C5" w:rsidP="00A839C5">
            <w:pPr>
              <w:spacing w:after="0" w:line="240" w:lineRule="auto"/>
              <w:jc w:val="right"/>
              <w:rPr>
                <w:b/>
                <w:bCs/>
                <w:sz w:val="18"/>
                <w:szCs w:val="18"/>
                <w:highlight w:val="yellow"/>
                <w:lang w:eastAsia="sk-SK"/>
              </w:rPr>
            </w:pPr>
            <w:r>
              <w:rPr>
                <w:b/>
                <w:bCs/>
                <w:sz w:val="18"/>
                <w:szCs w:val="18"/>
              </w:rPr>
              <w:t>3 000</w:t>
            </w:r>
          </w:p>
        </w:tc>
        <w:tc>
          <w:tcPr>
            <w:tcW w:w="599" w:type="pct"/>
            <w:tcBorders>
              <w:top w:val="nil"/>
              <w:left w:val="nil"/>
              <w:right w:val="nil"/>
            </w:tcBorders>
            <w:shd w:val="clear" w:color="auto" w:fill="auto"/>
            <w:noWrap/>
            <w:vAlign w:val="bottom"/>
            <w:hideMark/>
          </w:tcPr>
          <w:p w14:paraId="0C256100" w14:textId="63DCE1DD" w:rsidR="00A839C5" w:rsidRPr="002746C4" w:rsidRDefault="00A839C5" w:rsidP="00A839C5">
            <w:pPr>
              <w:spacing w:after="0" w:line="240" w:lineRule="auto"/>
              <w:jc w:val="right"/>
              <w:rPr>
                <w:b/>
                <w:bCs/>
                <w:sz w:val="18"/>
                <w:szCs w:val="18"/>
                <w:highlight w:val="yellow"/>
                <w:lang w:eastAsia="sk-SK"/>
              </w:rPr>
            </w:pPr>
            <w:r>
              <w:rPr>
                <w:b/>
                <w:bCs/>
                <w:sz w:val="18"/>
                <w:szCs w:val="18"/>
              </w:rPr>
              <w:t>3 000</w:t>
            </w:r>
          </w:p>
        </w:tc>
        <w:tc>
          <w:tcPr>
            <w:tcW w:w="534" w:type="pct"/>
            <w:tcBorders>
              <w:top w:val="nil"/>
              <w:left w:val="nil"/>
              <w:right w:val="nil"/>
            </w:tcBorders>
            <w:shd w:val="clear" w:color="auto" w:fill="auto"/>
            <w:noWrap/>
            <w:vAlign w:val="bottom"/>
            <w:hideMark/>
          </w:tcPr>
          <w:p w14:paraId="1106FC9E" w14:textId="2ABED487" w:rsidR="00A839C5" w:rsidRPr="002746C4" w:rsidRDefault="00A839C5" w:rsidP="00A839C5">
            <w:pPr>
              <w:spacing w:after="0" w:line="240" w:lineRule="auto"/>
              <w:jc w:val="right"/>
              <w:rPr>
                <w:b/>
                <w:bCs/>
                <w:sz w:val="18"/>
                <w:szCs w:val="18"/>
                <w:highlight w:val="yellow"/>
                <w:lang w:eastAsia="sk-SK"/>
              </w:rPr>
            </w:pPr>
            <w:r>
              <w:rPr>
                <w:b/>
                <w:bCs/>
                <w:sz w:val="18"/>
                <w:szCs w:val="18"/>
              </w:rPr>
              <w:t>490</w:t>
            </w:r>
          </w:p>
        </w:tc>
        <w:tc>
          <w:tcPr>
            <w:tcW w:w="639" w:type="pct"/>
            <w:tcBorders>
              <w:top w:val="nil"/>
              <w:left w:val="nil"/>
            </w:tcBorders>
            <w:shd w:val="clear" w:color="auto" w:fill="auto"/>
            <w:noWrap/>
            <w:vAlign w:val="bottom"/>
            <w:hideMark/>
          </w:tcPr>
          <w:p w14:paraId="5415F50A" w14:textId="796FF6B7" w:rsidR="00A839C5" w:rsidRPr="002746C4" w:rsidRDefault="00A839C5" w:rsidP="00A839C5">
            <w:pPr>
              <w:spacing w:after="0" w:line="240" w:lineRule="auto"/>
              <w:jc w:val="right"/>
              <w:rPr>
                <w:b/>
                <w:bCs/>
                <w:sz w:val="18"/>
                <w:szCs w:val="18"/>
                <w:highlight w:val="yellow"/>
                <w:lang w:eastAsia="sk-SK"/>
              </w:rPr>
            </w:pPr>
            <w:r>
              <w:rPr>
                <w:b/>
                <w:bCs/>
                <w:sz w:val="18"/>
                <w:szCs w:val="18"/>
              </w:rPr>
              <w:t>-2 510</w:t>
            </w:r>
          </w:p>
        </w:tc>
      </w:tr>
      <w:tr w:rsidR="00A839C5" w:rsidRPr="002746C4" w14:paraId="1765FF28" w14:textId="77777777" w:rsidTr="00410A90">
        <w:trPr>
          <w:trHeight w:val="300"/>
        </w:trPr>
        <w:tc>
          <w:tcPr>
            <w:tcW w:w="2301" w:type="pct"/>
            <w:vMerge/>
            <w:tcBorders>
              <w:top w:val="nil"/>
              <w:right w:val="nil"/>
            </w:tcBorders>
            <w:vAlign w:val="center"/>
            <w:hideMark/>
          </w:tcPr>
          <w:p w14:paraId="1A07FED5" w14:textId="77777777" w:rsidR="00A839C5" w:rsidRPr="002746C4" w:rsidRDefault="00A839C5" w:rsidP="00A839C5">
            <w:pPr>
              <w:spacing w:after="0" w:line="240" w:lineRule="auto"/>
              <w:rPr>
                <w:sz w:val="18"/>
                <w:szCs w:val="18"/>
                <w:highlight w:val="yellow"/>
                <w:lang w:eastAsia="sk-SK"/>
              </w:rPr>
            </w:pPr>
          </w:p>
        </w:tc>
        <w:tc>
          <w:tcPr>
            <w:tcW w:w="372" w:type="pct"/>
            <w:tcBorders>
              <w:top w:val="nil"/>
              <w:left w:val="nil"/>
              <w:right w:val="nil"/>
            </w:tcBorders>
            <w:shd w:val="clear" w:color="auto" w:fill="auto"/>
            <w:vAlign w:val="bottom"/>
            <w:hideMark/>
          </w:tcPr>
          <w:p w14:paraId="3FC80214" w14:textId="044D6E5C" w:rsidR="00A839C5" w:rsidRPr="002746C4" w:rsidRDefault="00A839C5" w:rsidP="00A839C5">
            <w:pPr>
              <w:spacing w:after="0" w:line="240" w:lineRule="auto"/>
              <w:rPr>
                <w:sz w:val="18"/>
                <w:szCs w:val="18"/>
                <w:highlight w:val="yellow"/>
                <w:lang w:eastAsia="sk-SK"/>
              </w:rPr>
            </w:pPr>
            <w:r>
              <w:rPr>
                <w:sz w:val="18"/>
                <w:szCs w:val="18"/>
              </w:rPr>
              <w:t xml:space="preserve">ESA </w:t>
            </w:r>
          </w:p>
        </w:tc>
        <w:tc>
          <w:tcPr>
            <w:tcW w:w="555" w:type="pct"/>
            <w:tcBorders>
              <w:top w:val="nil"/>
              <w:left w:val="nil"/>
              <w:right w:val="nil"/>
            </w:tcBorders>
            <w:shd w:val="clear" w:color="auto" w:fill="auto"/>
            <w:noWrap/>
            <w:vAlign w:val="bottom"/>
            <w:hideMark/>
          </w:tcPr>
          <w:p w14:paraId="770484CA" w14:textId="7F62D148" w:rsidR="00A839C5" w:rsidRPr="002746C4" w:rsidRDefault="00A839C5" w:rsidP="00A839C5">
            <w:pPr>
              <w:spacing w:after="0" w:line="240" w:lineRule="auto"/>
              <w:jc w:val="right"/>
              <w:rPr>
                <w:sz w:val="18"/>
                <w:szCs w:val="18"/>
                <w:highlight w:val="yellow"/>
                <w:lang w:eastAsia="sk-SK"/>
              </w:rPr>
            </w:pPr>
            <w:r>
              <w:rPr>
                <w:color w:val="000000"/>
                <w:sz w:val="18"/>
                <w:szCs w:val="18"/>
              </w:rPr>
              <w:t>0</w:t>
            </w:r>
          </w:p>
        </w:tc>
        <w:tc>
          <w:tcPr>
            <w:tcW w:w="599" w:type="pct"/>
            <w:tcBorders>
              <w:top w:val="nil"/>
              <w:left w:val="nil"/>
              <w:right w:val="nil"/>
            </w:tcBorders>
            <w:shd w:val="clear" w:color="auto" w:fill="auto"/>
            <w:noWrap/>
            <w:vAlign w:val="bottom"/>
            <w:hideMark/>
          </w:tcPr>
          <w:p w14:paraId="03673D30" w14:textId="64C8DD22"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c>
          <w:tcPr>
            <w:tcW w:w="534" w:type="pct"/>
            <w:tcBorders>
              <w:top w:val="nil"/>
              <w:left w:val="nil"/>
              <w:right w:val="nil"/>
            </w:tcBorders>
            <w:shd w:val="clear" w:color="auto" w:fill="auto"/>
            <w:noWrap/>
            <w:vAlign w:val="bottom"/>
            <w:hideMark/>
          </w:tcPr>
          <w:p w14:paraId="2AA2FB08" w14:textId="6BDC2787"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490</w:t>
            </w:r>
          </w:p>
        </w:tc>
        <w:tc>
          <w:tcPr>
            <w:tcW w:w="639" w:type="pct"/>
            <w:tcBorders>
              <w:top w:val="nil"/>
              <w:left w:val="nil"/>
            </w:tcBorders>
            <w:shd w:val="clear" w:color="auto" w:fill="auto"/>
            <w:noWrap/>
            <w:vAlign w:val="bottom"/>
            <w:hideMark/>
          </w:tcPr>
          <w:p w14:paraId="49853C45" w14:textId="3614B61F"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490</w:t>
            </w:r>
          </w:p>
        </w:tc>
      </w:tr>
      <w:tr w:rsidR="00A839C5" w:rsidRPr="002746C4" w14:paraId="262FC822" w14:textId="77777777" w:rsidTr="00410A90">
        <w:trPr>
          <w:trHeight w:val="300"/>
        </w:trPr>
        <w:tc>
          <w:tcPr>
            <w:tcW w:w="2301" w:type="pct"/>
            <w:vMerge/>
            <w:tcBorders>
              <w:top w:val="nil"/>
              <w:bottom w:val="single" w:sz="4" w:space="0" w:color="auto"/>
              <w:right w:val="nil"/>
            </w:tcBorders>
            <w:vAlign w:val="center"/>
            <w:hideMark/>
          </w:tcPr>
          <w:p w14:paraId="3EFA5E13" w14:textId="77777777" w:rsidR="00A839C5" w:rsidRPr="002746C4" w:rsidRDefault="00A839C5" w:rsidP="00A839C5">
            <w:pPr>
              <w:spacing w:after="0" w:line="240" w:lineRule="auto"/>
              <w:rPr>
                <w:sz w:val="18"/>
                <w:szCs w:val="18"/>
                <w:highlight w:val="yellow"/>
                <w:lang w:eastAsia="sk-SK"/>
              </w:rPr>
            </w:pPr>
          </w:p>
        </w:tc>
        <w:tc>
          <w:tcPr>
            <w:tcW w:w="372" w:type="pct"/>
            <w:tcBorders>
              <w:top w:val="nil"/>
              <w:left w:val="nil"/>
              <w:bottom w:val="single" w:sz="4" w:space="0" w:color="auto"/>
              <w:right w:val="nil"/>
            </w:tcBorders>
            <w:shd w:val="clear" w:color="auto" w:fill="auto"/>
            <w:vAlign w:val="bottom"/>
            <w:hideMark/>
          </w:tcPr>
          <w:p w14:paraId="25F7CFC0" w14:textId="11A7D9FC" w:rsidR="00A839C5" w:rsidRPr="002746C4" w:rsidRDefault="00A839C5" w:rsidP="00A839C5">
            <w:pPr>
              <w:spacing w:after="0" w:line="240" w:lineRule="auto"/>
              <w:rPr>
                <w:sz w:val="18"/>
                <w:szCs w:val="18"/>
                <w:highlight w:val="yellow"/>
                <w:lang w:eastAsia="sk-SK"/>
              </w:rPr>
            </w:pPr>
            <w:r>
              <w:rPr>
                <w:sz w:val="18"/>
                <w:szCs w:val="18"/>
              </w:rPr>
              <w:t>Super</w:t>
            </w:r>
          </w:p>
        </w:tc>
        <w:tc>
          <w:tcPr>
            <w:tcW w:w="555" w:type="pct"/>
            <w:tcBorders>
              <w:top w:val="nil"/>
              <w:left w:val="nil"/>
              <w:bottom w:val="single" w:sz="4" w:space="0" w:color="auto"/>
              <w:right w:val="nil"/>
            </w:tcBorders>
            <w:shd w:val="clear" w:color="auto" w:fill="auto"/>
            <w:noWrap/>
            <w:vAlign w:val="bottom"/>
            <w:hideMark/>
          </w:tcPr>
          <w:p w14:paraId="2EE9D237" w14:textId="2BC2F48E" w:rsidR="00A839C5" w:rsidRPr="002746C4" w:rsidRDefault="00A839C5" w:rsidP="00A839C5">
            <w:pPr>
              <w:spacing w:after="0" w:line="240" w:lineRule="auto"/>
              <w:jc w:val="right"/>
              <w:rPr>
                <w:sz w:val="18"/>
                <w:szCs w:val="18"/>
                <w:highlight w:val="yellow"/>
                <w:lang w:eastAsia="sk-SK"/>
              </w:rPr>
            </w:pPr>
            <w:r>
              <w:rPr>
                <w:color w:val="000000"/>
                <w:sz w:val="18"/>
                <w:szCs w:val="18"/>
              </w:rPr>
              <w:t>3 000</w:t>
            </w:r>
          </w:p>
        </w:tc>
        <w:tc>
          <w:tcPr>
            <w:tcW w:w="599" w:type="pct"/>
            <w:tcBorders>
              <w:top w:val="nil"/>
              <w:left w:val="nil"/>
              <w:bottom w:val="single" w:sz="4" w:space="0" w:color="auto"/>
              <w:right w:val="nil"/>
            </w:tcBorders>
            <w:shd w:val="clear" w:color="auto" w:fill="auto"/>
            <w:noWrap/>
            <w:vAlign w:val="bottom"/>
            <w:hideMark/>
          </w:tcPr>
          <w:p w14:paraId="5B325D2C" w14:textId="5D9338C9"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3 000</w:t>
            </w:r>
          </w:p>
        </w:tc>
        <w:tc>
          <w:tcPr>
            <w:tcW w:w="534" w:type="pct"/>
            <w:tcBorders>
              <w:top w:val="nil"/>
              <w:left w:val="nil"/>
              <w:bottom w:val="single" w:sz="4" w:space="0" w:color="auto"/>
              <w:right w:val="nil"/>
            </w:tcBorders>
            <w:shd w:val="clear" w:color="auto" w:fill="auto"/>
            <w:noWrap/>
            <w:vAlign w:val="bottom"/>
            <w:hideMark/>
          </w:tcPr>
          <w:p w14:paraId="362D4EFB" w14:textId="4DF5BDA9"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c>
          <w:tcPr>
            <w:tcW w:w="639" w:type="pct"/>
            <w:tcBorders>
              <w:top w:val="nil"/>
              <w:left w:val="nil"/>
              <w:bottom w:val="single" w:sz="4" w:space="0" w:color="auto"/>
            </w:tcBorders>
            <w:shd w:val="clear" w:color="auto" w:fill="auto"/>
            <w:noWrap/>
            <w:vAlign w:val="bottom"/>
            <w:hideMark/>
          </w:tcPr>
          <w:p w14:paraId="033BBF8A" w14:textId="46E61B70"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-3 000</w:t>
            </w:r>
          </w:p>
        </w:tc>
      </w:tr>
      <w:tr w:rsidR="00BF5608" w:rsidRPr="002746C4" w14:paraId="177A4806" w14:textId="77777777" w:rsidTr="00410A90">
        <w:trPr>
          <w:trHeight w:val="300"/>
        </w:trPr>
        <w:tc>
          <w:tcPr>
            <w:tcW w:w="2301" w:type="pct"/>
            <w:tcBorders>
              <w:top w:val="single" w:sz="4" w:space="0" w:color="auto"/>
              <w:bottom w:val="single" w:sz="4" w:space="0" w:color="auto"/>
              <w:right w:val="nil"/>
            </w:tcBorders>
            <w:shd w:val="clear" w:color="auto" w:fill="auto"/>
            <w:noWrap/>
            <w:vAlign w:val="center"/>
            <w:hideMark/>
          </w:tcPr>
          <w:p w14:paraId="7F70DFCC" w14:textId="77777777" w:rsidR="00BF5608" w:rsidRPr="00385D9E" w:rsidRDefault="00BF5608" w:rsidP="005019EB">
            <w:pPr>
              <w:spacing w:after="0" w:line="240" w:lineRule="auto"/>
              <w:rPr>
                <w:b/>
                <w:bCs/>
                <w:color w:val="000000"/>
                <w:sz w:val="18"/>
                <w:szCs w:val="18"/>
                <w:lang w:eastAsia="sk-SK"/>
              </w:rPr>
            </w:pPr>
            <w:r w:rsidRPr="00385D9E">
              <w:rPr>
                <w:b/>
                <w:bCs/>
                <w:color w:val="000000"/>
                <w:sz w:val="18"/>
                <w:szCs w:val="18"/>
                <w:lang w:eastAsia="sk-SK"/>
              </w:rPr>
              <w:t>Ministerstvo financií SR</w:t>
            </w:r>
          </w:p>
        </w:tc>
        <w:tc>
          <w:tcPr>
            <w:tcW w:w="372" w:type="pct"/>
            <w:tcBorders>
              <w:top w:val="single" w:sz="4" w:space="0" w:color="auto"/>
              <w:left w:val="nil"/>
              <w:bottom w:val="single" w:sz="4" w:space="0" w:color="auto"/>
              <w:right w:val="nil"/>
            </w:tcBorders>
            <w:shd w:val="clear" w:color="auto" w:fill="auto"/>
            <w:noWrap/>
            <w:vAlign w:val="center"/>
            <w:hideMark/>
          </w:tcPr>
          <w:p w14:paraId="284684D4" w14:textId="77777777" w:rsidR="00BF5608" w:rsidRPr="00385D9E" w:rsidRDefault="00BF5608" w:rsidP="005019EB">
            <w:pPr>
              <w:spacing w:after="0" w:line="240" w:lineRule="auto"/>
              <w:jc w:val="center"/>
              <w:rPr>
                <w:b/>
                <w:bCs/>
                <w:color w:val="000000"/>
                <w:sz w:val="18"/>
                <w:szCs w:val="18"/>
                <w:lang w:eastAsia="sk-SK"/>
              </w:rPr>
            </w:pPr>
            <w:r w:rsidRPr="00385D9E">
              <w:rPr>
                <w:b/>
                <w:bCs/>
                <w:color w:val="000000"/>
                <w:sz w:val="18"/>
                <w:szCs w:val="18"/>
                <w:lang w:eastAsia="sk-SK"/>
              </w:rPr>
              <w:t> </w:t>
            </w:r>
          </w:p>
        </w:tc>
        <w:tc>
          <w:tcPr>
            <w:tcW w:w="555" w:type="pct"/>
            <w:tcBorders>
              <w:top w:val="single" w:sz="4" w:space="0" w:color="auto"/>
              <w:left w:val="nil"/>
              <w:bottom w:val="single" w:sz="4" w:space="0" w:color="auto"/>
              <w:right w:val="nil"/>
            </w:tcBorders>
            <w:shd w:val="clear" w:color="auto" w:fill="auto"/>
            <w:noWrap/>
            <w:vAlign w:val="center"/>
            <w:hideMark/>
          </w:tcPr>
          <w:p w14:paraId="34628C43" w14:textId="77777777" w:rsidR="00BF5608" w:rsidRPr="00385D9E" w:rsidRDefault="00BF5608" w:rsidP="005019EB">
            <w:pPr>
              <w:spacing w:after="0" w:line="240" w:lineRule="auto"/>
              <w:jc w:val="center"/>
              <w:rPr>
                <w:b/>
                <w:bCs/>
                <w:color w:val="000000"/>
                <w:sz w:val="18"/>
                <w:szCs w:val="18"/>
                <w:lang w:eastAsia="sk-SK"/>
              </w:rPr>
            </w:pPr>
            <w:r w:rsidRPr="00385D9E">
              <w:rPr>
                <w:b/>
                <w:bCs/>
                <w:color w:val="000000"/>
                <w:sz w:val="18"/>
                <w:szCs w:val="18"/>
                <w:lang w:eastAsia="sk-SK"/>
              </w:rPr>
              <w:t> </w:t>
            </w:r>
          </w:p>
        </w:tc>
        <w:tc>
          <w:tcPr>
            <w:tcW w:w="599" w:type="pct"/>
            <w:tcBorders>
              <w:top w:val="single" w:sz="4" w:space="0" w:color="auto"/>
              <w:left w:val="nil"/>
              <w:bottom w:val="single" w:sz="4" w:space="0" w:color="auto"/>
              <w:right w:val="nil"/>
            </w:tcBorders>
            <w:shd w:val="clear" w:color="auto" w:fill="auto"/>
            <w:noWrap/>
            <w:vAlign w:val="center"/>
            <w:hideMark/>
          </w:tcPr>
          <w:p w14:paraId="43ABB89C" w14:textId="77777777" w:rsidR="00BF5608" w:rsidRPr="00385D9E" w:rsidRDefault="00BF5608" w:rsidP="005019EB">
            <w:pPr>
              <w:spacing w:after="0" w:line="240" w:lineRule="auto"/>
              <w:jc w:val="center"/>
              <w:rPr>
                <w:b/>
                <w:bCs/>
                <w:color w:val="000000"/>
                <w:sz w:val="18"/>
                <w:szCs w:val="18"/>
                <w:lang w:eastAsia="sk-SK"/>
              </w:rPr>
            </w:pPr>
            <w:r w:rsidRPr="00385D9E">
              <w:rPr>
                <w:b/>
                <w:bCs/>
                <w:color w:val="000000"/>
                <w:sz w:val="18"/>
                <w:szCs w:val="18"/>
                <w:lang w:eastAsia="sk-SK"/>
              </w:rPr>
              <w:t> </w:t>
            </w:r>
          </w:p>
        </w:tc>
        <w:tc>
          <w:tcPr>
            <w:tcW w:w="534" w:type="pct"/>
            <w:tcBorders>
              <w:top w:val="single" w:sz="4" w:space="0" w:color="auto"/>
              <w:left w:val="nil"/>
              <w:bottom w:val="single" w:sz="4" w:space="0" w:color="auto"/>
              <w:right w:val="nil"/>
            </w:tcBorders>
            <w:shd w:val="clear" w:color="auto" w:fill="auto"/>
            <w:noWrap/>
            <w:vAlign w:val="center"/>
            <w:hideMark/>
          </w:tcPr>
          <w:p w14:paraId="2DD62372" w14:textId="77777777" w:rsidR="00BF5608" w:rsidRPr="00385D9E" w:rsidRDefault="00BF5608" w:rsidP="005019EB">
            <w:pPr>
              <w:spacing w:after="0" w:line="240" w:lineRule="auto"/>
              <w:jc w:val="center"/>
              <w:rPr>
                <w:b/>
                <w:bCs/>
                <w:color w:val="000000"/>
                <w:sz w:val="18"/>
                <w:szCs w:val="18"/>
                <w:lang w:eastAsia="sk-SK"/>
              </w:rPr>
            </w:pPr>
            <w:r w:rsidRPr="00385D9E">
              <w:rPr>
                <w:b/>
                <w:bCs/>
                <w:color w:val="000000"/>
                <w:sz w:val="18"/>
                <w:szCs w:val="18"/>
                <w:lang w:eastAsia="sk-SK"/>
              </w:rPr>
              <w:t> </w:t>
            </w:r>
          </w:p>
        </w:tc>
        <w:tc>
          <w:tcPr>
            <w:tcW w:w="639" w:type="pct"/>
            <w:tcBorders>
              <w:top w:val="single" w:sz="4" w:space="0" w:color="auto"/>
              <w:left w:val="nil"/>
              <w:bottom w:val="single" w:sz="4" w:space="0" w:color="auto"/>
            </w:tcBorders>
            <w:shd w:val="clear" w:color="auto" w:fill="auto"/>
            <w:noWrap/>
            <w:vAlign w:val="center"/>
            <w:hideMark/>
          </w:tcPr>
          <w:p w14:paraId="0B1AA00A" w14:textId="77777777" w:rsidR="00BF5608" w:rsidRPr="00385D9E" w:rsidRDefault="00BF5608" w:rsidP="005019EB">
            <w:pPr>
              <w:spacing w:after="0" w:line="240" w:lineRule="auto"/>
              <w:jc w:val="center"/>
              <w:rPr>
                <w:b/>
                <w:bCs/>
                <w:color w:val="000000"/>
                <w:sz w:val="18"/>
                <w:szCs w:val="18"/>
                <w:lang w:eastAsia="sk-SK"/>
              </w:rPr>
            </w:pPr>
            <w:r w:rsidRPr="00385D9E">
              <w:rPr>
                <w:b/>
                <w:bCs/>
                <w:color w:val="000000"/>
                <w:sz w:val="18"/>
                <w:szCs w:val="18"/>
                <w:lang w:eastAsia="sk-SK"/>
              </w:rPr>
              <w:t> </w:t>
            </w:r>
          </w:p>
        </w:tc>
      </w:tr>
      <w:tr w:rsidR="00A839C5" w:rsidRPr="002746C4" w14:paraId="2B8EAA16" w14:textId="77777777" w:rsidTr="00410A90">
        <w:trPr>
          <w:trHeight w:val="300"/>
        </w:trPr>
        <w:tc>
          <w:tcPr>
            <w:tcW w:w="2301" w:type="pct"/>
            <w:vMerge w:val="restart"/>
            <w:tcBorders>
              <w:top w:val="single" w:sz="4" w:space="0" w:color="auto"/>
              <w:right w:val="nil"/>
            </w:tcBorders>
            <w:shd w:val="clear" w:color="auto" w:fill="auto"/>
            <w:vAlign w:val="center"/>
            <w:hideMark/>
          </w:tcPr>
          <w:p w14:paraId="4929BDFC" w14:textId="459100A6" w:rsidR="00A839C5" w:rsidRPr="00385D9E" w:rsidRDefault="00A839C5" w:rsidP="00A839C5">
            <w:pPr>
              <w:spacing w:after="0" w:line="240" w:lineRule="auto"/>
              <w:rPr>
                <w:sz w:val="18"/>
                <w:szCs w:val="18"/>
                <w:lang w:eastAsia="sk-SK"/>
              </w:rPr>
            </w:pPr>
            <w:r w:rsidRPr="00385D9E">
              <w:rPr>
                <w:sz w:val="18"/>
                <w:szCs w:val="18"/>
                <w:lang w:eastAsia="sk-SK"/>
              </w:rPr>
              <w:t>Slovenská záručná a rozvojová banka, a. s</w:t>
            </w:r>
            <w:r w:rsidR="003F0818">
              <w:rPr>
                <w:sz w:val="18"/>
                <w:szCs w:val="18"/>
                <w:lang w:eastAsia="sk-SK"/>
              </w:rPr>
              <w:t>.</w:t>
            </w:r>
          </w:p>
        </w:tc>
        <w:tc>
          <w:tcPr>
            <w:tcW w:w="372" w:type="pct"/>
            <w:tcBorders>
              <w:top w:val="single" w:sz="4" w:space="0" w:color="auto"/>
              <w:left w:val="nil"/>
              <w:right w:val="nil"/>
            </w:tcBorders>
            <w:shd w:val="clear" w:color="auto" w:fill="auto"/>
            <w:vAlign w:val="bottom"/>
            <w:hideMark/>
          </w:tcPr>
          <w:p w14:paraId="616A420A" w14:textId="5E683177" w:rsidR="00A839C5" w:rsidRPr="00385D9E" w:rsidRDefault="00A839C5" w:rsidP="00A839C5">
            <w:pPr>
              <w:spacing w:after="0" w:line="240" w:lineRule="auto"/>
              <w:rPr>
                <w:sz w:val="18"/>
                <w:szCs w:val="18"/>
                <w:lang w:eastAsia="sk-SK"/>
              </w:rPr>
            </w:pPr>
            <w:r>
              <w:rPr>
                <w:b/>
                <w:bCs/>
                <w:sz w:val="18"/>
                <w:szCs w:val="18"/>
              </w:rPr>
              <w:t>Spolu</w:t>
            </w:r>
          </w:p>
        </w:tc>
        <w:tc>
          <w:tcPr>
            <w:tcW w:w="555" w:type="pct"/>
            <w:tcBorders>
              <w:top w:val="single" w:sz="4" w:space="0" w:color="auto"/>
              <w:left w:val="nil"/>
              <w:right w:val="nil"/>
            </w:tcBorders>
            <w:shd w:val="clear" w:color="auto" w:fill="auto"/>
            <w:noWrap/>
            <w:vAlign w:val="bottom"/>
            <w:hideMark/>
          </w:tcPr>
          <w:p w14:paraId="44745D23" w14:textId="2074F5D5" w:rsidR="00A839C5" w:rsidRPr="00385D9E" w:rsidRDefault="00A839C5" w:rsidP="00A839C5">
            <w:pPr>
              <w:spacing w:after="0" w:line="240" w:lineRule="auto"/>
              <w:jc w:val="right"/>
              <w:rPr>
                <w:b/>
                <w:bCs/>
                <w:sz w:val="18"/>
                <w:szCs w:val="18"/>
                <w:lang w:eastAsia="sk-SK"/>
              </w:rPr>
            </w:pPr>
            <w:r>
              <w:rPr>
                <w:b/>
                <w:bCs/>
                <w:sz w:val="18"/>
                <w:szCs w:val="18"/>
              </w:rPr>
              <w:t>0</w:t>
            </w:r>
          </w:p>
        </w:tc>
        <w:tc>
          <w:tcPr>
            <w:tcW w:w="599" w:type="pct"/>
            <w:tcBorders>
              <w:top w:val="single" w:sz="4" w:space="0" w:color="auto"/>
              <w:left w:val="nil"/>
              <w:right w:val="nil"/>
            </w:tcBorders>
            <w:shd w:val="clear" w:color="auto" w:fill="auto"/>
            <w:noWrap/>
            <w:vAlign w:val="bottom"/>
            <w:hideMark/>
          </w:tcPr>
          <w:p w14:paraId="3F25E9F2" w14:textId="39F9A151" w:rsidR="00A839C5" w:rsidRPr="00385D9E" w:rsidRDefault="00A839C5" w:rsidP="00A839C5">
            <w:pPr>
              <w:spacing w:after="0" w:line="240" w:lineRule="auto"/>
              <w:jc w:val="right"/>
              <w:rPr>
                <w:b/>
                <w:bCs/>
                <w:sz w:val="18"/>
                <w:szCs w:val="18"/>
                <w:lang w:eastAsia="sk-SK"/>
              </w:rPr>
            </w:pPr>
            <w:r>
              <w:rPr>
                <w:b/>
                <w:bCs/>
                <w:sz w:val="18"/>
                <w:szCs w:val="18"/>
              </w:rPr>
              <w:t>0</w:t>
            </w:r>
          </w:p>
        </w:tc>
        <w:tc>
          <w:tcPr>
            <w:tcW w:w="534" w:type="pct"/>
            <w:tcBorders>
              <w:top w:val="single" w:sz="4" w:space="0" w:color="auto"/>
              <w:left w:val="nil"/>
              <w:right w:val="nil"/>
            </w:tcBorders>
            <w:shd w:val="clear" w:color="auto" w:fill="auto"/>
            <w:noWrap/>
            <w:vAlign w:val="bottom"/>
            <w:hideMark/>
          </w:tcPr>
          <w:p w14:paraId="2C8CC7C6" w14:textId="180B5A96" w:rsidR="00A839C5" w:rsidRPr="00385D9E" w:rsidRDefault="00A839C5" w:rsidP="00A839C5">
            <w:pPr>
              <w:spacing w:after="0" w:line="240" w:lineRule="auto"/>
              <w:jc w:val="right"/>
              <w:rPr>
                <w:b/>
                <w:bCs/>
                <w:sz w:val="18"/>
                <w:szCs w:val="18"/>
                <w:lang w:eastAsia="sk-SK"/>
              </w:rPr>
            </w:pPr>
            <w:r>
              <w:rPr>
                <w:b/>
                <w:bCs/>
                <w:sz w:val="18"/>
                <w:szCs w:val="18"/>
              </w:rPr>
              <w:t>400</w:t>
            </w:r>
          </w:p>
        </w:tc>
        <w:tc>
          <w:tcPr>
            <w:tcW w:w="639" w:type="pct"/>
            <w:tcBorders>
              <w:top w:val="single" w:sz="4" w:space="0" w:color="auto"/>
              <w:left w:val="nil"/>
            </w:tcBorders>
            <w:shd w:val="clear" w:color="auto" w:fill="auto"/>
            <w:noWrap/>
            <w:vAlign w:val="bottom"/>
            <w:hideMark/>
          </w:tcPr>
          <w:p w14:paraId="2FD8CF1F" w14:textId="18D7B533" w:rsidR="00A839C5" w:rsidRPr="00385D9E" w:rsidRDefault="00A839C5" w:rsidP="00A839C5">
            <w:pPr>
              <w:spacing w:after="0" w:line="240" w:lineRule="auto"/>
              <w:jc w:val="right"/>
              <w:rPr>
                <w:b/>
                <w:bCs/>
                <w:sz w:val="18"/>
                <w:szCs w:val="18"/>
                <w:lang w:eastAsia="sk-SK"/>
              </w:rPr>
            </w:pPr>
            <w:r>
              <w:rPr>
                <w:b/>
                <w:bCs/>
                <w:sz w:val="18"/>
                <w:szCs w:val="18"/>
              </w:rPr>
              <w:t>400</w:t>
            </w:r>
          </w:p>
        </w:tc>
      </w:tr>
      <w:tr w:rsidR="00A839C5" w:rsidRPr="002746C4" w14:paraId="4D0D88C4" w14:textId="77777777" w:rsidTr="00410A90">
        <w:trPr>
          <w:trHeight w:val="300"/>
        </w:trPr>
        <w:tc>
          <w:tcPr>
            <w:tcW w:w="2301" w:type="pct"/>
            <w:vMerge/>
            <w:tcBorders>
              <w:top w:val="nil"/>
              <w:right w:val="nil"/>
            </w:tcBorders>
            <w:vAlign w:val="center"/>
            <w:hideMark/>
          </w:tcPr>
          <w:p w14:paraId="1B1FCEF5" w14:textId="77777777" w:rsidR="00A839C5" w:rsidRPr="00385D9E" w:rsidRDefault="00A839C5" w:rsidP="00A839C5">
            <w:pPr>
              <w:spacing w:after="0" w:line="240" w:lineRule="auto"/>
              <w:rPr>
                <w:sz w:val="18"/>
                <w:szCs w:val="18"/>
                <w:lang w:eastAsia="sk-SK"/>
              </w:rPr>
            </w:pPr>
          </w:p>
        </w:tc>
        <w:tc>
          <w:tcPr>
            <w:tcW w:w="372" w:type="pct"/>
            <w:tcBorders>
              <w:top w:val="nil"/>
              <w:left w:val="nil"/>
              <w:right w:val="nil"/>
            </w:tcBorders>
            <w:shd w:val="clear" w:color="auto" w:fill="auto"/>
            <w:vAlign w:val="bottom"/>
            <w:hideMark/>
          </w:tcPr>
          <w:p w14:paraId="2E5352FD" w14:textId="43B88A73" w:rsidR="00A839C5" w:rsidRPr="00385D9E" w:rsidRDefault="00A839C5" w:rsidP="00A839C5">
            <w:pPr>
              <w:spacing w:after="0" w:line="240" w:lineRule="auto"/>
              <w:rPr>
                <w:sz w:val="18"/>
                <w:szCs w:val="18"/>
                <w:lang w:eastAsia="sk-SK"/>
              </w:rPr>
            </w:pPr>
            <w:r>
              <w:rPr>
                <w:sz w:val="18"/>
                <w:szCs w:val="18"/>
              </w:rPr>
              <w:t xml:space="preserve">ESA </w:t>
            </w:r>
          </w:p>
        </w:tc>
        <w:tc>
          <w:tcPr>
            <w:tcW w:w="555" w:type="pct"/>
            <w:tcBorders>
              <w:top w:val="nil"/>
              <w:left w:val="nil"/>
              <w:right w:val="nil"/>
            </w:tcBorders>
            <w:shd w:val="clear" w:color="auto" w:fill="auto"/>
            <w:noWrap/>
            <w:vAlign w:val="bottom"/>
            <w:hideMark/>
          </w:tcPr>
          <w:p w14:paraId="4DA38069" w14:textId="4B0AC4AD" w:rsidR="00A839C5" w:rsidRPr="00385D9E" w:rsidRDefault="00A839C5" w:rsidP="00A839C5">
            <w:pPr>
              <w:spacing w:after="0" w:line="240" w:lineRule="auto"/>
              <w:jc w:val="right"/>
              <w:rPr>
                <w:sz w:val="18"/>
                <w:szCs w:val="18"/>
                <w:lang w:eastAsia="sk-SK"/>
              </w:rPr>
            </w:pPr>
            <w:r>
              <w:rPr>
                <w:sz w:val="18"/>
                <w:szCs w:val="18"/>
              </w:rPr>
              <w:t>0</w:t>
            </w:r>
          </w:p>
        </w:tc>
        <w:tc>
          <w:tcPr>
            <w:tcW w:w="599" w:type="pct"/>
            <w:tcBorders>
              <w:top w:val="nil"/>
              <w:left w:val="nil"/>
              <w:right w:val="nil"/>
            </w:tcBorders>
            <w:shd w:val="clear" w:color="auto" w:fill="auto"/>
            <w:noWrap/>
            <w:vAlign w:val="bottom"/>
            <w:hideMark/>
          </w:tcPr>
          <w:p w14:paraId="14822772" w14:textId="529E110F" w:rsidR="00A839C5" w:rsidRPr="00385D9E" w:rsidRDefault="00A839C5" w:rsidP="00A839C5">
            <w:pPr>
              <w:spacing w:after="0" w:line="240" w:lineRule="auto"/>
              <w:jc w:val="right"/>
              <w:rPr>
                <w:sz w:val="18"/>
                <w:szCs w:val="18"/>
                <w:lang w:eastAsia="sk-SK"/>
              </w:rPr>
            </w:pPr>
            <w:r>
              <w:rPr>
                <w:color w:val="000000"/>
                <w:sz w:val="18"/>
                <w:szCs w:val="18"/>
              </w:rPr>
              <w:t>0</w:t>
            </w:r>
          </w:p>
        </w:tc>
        <w:tc>
          <w:tcPr>
            <w:tcW w:w="534" w:type="pct"/>
            <w:tcBorders>
              <w:top w:val="nil"/>
              <w:left w:val="nil"/>
              <w:right w:val="nil"/>
            </w:tcBorders>
            <w:shd w:val="clear" w:color="auto" w:fill="auto"/>
            <w:noWrap/>
            <w:vAlign w:val="bottom"/>
            <w:hideMark/>
          </w:tcPr>
          <w:p w14:paraId="602FF816" w14:textId="6DE3CBB0" w:rsidR="00A839C5" w:rsidRPr="00385D9E" w:rsidRDefault="00A839C5" w:rsidP="00A839C5">
            <w:pPr>
              <w:spacing w:after="0" w:line="240" w:lineRule="auto"/>
              <w:jc w:val="right"/>
              <w:rPr>
                <w:sz w:val="18"/>
                <w:szCs w:val="18"/>
                <w:lang w:eastAsia="sk-SK"/>
              </w:rPr>
            </w:pPr>
            <w:r>
              <w:rPr>
                <w:color w:val="000000"/>
                <w:sz w:val="18"/>
                <w:szCs w:val="18"/>
              </w:rPr>
              <w:t>400</w:t>
            </w:r>
          </w:p>
        </w:tc>
        <w:tc>
          <w:tcPr>
            <w:tcW w:w="639" w:type="pct"/>
            <w:tcBorders>
              <w:top w:val="nil"/>
              <w:left w:val="nil"/>
            </w:tcBorders>
            <w:shd w:val="clear" w:color="auto" w:fill="auto"/>
            <w:noWrap/>
            <w:vAlign w:val="bottom"/>
            <w:hideMark/>
          </w:tcPr>
          <w:p w14:paraId="2B4D3C42" w14:textId="3A25BC27" w:rsidR="00A839C5" w:rsidRPr="00385D9E" w:rsidRDefault="00A839C5" w:rsidP="00A839C5">
            <w:pPr>
              <w:spacing w:after="0" w:line="240" w:lineRule="auto"/>
              <w:jc w:val="right"/>
              <w:rPr>
                <w:color w:val="000000"/>
                <w:sz w:val="18"/>
                <w:szCs w:val="18"/>
                <w:lang w:eastAsia="sk-SK"/>
              </w:rPr>
            </w:pPr>
            <w:r>
              <w:rPr>
                <w:color w:val="000000"/>
                <w:sz w:val="18"/>
                <w:szCs w:val="18"/>
              </w:rPr>
              <w:t>400</w:t>
            </w:r>
          </w:p>
        </w:tc>
      </w:tr>
      <w:tr w:rsidR="00A839C5" w:rsidRPr="002746C4" w14:paraId="203885B4" w14:textId="77777777" w:rsidTr="00410A90">
        <w:trPr>
          <w:trHeight w:val="300"/>
        </w:trPr>
        <w:tc>
          <w:tcPr>
            <w:tcW w:w="2301" w:type="pct"/>
            <w:vMerge/>
            <w:tcBorders>
              <w:top w:val="nil"/>
              <w:right w:val="nil"/>
            </w:tcBorders>
            <w:vAlign w:val="center"/>
            <w:hideMark/>
          </w:tcPr>
          <w:p w14:paraId="1B44AA69" w14:textId="77777777" w:rsidR="00A839C5" w:rsidRPr="002746C4" w:rsidRDefault="00A839C5" w:rsidP="00A839C5">
            <w:pPr>
              <w:spacing w:after="0" w:line="240" w:lineRule="auto"/>
              <w:rPr>
                <w:sz w:val="18"/>
                <w:szCs w:val="18"/>
                <w:highlight w:val="yellow"/>
                <w:lang w:eastAsia="sk-SK"/>
              </w:rPr>
            </w:pPr>
          </w:p>
        </w:tc>
        <w:tc>
          <w:tcPr>
            <w:tcW w:w="372" w:type="pct"/>
            <w:tcBorders>
              <w:top w:val="nil"/>
              <w:left w:val="nil"/>
              <w:right w:val="nil"/>
            </w:tcBorders>
            <w:shd w:val="clear" w:color="auto" w:fill="auto"/>
            <w:vAlign w:val="bottom"/>
            <w:hideMark/>
          </w:tcPr>
          <w:p w14:paraId="344A4481" w14:textId="7F48BD8A" w:rsidR="00A839C5" w:rsidRPr="002746C4" w:rsidRDefault="00A839C5" w:rsidP="00A839C5">
            <w:pPr>
              <w:spacing w:after="0" w:line="240" w:lineRule="auto"/>
              <w:rPr>
                <w:sz w:val="18"/>
                <w:szCs w:val="18"/>
                <w:highlight w:val="yellow"/>
                <w:lang w:eastAsia="sk-SK"/>
              </w:rPr>
            </w:pPr>
            <w:r>
              <w:rPr>
                <w:sz w:val="18"/>
                <w:szCs w:val="18"/>
              </w:rPr>
              <w:t>Super</w:t>
            </w:r>
          </w:p>
        </w:tc>
        <w:tc>
          <w:tcPr>
            <w:tcW w:w="555" w:type="pct"/>
            <w:tcBorders>
              <w:top w:val="nil"/>
              <w:left w:val="nil"/>
              <w:right w:val="nil"/>
            </w:tcBorders>
            <w:shd w:val="clear" w:color="auto" w:fill="auto"/>
            <w:noWrap/>
            <w:vAlign w:val="bottom"/>
            <w:hideMark/>
          </w:tcPr>
          <w:p w14:paraId="2032D1D9" w14:textId="1E815C8A" w:rsidR="00A839C5" w:rsidRPr="002746C4" w:rsidRDefault="00A839C5" w:rsidP="00A839C5">
            <w:pPr>
              <w:spacing w:after="0" w:line="240" w:lineRule="auto"/>
              <w:jc w:val="right"/>
              <w:rPr>
                <w:color w:val="000000"/>
                <w:sz w:val="18"/>
                <w:szCs w:val="18"/>
                <w:highlight w:val="yellow"/>
                <w:lang w:eastAsia="sk-SK"/>
              </w:rPr>
            </w:pPr>
            <w:r>
              <w:rPr>
                <w:sz w:val="18"/>
                <w:szCs w:val="18"/>
              </w:rPr>
              <w:t>0</w:t>
            </w:r>
          </w:p>
        </w:tc>
        <w:tc>
          <w:tcPr>
            <w:tcW w:w="599" w:type="pct"/>
            <w:tcBorders>
              <w:top w:val="nil"/>
              <w:left w:val="nil"/>
              <w:right w:val="nil"/>
            </w:tcBorders>
            <w:shd w:val="clear" w:color="auto" w:fill="auto"/>
            <w:noWrap/>
            <w:vAlign w:val="bottom"/>
            <w:hideMark/>
          </w:tcPr>
          <w:p w14:paraId="58A92229" w14:textId="03E842AF"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c>
          <w:tcPr>
            <w:tcW w:w="534" w:type="pct"/>
            <w:tcBorders>
              <w:top w:val="nil"/>
              <w:left w:val="nil"/>
              <w:right w:val="nil"/>
            </w:tcBorders>
            <w:shd w:val="clear" w:color="auto" w:fill="auto"/>
            <w:noWrap/>
            <w:vAlign w:val="bottom"/>
            <w:hideMark/>
          </w:tcPr>
          <w:p w14:paraId="6B905ECD" w14:textId="06431D3C" w:rsidR="00A839C5" w:rsidRPr="002746C4" w:rsidRDefault="00A839C5" w:rsidP="00A839C5">
            <w:pPr>
              <w:spacing w:after="0" w:line="240" w:lineRule="auto"/>
              <w:jc w:val="right"/>
              <w:rPr>
                <w:sz w:val="18"/>
                <w:szCs w:val="18"/>
                <w:highlight w:val="yellow"/>
                <w:lang w:eastAsia="sk-SK"/>
              </w:rPr>
            </w:pPr>
            <w:r>
              <w:rPr>
                <w:color w:val="000000"/>
                <w:sz w:val="18"/>
                <w:szCs w:val="18"/>
              </w:rPr>
              <w:t>0</w:t>
            </w:r>
          </w:p>
        </w:tc>
        <w:tc>
          <w:tcPr>
            <w:tcW w:w="639" w:type="pct"/>
            <w:tcBorders>
              <w:top w:val="nil"/>
              <w:left w:val="nil"/>
            </w:tcBorders>
            <w:shd w:val="clear" w:color="auto" w:fill="auto"/>
            <w:noWrap/>
            <w:vAlign w:val="bottom"/>
            <w:hideMark/>
          </w:tcPr>
          <w:p w14:paraId="1C91CB7F" w14:textId="471F6F88"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r>
      <w:tr w:rsidR="00A839C5" w:rsidRPr="002746C4" w14:paraId="23E6EBCE" w14:textId="77777777" w:rsidTr="00410A90">
        <w:trPr>
          <w:trHeight w:val="300"/>
        </w:trPr>
        <w:tc>
          <w:tcPr>
            <w:tcW w:w="2301" w:type="pct"/>
            <w:tcBorders>
              <w:top w:val="nil"/>
              <w:right w:val="nil"/>
            </w:tcBorders>
            <w:shd w:val="clear" w:color="auto" w:fill="auto"/>
            <w:vAlign w:val="center"/>
          </w:tcPr>
          <w:p w14:paraId="2750EE63" w14:textId="77777777" w:rsidR="00A839C5" w:rsidRPr="00385D9E" w:rsidRDefault="00A839C5" w:rsidP="00A839C5">
            <w:pPr>
              <w:spacing w:after="0" w:line="240" w:lineRule="auto"/>
              <w:rPr>
                <w:sz w:val="18"/>
                <w:szCs w:val="18"/>
                <w:lang w:eastAsia="sk-SK"/>
              </w:rPr>
            </w:pPr>
          </w:p>
        </w:tc>
        <w:tc>
          <w:tcPr>
            <w:tcW w:w="372" w:type="pct"/>
            <w:tcBorders>
              <w:top w:val="nil"/>
              <w:left w:val="nil"/>
              <w:right w:val="nil"/>
            </w:tcBorders>
            <w:shd w:val="clear" w:color="auto" w:fill="auto"/>
            <w:vAlign w:val="bottom"/>
          </w:tcPr>
          <w:p w14:paraId="66D61684" w14:textId="4104EA26" w:rsidR="00A839C5" w:rsidRPr="002746C4" w:rsidRDefault="00A839C5" w:rsidP="00A839C5">
            <w:pPr>
              <w:spacing w:after="0" w:line="240" w:lineRule="auto"/>
              <w:rPr>
                <w:sz w:val="18"/>
                <w:szCs w:val="18"/>
                <w:highlight w:val="yellow"/>
                <w:lang w:eastAsia="sk-SK"/>
              </w:rPr>
            </w:pPr>
            <w:r>
              <w:rPr>
                <w:b/>
                <w:bCs/>
                <w:sz w:val="18"/>
                <w:szCs w:val="18"/>
              </w:rPr>
              <w:t>Spolu</w:t>
            </w:r>
          </w:p>
        </w:tc>
        <w:tc>
          <w:tcPr>
            <w:tcW w:w="555" w:type="pct"/>
            <w:tcBorders>
              <w:top w:val="nil"/>
              <w:left w:val="nil"/>
              <w:right w:val="nil"/>
            </w:tcBorders>
            <w:shd w:val="clear" w:color="auto" w:fill="auto"/>
            <w:noWrap/>
            <w:vAlign w:val="bottom"/>
          </w:tcPr>
          <w:p w14:paraId="3E2ABBE4" w14:textId="72D19F40" w:rsidR="00A839C5" w:rsidRPr="002746C4" w:rsidRDefault="00A839C5" w:rsidP="00A839C5">
            <w:pPr>
              <w:spacing w:after="0" w:line="240" w:lineRule="auto"/>
              <w:jc w:val="right"/>
              <w:rPr>
                <w:b/>
                <w:bCs/>
                <w:sz w:val="18"/>
                <w:szCs w:val="18"/>
                <w:highlight w:val="yellow"/>
                <w:lang w:eastAsia="sk-SK"/>
              </w:rPr>
            </w:pPr>
            <w:r>
              <w:rPr>
                <w:b/>
                <w:bCs/>
                <w:sz w:val="18"/>
                <w:szCs w:val="18"/>
              </w:rPr>
              <w:t>575</w:t>
            </w:r>
          </w:p>
        </w:tc>
        <w:tc>
          <w:tcPr>
            <w:tcW w:w="599" w:type="pct"/>
            <w:tcBorders>
              <w:top w:val="nil"/>
              <w:left w:val="nil"/>
              <w:right w:val="nil"/>
            </w:tcBorders>
            <w:shd w:val="clear" w:color="auto" w:fill="auto"/>
            <w:noWrap/>
            <w:vAlign w:val="bottom"/>
          </w:tcPr>
          <w:p w14:paraId="0876EFED" w14:textId="57625E20" w:rsidR="00A839C5" w:rsidRPr="002746C4" w:rsidRDefault="00A839C5" w:rsidP="00A839C5">
            <w:pPr>
              <w:spacing w:after="0" w:line="240" w:lineRule="auto"/>
              <w:jc w:val="right"/>
              <w:rPr>
                <w:b/>
                <w:bCs/>
                <w:sz w:val="18"/>
                <w:szCs w:val="18"/>
                <w:highlight w:val="yellow"/>
                <w:lang w:eastAsia="sk-SK"/>
              </w:rPr>
            </w:pPr>
            <w:r>
              <w:rPr>
                <w:b/>
                <w:bCs/>
                <w:sz w:val="18"/>
                <w:szCs w:val="18"/>
              </w:rPr>
              <w:t>2 000</w:t>
            </w:r>
          </w:p>
        </w:tc>
        <w:tc>
          <w:tcPr>
            <w:tcW w:w="534" w:type="pct"/>
            <w:tcBorders>
              <w:top w:val="nil"/>
              <w:left w:val="nil"/>
              <w:right w:val="nil"/>
            </w:tcBorders>
            <w:shd w:val="clear" w:color="auto" w:fill="auto"/>
            <w:noWrap/>
            <w:vAlign w:val="bottom"/>
          </w:tcPr>
          <w:p w14:paraId="55DEFF42" w14:textId="70D4B5CA" w:rsidR="00A839C5" w:rsidRPr="002746C4" w:rsidRDefault="00A839C5" w:rsidP="00A839C5">
            <w:pPr>
              <w:spacing w:after="0" w:line="240" w:lineRule="auto"/>
              <w:jc w:val="right"/>
              <w:rPr>
                <w:b/>
                <w:bCs/>
                <w:sz w:val="18"/>
                <w:szCs w:val="18"/>
                <w:highlight w:val="yellow"/>
                <w:lang w:eastAsia="sk-SK"/>
              </w:rPr>
            </w:pPr>
            <w:r>
              <w:rPr>
                <w:b/>
                <w:bCs/>
                <w:sz w:val="18"/>
                <w:szCs w:val="18"/>
              </w:rPr>
              <w:t>3 274</w:t>
            </w:r>
          </w:p>
        </w:tc>
        <w:tc>
          <w:tcPr>
            <w:tcW w:w="639" w:type="pct"/>
            <w:tcBorders>
              <w:top w:val="nil"/>
              <w:left w:val="nil"/>
            </w:tcBorders>
            <w:shd w:val="clear" w:color="auto" w:fill="auto"/>
            <w:noWrap/>
            <w:vAlign w:val="bottom"/>
          </w:tcPr>
          <w:p w14:paraId="66F36E9A" w14:textId="11EA782C" w:rsidR="00A839C5" w:rsidRPr="002746C4" w:rsidRDefault="00A839C5" w:rsidP="00A839C5">
            <w:pPr>
              <w:spacing w:after="0" w:line="240" w:lineRule="auto"/>
              <w:jc w:val="right"/>
              <w:rPr>
                <w:b/>
                <w:bCs/>
                <w:sz w:val="18"/>
                <w:szCs w:val="18"/>
                <w:highlight w:val="yellow"/>
                <w:lang w:eastAsia="sk-SK"/>
              </w:rPr>
            </w:pPr>
            <w:r>
              <w:rPr>
                <w:b/>
                <w:bCs/>
                <w:sz w:val="18"/>
                <w:szCs w:val="18"/>
              </w:rPr>
              <w:t>1 274</w:t>
            </w:r>
          </w:p>
        </w:tc>
      </w:tr>
      <w:tr w:rsidR="00A839C5" w:rsidRPr="002746C4" w14:paraId="72CBE4C2" w14:textId="77777777" w:rsidTr="00410A90">
        <w:trPr>
          <w:trHeight w:val="300"/>
        </w:trPr>
        <w:tc>
          <w:tcPr>
            <w:tcW w:w="2301" w:type="pct"/>
            <w:tcBorders>
              <w:top w:val="nil"/>
              <w:right w:val="nil"/>
            </w:tcBorders>
            <w:shd w:val="clear" w:color="auto" w:fill="auto"/>
            <w:vAlign w:val="center"/>
          </w:tcPr>
          <w:p w14:paraId="6CF0F9DA" w14:textId="361B360E" w:rsidR="00A839C5" w:rsidRPr="00385D9E" w:rsidRDefault="00A839C5" w:rsidP="00A839C5">
            <w:pPr>
              <w:spacing w:after="0" w:line="240" w:lineRule="auto"/>
              <w:rPr>
                <w:sz w:val="18"/>
                <w:szCs w:val="18"/>
                <w:lang w:eastAsia="sk-SK"/>
              </w:rPr>
            </w:pPr>
            <w:r w:rsidRPr="00385D9E">
              <w:rPr>
                <w:sz w:val="18"/>
                <w:szCs w:val="18"/>
                <w:lang w:eastAsia="sk-SK"/>
              </w:rPr>
              <w:t>Slovenská konsolidačná, a.</w:t>
            </w:r>
            <w:r>
              <w:rPr>
                <w:sz w:val="18"/>
                <w:szCs w:val="18"/>
                <w:lang w:eastAsia="sk-SK"/>
              </w:rPr>
              <w:t> </w:t>
            </w:r>
            <w:r w:rsidRPr="00385D9E">
              <w:rPr>
                <w:sz w:val="18"/>
                <w:szCs w:val="18"/>
                <w:lang w:eastAsia="sk-SK"/>
              </w:rPr>
              <w:t>s</w:t>
            </w:r>
            <w:r w:rsidR="003F0818">
              <w:rPr>
                <w:sz w:val="18"/>
                <w:szCs w:val="18"/>
                <w:lang w:eastAsia="sk-SK"/>
              </w:rPr>
              <w:t>.</w:t>
            </w:r>
          </w:p>
        </w:tc>
        <w:tc>
          <w:tcPr>
            <w:tcW w:w="372" w:type="pct"/>
            <w:tcBorders>
              <w:top w:val="nil"/>
              <w:left w:val="nil"/>
              <w:right w:val="nil"/>
            </w:tcBorders>
            <w:shd w:val="clear" w:color="auto" w:fill="auto"/>
            <w:vAlign w:val="bottom"/>
          </w:tcPr>
          <w:p w14:paraId="73AE0CFD" w14:textId="048AF9AB" w:rsidR="00A839C5" w:rsidRPr="002746C4" w:rsidRDefault="00A839C5" w:rsidP="00A839C5">
            <w:pPr>
              <w:spacing w:after="0" w:line="240" w:lineRule="auto"/>
              <w:rPr>
                <w:sz w:val="18"/>
                <w:szCs w:val="18"/>
                <w:highlight w:val="yellow"/>
                <w:lang w:eastAsia="sk-SK"/>
              </w:rPr>
            </w:pPr>
            <w:r>
              <w:rPr>
                <w:sz w:val="18"/>
                <w:szCs w:val="18"/>
              </w:rPr>
              <w:t xml:space="preserve">ESA </w:t>
            </w:r>
          </w:p>
        </w:tc>
        <w:tc>
          <w:tcPr>
            <w:tcW w:w="555" w:type="pct"/>
            <w:tcBorders>
              <w:top w:val="nil"/>
              <w:left w:val="nil"/>
              <w:right w:val="nil"/>
            </w:tcBorders>
            <w:shd w:val="clear" w:color="auto" w:fill="auto"/>
            <w:noWrap/>
            <w:vAlign w:val="bottom"/>
          </w:tcPr>
          <w:p w14:paraId="77353C38" w14:textId="1B571B9E" w:rsidR="00A839C5" w:rsidRPr="002746C4" w:rsidRDefault="00A839C5" w:rsidP="00A839C5">
            <w:pPr>
              <w:spacing w:after="0" w:line="240" w:lineRule="auto"/>
              <w:jc w:val="right"/>
              <w:rPr>
                <w:b/>
                <w:bCs/>
                <w:sz w:val="18"/>
                <w:szCs w:val="18"/>
                <w:highlight w:val="yellow"/>
                <w:lang w:eastAsia="sk-SK"/>
              </w:rPr>
            </w:pPr>
            <w:r>
              <w:rPr>
                <w:sz w:val="18"/>
                <w:szCs w:val="18"/>
              </w:rPr>
              <w:t>575</w:t>
            </w:r>
          </w:p>
        </w:tc>
        <w:tc>
          <w:tcPr>
            <w:tcW w:w="599" w:type="pct"/>
            <w:tcBorders>
              <w:top w:val="nil"/>
              <w:left w:val="nil"/>
              <w:right w:val="nil"/>
            </w:tcBorders>
            <w:shd w:val="clear" w:color="auto" w:fill="auto"/>
            <w:noWrap/>
            <w:vAlign w:val="bottom"/>
          </w:tcPr>
          <w:p w14:paraId="5054295A" w14:textId="4ACFE0D6" w:rsidR="00A839C5" w:rsidRPr="002746C4" w:rsidRDefault="00A839C5" w:rsidP="00A839C5">
            <w:pPr>
              <w:spacing w:after="0" w:line="240" w:lineRule="auto"/>
              <w:jc w:val="right"/>
              <w:rPr>
                <w:b/>
                <w:bCs/>
                <w:sz w:val="18"/>
                <w:szCs w:val="18"/>
                <w:highlight w:val="yellow"/>
                <w:lang w:eastAsia="sk-SK"/>
              </w:rPr>
            </w:pPr>
            <w:r>
              <w:rPr>
                <w:sz w:val="18"/>
                <w:szCs w:val="18"/>
              </w:rPr>
              <w:t>0</w:t>
            </w:r>
          </w:p>
        </w:tc>
        <w:tc>
          <w:tcPr>
            <w:tcW w:w="534" w:type="pct"/>
            <w:tcBorders>
              <w:top w:val="nil"/>
              <w:left w:val="nil"/>
              <w:right w:val="nil"/>
            </w:tcBorders>
            <w:shd w:val="clear" w:color="auto" w:fill="auto"/>
            <w:noWrap/>
            <w:vAlign w:val="bottom"/>
          </w:tcPr>
          <w:p w14:paraId="47C34905" w14:textId="7D154BF7" w:rsidR="00A839C5" w:rsidRPr="002746C4" w:rsidRDefault="00A839C5" w:rsidP="00A839C5">
            <w:pPr>
              <w:spacing w:after="0" w:line="240" w:lineRule="auto"/>
              <w:jc w:val="right"/>
              <w:rPr>
                <w:b/>
                <w:bCs/>
                <w:sz w:val="18"/>
                <w:szCs w:val="18"/>
                <w:highlight w:val="yellow"/>
                <w:lang w:eastAsia="sk-SK"/>
              </w:rPr>
            </w:pPr>
            <w:r>
              <w:rPr>
                <w:sz w:val="18"/>
                <w:szCs w:val="18"/>
              </w:rPr>
              <w:t>3 274</w:t>
            </w:r>
          </w:p>
        </w:tc>
        <w:tc>
          <w:tcPr>
            <w:tcW w:w="639" w:type="pct"/>
            <w:tcBorders>
              <w:top w:val="nil"/>
              <w:left w:val="nil"/>
            </w:tcBorders>
            <w:shd w:val="clear" w:color="auto" w:fill="auto"/>
            <w:noWrap/>
            <w:vAlign w:val="bottom"/>
          </w:tcPr>
          <w:p w14:paraId="29D5312A" w14:textId="4DFB4484" w:rsidR="00A839C5" w:rsidRPr="002746C4" w:rsidRDefault="00A839C5" w:rsidP="00A839C5">
            <w:pPr>
              <w:spacing w:after="0" w:line="240" w:lineRule="auto"/>
              <w:jc w:val="right"/>
              <w:rPr>
                <w:b/>
                <w:bCs/>
                <w:sz w:val="18"/>
                <w:szCs w:val="18"/>
                <w:highlight w:val="yellow"/>
                <w:lang w:eastAsia="sk-SK"/>
              </w:rPr>
            </w:pPr>
            <w:r>
              <w:rPr>
                <w:color w:val="000000"/>
                <w:sz w:val="18"/>
                <w:szCs w:val="18"/>
              </w:rPr>
              <w:t>3 274</w:t>
            </w:r>
          </w:p>
        </w:tc>
      </w:tr>
      <w:tr w:rsidR="00A839C5" w:rsidRPr="002746C4" w14:paraId="1798E45E" w14:textId="77777777" w:rsidTr="00410A90">
        <w:trPr>
          <w:trHeight w:val="300"/>
        </w:trPr>
        <w:tc>
          <w:tcPr>
            <w:tcW w:w="2301" w:type="pct"/>
            <w:tcBorders>
              <w:top w:val="nil"/>
              <w:right w:val="nil"/>
            </w:tcBorders>
            <w:shd w:val="clear" w:color="auto" w:fill="auto"/>
            <w:vAlign w:val="center"/>
          </w:tcPr>
          <w:p w14:paraId="1313D1C7" w14:textId="77777777" w:rsidR="00A839C5" w:rsidRPr="00385D9E" w:rsidRDefault="00A839C5" w:rsidP="00A839C5">
            <w:pPr>
              <w:spacing w:after="0" w:line="240" w:lineRule="auto"/>
              <w:rPr>
                <w:sz w:val="18"/>
                <w:szCs w:val="18"/>
                <w:lang w:eastAsia="sk-SK"/>
              </w:rPr>
            </w:pPr>
          </w:p>
        </w:tc>
        <w:tc>
          <w:tcPr>
            <w:tcW w:w="372" w:type="pct"/>
            <w:tcBorders>
              <w:top w:val="nil"/>
              <w:left w:val="nil"/>
              <w:right w:val="nil"/>
            </w:tcBorders>
            <w:shd w:val="clear" w:color="auto" w:fill="auto"/>
            <w:vAlign w:val="bottom"/>
          </w:tcPr>
          <w:p w14:paraId="7A6376F6" w14:textId="467EF1E0" w:rsidR="00A839C5" w:rsidRPr="002746C4" w:rsidRDefault="00A839C5" w:rsidP="00A839C5">
            <w:pPr>
              <w:spacing w:after="0" w:line="240" w:lineRule="auto"/>
              <w:rPr>
                <w:sz w:val="18"/>
                <w:szCs w:val="18"/>
                <w:highlight w:val="yellow"/>
                <w:lang w:eastAsia="sk-SK"/>
              </w:rPr>
            </w:pPr>
            <w:r>
              <w:rPr>
                <w:sz w:val="18"/>
                <w:szCs w:val="18"/>
              </w:rPr>
              <w:t>Super</w:t>
            </w:r>
          </w:p>
        </w:tc>
        <w:tc>
          <w:tcPr>
            <w:tcW w:w="555" w:type="pct"/>
            <w:tcBorders>
              <w:top w:val="nil"/>
              <w:left w:val="nil"/>
              <w:right w:val="nil"/>
            </w:tcBorders>
            <w:shd w:val="clear" w:color="auto" w:fill="auto"/>
            <w:noWrap/>
            <w:vAlign w:val="bottom"/>
          </w:tcPr>
          <w:p w14:paraId="54D7B9FF" w14:textId="3CF0E43C" w:rsidR="00A839C5" w:rsidRPr="002746C4" w:rsidRDefault="00A839C5" w:rsidP="00A839C5">
            <w:pPr>
              <w:spacing w:after="0" w:line="240" w:lineRule="auto"/>
              <w:jc w:val="right"/>
              <w:rPr>
                <w:b/>
                <w:bCs/>
                <w:sz w:val="18"/>
                <w:szCs w:val="18"/>
                <w:highlight w:val="yellow"/>
                <w:lang w:eastAsia="sk-SK"/>
              </w:rPr>
            </w:pPr>
            <w:r>
              <w:rPr>
                <w:color w:val="000000"/>
                <w:sz w:val="18"/>
                <w:szCs w:val="18"/>
              </w:rPr>
              <w:t>0</w:t>
            </w:r>
          </w:p>
        </w:tc>
        <w:tc>
          <w:tcPr>
            <w:tcW w:w="599" w:type="pct"/>
            <w:tcBorders>
              <w:top w:val="nil"/>
              <w:left w:val="nil"/>
              <w:right w:val="nil"/>
            </w:tcBorders>
            <w:shd w:val="clear" w:color="auto" w:fill="auto"/>
            <w:noWrap/>
            <w:vAlign w:val="bottom"/>
          </w:tcPr>
          <w:p w14:paraId="73074493" w14:textId="7BE5CFDC" w:rsidR="00A839C5" w:rsidRPr="002746C4" w:rsidRDefault="00A839C5" w:rsidP="00A839C5">
            <w:pPr>
              <w:spacing w:after="0" w:line="240" w:lineRule="auto"/>
              <w:jc w:val="right"/>
              <w:rPr>
                <w:b/>
                <w:bCs/>
                <w:sz w:val="18"/>
                <w:szCs w:val="18"/>
                <w:highlight w:val="yellow"/>
                <w:lang w:eastAsia="sk-SK"/>
              </w:rPr>
            </w:pPr>
            <w:r>
              <w:rPr>
                <w:sz w:val="18"/>
                <w:szCs w:val="18"/>
              </w:rPr>
              <w:t>2 000</w:t>
            </w:r>
          </w:p>
        </w:tc>
        <w:tc>
          <w:tcPr>
            <w:tcW w:w="534" w:type="pct"/>
            <w:tcBorders>
              <w:top w:val="nil"/>
              <w:left w:val="nil"/>
              <w:right w:val="nil"/>
            </w:tcBorders>
            <w:shd w:val="clear" w:color="auto" w:fill="auto"/>
            <w:noWrap/>
            <w:vAlign w:val="bottom"/>
          </w:tcPr>
          <w:p w14:paraId="78DEAC8A" w14:textId="2F616D24" w:rsidR="00A839C5" w:rsidRPr="002746C4" w:rsidRDefault="00A839C5" w:rsidP="00A839C5">
            <w:pPr>
              <w:spacing w:after="0" w:line="240" w:lineRule="auto"/>
              <w:jc w:val="right"/>
              <w:rPr>
                <w:b/>
                <w:bCs/>
                <w:sz w:val="18"/>
                <w:szCs w:val="18"/>
                <w:highlight w:val="yellow"/>
                <w:lang w:eastAsia="sk-SK"/>
              </w:rPr>
            </w:pPr>
            <w:r>
              <w:rPr>
                <w:sz w:val="18"/>
                <w:szCs w:val="18"/>
              </w:rPr>
              <w:t>0</w:t>
            </w:r>
          </w:p>
        </w:tc>
        <w:tc>
          <w:tcPr>
            <w:tcW w:w="639" w:type="pct"/>
            <w:tcBorders>
              <w:top w:val="nil"/>
              <w:left w:val="nil"/>
            </w:tcBorders>
            <w:shd w:val="clear" w:color="auto" w:fill="auto"/>
            <w:noWrap/>
            <w:vAlign w:val="bottom"/>
          </w:tcPr>
          <w:p w14:paraId="118E3521" w14:textId="1655EE14" w:rsidR="00A839C5" w:rsidRPr="002746C4" w:rsidRDefault="00A839C5" w:rsidP="00A839C5">
            <w:pPr>
              <w:spacing w:after="0" w:line="240" w:lineRule="auto"/>
              <w:jc w:val="right"/>
              <w:rPr>
                <w:b/>
                <w:bCs/>
                <w:sz w:val="18"/>
                <w:szCs w:val="18"/>
                <w:highlight w:val="yellow"/>
                <w:lang w:eastAsia="sk-SK"/>
              </w:rPr>
            </w:pPr>
            <w:r>
              <w:rPr>
                <w:color w:val="000000"/>
                <w:sz w:val="18"/>
                <w:szCs w:val="18"/>
              </w:rPr>
              <w:t>-2 000</w:t>
            </w:r>
          </w:p>
        </w:tc>
      </w:tr>
      <w:tr w:rsidR="00A839C5" w:rsidRPr="002746C4" w14:paraId="44F8A7E7" w14:textId="77777777" w:rsidTr="00410A90">
        <w:trPr>
          <w:trHeight w:val="300"/>
        </w:trPr>
        <w:tc>
          <w:tcPr>
            <w:tcW w:w="2301" w:type="pct"/>
            <w:vMerge w:val="restart"/>
            <w:tcBorders>
              <w:top w:val="nil"/>
              <w:right w:val="nil"/>
            </w:tcBorders>
            <w:shd w:val="clear" w:color="auto" w:fill="auto"/>
            <w:vAlign w:val="center"/>
            <w:hideMark/>
          </w:tcPr>
          <w:p w14:paraId="336E1791" w14:textId="350B533A" w:rsidR="00A839C5" w:rsidRPr="002746C4" w:rsidRDefault="00A839C5" w:rsidP="00A839C5">
            <w:pPr>
              <w:spacing w:after="0" w:line="240" w:lineRule="auto"/>
              <w:rPr>
                <w:sz w:val="18"/>
                <w:szCs w:val="18"/>
                <w:highlight w:val="yellow"/>
                <w:lang w:eastAsia="sk-SK"/>
              </w:rPr>
            </w:pPr>
            <w:r w:rsidRPr="00385D9E">
              <w:rPr>
                <w:sz w:val="18"/>
                <w:szCs w:val="18"/>
                <w:lang w:eastAsia="sk-SK"/>
              </w:rPr>
              <w:t>Slovenská elektrizačná prenosová sústava, a.</w:t>
            </w:r>
            <w:r>
              <w:rPr>
                <w:sz w:val="18"/>
                <w:szCs w:val="18"/>
                <w:lang w:eastAsia="sk-SK"/>
              </w:rPr>
              <w:t> </w:t>
            </w:r>
            <w:r w:rsidRPr="00385D9E">
              <w:rPr>
                <w:sz w:val="18"/>
                <w:szCs w:val="18"/>
                <w:lang w:eastAsia="sk-SK"/>
              </w:rPr>
              <w:t>s.</w:t>
            </w:r>
          </w:p>
        </w:tc>
        <w:tc>
          <w:tcPr>
            <w:tcW w:w="372" w:type="pct"/>
            <w:tcBorders>
              <w:top w:val="nil"/>
              <w:left w:val="nil"/>
              <w:right w:val="nil"/>
            </w:tcBorders>
            <w:shd w:val="clear" w:color="auto" w:fill="auto"/>
            <w:vAlign w:val="bottom"/>
            <w:hideMark/>
          </w:tcPr>
          <w:p w14:paraId="218AF2F7" w14:textId="4FE4394A" w:rsidR="00A839C5" w:rsidRPr="002746C4" w:rsidRDefault="00A839C5" w:rsidP="00A839C5">
            <w:pPr>
              <w:spacing w:after="0" w:line="240" w:lineRule="auto"/>
              <w:rPr>
                <w:sz w:val="18"/>
                <w:szCs w:val="18"/>
                <w:highlight w:val="yellow"/>
                <w:lang w:eastAsia="sk-SK"/>
              </w:rPr>
            </w:pPr>
            <w:r>
              <w:rPr>
                <w:b/>
                <w:bCs/>
                <w:sz w:val="18"/>
                <w:szCs w:val="18"/>
              </w:rPr>
              <w:t>Spolu</w:t>
            </w:r>
          </w:p>
        </w:tc>
        <w:tc>
          <w:tcPr>
            <w:tcW w:w="555" w:type="pct"/>
            <w:tcBorders>
              <w:top w:val="nil"/>
              <w:left w:val="nil"/>
              <w:right w:val="nil"/>
            </w:tcBorders>
            <w:shd w:val="clear" w:color="auto" w:fill="auto"/>
            <w:noWrap/>
            <w:vAlign w:val="bottom"/>
            <w:hideMark/>
          </w:tcPr>
          <w:p w14:paraId="6A97A6AC" w14:textId="42725CD7" w:rsidR="00A839C5" w:rsidRPr="002746C4" w:rsidRDefault="00A839C5" w:rsidP="00A839C5">
            <w:pPr>
              <w:spacing w:after="0" w:line="240" w:lineRule="auto"/>
              <w:jc w:val="right"/>
              <w:rPr>
                <w:b/>
                <w:bCs/>
                <w:sz w:val="18"/>
                <w:szCs w:val="18"/>
                <w:highlight w:val="yellow"/>
                <w:lang w:eastAsia="sk-SK"/>
              </w:rPr>
            </w:pPr>
            <w:r>
              <w:rPr>
                <w:b/>
                <w:bCs/>
                <w:sz w:val="18"/>
                <w:szCs w:val="18"/>
              </w:rPr>
              <w:t>29 335</w:t>
            </w:r>
          </w:p>
        </w:tc>
        <w:tc>
          <w:tcPr>
            <w:tcW w:w="599" w:type="pct"/>
            <w:tcBorders>
              <w:top w:val="nil"/>
              <w:left w:val="nil"/>
              <w:right w:val="nil"/>
            </w:tcBorders>
            <w:shd w:val="clear" w:color="auto" w:fill="auto"/>
            <w:noWrap/>
            <w:vAlign w:val="bottom"/>
            <w:hideMark/>
          </w:tcPr>
          <w:p w14:paraId="56E2167C" w14:textId="69FD3C57" w:rsidR="00A839C5" w:rsidRPr="002746C4" w:rsidRDefault="00A839C5" w:rsidP="00A839C5">
            <w:pPr>
              <w:spacing w:after="0" w:line="240" w:lineRule="auto"/>
              <w:jc w:val="right"/>
              <w:rPr>
                <w:b/>
                <w:bCs/>
                <w:sz w:val="18"/>
                <w:szCs w:val="18"/>
                <w:highlight w:val="yellow"/>
                <w:lang w:eastAsia="sk-SK"/>
              </w:rPr>
            </w:pPr>
            <w:r>
              <w:rPr>
                <w:b/>
                <w:bCs/>
                <w:sz w:val="18"/>
                <w:szCs w:val="18"/>
              </w:rPr>
              <w:t>0</w:t>
            </w:r>
          </w:p>
        </w:tc>
        <w:tc>
          <w:tcPr>
            <w:tcW w:w="534" w:type="pct"/>
            <w:tcBorders>
              <w:top w:val="nil"/>
              <w:left w:val="nil"/>
              <w:right w:val="nil"/>
            </w:tcBorders>
            <w:shd w:val="clear" w:color="auto" w:fill="auto"/>
            <w:noWrap/>
            <w:vAlign w:val="bottom"/>
            <w:hideMark/>
          </w:tcPr>
          <w:p w14:paraId="3A857282" w14:textId="3E994018" w:rsidR="00A839C5" w:rsidRPr="002746C4" w:rsidRDefault="00A839C5" w:rsidP="00A839C5">
            <w:pPr>
              <w:spacing w:after="0" w:line="240" w:lineRule="auto"/>
              <w:jc w:val="right"/>
              <w:rPr>
                <w:b/>
                <w:bCs/>
                <w:sz w:val="18"/>
                <w:szCs w:val="18"/>
                <w:highlight w:val="yellow"/>
                <w:lang w:eastAsia="sk-SK"/>
              </w:rPr>
            </w:pPr>
            <w:r>
              <w:rPr>
                <w:b/>
                <w:bCs/>
                <w:sz w:val="18"/>
                <w:szCs w:val="18"/>
              </w:rPr>
              <w:t>79 338</w:t>
            </w:r>
          </w:p>
        </w:tc>
        <w:tc>
          <w:tcPr>
            <w:tcW w:w="639" w:type="pct"/>
            <w:tcBorders>
              <w:top w:val="nil"/>
              <w:left w:val="nil"/>
            </w:tcBorders>
            <w:shd w:val="clear" w:color="auto" w:fill="auto"/>
            <w:noWrap/>
            <w:vAlign w:val="bottom"/>
            <w:hideMark/>
          </w:tcPr>
          <w:p w14:paraId="2C86A870" w14:textId="6822B195" w:rsidR="00A839C5" w:rsidRPr="002746C4" w:rsidRDefault="00A839C5" w:rsidP="00A839C5">
            <w:pPr>
              <w:spacing w:after="0" w:line="240" w:lineRule="auto"/>
              <w:jc w:val="right"/>
              <w:rPr>
                <w:b/>
                <w:bCs/>
                <w:sz w:val="18"/>
                <w:szCs w:val="18"/>
                <w:highlight w:val="yellow"/>
                <w:lang w:eastAsia="sk-SK"/>
              </w:rPr>
            </w:pPr>
            <w:r>
              <w:rPr>
                <w:b/>
                <w:bCs/>
                <w:sz w:val="18"/>
                <w:szCs w:val="18"/>
              </w:rPr>
              <w:t>79 338</w:t>
            </w:r>
          </w:p>
        </w:tc>
      </w:tr>
      <w:tr w:rsidR="00A839C5" w:rsidRPr="002746C4" w14:paraId="5E512F2B" w14:textId="77777777" w:rsidTr="00410A90">
        <w:trPr>
          <w:trHeight w:val="300"/>
        </w:trPr>
        <w:tc>
          <w:tcPr>
            <w:tcW w:w="2301" w:type="pct"/>
            <w:vMerge/>
            <w:tcBorders>
              <w:top w:val="nil"/>
              <w:right w:val="nil"/>
            </w:tcBorders>
            <w:vAlign w:val="center"/>
            <w:hideMark/>
          </w:tcPr>
          <w:p w14:paraId="124E333F" w14:textId="77777777" w:rsidR="00A839C5" w:rsidRPr="002746C4" w:rsidRDefault="00A839C5" w:rsidP="00A839C5">
            <w:pPr>
              <w:spacing w:after="0" w:line="240" w:lineRule="auto"/>
              <w:rPr>
                <w:sz w:val="18"/>
                <w:szCs w:val="18"/>
                <w:highlight w:val="yellow"/>
                <w:lang w:eastAsia="sk-SK"/>
              </w:rPr>
            </w:pPr>
          </w:p>
        </w:tc>
        <w:tc>
          <w:tcPr>
            <w:tcW w:w="372" w:type="pct"/>
            <w:tcBorders>
              <w:top w:val="nil"/>
              <w:left w:val="nil"/>
              <w:right w:val="nil"/>
            </w:tcBorders>
            <w:shd w:val="clear" w:color="auto" w:fill="auto"/>
            <w:vAlign w:val="bottom"/>
            <w:hideMark/>
          </w:tcPr>
          <w:p w14:paraId="5D10A1B2" w14:textId="1F9CA1BE" w:rsidR="00A839C5" w:rsidRPr="002746C4" w:rsidRDefault="00A839C5" w:rsidP="00A839C5">
            <w:pPr>
              <w:spacing w:after="0" w:line="240" w:lineRule="auto"/>
              <w:rPr>
                <w:sz w:val="18"/>
                <w:szCs w:val="18"/>
                <w:highlight w:val="yellow"/>
                <w:lang w:eastAsia="sk-SK"/>
              </w:rPr>
            </w:pPr>
            <w:r>
              <w:rPr>
                <w:sz w:val="18"/>
                <w:szCs w:val="18"/>
              </w:rPr>
              <w:t xml:space="preserve">ESA </w:t>
            </w:r>
          </w:p>
        </w:tc>
        <w:tc>
          <w:tcPr>
            <w:tcW w:w="555" w:type="pct"/>
            <w:tcBorders>
              <w:top w:val="nil"/>
              <w:left w:val="nil"/>
              <w:right w:val="nil"/>
            </w:tcBorders>
            <w:shd w:val="clear" w:color="auto" w:fill="auto"/>
            <w:noWrap/>
            <w:vAlign w:val="bottom"/>
            <w:hideMark/>
          </w:tcPr>
          <w:p w14:paraId="62181123" w14:textId="2971854E"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29 335</w:t>
            </w:r>
          </w:p>
        </w:tc>
        <w:tc>
          <w:tcPr>
            <w:tcW w:w="599" w:type="pct"/>
            <w:tcBorders>
              <w:top w:val="nil"/>
              <w:left w:val="nil"/>
              <w:right w:val="nil"/>
            </w:tcBorders>
            <w:shd w:val="clear" w:color="auto" w:fill="auto"/>
            <w:noWrap/>
            <w:vAlign w:val="bottom"/>
            <w:hideMark/>
          </w:tcPr>
          <w:p w14:paraId="505665FF" w14:textId="26993AE6"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c>
          <w:tcPr>
            <w:tcW w:w="534" w:type="pct"/>
            <w:tcBorders>
              <w:top w:val="nil"/>
              <w:left w:val="nil"/>
              <w:right w:val="nil"/>
            </w:tcBorders>
            <w:shd w:val="clear" w:color="auto" w:fill="auto"/>
            <w:noWrap/>
            <w:vAlign w:val="bottom"/>
            <w:hideMark/>
          </w:tcPr>
          <w:p w14:paraId="1D93D243" w14:textId="33DDB49A"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79 338</w:t>
            </w:r>
          </w:p>
        </w:tc>
        <w:tc>
          <w:tcPr>
            <w:tcW w:w="639" w:type="pct"/>
            <w:tcBorders>
              <w:top w:val="nil"/>
              <w:left w:val="nil"/>
            </w:tcBorders>
            <w:shd w:val="clear" w:color="auto" w:fill="auto"/>
            <w:noWrap/>
            <w:vAlign w:val="bottom"/>
            <w:hideMark/>
          </w:tcPr>
          <w:p w14:paraId="4AF61A06" w14:textId="7EC6E46A"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79 338</w:t>
            </w:r>
          </w:p>
        </w:tc>
      </w:tr>
      <w:tr w:rsidR="00A839C5" w:rsidRPr="002746C4" w14:paraId="56D5FF1B" w14:textId="77777777" w:rsidTr="00410A90">
        <w:trPr>
          <w:trHeight w:val="300"/>
        </w:trPr>
        <w:tc>
          <w:tcPr>
            <w:tcW w:w="2301" w:type="pct"/>
            <w:vMerge/>
            <w:tcBorders>
              <w:top w:val="nil"/>
              <w:right w:val="nil"/>
            </w:tcBorders>
            <w:vAlign w:val="center"/>
            <w:hideMark/>
          </w:tcPr>
          <w:p w14:paraId="6B8B8066" w14:textId="77777777" w:rsidR="00A839C5" w:rsidRPr="002746C4" w:rsidRDefault="00A839C5" w:rsidP="00A839C5">
            <w:pPr>
              <w:spacing w:after="0" w:line="240" w:lineRule="auto"/>
              <w:rPr>
                <w:sz w:val="18"/>
                <w:szCs w:val="18"/>
                <w:highlight w:val="yellow"/>
                <w:lang w:eastAsia="sk-SK"/>
              </w:rPr>
            </w:pPr>
          </w:p>
        </w:tc>
        <w:tc>
          <w:tcPr>
            <w:tcW w:w="372" w:type="pct"/>
            <w:tcBorders>
              <w:top w:val="nil"/>
              <w:left w:val="nil"/>
              <w:right w:val="nil"/>
            </w:tcBorders>
            <w:shd w:val="clear" w:color="auto" w:fill="auto"/>
            <w:vAlign w:val="bottom"/>
            <w:hideMark/>
          </w:tcPr>
          <w:p w14:paraId="61C9CBF4" w14:textId="383C920F" w:rsidR="00A839C5" w:rsidRPr="002746C4" w:rsidRDefault="00A839C5" w:rsidP="00A839C5">
            <w:pPr>
              <w:spacing w:after="0" w:line="240" w:lineRule="auto"/>
              <w:rPr>
                <w:sz w:val="18"/>
                <w:szCs w:val="18"/>
                <w:highlight w:val="yellow"/>
                <w:lang w:eastAsia="sk-SK"/>
              </w:rPr>
            </w:pPr>
            <w:r>
              <w:rPr>
                <w:sz w:val="18"/>
                <w:szCs w:val="18"/>
              </w:rPr>
              <w:t>Super</w:t>
            </w:r>
          </w:p>
        </w:tc>
        <w:tc>
          <w:tcPr>
            <w:tcW w:w="555" w:type="pct"/>
            <w:tcBorders>
              <w:top w:val="nil"/>
              <w:left w:val="nil"/>
              <w:right w:val="nil"/>
            </w:tcBorders>
            <w:shd w:val="clear" w:color="auto" w:fill="auto"/>
            <w:noWrap/>
            <w:vAlign w:val="bottom"/>
            <w:hideMark/>
          </w:tcPr>
          <w:p w14:paraId="15A23612" w14:textId="78441AD7" w:rsidR="00A839C5" w:rsidRPr="002746C4" w:rsidRDefault="00A839C5" w:rsidP="00A839C5">
            <w:pPr>
              <w:spacing w:after="0" w:line="240" w:lineRule="auto"/>
              <w:jc w:val="right"/>
              <w:rPr>
                <w:sz w:val="18"/>
                <w:szCs w:val="18"/>
                <w:highlight w:val="yellow"/>
                <w:lang w:eastAsia="sk-SK"/>
              </w:rPr>
            </w:pPr>
            <w:r>
              <w:rPr>
                <w:color w:val="000000"/>
                <w:sz w:val="18"/>
                <w:szCs w:val="18"/>
              </w:rPr>
              <w:t>0</w:t>
            </w:r>
          </w:p>
        </w:tc>
        <w:tc>
          <w:tcPr>
            <w:tcW w:w="599" w:type="pct"/>
            <w:tcBorders>
              <w:top w:val="nil"/>
              <w:left w:val="nil"/>
              <w:right w:val="nil"/>
            </w:tcBorders>
            <w:shd w:val="clear" w:color="auto" w:fill="auto"/>
            <w:noWrap/>
            <w:vAlign w:val="bottom"/>
            <w:hideMark/>
          </w:tcPr>
          <w:p w14:paraId="0B010FA2" w14:textId="4983A169"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c>
          <w:tcPr>
            <w:tcW w:w="534" w:type="pct"/>
            <w:tcBorders>
              <w:top w:val="nil"/>
              <w:left w:val="nil"/>
              <w:right w:val="nil"/>
            </w:tcBorders>
            <w:shd w:val="clear" w:color="auto" w:fill="auto"/>
            <w:noWrap/>
            <w:vAlign w:val="bottom"/>
            <w:hideMark/>
          </w:tcPr>
          <w:p w14:paraId="42C16B14" w14:textId="3A02A709"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c>
          <w:tcPr>
            <w:tcW w:w="639" w:type="pct"/>
            <w:tcBorders>
              <w:top w:val="nil"/>
              <w:left w:val="nil"/>
            </w:tcBorders>
            <w:shd w:val="clear" w:color="auto" w:fill="auto"/>
            <w:noWrap/>
            <w:vAlign w:val="bottom"/>
            <w:hideMark/>
          </w:tcPr>
          <w:p w14:paraId="1135C512" w14:textId="24991071" w:rsidR="00A839C5" w:rsidRPr="002746C4" w:rsidRDefault="00A839C5" w:rsidP="00A839C5">
            <w:pPr>
              <w:spacing w:after="0" w:line="240" w:lineRule="auto"/>
              <w:jc w:val="right"/>
              <w:rPr>
                <w:color w:val="000000"/>
                <w:sz w:val="18"/>
                <w:szCs w:val="18"/>
                <w:highlight w:val="yellow"/>
                <w:lang w:eastAsia="sk-SK"/>
              </w:rPr>
            </w:pPr>
            <w:r>
              <w:rPr>
                <w:color w:val="000000"/>
                <w:sz w:val="18"/>
                <w:szCs w:val="18"/>
              </w:rPr>
              <w:t>0</w:t>
            </w:r>
          </w:p>
        </w:tc>
      </w:tr>
      <w:tr w:rsidR="003F2313" w:rsidRPr="002746C4" w14:paraId="460B72EF" w14:textId="77777777" w:rsidTr="00410A90">
        <w:trPr>
          <w:trHeight w:val="300"/>
        </w:trPr>
        <w:tc>
          <w:tcPr>
            <w:tcW w:w="2301" w:type="pct"/>
            <w:tcBorders>
              <w:top w:val="single" w:sz="4" w:space="0" w:color="auto"/>
              <w:bottom w:val="single" w:sz="4" w:space="0" w:color="auto"/>
              <w:right w:val="nil"/>
            </w:tcBorders>
            <w:shd w:val="clear" w:color="auto" w:fill="auto"/>
            <w:noWrap/>
            <w:vAlign w:val="center"/>
          </w:tcPr>
          <w:p w14:paraId="53816DAD" w14:textId="3960EC90" w:rsidR="003F2313" w:rsidRPr="002746C4" w:rsidRDefault="00A839C5" w:rsidP="00A839C5">
            <w:pPr>
              <w:spacing w:after="0" w:line="240" w:lineRule="auto"/>
              <w:rPr>
                <w:b/>
                <w:bCs/>
                <w:color w:val="000000"/>
                <w:sz w:val="18"/>
                <w:szCs w:val="18"/>
                <w:highlight w:val="yellow"/>
                <w:lang w:eastAsia="sk-SK"/>
              </w:rPr>
            </w:pPr>
            <w:r w:rsidRPr="003F2313">
              <w:rPr>
                <w:b/>
                <w:bCs/>
                <w:color w:val="000000"/>
                <w:sz w:val="18"/>
                <w:szCs w:val="18"/>
                <w:lang w:eastAsia="sk-SK"/>
              </w:rPr>
              <w:t xml:space="preserve">Ministerstvo </w:t>
            </w:r>
            <w:r>
              <w:rPr>
                <w:b/>
                <w:bCs/>
                <w:color w:val="000000"/>
                <w:sz w:val="18"/>
                <w:szCs w:val="18"/>
                <w:lang w:eastAsia="sk-SK"/>
              </w:rPr>
              <w:t>cestovného ruchu a športu SR</w:t>
            </w:r>
          </w:p>
        </w:tc>
        <w:tc>
          <w:tcPr>
            <w:tcW w:w="372" w:type="pct"/>
            <w:tcBorders>
              <w:top w:val="single" w:sz="4" w:space="0" w:color="auto"/>
              <w:left w:val="nil"/>
              <w:bottom w:val="single" w:sz="4" w:space="0" w:color="auto"/>
              <w:right w:val="nil"/>
            </w:tcBorders>
            <w:shd w:val="clear" w:color="auto" w:fill="auto"/>
            <w:noWrap/>
            <w:vAlign w:val="center"/>
          </w:tcPr>
          <w:p w14:paraId="27597485" w14:textId="77777777" w:rsidR="003F2313" w:rsidRPr="002746C4" w:rsidRDefault="003F2313" w:rsidP="00743ACA">
            <w:pPr>
              <w:spacing w:after="0" w:line="240" w:lineRule="auto"/>
              <w:jc w:val="center"/>
              <w:rPr>
                <w:b/>
                <w:bCs/>
                <w:sz w:val="18"/>
                <w:szCs w:val="18"/>
                <w:highlight w:val="yellow"/>
                <w:lang w:eastAsia="sk-SK"/>
              </w:rPr>
            </w:pPr>
          </w:p>
        </w:tc>
        <w:tc>
          <w:tcPr>
            <w:tcW w:w="555" w:type="pct"/>
            <w:tcBorders>
              <w:top w:val="single" w:sz="4" w:space="0" w:color="auto"/>
              <w:left w:val="nil"/>
              <w:bottom w:val="single" w:sz="4" w:space="0" w:color="auto"/>
              <w:right w:val="nil"/>
            </w:tcBorders>
            <w:shd w:val="clear" w:color="auto" w:fill="auto"/>
            <w:noWrap/>
            <w:vAlign w:val="bottom"/>
          </w:tcPr>
          <w:p w14:paraId="2DD7D0A8" w14:textId="77777777" w:rsidR="003F2313" w:rsidRPr="002746C4" w:rsidRDefault="003F2313" w:rsidP="00743ACA">
            <w:pPr>
              <w:spacing w:after="0" w:line="240" w:lineRule="auto"/>
              <w:jc w:val="right"/>
              <w:rPr>
                <w:b/>
                <w:bCs/>
                <w:sz w:val="18"/>
                <w:szCs w:val="18"/>
                <w:highlight w:val="yellow"/>
                <w:lang w:eastAsia="sk-SK"/>
              </w:rPr>
            </w:pPr>
          </w:p>
        </w:tc>
        <w:tc>
          <w:tcPr>
            <w:tcW w:w="599" w:type="pct"/>
            <w:tcBorders>
              <w:top w:val="single" w:sz="4" w:space="0" w:color="auto"/>
              <w:left w:val="nil"/>
              <w:bottom w:val="single" w:sz="4" w:space="0" w:color="auto"/>
              <w:right w:val="nil"/>
            </w:tcBorders>
            <w:shd w:val="clear" w:color="auto" w:fill="auto"/>
            <w:noWrap/>
            <w:vAlign w:val="bottom"/>
          </w:tcPr>
          <w:p w14:paraId="4B6C9BAA" w14:textId="77777777" w:rsidR="003F2313" w:rsidRPr="002746C4" w:rsidRDefault="003F2313" w:rsidP="00743ACA">
            <w:pPr>
              <w:spacing w:after="0" w:line="240" w:lineRule="auto"/>
              <w:jc w:val="right"/>
              <w:rPr>
                <w:b/>
                <w:bCs/>
                <w:sz w:val="18"/>
                <w:szCs w:val="18"/>
                <w:highlight w:val="yellow"/>
                <w:lang w:eastAsia="sk-SK"/>
              </w:rPr>
            </w:pPr>
          </w:p>
        </w:tc>
        <w:tc>
          <w:tcPr>
            <w:tcW w:w="534" w:type="pct"/>
            <w:tcBorders>
              <w:top w:val="single" w:sz="4" w:space="0" w:color="auto"/>
              <w:left w:val="nil"/>
              <w:bottom w:val="single" w:sz="4" w:space="0" w:color="auto"/>
              <w:right w:val="nil"/>
            </w:tcBorders>
            <w:shd w:val="clear" w:color="auto" w:fill="auto"/>
            <w:noWrap/>
            <w:vAlign w:val="bottom"/>
          </w:tcPr>
          <w:p w14:paraId="209CB269" w14:textId="77777777" w:rsidR="003F2313" w:rsidRPr="002746C4" w:rsidRDefault="003F2313" w:rsidP="00743ACA">
            <w:pPr>
              <w:spacing w:after="0" w:line="240" w:lineRule="auto"/>
              <w:jc w:val="right"/>
              <w:rPr>
                <w:b/>
                <w:bCs/>
                <w:sz w:val="18"/>
                <w:szCs w:val="18"/>
                <w:highlight w:val="yellow"/>
                <w:lang w:eastAsia="sk-SK"/>
              </w:rPr>
            </w:pPr>
          </w:p>
        </w:tc>
        <w:tc>
          <w:tcPr>
            <w:tcW w:w="639" w:type="pct"/>
            <w:tcBorders>
              <w:top w:val="single" w:sz="4" w:space="0" w:color="auto"/>
              <w:left w:val="nil"/>
              <w:bottom w:val="single" w:sz="4" w:space="0" w:color="auto"/>
            </w:tcBorders>
            <w:shd w:val="clear" w:color="auto" w:fill="auto"/>
            <w:noWrap/>
            <w:vAlign w:val="bottom"/>
          </w:tcPr>
          <w:p w14:paraId="36751DF8" w14:textId="77777777" w:rsidR="003F2313" w:rsidRPr="002746C4" w:rsidRDefault="003F2313" w:rsidP="00743ACA">
            <w:pPr>
              <w:spacing w:after="0" w:line="240" w:lineRule="auto"/>
              <w:jc w:val="right"/>
              <w:rPr>
                <w:b/>
                <w:bCs/>
                <w:sz w:val="18"/>
                <w:szCs w:val="18"/>
                <w:highlight w:val="yellow"/>
                <w:lang w:eastAsia="sk-SK"/>
              </w:rPr>
            </w:pPr>
          </w:p>
        </w:tc>
      </w:tr>
      <w:tr w:rsidR="00A839C5" w:rsidRPr="002746C4" w14:paraId="29A3F991" w14:textId="77777777" w:rsidTr="00410A90">
        <w:trPr>
          <w:trHeight w:val="300"/>
        </w:trPr>
        <w:tc>
          <w:tcPr>
            <w:tcW w:w="2301" w:type="pct"/>
            <w:tcBorders>
              <w:top w:val="single" w:sz="4" w:space="0" w:color="auto"/>
              <w:right w:val="nil"/>
            </w:tcBorders>
            <w:shd w:val="clear" w:color="auto" w:fill="auto"/>
            <w:noWrap/>
            <w:vAlign w:val="center"/>
          </w:tcPr>
          <w:p w14:paraId="40450B5F" w14:textId="4040EDE8" w:rsidR="00A839C5" w:rsidRPr="00A839C5" w:rsidRDefault="00A839C5" w:rsidP="00A839C5">
            <w:pPr>
              <w:spacing w:after="0" w:line="240" w:lineRule="auto"/>
              <w:rPr>
                <w:sz w:val="18"/>
                <w:szCs w:val="18"/>
                <w:lang w:eastAsia="sk-SK"/>
              </w:rPr>
            </w:pPr>
          </w:p>
        </w:tc>
        <w:tc>
          <w:tcPr>
            <w:tcW w:w="372" w:type="pct"/>
            <w:tcBorders>
              <w:top w:val="single" w:sz="4" w:space="0" w:color="auto"/>
              <w:left w:val="nil"/>
              <w:right w:val="nil"/>
            </w:tcBorders>
            <w:shd w:val="clear" w:color="auto" w:fill="auto"/>
            <w:noWrap/>
            <w:vAlign w:val="bottom"/>
          </w:tcPr>
          <w:p w14:paraId="33D21F78" w14:textId="63695FBC" w:rsidR="00A839C5" w:rsidRPr="00A839C5" w:rsidRDefault="00A839C5" w:rsidP="00A839C5">
            <w:pPr>
              <w:spacing w:after="0" w:line="240" w:lineRule="auto"/>
              <w:rPr>
                <w:b/>
                <w:bCs/>
                <w:sz w:val="18"/>
                <w:szCs w:val="18"/>
              </w:rPr>
            </w:pPr>
            <w:r>
              <w:rPr>
                <w:b/>
                <w:bCs/>
                <w:sz w:val="18"/>
                <w:szCs w:val="18"/>
              </w:rPr>
              <w:t>Spolu</w:t>
            </w:r>
          </w:p>
        </w:tc>
        <w:tc>
          <w:tcPr>
            <w:tcW w:w="555" w:type="pct"/>
            <w:tcBorders>
              <w:top w:val="single" w:sz="4" w:space="0" w:color="auto"/>
              <w:left w:val="nil"/>
              <w:right w:val="nil"/>
            </w:tcBorders>
            <w:shd w:val="clear" w:color="auto" w:fill="auto"/>
            <w:noWrap/>
            <w:vAlign w:val="bottom"/>
          </w:tcPr>
          <w:p w14:paraId="1F0DFDE9" w14:textId="1F641DAD" w:rsidR="00A839C5" w:rsidRPr="00A839C5" w:rsidRDefault="00A839C5" w:rsidP="00A839C5">
            <w:pPr>
              <w:spacing w:after="0" w:line="240" w:lineRule="auto"/>
              <w:jc w:val="right"/>
              <w:rPr>
                <w:b/>
                <w:bCs/>
                <w:sz w:val="18"/>
                <w:szCs w:val="18"/>
              </w:rPr>
            </w:pPr>
            <w:r>
              <w:rPr>
                <w:b/>
                <w:bCs/>
                <w:sz w:val="18"/>
                <w:szCs w:val="18"/>
              </w:rPr>
              <w:t>2 500</w:t>
            </w:r>
          </w:p>
        </w:tc>
        <w:tc>
          <w:tcPr>
            <w:tcW w:w="599" w:type="pct"/>
            <w:tcBorders>
              <w:top w:val="single" w:sz="4" w:space="0" w:color="auto"/>
              <w:left w:val="nil"/>
              <w:right w:val="nil"/>
            </w:tcBorders>
            <w:shd w:val="clear" w:color="auto" w:fill="auto"/>
            <w:noWrap/>
            <w:vAlign w:val="bottom"/>
          </w:tcPr>
          <w:p w14:paraId="76D299C6" w14:textId="2A1030AA" w:rsidR="00A839C5" w:rsidRPr="00A839C5" w:rsidRDefault="00A839C5" w:rsidP="00A839C5">
            <w:pPr>
              <w:spacing w:after="0" w:line="240" w:lineRule="auto"/>
              <w:jc w:val="right"/>
              <w:rPr>
                <w:b/>
                <w:bCs/>
                <w:sz w:val="18"/>
                <w:szCs w:val="18"/>
              </w:rPr>
            </w:pPr>
            <w:r>
              <w:rPr>
                <w:b/>
                <w:bCs/>
                <w:sz w:val="18"/>
                <w:szCs w:val="18"/>
              </w:rPr>
              <w:t>5 000</w:t>
            </w:r>
          </w:p>
        </w:tc>
        <w:tc>
          <w:tcPr>
            <w:tcW w:w="534" w:type="pct"/>
            <w:tcBorders>
              <w:top w:val="single" w:sz="4" w:space="0" w:color="auto"/>
              <w:left w:val="nil"/>
              <w:right w:val="nil"/>
            </w:tcBorders>
            <w:shd w:val="clear" w:color="auto" w:fill="auto"/>
            <w:noWrap/>
            <w:vAlign w:val="bottom"/>
          </w:tcPr>
          <w:p w14:paraId="086241BC" w14:textId="72B8740D" w:rsidR="00A839C5" w:rsidRPr="00A839C5" w:rsidRDefault="00A839C5" w:rsidP="00A839C5">
            <w:pPr>
              <w:spacing w:after="0" w:line="240" w:lineRule="auto"/>
              <w:jc w:val="right"/>
              <w:rPr>
                <w:b/>
                <w:bCs/>
                <w:sz w:val="18"/>
                <w:szCs w:val="18"/>
              </w:rPr>
            </w:pPr>
            <w:r>
              <w:rPr>
                <w:b/>
                <w:bCs/>
                <w:sz w:val="18"/>
                <w:szCs w:val="18"/>
              </w:rPr>
              <w:t>50 000</w:t>
            </w:r>
          </w:p>
        </w:tc>
        <w:tc>
          <w:tcPr>
            <w:tcW w:w="639" w:type="pct"/>
            <w:tcBorders>
              <w:top w:val="single" w:sz="4" w:space="0" w:color="auto"/>
              <w:left w:val="nil"/>
            </w:tcBorders>
            <w:shd w:val="clear" w:color="auto" w:fill="auto"/>
            <w:noWrap/>
            <w:vAlign w:val="bottom"/>
          </w:tcPr>
          <w:p w14:paraId="3C808610" w14:textId="7C1B6CB6" w:rsidR="00A839C5" w:rsidRPr="00A839C5" w:rsidRDefault="00A839C5" w:rsidP="00A839C5">
            <w:pPr>
              <w:spacing w:after="0" w:line="240" w:lineRule="auto"/>
              <w:jc w:val="right"/>
              <w:rPr>
                <w:b/>
                <w:bCs/>
                <w:sz w:val="18"/>
                <w:szCs w:val="18"/>
              </w:rPr>
            </w:pPr>
            <w:r>
              <w:rPr>
                <w:b/>
                <w:bCs/>
                <w:sz w:val="18"/>
                <w:szCs w:val="18"/>
              </w:rPr>
              <w:t>45 000</w:t>
            </w:r>
          </w:p>
        </w:tc>
      </w:tr>
      <w:tr w:rsidR="00A839C5" w:rsidRPr="002746C4" w14:paraId="03C3B6DD" w14:textId="77777777" w:rsidTr="00410A90">
        <w:trPr>
          <w:trHeight w:val="300"/>
        </w:trPr>
        <w:tc>
          <w:tcPr>
            <w:tcW w:w="2301" w:type="pct"/>
            <w:tcBorders>
              <w:right w:val="nil"/>
            </w:tcBorders>
            <w:shd w:val="clear" w:color="auto" w:fill="auto"/>
            <w:noWrap/>
            <w:vAlign w:val="center"/>
          </w:tcPr>
          <w:p w14:paraId="79E62849" w14:textId="64E03E95" w:rsidR="00A839C5" w:rsidRPr="00A839C5" w:rsidRDefault="00A839C5" w:rsidP="00A839C5">
            <w:pPr>
              <w:spacing w:after="0" w:line="240" w:lineRule="auto"/>
              <w:rPr>
                <w:sz w:val="18"/>
                <w:szCs w:val="18"/>
                <w:lang w:eastAsia="sk-SK"/>
              </w:rPr>
            </w:pPr>
            <w:r w:rsidRPr="00A839C5">
              <w:rPr>
                <w:sz w:val="18"/>
                <w:szCs w:val="18"/>
                <w:lang w:eastAsia="sk-SK"/>
              </w:rPr>
              <w:t>Tipos, národná lotériová spoločnosť, a.</w:t>
            </w:r>
            <w:r>
              <w:rPr>
                <w:sz w:val="18"/>
                <w:szCs w:val="18"/>
                <w:lang w:eastAsia="sk-SK"/>
              </w:rPr>
              <w:t> </w:t>
            </w:r>
            <w:r w:rsidRPr="00A839C5">
              <w:rPr>
                <w:sz w:val="18"/>
                <w:szCs w:val="18"/>
                <w:lang w:eastAsia="sk-SK"/>
              </w:rPr>
              <w:t>s.</w:t>
            </w:r>
          </w:p>
        </w:tc>
        <w:tc>
          <w:tcPr>
            <w:tcW w:w="372" w:type="pct"/>
            <w:tcBorders>
              <w:left w:val="nil"/>
              <w:right w:val="nil"/>
            </w:tcBorders>
            <w:shd w:val="clear" w:color="auto" w:fill="auto"/>
            <w:noWrap/>
            <w:vAlign w:val="bottom"/>
          </w:tcPr>
          <w:p w14:paraId="0DA48490" w14:textId="5C8A98F2" w:rsidR="00A839C5" w:rsidRPr="00A839C5" w:rsidRDefault="00A839C5" w:rsidP="00A839C5">
            <w:pPr>
              <w:spacing w:after="0" w:line="240" w:lineRule="auto"/>
              <w:rPr>
                <w:b/>
                <w:bCs/>
                <w:sz w:val="18"/>
                <w:szCs w:val="18"/>
              </w:rPr>
            </w:pPr>
            <w:r>
              <w:rPr>
                <w:sz w:val="18"/>
                <w:szCs w:val="18"/>
              </w:rPr>
              <w:t xml:space="preserve">ESA </w:t>
            </w:r>
          </w:p>
        </w:tc>
        <w:tc>
          <w:tcPr>
            <w:tcW w:w="555" w:type="pct"/>
            <w:tcBorders>
              <w:left w:val="nil"/>
              <w:right w:val="nil"/>
            </w:tcBorders>
            <w:shd w:val="clear" w:color="auto" w:fill="auto"/>
            <w:noWrap/>
            <w:vAlign w:val="bottom"/>
          </w:tcPr>
          <w:p w14:paraId="7B7E4E84" w14:textId="6843AB89" w:rsidR="00A839C5" w:rsidRPr="00A839C5" w:rsidRDefault="00A839C5" w:rsidP="00A839C5">
            <w:pPr>
              <w:spacing w:after="0" w:line="240" w:lineRule="auto"/>
              <w:jc w:val="right"/>
              <w:rPr>
                <w:bCs/>
                <w:sz w:val="18"/>
                <w:szCs w:val="18"/>
              </w:rPr>
            </w:pPr>
            <w:r w:rsidRPr="00A839C5">
              <w:rPr>
                <w:bCs/>
                <w:sz w:val="18"/>
                <w:szCs w:val="18"/>
              </w:rPr>
              <w:t>2 500</w:t>
            </w:r>
          </w:p>
        </w:tc>
        <w:tc>
          <w:tcPr>
            <w:tcW w:w="599" w:type="pct"/>
            <w:tcBorders>
              <w:left w:val="nil"/>
              <w:right w:val="nil"/>
            </w:tcBorders>
            <w:shd w:val="clear" w:color="auto" w:fill="auto"/>
            <w:noWrap/>
            <w:vAlign w:val="bottom"/>
          </w:tcPr>
          <w:p w14:paraId="379725B9" w14:textId="74EFE92F" w:rsidR="00A839C5" w:rsidRPr="00A839C5" w:rsidRDefault="00A839C5" w:rsidP="00A839C5">
            <w:pPr>
              <w:spacing w:after="0" w:line="240" w:lineRule="auto"/>
              <w:jc w:val="right"/>
              <w:rPr>
                <w:bCs/>
                <w:sz w:val="18"/>
                <w:szCs w:val="18"/>
              </w:rPr>
            </w:pPr>
            <w:r w:rsidRPr="00A839C5">
              <w:rPr>
                <w:bCs/>
                <w:sz w:val="18"/>
                <w:szCs w:val="18"/>
              </w:rPr>
              <w:t>5 000</w:t>
            </w:r>
          </w:p>
        </w:tc>
        <w:tc>
          <w:tcPr>
            <w:tcW w:w="534" w:type="pct"/>
            <w:tcBorders>
              <w:left w:val="nil"/>
              <w:right w:val="nil"/>
            </w:tcBorders>
            <w:shd w:val="clear" w:color="auto" w:fill="auto"/>
            <w:noWrap/>
            <w:vAlign w:val="bottom"/>
          </w:tcPr>
          <w:p w14:paraId="3C8F0924" w14:textId="2E25AAFE" w:rsidR="00A839C5" w:rsidRPr="00A839C5" w:rsidRDefault="00A839C5" w:rsidP="00A839C5">
            <w:pPr>
              <w:spacing w:after="0" w:line="240" w:lineRule="auto"/>
              <w:jc w:val="right"/>
              <w:rPr>
                <w:bCs/>
                <w:sz w:val="18"/>
                <w:szCs w:val="18"/>
              </w:rPr>
            </w:pPr>
            <w:r w:rsidRPr="00A839C5">
              <w:rPr>
                <w:bCs/>
                <w:sz w:val="18"/>
                <w:szCs w:val="18"/>
              </w:rPr>
              <w:t>25 703</w:t>
            </w:r>
          </w:p>
        </w:tc>
        <w:tc>
          <w:tcPr>
            <w:tcW w:w="639" w:type="pct"/>
            <w:tcBorders>
              <w:left w:val="nil"/>
            </w:tcBorders>
            <w:shd w:val="clear" w:color="auto" w:fill="auto"/>
            <w:noWrap/>
            <w:vAlign w:val="bottom"/>
          </w:tcPr>
          <w:p w14:paraId="565E893C" w14:textId="43266A58" w:rsidR="00A839C5" w:rsidRPr="00A839C5" w:rsidRDefault="00A839C5" w:rsidP="00A839C5">
            <w:pPr>
              <w:spacing w:after="0" w:line="240" w:lineRule="auto"/>
              <w:jc w:val="right"/>
              <w:rPr>
                <w:b/>
                <w:bCs/>
                <w:sz w:val="18"/>
                <w:szCs w:val="18"/>
              </w:rPr>
            </w:pPr>
            <w:r>
              <w:rPr>
                <w:color w:val="000000"/>
                <w:sz w:val="18"/>
                <w:szCs w:val="18"/>
              </w:rPr>
              <w:t>20 703</w:t>
            </w:r>
          </w:p>
        </w:tc>
      </w:tr>
      <w:tr w:rsidR="00A839C5" w:rsidRPr="002746C4" w14:paraId="68826FA8" w14:textId="77777777" w:rsidTr="00410A90">
        <w:trPr>
          <w:trHeight w:val="300"/>
        </w:trPr>
        <w:tc>
          <w:tcPr>
            <w:tcW w:w="2301" w:type="pct"/>
            <w:tcBorders>
              <w:bottom w:val="single" w:sz="4" w:space="0" w:color="auto"/>
              <w:right w:val="nil"/>
            </w:tcBorders>
            <w:shd w:val="clear" w:color="auto" w:fill="auto"/>
            <w:noWrap/>
            <w:vAlign w:val="center"/>
          </w:tcPr>
          <w:p w14:paraId="12A9FCC8" w14:textId="77777777" w:rsidR="00A839C5" w:rsidRPr="00A839C5" w:rsidRDefault="00A839C5" w:rsidP="00A839C5">
            <w:pPr>
              <w:spacing w:after="0" w:line="240" w:lineRule="auto"/>
              <w:rPr>
                <w:sz w:val="18"/>
                <w:szCs w:val="18"/>
                <w:lang w:eastAsia="sk-SK"/>
              </w:rPr>
            </w:pPr>
          </w:p>
        </w:tc>
        <w:tc>
          <w:tcPr>
            <w:tcW w:w="372" w:type="pct"/>
            <w:tcBorders>
              <w:left w:val="nil"/>
              <w:bottom w:val="single" w:sz="4" w:space="0" w:color="auto"/>
              <w:right w:val="nil"/>
            </w:tcBorders>
            <w:shd w:val="clear" w:color="auto" w:fill="auto"/>
            <w:noWrap/>
            <w:vAlign w:val="bottom"/>
          </w:tcPr>
          <w:p w14:paraId="1E53349D" w14:textId="4C1A711A" w:rsidR="00A839C5" w:rsidRPr="00A839C5" w:rsidRDefault="00A839C5" w:rsidP="00A839C5">
            <w:pPr>
              <w:spacing w:after="0" w:line="240" w:lineRule="auto"/>
              <w:rPr>
                <w:b/>
                <w:bCs/>
                <w:sz w:val="18"/>
                <w:szCs w:val="18"/>
              </w:rPr>
            </w:pPr>
            <w:r>
              <w:rPr>
                <w:sz w:val="18"/>
                <w:szCs w:val="18"/>
              </w:rPr>
              <w:t>Super</w:t>
            </w:r>
          </w:p>
        </w:tc>
        <w:tc>
          <w:tcPr>
            <w:tcW w:w="555" w:type="pct"/>
            <w:tcBorders>
              <w:left w:val="nil"/>
              <w:bottom w:val="single" w:sz="4" w:space="0" w:color="auto"/>
              <w:right w:val="nil"/>
            </w:tcBorders>
            <w:shd w:val="clear" w:color="auto" w:fill="auto"/>
            <w:noWrap/>
            <w:vAlign w:val="bottom"/>
          </w:tcPr>
          <w:p w14:paraId="79162819" w14:textId="53E4FD01" w:rsidR="00A839C5" w:rsidRPr="00A839C5" w:rsidRDefault="00A839C5" w:rsidP="00A839C5">
            <w:pPr>
              <w:spacing w:after="0" w:line="240" w:lineRule="auto"/>
              <w:jc w:val="right"/>
              <w:rPr>
                <w:bCs/>
                <w:sz w:val="18"/>
                <w:szCs w:val="18"/>
              </w:rPr>
            </w:pPr>
            <w:r w:rsidRPr="00A839C5">
              <w:rPr>
                <w:bCs/>
                <w:sz w:val="18"/>
                <w:szCs w:val="18"/>
              </w:rPr>
              <w:t>0</w:t>
            </w:r>
          </w:p>
        </w:tc>
        <w:tc>
          <w:tcPr>
            <w:tcW w:w="599" w:type="pct"/>
            <w:tcBorders>
              <w:left w:val="nil"/>
              <w:bottom w:val="single" w:sz="4" w:space="0" w:color="auto"/>
              <w:right w:val="nil"/>
            </w:tcBorders>
            <w:shd w:val="clear" w:color="auto" w:fill="auto"/>
            <w:noWrap/>
            <w:vAlign w:val="bottom"/>
          </w:tcPr>
          <w:p w14:paraId="620D48B5" w14:textId="67E86E2B" w:rsidR="00A839C5" w:rsidRPr="00A839C5" w:rsidRDefault="00A839C5" w:rsidP="00A839C5">
            <w:pPr>
              <w:spacing w:after="0" w:line="240" w:lineRule="auto"/>
              <w:jc w:val="right"/>
              <w:rPr>
                <w:bCs/>
                <w:sz w:val="18"/>
                <w:szCs w:val="18"/>
              </w:rPr>
            </w:pPr>
            <w:r w:rsidRPr="00A839C5">
              <w:rPr>
                <w:bCs/>
                <w:sz w:val="18"/>
                <w:szCs w:val="18"/>
              </w:rPr>
              <w:t>0</w:t>
            </w:r>
          </w:p>
        </w:tc>
        <w:tc>
          <w:tcPr>
            <w:tcW w:w="534" w:type="pct"/>
            <w:tcBorders>
              <w:left w:val="nil"/>
              <w:bottom w:val="single" w:sz="4" w:space="0" w:color="auto"/>
              <w:right w:val="nil"/>
            </w:tcBorders>
            <w:shd w:val="clear" w:color="auto" w:fill="auto"/>
            <w:noWrap/>
            <w:vAlign w:val="bottom"/>
          </w:tcPr>
          <w:p w14:paraId="32AB2AE3" w14:textId="10055163" w:rsidR="00A839C5" w:rsidRPr="00A839C5" w:rsidRDefault="00A839C5" w:rsidP="00A839C5">
            <w:pPr>
              <w:spacing w:after="0" w:line="240" w:lineRule="auto"/>
              <w:jc w:val="right"/>
              <w:rPr>
                <w:bCs/>
                <w:sz w:val="18"/>
                <w:szCs w:val="18"/>
              </w:rPr>
            </w:pPr>
            <w:r w:rsidRPr="00A839C5">
              <w:rPr>
                <w:bCs/>
                <w:sz w:val="18"/>
                <w:szCs w:val="18"/>
              </w:rPr>
              <w:t>24 297</w:t>
            </w:r>
          </w:p>
        </w:tc>
        <w:tc>
          <w:tcPr>
            <w:tcW w:w="639" w:type="pct"/>
            <w:tcBorders>
              <w:left w:val="nil"/>
              <w:bottom w:val="single" w:sz="4" w:space="0" w:color="auto"/>
            </w:tcBorders>
            <w:shd w:val="clear" w:color="auto" w:fill="auto"/>
            <w:noWrap/>
            <w:vAlign w:val="bottom"/>
          </w:tcPr>
          <w:p w14:paraId="6B9905DA" w14:textId="33CA7EEC" w:rsidR="00A839C5" w:rsidRPr="00A839C5" w:rsidRDefault="00A839C5" w:rsidP="00A839C5">
            <w:pPr>
              <w:spacing w:after="0" w:line="240" w:lineRule="auto"/>
              <w:jc w:val="right"/>
              <w:rPr>
                <w:b/>
                <w:bCs/>
                <w:sz w:val="18"/>
                <w:szCs w:val="18"/>
              </w:rPr>
            </w:pPr>
            <w:r>
              <w:rPr>
                <w:color w:val="000000"/>
                <w:sz w:val="18"/>
                <w:szCs w:val="18"/>
              </w:rPr>
              <w:t>24 297</w:t>
            </w:r>
          </w:p>
        </w:tc>
      </w:tr>
      <w:tr w:rsidR="00A839C5" w:rsidRPr="002746C4" w14:paraId="00E381BD" w14:textId="77777777" w:rsidTr="00410A90">
        <w:trPr>
          <w:trHeight w:val="300"/>
        </w:trPr>
        <w:tc>
          <w:tcPr>
            <w:tcW w:w="2301" w:type="pct"/>
            <w:tcBorders>
              <w:top w:val="single" w:sz="4" w:space="0" w:color="auto"/>
              <w:bottom w:val="single" w:sz="4" w:space="0" w:color="auto"/>
              <w:right w:val="nil"/>
            </w:tcBorders>
            <w:shd w:val="clear" w:color="auto" w:fill="auto"/>
            <w:noWrap/>
            <w:vAlign w:val="center"/>
          </w:tcPr>
          <w:p w14:paraId="7DDFE16C" w14:textId="61CF1147" w:rsidR="00A839C5" w:rsidRPr="002746C4" w:rsidRDefault="00A839C5" w:rsidP="00A839C5">
            <w:pPr>
              <w:spacing w:after="0" w:line="240" w:lineRule="auto"/>
              <w:rPr>
                <w:b/>
                <w:bCs/>
                <w:color w:val="000000"/>
                <w:sz w:val="18"/>
                <w:szCs w:val="18"/>
                <w:highlight w:val="yellow"/>
                <w:lang w:eastAsia="sk-SK"/>
              </w:rPr>
            </w:pPr>
            <w:r w:rsidRPr="003F2313">
              <w:rPr>
                <w:b/>
                <w:bCs/>
                <w:color w:val="000000"/>
                <w:sz w:val="18"/>
                <w:szCs w:val="18"/>
                <w:lang w:eastAsia="sk-SK"/>
              </w:rPr>
              <w:t>Ministerstvo dopravy a výstavby SR</w:t>
            </w:r>
          </w:p>
        </w:tc>
        <w:tc>
          <w:tcPr>
            <w:tcW w:w="372" w:type="pct"/>
            <w:tcBorders>
              <w:top w:val="single" w:sz="4" w:space="0" w:color="auto"/>
              <w:left w:val="nil"/>
              <w:bottom w:val="single" w:sz="4" w:space="0" w:color="auto"/>
              <w:right w:val="nil"/>
            </w:tcBorders>
            <w:shd w:val="clear" w:color="auto" w:fill="auto"/>
            <w:noWrap/>
            <w:vAlign w:val="center"/>
          </w:tcPr>
          <w:p w14:paraId="10D7E64C" w14:textId="6D12CB40" w:rsidR="00A839C5" w:rsidRPr="002746C4" w:rsidRDefault="00A839C5" w:rsidP="00A839C5">
            <w:pPr>
              <w:spacing w:after="0" w:line="240" w:lineRule="auto"/>
              <w:jc w:val="center"/>
              <w:rPr>
                <w:b/>
                <w:bCs/>
                <w:color w:val="000000"/>
                <w:sz w:val="18"/>
                <w:szCs w:val="18"/>
                <w:highlight w:val="yellow"/>
                <w:lang w:eastAsia="sk-SK"/>
              </w:rPr>
            </w:pPr>
          </w:p>
        </w:tc>
        <w:tc>
          <w:tcPr>
            <w:tcW w:w="555" w:type="pct"/>
            <w:tcBorders>
              <w:top w:val="single" w:sz="4" w:space="0" w:color="auto"/>
              <w:left w:val="nil"/>
              <w:bottom w:val="single" w:sz="4" w:space="0" w:color="auto"/>
              <w:right w:val="nil"/>
            </w:tcBorders>
            <w:shd w:val="clear" w:color="auto" w:fill="auto"/>
            <w:noWrap/>
            <w:vAlign w:val="bottom"/>
          </w:tcPr>
          <w:p w14:paraId="45AAA10A" w14:textId="006CE827" w:rsidR="00A839C5" w:rsidRPr="002746C4" w:rsidRDefault="00A839C5" w:rsidP="00A839C5">
            <w:pPr>
              <w:spacing w:after="0" w:line="240" w:lineRule="auto"/>
              <w:jc w:val="right"/>
              <w:rPr>
                <w:b/>
                <w:bCs/>
                <w:color w:val="000000"/>
                <w:sz w:val="18"/>
                <w:szCs w:val="18"/>
                <w:highlight w:val="yellow"/>
                <w:lang w:eastAsia="sk-SK"/>
              </w:rPr>
            </w:pPr>
          </w:p>
        </w:tc>
        <w:tc>
          <w:tcPr>
            <w:tcW w:w="599" w:type="pct"/>
            <w:tcBorders>
              <w:top w:val="single" w:sz="4" w:space="0" w:color="auto"/>
              <w:left w:val="nil"/>
              <w:bottom w:val="single" w:sz="4" w:space="0" w:color="auto"/>
              <w:right w:val="nil"/>
            </w:tcBorders>
            <w:shd w:val="clear" w:color="auto" w:fill="auto"/>
            <w:noWrap/>
            <w:vAlign w:val="bottom"/>
          </w:tcPr>
          <w:p w14:paraId="3DF0D5A6" w14:textId="383911CE" w:rsidR="00A839C5" w:rsidRPr="002746C4" w:rsidRDefault="00A839C5" w:rsidP="00A839C5">
            <w:pPr>
              <w:spacing w:after="0" w:line="240" w:lineRule="auto"/>
              <w:jc w:val="right"/>
              <w:rPr>
                <w:b/>
                <w:bCs/>
                <w:color w:val="000000"/>
                <w:sz w:val="18"/>
                <w:szCs w:val="18"/>
                <w:highlight w:val="yellow"/>
                <w:lang w:eastAsia="sk-SK"/>
              </w:rPr>
            </w:pPr>
          </w:p>
        </w:tc>
        <w:tc>
          <w:tcPr>
            <w:tcW w:w="534" w:type="pct"/>
            <w:tcBorders>
              <w:top w:val="single" w:sz="4" w:space="0" w:color="auto"/>
              <w:left w:val="nil"/>
              <w:bottom w:val="single" w:sz="4" w:space="0" w:color="auto"/>
              <w:right w:val="nil"/>
            </w:tcBorders>
            <w:shd w:val="clear" w:color="auto" w:fill="auto"/>
            <w:noWrap/>
            <w:vAlign w:val="bottom"/>
          </w:tcPr>
          <w:p w14:paraId="5B41130D" w14:textId="5DFC6EF2" w:rsidR="00A839C5" w:rsidRPr="002746C4" w:rsidRDefault="00A839C5" w:rsidP="00A839C5">
            <w:pPr>
              <w:spacing w:after="0" w:line="240" w:lineRule="auto"/>
              <w:jc w:val="right"/>
              <w:rPr>
                <w:b/>
                <w:bCs/>
                <w:color w:val="000000"/>
                <w:sz w:val="18"/>
                <w:szCs w:val="18"/>
                <w:highlight w:val="yellow"/>
                <w:lang w:eastAsia="sk-SK"/>
              </w:rPr>
            </w:pPr>
          </w:p>
        </w:tc>
        <w:tc>
          <w:tcPr>
            <w:tcW w:w="639" w:type="pct"/>
            <w:tcBorders>
              <w:top w:val="single" w:sz="4" w:space="0" w:color="auto"/>
              <w:left w:val="nil"/>
              <w:bottom w:val="single" w:sz="4" w:space="0" w:color="auto"/>
            </w:tcBorders>
            <w:shd w:val="clear" w:color="auto" w:fill="auto"/>
            <w:noWrap/>
            <w:vAlign w:val="bottom"/>
          </w:tcPr>
          <w:p w14:paraId="6A84BA14" w14:textId="742C2E63" w:rsidR="00A839C5" w:rsidRPr="002746C4" w:rsidRDefault="00A839C5" w:rsidP="00A839C5">
            <w:pPr>
              <w:spacing w:after="0" w:line="240" w:lineRule="auto"/>
              <w:jc w:val="right"/>
              <w:rPr>
                <w:b/>
                <w:bCs/>
                <w:color w:val="000000"/>
                <w:sz w:val="18"/>
                <w:szCs w:val="18"/>
                <w:highlight w:val="yellow"/>
                <w:lang w:eastAsia="sk-SK"/>
              </w:rPr>
            </w:pPr>
          </w:p>
        </w:tc>
      </w:tr>
      <w:tr w:rsidR="00A839C5" w:rsidRPr="002746C4" w14:paraId="55496D42" w14:textId="77777777" w:rsidTr="00410A90">
        <w:trPr>
          <w:trHeight w:val="300"/>
        </w:trPr>
        <w:tc>
          <w:tcPr>
            <w:tcW w:w="2301" w:type="pct"/>
            <w:tcBorders>
              <w:top w:val="nil"/>
              <w:bottom w:val="nil"/>
              <w:right w:val="nil"/>
            </w:tcBorders>
            <w:shd w:val="clear" w:color="auto" w:fill="auto"/>
            <w:noWrap/>
            <w:vAlign w:val="center"/>
          </w:tcPr>
          <w:p w14:paraId="4698E24C" w14:textId="77777777" w:rsidR="00A839C5" w:rsidRPr="003F2313" w:rsidRDefault="00A839C5" w:rsidP="00A839C5">
            <w:pPr>
              <w:spacing w:after="0" w:line="240" w:lineRule="auto"/>
              <w:jc w:val="center"/>
              <w:rPr>
                <w:b/>
                <w:bCs/>
                <w:color w:val="000000"/>
                <w:sz w:val="18"/>
                <w:szCs w:val="18"/>
                <w:lang w:eastAsia="sk-SK"/>
              </w:rPr>
            </w:pPr>
          </w:p>
        </w:tc>
        <w:tc>
          <w:tcPr>
            <w:tcW w:w="372" w:type="pct"/>
            <w:tcBorders>
              <w:top w:val="nil"/>
              <w:left w:val="nil"/>
              <w:bottom w:val="nil"/>
              <w:right w:val="nil"/>
            </w:tcBorders>
            <w:shd w:val="clear" w:color="auto" w:fill="auto"/>
            <w:noWrap/>
            <w:vAlign w:val="bottom"/>
          </w:tcPr>
          <w:p w14:paraId="722E4E14" w14:textId="5EE84DED" w:rsidR="00A839C5" w:rsidRPr="002746C4" w:rsidRDefault="00A839C5" w:rsidP="00A839C5">
            <w:pPr>
              <w:spacing w:after="0" w:line="240" w:lineRule="auto"/>
              <w:jc w:val="center"/>
              <w:rPr>
                <w:sz w:val="18"/>
                <w:szCs w:val="18"/>
                <w:highlight w:val="yellow"/>
                <w:lang w:eastAsia="sk-SK"/>
              </w:rPr>
            </w:pPr>
            <w:r>
              <w:rPr>
                <w:b/>
                <w:bCs/>
                <w:sz w:val="18"/>
                <w:szCs w:val="18"/>
              </w:rPr>
              <w:t>Spolu</w:t>
            </w:r>
          </w:p>
        </w:tc>
        <w:tc>
          <w:tcPr>
            <w:tcW w:w="555" w:type="pct"/>
            <w:tcBorders>
              <w:top w:val="nil"/>
              <w:left w:val="nil"/>
              <w:bottom w:val="nil"/>
              <w:right w:val="nil"/>
            </w:tcBorders>
            <w:shd w:val="clear" w:color="auto" w:fill="auto"/>
            <w:noWrap/>
            <w:vAlign w:val="bottom"/>
          </w:tcPr>
          <w:p w14:paraId="7576589D" w14:textId="11025AC3" w:rsidR="00A839C5" w:rsidRPr="002746C4" w:rsidRDefault="00A839C5" w:rsidP="00A839C5">
            <w:pPr>
              <w:spacing w:after="0" w:line="240" w:lineRule="auto"/>
              <w:jc w:val="right"/>
              <w:rPr>
                <w:color w:val="000000"/>
                <w:sz w:val="18"/>
                <w:szCs w:val="18"/>
                <w:highlight w:val="yellow"/>
                <w:lang w:eastAsia="sk-SK"/>
              </w:rPr>
            </w:pPr>
            <w:r>
              <w:rPr>
                <w:b/>
                <w:bCs/>
                <w:sz w:val="18"/>
                <w:szCs w:val="18"/>
              </w:rPr>
              <w:t>0</w:t>
            </w:r>
          </w:p>
        </w:tc>
        <w:tc>
          <w:tcPr>
            <w:tcW w:w="599" w:type="pct"/>
            <w:tcBorders>
              <w:top w:val="nil"/>
              <w:left w:val="nil"/>
              <w:bottom w:val="nil"/>
              <w:right w:val="nil"/>
            </w:tcBorders>
            <w:shd w:val="clear" w:color="auto" w:fill="auto"/>
            <w:noWrap/>
            <w:vAlign w:val="bottom"/>
          </w:tcPr>
          <w:p w14:paraId="583268E8" w14:textId="2260A044" w:rsidR="00A839C5" w:rsidRPr="002746C4" w:rsidRDefault="00A839C5" w:rsidP="00A839C5">
            <w:pPr>
              <w:spacing w:after="0" w:line="240" w:lineRule="auto"/>
              <w:jc w:val="right"/>
              <w:rPr>
                <w:color w:val="000000"/>
                <w:sz w:val="18"/>
                <w:szCs w:val="18"/>
                <w:highlight w:val="yellow"/>
                <w:lang w:eastAsia="sk-SK"/>
              </w:rPr>
            </w:pPr>
            <w:r>
              <w:rPr>
                <w:b/>
                <w:bCs/>
                <w:sz w:val="18"/>
                <w:szCs w:val="18"/>
              </w:rPr>
              <w:t>0</w:t>
            </w:r>
          </w:p>
        </w:tc>
        <w:tc>
          <w:tcPr>
            <w:tcW w:w="534" w:type="pct"/>
            <w:tcBorders>
              <w:top w:val="nil"/>
              <w:left w:val="nil"/>
              <w:bottom w:val="nil"/>
              <w:right w:val="nil"/>
            </w:tcBorders>
            <w:shd w:val="clear" w:color="auto" w:fill="auto"/>
            <w:noWrap/>
            <w:vAlign w:val="bottom"/>
          </w:tcPr>
          <w:p w14:paraId="20EF7F73" w14:textId="6FF117BC" w:rsidR="00A839C5" w:rsidRPr="002746C4" w:rsidRDefault="00A839C5" w:rsidP="00A839C5">
            <w:pPr>
              <w:spacing w:after="0" w:line="240" w:lineRule="auto"/>
              <w:jc w:val="right"/>
              <w:rPr>
                <w:color w:val="000000"/>
                <w:sz w:val="18"/>
                <w:szCs w:val="18"/>
                <w:highlight w:val="yellow"/>
                <w:lang w:eastAsia="sk-SK"/>
              </w:rPr>
            </w:pPr>
            <w:r>
              <w:rPr>
                <w:b/>
                <w:bCs/>
                <w:sz w:val="18"/>
                <w:szCs w:val="18"/>
              </w:rPr>
              <w:t>346</w:t>
            </w:r>
          </w:p>
        </w:tc>
        <w:tc>
          <w:tcPr>
            <w:tcW w:w="639" w:type="pct"/>
            <w:tcBorders>
              <w:top w:val="nil"/>
              <w:left w:val="nil"/>
              <w:bottom w:val="nil"/>
            </w:tcBorders>
            <w:shd w:val="clear" w:color="auto" w:fill="auto"/>
            <w:noWrap/>
            <w:vAlign w:val="bottom"/>
          </w:tcPr>
          <w:p w14:paraId="1EF91939" w14:textId="0F2868A2" w:rsidR="00A839C5" w:rsidRPr="002746C4" w:rsidRDefault="00A839C5" w:rsidP="00A839C5">
            <w:pPr>
              <w:spacing w:after="0" w:line="240" w:lineRule="auto"/>
              <w:jc w:val="right"/>
              <w:rPr>
                <w:color w:val="000000"/>
                <w:sz w:val="18"/>
                <w:szCs w:val="18"/>
                <w:highlight w:val="yellow"/>
                <w:lang w:eastAsia="sk-SK"/>
              </w:rPr>
            </w:pPr>
            <w:r>
              <w:rPr>
                <w:b/>
                <w:bCs/>
                <w:sz w:val="18"/>
                <w:szCs w:val="18"/>
              </w:rPr>
              <w:t>346</w:t>
            </w:r>
          </w:p>
        </w:tc>
      </w:tr>
      <w:tr w:rsidR="00A839C5" w:rsidRPr="002746C4" w14:paraId="3DC0056B" w14:textId="77777777" w:rsidTr="00410A90">
        <w:trPr>
          <w:trHeight w:val="300"/>
        </w:trPr>
        <w:tc>
          <w:tcPr>
            <w:tcW w:w="2301" w:type="pct"/>
            <w:tcBorders>
              <w:top w:val="nil"/>
              <w:bottom w:val="nil"/>
              <w:right w:val="nil"/>
            </w:tcBorders>
            <w:shd w:val="clear" w:color="auto" w:fill="auto"/>
            <w:noWrap/>
            <w:vAlign w:val="center"/>
          </w:tcPr>
          <w:p w14:paraId="3AADA1B3" w14:textId="2A4C0F11" w:rsidR="00A839C5" w:rsidRPr="003F2313" w:rsidRDefault="00A839C5" w:rsidP="00A839C5">
            <w:pPr>
              <w:spacing w:after="0" w:line="240" w:lineRule="auto"/>
              <w:rPr>
                <w:b/>
                <w:bCs/>
                <w:color w:val="000000"/>
                <w:sz w:val="18"/>
                <w:szCs w:val="18"/>
                <w:lang w:eastAsia="sk-SK"/>
              </w:rPr>
            </w:pPr>
            <w:r w:rsidRPr="003F2313">
              <w:rPr>
                <w:sz w:val="18"/>
                <w:szCs w:val="18"/>
                <w:lang w:eastAsia="sk-SK"/>
              </w:rPr>
              <w:t>Letisko Košice - Airport Košice, a. s.</w:t>
            </w:r>
          </w:p>
        </w:tc>
        <w:tc>
          <w:tcPr>
            <w:tcW w:w="372" w:type="pct"/>
            <w:tcBorders>
              <w:top w:val="nil"/>
              <w:left w:val="nil"/>
              <w:bottom w:val="nil"/>
              <w:right w:val="nil"/>
            </w:tcBorders>
            <w:shd w:val="clear" w:color="auto" w:fill="auto"/>
            <w:noWrap/>
            <w:vAlign w:val="bottom"/>
          </w:tcPr>
          <w:p w14:paraId="3221243F" w14:textId="47E0E54B" w:rsidR="00A839C5" w:rsidRPr="002746C4" w:rsidRDefault="00A839C5" w:rsidP="00A839C5">
            <w:pPr>
              <w:spacing w:after="0" w:line="240" w:lineRule="auto"/>
              <w:jc w:val="center"/>
              <w:rPr>
                <w:b/>
                <w:bCs/>
                <w:color w:val="000000"/>
                <w:sz w:val="18"/>
                <w:szCs w:val="18"/>
                <w:highlight w:val="yellow"/>
                <w:lang w:eastAsia="sk-SK"/>
              </w:rPr>
            </w:pPr>
            <w:r>
              <w:rPr>
                <w:sz w:val="18"/>
                <w:szCs w:val="18"/>
              </w:rPr>
              <w:t xml:space="preserve">ESA </w:t>
            </w:r>
          </w:p>
        </w:tc>
        <w:tc>
          <w:tcPr>
            <w:tcW w:w="555" w:type="pct"/>
            <w:tcBorders>
              <w:top w:val="nil"/>
              <w:left w:val="nil"/>
              <w:bottom w:val="nil"/>
              <w:right w:val="nil"/>
            </w:tcBorders>
            <w:shd w:val="clear" w:color="auto" w:fill="auto"/>
            <w:noWrap/>
            <w:vAlign w:val="bottom"/>
          </w:tcPr>
          <w:p w14:paraId="3C786505" w14:textId="57612260" w:rsidR="00A839C5" w:rsidRPr="002746C4" w:rsidRDefault="00A839C5" w:rsidP="00A839C5">
            <w:pPr>
              <w:spacing w:after="0" w:line="240" w:lineRule="auto"/>
              <w:jc w:val="right"/>
              <w:rPr>
                <w:b/>
                <w:bCs/>
                <w:color w:val="000000"/>
                <w:sz w:val="18"/>
                <w:szCs w:val="18"/>
                <w:highlight w:val="yellow"/>
                <w:lang w:eastAsia="sk-SK"/>
              </w:rPr>
            </w:pPr>
            <w:r>
              <w:rPr>
                <w:color w:val="000000"/>
                <w:sz w:val="18"/>
                <w:szCs w:val="18"/>
              </w:rPr>
              <w:t>0</w:t>
            </w:r>
          </w:p>
        </w:tc>
        <w:tc>
          <w:tcPr>
            <w:tcW w:w="599" w:type="pct"/>
            <w:tcBorders>
              <w:top w:val="nil"/>
              <w:left w:val="nil"/>
              <w:bottom w:val="nil"/>
              <w:right w:val="nil"/>
            </w:tcBorders>
            <w:shd w:val="clear" w:color="auto" w:fill="auto"/>
            <w:noWrap/>
            <w:vAlign w:val="bottom"/>
          </w:tcPr>
          <w:p w14:paraId="71C84C60" w14:textId="2D614704" w:rsidR="00A839C5" w:rsidRPr="002746C4" w:rsidRDefault="00A839C5" w:rsidP="00A839C5">
            <w:pPr>
              <w:spacing w:after="0" w:line="240" w:lineRule="auto"/>
              <w:jc w:val="right"/>
              <w:rPr>
                <w:b/>
                <w:bCs/>
                <w:color w:val="000000"/>
                <w:sz w:val="18"/>
                <w:szCs w:val="18"/>
                <w:highlight w:val="yellow"/>
                <w:lang w:eastAsia="sk-SK"/>
              </w:rPr>
            </w:pPr>
            <w:r>
              <w:rPr>
                <w:color w:val="000000"/>
                <w:sz w:val="18"/>
                <w:szCs w:val="18"/>
              </w:rPr>
              <w:t>0</w:t>
            </w:r>
          </w:p>
        </w:tc>
        <w:tc>
          <w:tcPr>
            <w:tcW w:w="534" w:type="pct"/>
            <w:tcBorders>
              <w:top w:val="nil"/>
              <w:left w:val="nil"/>
              <w:bottom w:val="nil"/>
              <w:right w:val="nil"/>
            </w:tcBorders>
            <w:shd w:val="clear" w:color="auto" w:fill="auto"/>
            <w:noWrap/>
            <w:vAlign w:val="bottom"/>
          </w:tcPr>
          <w:p w14:paraId="2C26FDBB" w14:textId="59E9D424" w:rsidR="00A839C5" w:rsidRPr="002746C4" w:rsidRDefault="00A839C5" w:rsidP="00A839C5">
            <w:pPr>
              <w:spacing w:after="0" w:line="240" w:lineRule="auto"/>
              <w:jc w:val="right"/>
              <w:rPr>
                <w:b/>
                <w:bCs/>
                <w:color w:val="000000"/>
                <w:sz w:val="18"/>
                <w:szCs w:val="18"/>
                <w:highlight w:val="yellow"/>
                <w:lang w:eastAsia="sk-SK"/>
              </w:rPr>
            </w:pPr>
            <w:r>
              <w:rPr>
                <w:color w:val="000000"/>
                <w:sz w:val="18"/>
                <w:szCs w:val="18"/>
              </w:rPr>
              <w:t>346</w:t>
            </w:r>
          </w:p>
        </w:tc>
        <w:tc>
          <w:tcPr>
            <w:tcW w:w="639" w:type="pct"/>
            <w:tcBorders>
              <w:top w:val="nil"/>
              <w:left w:val="nil"/>
              <w:bottom w:val="nil"/>
            </w:tcBorders>
            <w:shd w:val="clear" w:color="auto" w:fill="auto"/>
            <w:noWrap/>
            <w:vAlign w:val="bottom"/>
          </w:tcPr>
          <w:p w14:paraId="6EE0B656" w14:textId="0E19EC49" w:rsidR="00A839C5" w:rsidRPr="002746C4" w:rsidRDefault="00A839C5" w:rsidP="00A839C5">
            <w:pPr>
              <w:spacing w:after="0" w:line="240" w:lineRule="auto"/>
              <w:jc w:val="right"/>
              <w:rPr>
                <w:b/>
                <w:bCs/>
                <w:color w:val="000000"/>
                <w:sz w:val="18"/>
                <w:szCs w:val="18"/>
                <w:highlight w:val="yellow"/>
                <w:lang w:eastAsia="sk-SK"/>
              </w:rPr>
            </w:pPr>
            <w:r>
              <w:rPr>
                <w:color w:val="000000"/>
                <w:sz w:val="18"/>
                <w:szCs w:val="18"/>
              </w:rPr>
              <w:t>346</w:t>
            </w:r>
          </w:p>
        </w:tc>
      </w:tr>
      <w:tr w:rsidR="00A839C5" w:rsidRPr="002746C4" w14:paraId="2BF071E3" w14:textId="77777777" w:rsidTr="00410A90">
        <w:trPr>
          <w:trHeight w:val="300"/>
        </w:trPr>
        <w:tc>
          <w:tcPr>
            <w:tcW w:w="2301" w:type="pct"/>
            <w:tcBorders>
              <w:top w:val="nil"/>
              <w:bottom w:val="nil"/>
              <w:right w:val="nil"/>
            </w:tcBorders>
            <w:shd w:val="clear" w:color="auto" w:fill="auto"/>
            <w:noWrap/>
            <w:vAlign w:val="center"/>
          </w:tcPr>
          <w:p w14:paraId="67F650F3" w14:textId="30084BE1" w:rsidR="00A839C5" w:rsidRPr="0001086A" w:rsidRDefault="00A839C5" w:rsidP="00A839C5">
            <w:pPr>
              <w:spacing w:after="0" w:line="240" w:lineRule="auto"/>
              <w:rPr>
                <w:b/>
                <w:bCs/>
                <w:color w:val="000000"/>
                <w:sz w:val="18"/>
                <w:szCs w:val="18"/>
                <w:lang w:eastAsia="sk-SK"/>
              </w:rPr>
            </w:pPr>
          </w:p>
        </w:tc>
        <w:tc>
          <w:tcPr>
            <w:tcW w:w="372" w:type="pct"/>
            <w:tcBorders>
              <w:top w:val="nil"/>
              <w:left w:val="nil"/>
              <w:bottom w:val="nil"/>
              <w:right w:val="nil"/>
            </w:tcBorders>
            <w:shd w:val="clear" w:color="auto" w:fill="auto"/>
            <w:noWrap/>
            <w:vAlign w:val="bottom"/>
          </w:tcPr>
          <w:p w14:paraId="6F8C6B7E" w14:textId="3F10059E" w:rsidR="00A839C5" w:rsidRPr="0001086A" w:rsidRDefault="00A839C5" w:rsidP="00A839C5">
            <w:pPr>
              <w:spacing w:after="0" w:line="240" w:lineRule="auto"/>
              <w:jc w:val="center"/>
              <w:rPr>
                <w:b/>
                <w:bCs/>
                <w:color w:val="000000"/>
                <w:sz w:val="18"/>
                <w:szCs w:val="18"/>
                <w:lang w:eastAsia="sk-SK"/>
              </w:rPr>
            </w:pPr>
            <w:r w:rsidRPr="0001086A">
              <w:rPr>
                <w:sz w:val="18"/>
                <w:szCs w:val="18"/>
              </w:rPr>
              <w:t>Super</w:t>
            </w:r>
          </w:p>
        </w:tc>
        <w:tc>
          <w:tcPr>
            <w:tcW w:w="555" w:type="pct"/>
            <w:tcBorders>
              <w:top w:val="nil"/>
              <w:left w:val="nil"/>
              <w:bottom w:val="nil"/>
              <w:right w:val="nil"/>
            </w:tcBorders>
            <w:shd w:val="clear" w:color="auto" w:fill="auto"/>
            <w:noWrap/>
            <w:vAlign w:val="bottom"/>
          </w:tcPr>
          <w:p w14:paraId="7904AC38" w14:textId="772B1C80" w:rsidR="00A839C5" w:rsidRPr="0001086A" w:rsidRDefault="00A839C5" w:rsidP="00A839C5">
            <w:pPr>
              <w:spacing w:after="0" w:line="240" w:lineRule="auto"/>
              <w:jc w:val="right"/>
              <w:rPr>
                <w:b/>
                <w:bCs/>
                <w:color w:val="000000"/>
                <w:sz w:val="18"/>
                <w:szCs w:val="18"/>
                <w:lang w:eastAsia="sk-SK"/>
              </w:rPr>
            </w:pPr>
            <w:r w:rsidRPr="0001086A">
              <w:rPr>
                <w:color w:val="000000"/>
                <w:sz w:val="18"/>
                <w:szCs w:val="18"/>
              </w:rPr>
              <w:t>0</w:t>
            </w:r>
          </w:p>
        </w:tc>
        <w:tc>
          <w:tcPr>
            <w:tcW w:w="599" w:type="pct"/>
            <w:tcBorders>
              <w:top w:val="nil"/>
              <w:left w:val="nil"/>
              <w:bottom w:val="nil"/>
              <w:right w:val="nil"/>
            </w:tcBorders>
            <w:shd w:val="clear" w:color="auto" w:fill="auto"/>
            <w:noWrap/>
            <w:vAlign w:val="bottom"/>
          </w:tcPr>
          <w:p w14:paraId="434FCC77" w14:textId="02DB980B" w:rsidR="00A839C5" w:rsidRPr="0001086A" w:rsidRDefault="00A839C5" w:rsidP="00A839C5">
            <w:pPr>
              <w:spacing w:after="0" w:line="240" w:lineRule="auto"/>
              <w:jc w:val="right"/>
              <w:rPr>
                <w:b/>
                <w:bCs/>
                <w:color w:val="000000"/>
                <w:sz w:val="18"/>
                <w:szCs w:val="18"/>
                <w:lang w:eastAsia="sk-SK"/>
              </w:rPr>
            </w:pPr>
            <w:r w:rsidRPr="0001086A">
              <w:rPr>
                <w:color w:val="000000"/>
                <w:sz w:val="18"/>
                <w:szCs w:val="18"/>
              </w:rPr>
              <w:t>0</w:t>
            </w:r>
          </w:p>
        </w:tc>
        <w:tc>
          <w:tcPr>
            <w:tcW w:w="534" w:type="pct"/>
            <w:tcBorders>
              <w:top w:val="nil"/>
              <w:left w:val="nil"/>
              <w:bottom w:val="nil"/>
              <w:right w:val="nil"/>
            </w:tcBorders>
            <w:shd w:val="clear" w:color="auto" w:fill="auto"/>
            <w:noWrap/>
            <w:vAlign w:val="bottom"/>
          </w:tcPr>
          <w:p w14:paraId="6763CF43" w14:textId="5361E0D5" w:rsidR="00A839C5" w:rsidRPr="0001086A" w:rsidRDefault="00A839C5" w:rsidP="00A839C5">
            <w:pPr>
              <w:spacing w:after="0" w:line="240" w:lineRule="auto"/>
              <w:jc w:val="right"/>
              <w:rPr>
                <w:b/>
                <w:bCs/>
                <w:color w:val="000000"/>
                <w:sz w:val="18"/>
                <w:szCs w:val="18"/>
                <w:lang w:eastAsia="sk-SK"/>
              </w:rPr>
            </w:pPr>
            <w:r w:rsidRPr="0001086A">
              <w:rPr>
                <w:color w:val="000000"/>
                <w:sz w:val="18"/>
                <w:szCs w:val="18"/>
              </w:rPr>
              <w:t>0</w:t>
            </w:r>
          </w:p>
        </w:tc>
        <w:tc>
          <w:tcPr>
            <w:tcW w:w="639" w:type="pct"/>
            <w:tcBorders>
              <w:top w:val="nil"/>
              <w:left w:val="nil"/>
              <w:bottom w:val="nil"/>
            </w:tcBorders>
            <w:shd w:val="clear" w:color="auto" w:fill="auto"/>
            <w:noWrap/>
            <w:vAlign w:val="bottom"/>
          </w:tcPr>
          <w:p w14:paraId="7B133BF7" w14:textId="7BBE10C5" w:rsidR="00A839C5" w:rsidRPr="0001086A" w:rsidRDefault="00A839C5" w:rsidP="00A839C5">
            <w:pPr>
              <w:spacing w:after="0" w:line="240" w:lineRule="auto"/>
              <w:jc w:val="right"/>
              <w:rPr>
                <w:b/>
                <w:bCs/>
                <w:color w:val="000000"/>
                <w:sz w:val="18"/>
                <w:szCs w:val="18"/>
                <w:lang w:eastAsia="sk-SK"/>
              </w:rPr>
            </w:pPr>
            <w:r w:rsidRPr="0001086A">
              <w:rPr>
                <w:color w:val="000000"/>
                <w:sz w:val="18"/>
                <w:szCs w:val="18"/>
              </w:rPr>
              <w:t>0</w:t>
            </w:r>
          </w:p>
        </w:tc>
      </w:tr>
      <w:tr w:rsidR="00A839C5" w:rsidRPr="002746C4" w14:paraId="0B90397B" w14:textId="77777777" w:rsidTr="00410A90">
        <w:trPr>
          <w:trHeight w:val="300"/>
        </w:trPr>
        <w:tc>
          <w:tcPr>
            <w:tcW w:w="3229" w:type="pct"/>
            <w:gridSpan w:val="3"/>
            <w:tcBorders>
              <w:top w:val="single" w:sz="4" w:space="0" w:color="auto"/>
              <w:bottom w:val="single" w:sz="4" w:space="0" w:color="auto"/>
              <w:right w:val="nil"/>
            </w:tcBorders>
            <w:shd w:val="clear" w:color="auto" w:fill="auto"/>
            <w:noWrap/>
            <w:vAlign w:val="center"/>
            <w:hideMark/>
          </w:tcPr>
          <w:p w14:paraId="423A8220" w14:textId="77777777" w:rsidR="00A839C5" w:rsidRPr="0001086A" w:rsidRDefault="00A839C5" w:rsidP="00A839C5">
            <w:pPr>
              <w:spacing w:after="0" w:line="240" w:lineRule="auto"/>
              <w:rPr>
                <w:b/>
                <w:bCs/>
                <w:color w:val="000000"/>
                <w:sz w:val="18"/>
                <w:szCs w:val="18"/>
                <w:lang w:eastAsia="sk-SK"/>
              </w:rPr>
            </w:pPr>
            <w:r w:rsidRPr="0001086A">
              <w:rPr>
                <w:b/>
                <w:bCs/>
                <w:color w:val="000000"/>
                <w:sz w:val="18"/>
                <w:szCs w:val="18"/>
                <w:lang w:eastAsia="sk-SK"/>
              </w:rPr>
              <w:t>Ministerstvo zahraničných vecí a európskych záležitostí SR</w:t>
            </w:r>
          </w:p>
        </w:tc>
        <w:tc>
          <w:tcPr>
            <w:tcW w:w="599" w:type="pct"/>
            <w:tcBorders>
              <w:top w:val="single" w:sz="4" w:space="0" w:color="auto"/>
              <w:left w:val="nil"/>
              <w:bottom w:val="single" w:sz="4" w:space="0" w:color="auto"/>
              <w:right w:val="nil"/>
            </w:tcBorders>
            <w:shd w:val="clear" w:color="auto" w:fill="auto"/>
            <w:noWrap/>
            <w:vAlign w:val="center"/>
            <w:hideMark/>
          </w:tcPr>
          <w:p w14:paraId="599EEE73" w14:textId="77777777" w:rsidR="00A839C5" w:rsidRPr="0001086A" w:rsidRDefault="00A839C5" w:rsidP="00A839C5">
            <w:pPr>
              <w:spacing w:after="0" w:line="240" w:lineRule="auto"/>
              <w:jc w:val="center"/>
              <w:rPr>
                <w:b/>
                <w:bCs/>
                <w:color w:val="000000"/>
                <w:sz w:val="18"/>
                <w:szCs w:val="18"/>
                <w:lang w:eastAsia="sk-SK"/>
              </w:rPr>
            </w:pPr>
            <w:r w:rsidRPr="0001086A">
              <w:rPr>
                <w:b/>
                <w:bCs/>
                <w:color w:val="000000"/>
                <w:sz w:val="18"/>
                <w:szCs w:val="18"/>
                <w:lang w:eastAsia="sk-SK"/>
              </w:rPr>
              <w:t> </w:t>
            </w:r>
          </w:p>
        </w:tc>
        <w:tc>
          <w:tcPr>
            <w:tcW w:w="534" w:type="pct"/>
            <w:tcBorders>
              <w:top w:val="single" w:sz="4" w:space="0" w:color="auto"/>
              <w:left w:val="nil"/>
              <w:bottom w:val="single" w:sz="4" w:space="0" w:color="auto"/>
              <w:right w:val="nil"/>
            </w:tcBorders>
            <w:shd w:val="clear" w:color="auto" w:fill="auto"/>
            <w:noWrap/>
            <w:vAlign w:val="center"/>
            <w:hideMark/>
          </w:tcPr>
          <w:p w14:paraId="412E900A" w14:textId="77777777" w:rsidR="00A839C5" w:rsidRPr="0001086A" w:rsidRDefault="00A839C5" w:rsidP="00A839C5">
            <w:pPr>
              <w:spacing w:after="0" w:line="240" w:lineRule="auto"/>
              <w:jc w:val="center"/>
              <w:rPr>
                <w:b/>
                <w:bCs/>
                <w:color w:val="000000"/>
                <w:sz w:val="18"/>
                <w:szCs w:val="18"/>
                <w:lang w:eastAsia="sk-SK"/>
              </w:rPr>
            </w:pPr>
            <w:r w:rsidRPr="0001086A">
              <w:rPr>
                <w:b/>
                <w:bCs/>
                <w:color w:val="000000"/>
                <w:sz w:val="18"/>
                <w:szCs w:val="18"/>
                <w:lang w:eastAsia="sk-SK"/>
              </w:rPr>
              <w:t> </w:t>
            </w:r>
          </w:p>
        </w:tc>
        <w:tc>
          <w:tcPr>
            <w:tcW w:w="639" w:type="pct"/>
            <w:tcBorders>
              <w:top w:val="single" w:sz="4" w:space="0" w:color="auto"/>
              <w:left w:val="nil"/>
              <w:bottom w:val="single" w:sz="4" w:space="0" w:color="auto"/>
            </w:tcBorders>
            <w:shd w:val="clear" w:color="auto" w:fill="auto"/>
            <w:noWrap/>
            <w:vAlign w:val="center"/>
            <w:hideMark/>
          </w:tcPr>
          <w:p w14:paraId="32589671" w14:textId="77777777" w:rsidR="00A839C5" w:rsidRPr="0001086A" w:rsidRDefault="00A839C5" w:rsidP="00A839C5">
            <w:pPr>
              <w:spacing w:after="0" w:line="240" w:lineRule="auto"/>
              <w:jc w:val="center"/>
              <w:rPr>
                <w:b/>
                <w:bCs/>
                <w:color w:val="000000"/>
                <w:sz w:val="18"/>
                <w:szCs w:val="18"/>
                <w:lang w:eastAsia="sk-SK"/>
              </w:rPr>
            </w:pPr>
            <w:r w:rsidRPr="0001086A">
              <w:rPr>
                <w:b/>
                <w:bCs/>
                <w:color w:val="000000"/>
                <w:sz w:val="18"/>
                <w:szCs w:val="18"/>
                <w:lang w:eastAsia="sk-SK"/>
              </w:rPr>
              <w:t> </w:t>
            </w:r>
          </w:p>
        </w:tc>
      </w:tr>
      <w:tr w:rsidR="0001086A" w:rsidRPr="002746C4" w14:paraId="4CB07106" w14:textId="77777777" w:rsidTr="00410A90">
        <w:trPr>
          <w:trHeight w:val="300"/>
        </w:trPr>
        <w:tc>
          <w:tcPr>
            <w:tcW w:w="2301" w:type="pct"/>
            <w:vMerge w:val="restart"/>
            <w:tcBorders>
              <w:top w:val="single" w:sz="4" w:space="0" w:color="auto"/>
              <w:right w:val="nil"/>
            </w:tcBorders>
            <w:shd w:val="clear" w:color="auto" w:fill="auto"/>
            <w:vAlign w:val="center"/>
            <w:hideMark/>
          </w:tcPr>
          <w:p w14:paraId="36F9E1A6" w14:textId="61848DB2" w:rsidR="0001086A" w:rsidRPr="0001086A" w:rsidRDefault="0001086A" w:rsidP="0001086A">
            <w:pPr>
              <w:spacing w:after="0" w:line="240" w:lineRule="auto"/>
              <w:rPr>
                <w:sz w:val="18"/>
                <w:szCs w:val="18"/>
                <w:lang w:eastAsia="sk-SK"/>
              </w:rPr>
            </w:pPr>
            <w:r w:rsidRPr="0001086A">
              <w:rPr>
                <w:sz w:val="18"/>
                <w:szCs w:val="18"/>
                <w:lang w:eastAsia="sk-SK"/>
              </w:rPr>
              <w:t>Správa služieb diplomatického zboru, a. s</w:t>
            </w:r>
            <w:r w:rsidR="003F0818">
              <w:rPr>
                <w:sz w:val="18"/>
                <w:szCs w:val="18"/>
                <w:lang w:eastAsia="sk-SK"/>
              </w:rPr>
              <w:t>.</w:t>
            </w:r>
          </w:p>
        </w:tc>
        <w:tc>
          <w:tcPr>
            <w:tcW w:w="372" w:type="pct"/>
            <w:tcBorders>
              <w:top w:val="single" w:sz="4" w:space="0" w:color="auto"/>
              <w:left w:val="nil"/>
              <w:right w:val="nil"/>
            </w:tcBorders>
            <w:shd w:val="clear" w:color="auto" w:fill="auto"/>
            <w:vAlign w:val="center"/>
            <w:hideMark/>
          </w:tcPr>
          <w:p w14:paraId="2B527F76" w14:textId="77777777" w:rsidR="0001086A" w:rsidRPr="0001086A" w:rsidRDefault="0001086A" w:rsidP="0001086A">
            <w:pPr>
              <w:spacing w:after="0" w:line="240" w:lineRule="auto"/>
              <w:rPr>
                <w:sz w:val="18"/>
                <w:szCs w:val="18"/>
                <w:lang w:eastAsia="sk-SK"/>
              </w:rPr>
            </w:pPr>
            <w:r w:rsidRPr="0001086A">
              <w:rPr>
                <w:sz w:val="18"/>
                <w:szCs w:val="18"/>
                <w:lang w:eastAsia="sk-SK"/>
              </w:rPr>
              <w:t>Spolu</w:t>
            </w:r>
          </w:p>
        </w:tc>
        <w:tc>
          <w:tcPr>
            <w:tcW w:w="555" w:type="pct"/>
            <w:tcBorders>
              <w:top w:val="single" w:sz="4" w:space="0" w:color="auto"/>
              <w:left w:val="nil"/>
              <w:right w:val="nil"/>
            </w:tcBorders>
            <w:shd w:val="clear" w:color="auto" w:fill="auto"/>
            <w:noWrap/>
            <w:vAlign w:val="bottom"/>
            <w:hideMark/>
          </w:tcPr>
          <w:p w14:paraId="16F0A9C3" w14:textId="5265667E" w:rsidR="0001086A" w:rsidRPr="0001086A" w:rsidRDefault="0001086A" w:rsidP="0001086A">
            <w:pPr>
              <w:spacing w:after="0" w:line="240" w:lineRule="auto"/>
              <w:jc w:val="right"/>
              <w:rPr>
                <w:b/>
                <w:bCs/>
                <w:sz w:val="18"/>
                <w:szCs w:val="18"/>
                <w:lang w:eastAsia="sk-SK"/>
              </w:rPr>
            </w:pPr>
            <w:r w:rsidRPr="0001086A">
              <w:rPr>
                <w:b/>
                <w:bCs/>
                <w:sz w:val="18"/>
                <w:szCs w:val="18"/>
              </w:rPr>
              <w:t>250</w:t>
            </w:r>
          </w:p>
        </w:tc>
        <w:tc>
          <w:tcPr>
            <w:tcW w:w="599" w:type="pct"/>
            <w:tcBorders>
              <w:top w:val="single" w:sz="4" w:space="0" w:color="auto"/>
              <w:left w:val="nil"/>
              <w:right w:val="nil"/>
            </w:tcBorders>
            <w:shd w:val="clear" w:color="auto" w:fill="auto"/>
            <w:noWrap/>
            <w:vAlign w:val="bottom"/>
            <w:hideMark/>
          </w:tcPr>
          <w:p w14:paraId="29AD53CA" w14:textId="53E25780" w:rsidR="0001086A" w:rsidRPr="0001086A" w:rsidRDefault="0001086A" w:rsidP="0001086A">
            <w:pPr>
              <w:spacing w:after="0" w:line="240" w:lineRule="auto"/>
              <w:jc w:val="right"/>
              <w:rPr>
                <w:b/>
                <w:bCs/>
                <w:sz w:val="18"/>
                <w:szCs w:val="18"/>
                <w:lang w:eastAsia="sk-SK"/>
              </w:rPr>
            </w:pPr>
            <w:r w:rsidRPr="0001086A">
              <w:rPr>
                <w:b/>
                <w:bCs/>
                <w:sz w:val="18"/>
                <w:szCs w:val="18"/>
              </w:rPr>
              <w:t>240</w:t>
            </w:r>
          </w:p>
        </w:tc>
        <w:tc>
          <w:tcPr>
            <w:tcW w:w="534" w:type="pct"/>
            <w:tcBorders>
              <w:top w:val="single" w:sz="4" w:space="0" w:color="auto"/>
              <w:left w:val="nil"/>
              <w:right w:val="nil"/>
            </w:tcBorders>
            <w:shd w:val="clear" w:color="auto" w:fill="auto"/>
            <w:noWrap/>
            <w:vAlign w:val="bottom"/>
            <w:hideMark/>
          </w:tcPr>
          <w:p w14:paraId="79743DD4" w14:textId="15E6DD67" w:rsidR="0001086A" w:rsidRPr="0001086A" w:rsidRDefault="0001086A" w:rsidP="0001086A">
            <w:pPr>
              <w:spacing w:after="0" w:line="240" w:lineRule="auto"/>
              <w:jc w:val="right"/>
              <w:rPr>
                <w:b/>
                <w:bCs/>
                <w:sz w:val="18"/>
                <w:szCs w:val="18"/>
                <w:lang w:eastAsia="sk-SK"/>
              </w:rPr>
            </w:pPr>
            <w:r w:rsidRPr="0001086A">
              <w:rPr>
                <w:b/>
                <w:bCs/>
                <w:sz w:val="18"/>
                <w:szCs w:val="18"/>
              </w:rPr>
              <w:t>260</w:t>
            </w:r>
          </w:p>
        </w:tc>
        <w:tc>
          <w:tcPr>
            <w:tcW w:w="639" w:type="pct"/>
            <w:tcBorders>
              <w:top w:val="single" w:sz="4" w:space="0" w:color="auto"/>
              <w:left w:val="nil"/>
            </w:tcBorders>
            <w:shd w:val="clear" w:color="auto" w:fill="auto"/>
            <w:noWrap/>
            <w:vAlign w:val="bottom"/>
            <w:hideMark/>
          </w:tcPr>
          <w:p w14:paraId="7B74D8DC" w14:textId="292D72DD" w:rsidR="0001086A" w:rsidRPr="0001086A" w:rsidRDefault="0001086A" w:rsidP="0001086A">
            <w:pPr>
              <w:spacing w:after="0" w:line="240" w:lineRule="auto"/>
              <w:jc w:val="right"/>
              <w:rPr>
                <w:b/>
                <w:bCs/>
                <w:sz w:val="18"/>
                <w:szCs w:val="18"/>
                <w:lang w:eastAsia="sk-SK"/>
              </w:rPr>
            </w:pPr>
            <w:r w:rsidRPr="0001086A">
              <w:rPr>
                <w:b/>
                <w:bCs/>
                <w:sz w:val="18"/>
                <w:szCs w:val="18"/>
              </w:rPr>
              <w:t>20</w:t>
            </w:r>
          </w:p>
        </w:tc>
      </w:tr>
      <w:tr w:rsidR="0001086A" w:rsidRPr="002746C4" w14:paraId="46D41B43" w14:textId="77777777" w:rsidTr="00410A90">
        <w:trPr>
          <w:trHeight w:val="300"/>
        </w:trPr>
        <w:tc>
          <w:tcPr>
            <w:tcW w:w="2301" w:type="pct"/>
            <w:vMerge/>
            <w:tcBorders>
              <w:top w:val="nil"/>
              <w:right w:val="nil"/>
            </w:tcBorders>
            <w:vAlign w:val="center"/>
            <w:hideMark/>
          </w:tcPr>
          <w:p w14:paraId="27ECCBD2" w14:textId="77777777" w:rsidR="0001086A" w:rsidRPr="0001086A" w:rsidRDefault="0001086A" w:rsidP="0001086A">
            <w:pPr>
              <w:spacing w:after="0" w:line="240" w:lineRule="auto"/>
              <w:rPr>
                <w:sz w:val="18"/>
                <w:szCs w:val="18"/>
                <w:lang w:eastAsia="sk-SK"/>
              </w:rPr>
            </w:pPr>
          </w:p>
        </w:tc>
        <w:tc>
          <w:tcPr>
            <w:tcW w:w="372" w:type="pct"/>
            <w:tcBorders>
              <w:top w:val="nil"/>
              <w:left w:val="nil"/>
              <w:right w:val="nil"/>
            </w:tcBorders>
            <w:shd w:val="clear" w:color="auto" w:fill="auto"/>
            <w:vAlign w:val="center"/>
            <w:hideMark/>
          </w:tcPr>
          <w:p w14:paraId="42540C8F" w14:textId="77777777" w:rsidR="0001086A" w:rsidRPr="0001086A" w:rsidRDefault="0001086A" w:rsidP="0001086A">
            <w:pPr>
              <w:spacing w:after="0" w:line="240" w:lineRule="auto"/>
              <w:rPr>
                <w:sz w:val="18"/>
                <w:szCs w:val="18"/>
                <w:lang w:eastAsia="sk-SK"/>
              </w:rPr>
            </w:pPr>
            <w:r w:rsidRPr="0001086A">
              <w:rPr>
                <w:sz w:val="18"/>
                <w:szCs w:val="18"/>
                <w:lang w:eastAsia="sk-SK"/>
              </w:rPr>
              <w:t xml:space="preserve">ESA </w:t>
            </w:r>
          </w:p>
        </w:tc>
        <w:tc>
          <w:tcPr>
            <w:tcW w:w="555" w:type="pct"/>
            <w:tcBorders>
              <w:top w:val="nil"/>
              <w:left w:val="nil"/>
              <w:right w:val="nil"/>
            </w:tcBorders>
            <w:shd w:val="clear" w:color="auto" w:fill="auto"/>
            <w:noWrap/>
            <w:vAlign w:val="bottom"/>
            <w:hideMark/>
          </w:tcPr>
          <w:p w14:paraId="2D72988D" w14:textId="3AB59698" w:rsidR="0001086A" w:rsidRPr="0001086A" w:rsidRDefault="0001086A" w:rsidP="0001086A">
            <w:pPr>
              <w:spacing w:after="0" w:line="240" w:lineRule="auto"/>
              <w:jc w:val="right"/>
              <w:rPr>
                <w:sz w:val="18"/>
                <w:szCs w:val="18"/>
                <w:lang w:eastAsia="sk-SK"/>
              </w:rPr>
            </w:pPr>
            <w:r w:rsidRPr="0001086A">
              <w:rPr>
                <w:sz w:val="18"/>
                <w:szCs w:val="18"/>
              </w:rPr>
              <w:t>250</w:t>
            </w:r>
          </w:p>
        </w:tc>
        <w:tc>
          <w:tcPr>
            <w:tcW w:w="599" w:type="pct"/>
            <w:tcBorders>
              <w:top w:val="nil"/>
              <w:left w:val="nil"/>
              <w:right w:val="nil"/>
            </w:tcBorders>
            <w:shd w:val="clear" w:color="auto" w:fill="auto"/>
            <w:noWrap/>
            <w:vAlign w:val="bottom"/>
            <w:hideMark/>
          </w:tcPr>
          <w:p w14:paraId="20532175" w14:textId="53205528" w:rsidR="0001086A" w:rsidRPr="0001086A" w:rsidRDefault="0001086A" w:rsidP="0001086A">
            <w:pPr>
              <w:spacing w:after="0" w:line="240" w:lineRule="auto"/>
              <w:jc w:val="right"/>
              <w:rPr>
                <w:sz w:val="18"/>
                <w:szCs w:val="18"/>
                <w:lang w:eastAsia="sk-SK"/>
              </w:rPr>
            </w:pPr>
            <w:r w:rsidRPr="0001086A">
              <w:rPr>
                <w:color w:val="000000"/>
                <w:sz w:val="18"/>
                <w:szCs w:val="18"/>
              </w:rPr>
              <w:t>240</w:t>
            </w:r>
          </w:p>
        </w:tc>
        <w:tc>
          <w:tcPr>
            <w:tcW w:w="534" w:type="pct"/>
            <w:tcBorders>
              <w:top w:val="nil"/>
              <w:left w:val="nil"/>
              <w:right w:val="nil"/>
            </w:tcBorders>
            <w:shd w:val="clear" w:color="auto" w:fill="auto"/>
            <w:noWrap/>
            <w:vAlign w:val="bottom"/>
            <w:hideMark/>
          </w:tcPr>
          <w:p w14:paraId="30373CE1" w14:textId="4A470D45" w:rsidR="0001086A" w:rsidRPr="0001086A" w:rsidRDefault="0001086A" w:rsidP="0001086A">
            <w:pPr>
              <w:spacing w:after="0" w:line="240" w:lineRule="auto"/>
              <w:jc w:val="right"/>
              <w:rPr>
                <w:color w:val="000000"/>
                <w:sz w:val="18"/>
                <w:szCs w:val="18"/>
                <w:lang w:eastAsia="sk-SK"/>
              </w:rPr>
            </w:pPr>
            <w:r w:rsidRPr="0001086A">
              <w:rPr>
                <w:color w:val="000000"/>
                <w:sz w:val="18"/>
                <w:szCs w:val="18"/>
              </w:rPr>
              <w:t>260</w:t>
            </w:r>
          </w:p>
        </w:tc>
        <w:tc>
          <w:tcPr>
            <w:tcW w:w="639" w:type="pct"/>
            <w:tcBorders>
              <w:top w:val="nil"/>
              <w:left w:val="nil"/>
            </w:tcBorders>
            <w:shd w:val="clear" w:color="auto" w:fill="auto"/>
            <w:noWrap/>
            <w:vAlign w:val="bottom"/>
            <w:hideMark/>
          </w:tcPr>
          <w:p w14:paraId="52274021" w14:textId="5F3AA2A3" w:rsidR="0001086A" w:rsidRPr="0001086A" w:rsidRDefault="0001086A" w:rsidP="0001086A">
            <w:pPr>
              <w:spacing w:after="0" w:line="240" w:lineRule="auto"/>
              <w:jc w:val="right"/>
              <w:rPr>
                <w:color w:val="000000"/>
                <w:sz w:val="18"/>
                <w:szCs w:val="18"/>
                <w:lang w:eastAsia="sk-SK"/>
              </w:rPr>
            </w:pPr>
            <w:r w:rsidRPr="0001086A">
              <w:rPr>
                <w:color w:val="000000"/>
                <w:sz w:val="18"/>
                <w:szCs w:val="18"/>
              </w:rPr>
              <w:t>20</w:t>
            </w:r>
          </w:p>
        </w:tc>
      </w:tr>
      <w:tr w:rsidR="0001086A" w:rsidRPr="002746C4" w14:paraId="5D98B7F4" w14:textId="77777777" w:rsidTr="00410A90">
        <w:trPr>
          <w:trHeight w:val="300"/>
        </w:trPr>
        <w:tc>
          <w:tcPr>
            <w:tcW w:w="2301" w:type="pct"/>
            <w:vMerge/>
            <w:tcBorders>
              <w:top w:val="nil"/>
              <w:bottom w:val="double" w:sz="4" w:space="0" w:color="auto"/>
              <w:right w:val="nil"/>
            </w:tcBorders>
            <w:vAlign w:val="center"/>
            <w:hideMark/>
          </w:tcPr>
          <w:p w14:paraId="5226BB0C" w14:textId="77777777" w:rsidR="0001086A" w:rsidRPr="0001086A" w:rsidRDefault="0001086A" w:rsidP="0001086A">
            <w:pPr>
              <w:spacing w:after="0" w:line="240" w:lineRule="auto"/>
              <w:rPr>
                <w:sz w:val="18"/>
                <w:szCs w:val="18"/>
                <w:lang w:eastAsia="sk-SK"/>
              </w:rPr>
            </w:pPr>
          </w:p>
        </w:tc>
        <w:tc>
          <w:tcPr>
            <w:tcW w:w="372" w:type="pct"/>
            <w:tcBorders>
              <w:top w:val="nil"/>
              <w:left w:val="nil"/>
              <w:bottom w:val="double" w:sz="4" w:space="0" w:color="auto"/>
              <w:right w:val="nil"/>
            </w:tcBorders>
            <w:shd w:val="clear" w:color="auto" w:fill="auto"/>
            <w:vAlign w:val="center"/>
            <w:hideMark/>
          </w:tcPr>
          <w:p w14:paraId="32E28FCE" w14:textId="77777777" w:rsidR="0001086A" w:rsidRPr="0001086A" w:rsidRDefault="0001086A" w:rsidP="0001086A">
            <w:pPr>
              <w:spacing w:after="0" w:line="240" w:lineRule="auto"/>
              <w:rPr>
                <w:sz w:val="18"/>
                <w:szCs w:val="18"/>
                <w:lang w:eastAsia="sk-SK"/>
              </w:rPr>
            </w:pPr>
            <w:r w:rsidRPr="0001086A">
              <w:rPr>
                <w:sz w:val="18"/>
                <w:szCs w:val="18"/>
                <w:lang w:eastAsia="sk-SK"/>
              </w:rPr>
              <w:t>Super</w:t>
            </w:r>
          </w:p>
        </w:tc>
        <w:tc>
          <w:tcPr>
            <w:tcW w:w="555" w:type="pct"/>
            <w:tcBorders>
              <w:top w:val="nil"/>
              <w:left w:val="nil"/>
              <w:bottom w:val="double" w:sz="4" w:space="0" w:color="auto"/>
              <w:right w:val="nil"/>
            </w:tcBorders>
            <w:shd w:val="clear" w:color="auto" w:fill="auto"/>
            <w:noWrap/>
            <w:vAlign w:val="bottom"/>
            <w:hideMark/>
          </w:tcPr>
          <w:p w14:paraId="38B3A083" w14:textId="7155F340" w:rsidR="0001086A" w:rsidRPr="0001086A" w:rsidRDefault="0001086A" w:rsidP="0001086A">
            <w:pPr>
              <w:spacing w:after="0" w:line="240" w:lineRule="auto"/>
              <w:jc w:val="right"/>
              <w:rPr>
                <w:sz w:val="18"/>
                <w:szCs w:val="18"/>
                <w:lang w:eastAsia="sk-SK"/>
              </w:rPr>
            </w:pPr>
            <w:r w:rsidRPr="0001086A">
              <w:rPr>
                <w:sz w:val="18"/>
                <w:szCs w:val="18"/>
              </w:rPr>
              <w:t>0</w:t>
            </w:r>
          </w:p>
        </w:tc>
        <w:tc>
          <w:tcPr>
            <w:tcW w:w="599" w:type="pct"/>
            <w:tcBorders>
              <w:top w:val="nil"/>
              <w:left w:val="nil"/>
              <w:bottom w:val="double" w:sz="4" w:space="0" w:color="auto"/>
              <w:right w:val="nil"/>
            </w:tcBorders>
            <w:shd w:val="clear" w:color="auto" w:fill="auto"/>
            <w:noWrap/>
            <w:vAlign w:val="bottom"/>
            <w:hideMark/>
          </w:tcPr>
          <w:p w14:paraId="5E2190CA" w14:textId="07080347" w:rsidR="0001086A" w:rsidRPr="0001086A" w:rsidRDefault="0001086A" w:rsidP="0001086A">
            <w:pPr>
              <w:spacing w:after="0" w:line="240" w:lineRule="auto"/>
              <w:jc w:val="right"/>
              <w:rPr>
                <w:sz w:val="18"/>
                <w:szCs w:val="18"/>
                <w:lang w:eastAsia="sk-SK"/>
              </w:rPr>
            </w:pPr>
            <w:r w:rsidRPr="0001086A">
              <w:rPr>
                <w:color w:val="000000"/>
                <w:sz w:val="18"/>
                <w:szCs w:val="18"/>
              </w:rPr>
              <w:t>0</w:t>
            </w:r>
          </w:p>
        </w:tc>
        <w:tc>
          <w:tcPr>
            <w:tcW w:w="534" w:type="pct"/>
            <w:tcBorders>
              <w:top w:val="nil"/>
              <w:left w:val="nil"/>
              <w:bottom w:val="double" w:sz="4" w:space="0" w:color="auto"/>
              <w:right w:val="nil"/>
            </w:tcBorders>
            <w:shd w:val="clear" w:color="auto" w:fill="auto"/>
            <w:noWrap/>
            <w:vAlign w:val="bottom"/>
            <w:hideMark/>
          </w:tcPr>
          <w:p w14:paraId="48BC6EFF" w14:textId="135F5CE0" w:rsidR="0001086A" w:rsidRPr="0001086A" w:rsidRDefault="0001086A" w:rsidP="0001086A">
            <w:pPr>
              <w:spacing w:after="0" w:line="240" w:lineRule="auto"/>
              <w:jc w:val="right"/>
              <w:rPr>
                <w:color w:val="000000"/>
                <w:sz w:val="18"/>
                <w:szCs w:val="18"/>
                <w:lang w:eastAsia="sk-SK"/>
              </w:rPr>
            </w:pPr>
            <w:r w:rsidRPr="0001086A">
              <w:rPr>
                <w:color w:val="000000"/>
                <w:sz w:val="18"/>
                <w:szCs w:val="18"/>
              </w:rPr>
              <w:t>0</w:t>
            </w:r>
          </w:p>
        </w:tc>
        <w:tc>
          <w:tcPr>
            <w:tcW w:w="639" w:type="pct"/>
            <w:tcBorders>
              <w:top w:val="nil"/>
              <w:left w:val="nil"/>
              <w:bottom w:val="double" w:sz="4" w:space="0" w:color="auto"/>
            </w:tcBorders>
            <w:shd w:val="clear" w:color="auto" w:fill="auto"/>
            <w:noWrap/>
            <w:vAlign w:val="bottom"/>
            <w:hideMark/>
          </w:tcPr>
          <w:p w14:paraId="7FFB0FC3" w14:textId="19F94BB5" w:rsidR="0001086A" w:rsidRPr="0001086A" w:rsidRDefault="0001086A" w:rsidP="0001086A">
            <w:pPr>
              <w:spacing w:after="0" w:line="240" w:lineRule="auto"/>
              <w:jc w:val="right"/>
              <w:rPr>
                <w:color w:val="000000"/>
                <w:sz w:val="18"/>
                <w:szCs w:val="18"/>
                <w:lang w:eastAsia="sk-SK"/>
              </w:rPr>
            </w:pPr>
            <w:r w:rsidRPr="0001086A">
              <w:rPr>
                <w:color w:val="000000"/>
                <w:sz w:val="18"/>
                <w:szCs w:val="18"/>
              </w:rPr>
              <w:t>0</w:t>
            </w:r>
          </w:p>
        </w:tc>
      </w:tr>
    </w:tbl>
    <w:p w14:paraId="2C6C6498" w14:textId="4634CFAD" w:rsidR="00E86ED2" w:rsidRPr="00304F49" w:rsidRDefault="00304F49" w:rsidP="00304F49">
      <w:pPr>
        <w:spacing w:after="0" w:line="240" w:lineRule="auto"/>
        <w:ind w:left="7799"/>
        <w:jc w:val="both"/>
        <w:rPr>
          <w:sz w:val="16"/>
          <w:szCs w:val="16"/>
          <w:lang w:eastAsia="sk-SK"/>
        </w:rPr>
      </w:pPr>
      <w:r>
        <w:rPr>
          <w:sz w:val="16"/>
          <w:szCs w:val="16"/>
          <w:lang w:eastAsia="sk-SK"/>
        </w:rPr>
        <w:t xml:space="preserve"> </w:t>
      </w:r>
      <w:r w:rsidR="001A4BA1">
        <w:rPr>
          <w:sz w:val="16"/>
          <w:szCs w:val="16"/>
          <w:lang w:eastAsia="sk-SK"/>
        </w:rPr>
        <w:t xml:space="preserve">   </w:t>
      </w:r>
      <w:r>
        <w:rPr>
          <w:sz w:val="16"/>
          <w:szCs w:val="16"/>
          <w:lang w:eastAsia="sk-SK"/>
        </w:rPr>
        <w:t xml:space="preserve">           </w:t>
      </w:r>
      <w:r w:rsidRPr="00304F49">
        <w:rPr>
          <w:sz w:val="16"/>
          <w:szCs w:val="16"/>
          <w:lang w:eastAsia="sk-SK"/>
        </w:rPr>
        <w:t>Zdroj: MF</w:t>
      </w:r>
      <w:r>
        <w:rPr>
          <w:sz w:val="16"/>
          <w:szCs w:val="16"/>
          <w:lang w:eastAsia="sk-SK"/>
        </w:rPr>
        <w:t xml:space="preserve"> </w:t>
      </w:r>
      <w:r w:rsidRPr="00304F49">
        <w:rPr>
          <w:sz w:val="16"/>
          <w:szCs w:val="16"/>
          <w:lang w:eastAsia="sk-SK"/>
        </w:rPr>
        <w:t>SR</w:t>
      </w:r>
    </w:p>
    <w:p w14:paraId="63D6EBA7" w14:textId="77777777" w:rsidR="002D19D1" w:rsidRDefault="002D19D1" w:rsidP="00654390">
      <w:pPr>
        <w:spacing w:before="120" w:after="120" w:line="240" w:lineRule="auto"/>
        <w:jc w:val="both"/>
        <w:rPr>
          <w:b/>
          <w:color w:val="4F81BD" w:themeColor="accent1"/>
          <w:sz w:val="24"/>
          <w:szCs w:val="24"/>
        </w:rPr>
      </w:pPr>
    </w:p>
    <w:p w14:paraId="08DA425A" w14:textId="77777777" w:rsidR="002D19D1" w:rsidRDefault="002D19D1" w:rsidP="00654390">
      <w:pPr>
        <w:spacing w:before="120" w:after="120" w:line="240" w:lineRule="auto"/>
        <w:jc w:val="both"/>
        <w:rPr>
          <w:b/>
          <w:color w:val="4F81BD" w:themeColor="accent1"/>
          <w:sz w:val="24"/>
          <w:szCs w:val="24"/>
        </w:rPr>
      </w:pPr>
    </w:p>
    <w:p w14:paraId="2D6938F3" w14:textId="49F64C4F" w:rsidR="00654390" w:rsidRPr="006F5C95" w:rsidRDefault="00654390" w:rsidP="00654390">
      <w:pPr>
        <w:spacing w:before="120" w:after="120" w:line="240" w:lineRule="auto"/>
        <w:jc w:val="both"/>
        <w:rPr>
          <w:color w:val="FF0000"/>
          <w:szCs w:val="22"/>
        </w:rPr>
      </w:pPr>
      <w:r w:rsidRPr="006F5C95">
        <w:rPr>
          <w:b/>
          <w:color w:val="4F81BD" w:themeColor="accent1"/>
          <w:sz w:val="24"/>
          <w:szCs w:val="24"/>
        </w:rPr>
        <w:lastRenderedPageBreak/>
        <w:t>Úroky</w:t>
      </w:r>
    </w:p>
    <w:p w14:paraId="38BA8BDC" w14:textId="3CE8F5AA" w:rsidR="00654390" w:rsidRDefault="00567121" w:rsidP="00654390">
      <w:pPr>
        <w:spacing w:before="120" w:after="120" w:line="240" w:lineRule="auto"/>
        <w:jc w:val="both"/>
      </w:pPr>
      <w:r>
        <w:t xml:space="preserve">Výrazný nárast úrokov sme zaznamenali z prijatých úrokov na samostatných účtoch organizácii ústrednej správy a zo zhodnocovania zdrojov držaných na likviditnej rezerve a pri riadení likvidity štátu, ktorú riadi ARDAL. </w:t>
      </w:r>
      <w:r w:rsidR="00654390" w:rsidRPr="00FF6943">
        <w:t>K výraznému</w:t>
      </w:r>
      <w:r w:rsidR="00654390">
        <w:t xml:space="preserve"> zv</w:t>
      </w:r>
      <w:r w:rsidR="00D56A76">
        <w:t>ýšeniu príjmov z úrokov o 138,5 % (nárast o 395 </w:t>
      </w:r>
      <w:r w:rsidR="00654390">
        <w:t>705</w:t>
      </w:r>
      <w:r w:rsidR="00D56A76">
        <w:t> tis. </w:t>
      </w:r>
      <w:r w:rsidR="00654390" w:rsidRPr="00FF6943">
        <w:t>eur)</w:t>
      </w:r>
      <w:r w:rsidR="00D56A76">
        <w:t xml:space="preserve"> oproti predchádzajúcemu roku v </w:t>
      </w:r>
      <w:r w:rsidR="00654390" w:rsidRPr="00FF6943">
        <w:t>podstatnej miere prispel nárast jednodňovej steril</w:t>
      </w:r>
      <w:r w:rsidR="00D56A76">
        <w:t>izačnej sadzby NBS z</w:t>
      </w:r>
      <w:r w:rsidR="004D02C1">
        <w:t> </w:t>
      </w:r>
      <w:r w:rsidR="00D56A76">
        <w:t>2</w:t>
      </w:r>
      <w:r w:rsidR="004D02C1">
        <w:t>,0</w:t>
      </w:r>
      <w:r w:rsidR="00D56A76">
        <w:t> % na konci roka 2022 na </w:t>
      </w:r>
      <w:r w:rsidR="00654390" w:rsidRPr="00FF6943">
        <w:t>4</w:t>
      </w:r>
      <w:r w:rsidR="004D02C1">
        <w:t>,0</w:t>
      </w:r>
      <w:r w:rsidR="007F5AC8">
        <w:t> %</w:t>
      </w:r>
      <w:r w:rsidR="00D56A76">
        <w:t xml:space="preserve"> </w:t>
      </w:r>
      <w:r>
        <w:t>v</w:t>
      </w:r>
      <w:r w:rsidR="00D56A76">
        <w:t> </w:t>
      </w:r>
      <w:r w:rsidR="00654390" w:rsidRPr="00FF6943">
        <w:t>septembri 2023, čo zapríčinilo aj nárast krátkodobých úrokových sadzieb.</w:t>
      </w:r>
    </w:p>
    <w:p w14:paraId="679438A2" w14:textId="486FAF10" w:rsidR="00654390" w:rsidRPr="002D75BA" w:rsidRDefault="00654390" w:rsidP="00654390">
      <w:pPr>
        <w:spacing w:before="120" w:after="120" w:line="240" w:lineRule="auto"/>
        <w:jc w:val="both"/>
        <w:rPr>
          <w:b/>
          <w:color w:val="4F81BD" w:themeColor="accent1"/>
          <w:sz w:val="24"/>
          <w:szCs w:val="24"/>
        </w:rPr>
      </w:pPr>
      <w:r w:rsidRPr="00E65F50">
        <w:rPr>
          <w:b/>
          <w:color w:val="4F81BD" w:themeColor="accent1"/>
          <w:sz w:val="24"/>
          <w:szCs w:val="24"/>
        </w:rPr>
        <w:t>Granty a transfery</w:t>
      </w:r>
    </w:p>
    <w:p w14:paraId="39FB42A4" w14:textId="5010092C" w:rsidR="0029028D" w:rsidRDefault="0029028D" w:rsidP="0029028D">
      <w:pPr>
        <w:spacing w:after="120" w:line="240" w:lineRule="auto"/>
        <w:jc w:val="both"/>
        <w:rPr>
          <w:bCs/>
          <w:highlight w:val="yellow"/>
        </w:rPr>
      </w:pPr>
      <w:r w:rsidRPr="005238B8">
        <w:rPr>
          <w:bCs/>
        </w:rPr>
        <w:t>Medziročne zaznamenali granty a transfery</w:t>
      </w:r>
      <w:r w:rsidRPr="002D75BA">
        <w:rPr>
          <w:b/>
          <w:bCs/>
        </w:rPr>
        <w:t xml:space="preserve"> </w:t>
      </w:r>
      <w:r>
        <w:t>n</w:t>
      </w:r>
      <w:r w:rsidR="000F1497">
        <w:t>árast o 65,2</w:t>
      </w:r>
      <w:r w:rsidRPr="002D75BA">
        <w:t xml:space="preserve"> % </w:t>
      </w:r>
      <w:r w:rsidRPr="002D75BA">
        <w:rPr>
          <w:bCs/>
        </w:rPr>
        <w:t xml:space="preserve">(nárast </w:t>
      </w:r>
      <w:r w:rsidRPr="000F1497">
        <w:rPr>
          <w:bCs/>
        </w:rPr>
        <w:t>o </w:t>
      </w:r>
      <w:r w:rsidR="000F1497" w:rsidRPr="000F1497">
        <w:rPr>
          <w:bCs/>
        </w:rPr>
        <w:t>2 029 928 </w:t>
      </w:r>
      <w:r w:rsidRPr="000F1497">
        <w:rPr>
          <w:bCs/>
        </w:rPr>
        <w:t>tis. eur). Najvýznamnejší nárast predstavovali kapitálové transfery o </w:t>
      </w:r>
      <w:r w:rsidR="000F1497" w:rsidRPr="000F1497">
        <w:rPr>
          <w:bCs/>
        </w:rPr>
        <w:t>133,3 </w:t>
      </w:r>
      <w:r w:rsidRPr="000F1497">
        <w:rPr>
          <w:bCs/>
        </w:rPr>
        <w:t>% (nárast o </w:t>
      </w:r>
      <w:r w:rsidR="000F1497" w:rsidRPr="000F1497">
        <w:rPr>
          <w:bCs/>
        </w:rPr>
        <w:t>1 476 069 </w:t>
      </w:r>
      <w:r w:rsidRPr="000F1497">
        <w:rPr>
          <w:bCs/>
        </w:rPr>
        <w:t>tis. eur) a bežné transfery zaznamenali nárast o </w:t>
      </w:r>
      <w:r w:rsidR="000F1497" w:rsidRPr="000F1497">
        <w:rPr>
          <w:bCs/>
        </w:rPr>
        <w:t>27,6 % (nárast o 553 859 tis. eur</w:t>
      </w:r>
      <w:r w:rsidRPr="000F1497">
        <w:rPr>
          <w:bCs/>
        </w:rPr>
        <w:t>).</w:t>
      </w:r>
      <w:r w:rsidRPr="001B2D39">
        <w:rPr>
          <w:bCs/>
        </w:rPr>
        <w:t xml:space="preserve"> Výrazný nárast zaznamenalo aj čerpania eurofondov</w:t>
      </w:r>
      <w:r w:rsidR="00804116">
        <w:rPr>
          <w:bCs/>
        </w:rPr>
        <w:t xml:space="preserve"> vrátane prostriedkov z Plánu obnovy a odolnosti</w:t>
      </w:r>
      <w:r w:rsidRPr="001B2D39">
        <w:rPr>
          <w:bCs/>
        </w:rPr>
        <w:t xml:space="preserve"> o 1</w:t>
      </w:r>
      <w:r w:rsidR="000703EC">
        <w:rPr>
          <w:bCs/>
        </w:rPr>
        <w:t>24</w:t>
      </w:r>
      <w:r w:rsidRPr="001B2D39">
        <w:rPr>
          <w:bCs/>
        </w:rPr>
        <w:t>,</w:t>
      </w:r>
      <w:r w:rsidR="000703EC">
        <w:rPr>
          <w:bCs/>
        </w:rPr>
        <w:t>1</w:t>
      </w:r>
      <w:r w:rsidRPr="001B2D39">
        <w:rPr>
          <w:bCs/>
        </w:rPr>
        <w:t xml:space="preserve"> % (nárast o 2 </w:t>
      </w:r>
      <w:r w:rsidR="00804116">
        <w:rPr>
          <w:bCs/>
        </w:rPr>
        <w:t>148</w:t>
      </w:r>
      <w:r w:rsidRPr="001B2D39">
        <w:rPr>
          <w:bCs/>
        </w:rPr>
        <w:t> </w:t>
      </w:r>
      <w:r w:rsidR="00804116">
        <w:rPr>
          <w:bCs/>
        </w:rPr>
        <w:t>203</w:t>
      </w:r>
      <w:r w:rsidRPr="001B2D39">
        <w:rPr>
          <w:bCs/>
        </w:rPr>
        <w:t> tis. eur).</w:t>
      </w:r>
      <w:r>
        <w:rPr>
          <w:bCs/>
        </w:rPr>
        <w:t xml:space="preserve"> </w:t>
      </w:r>
      <w:r w:rsidRPr="00EE428A">
        <w:rPr>
          <w:bCs/>
        </w:rPr>
        <w:t>Transfery</w:t>
      </w:r>
      <w:r>
        <w:rPr>
          <w:bCs/>
        </w:rPr>
        <w:t xml:space="preserve"> (bežné aj kapitálové)</w:t>
      </w:r>
      <w:r w:rsidRPr="00EE428A">
        <w:rPr>
          <w:bCs/>
        </w:rPr>
        <w:t>, ktoré sa realizujú v rámci verejnej správy sa v sektore konsolidujú.</w:t>
      </w:r>
    </w:p>
    <w:p w14:paraId="77385C06" w14:textId="77777777" w:rsidR="0029028D" w:rsidRPr="005238B8" w:rsidRDefault="0029028D" w:rsidP="0029028D">
      <w:pPr>
        <w:spacing w:after="120" w:line="240" w:lineRule="auto"/>
        <w:jc w:val="both"/>
        <w:rPr>
          <w:bCs/>
        </w:rPr>
      </w:pPr>
      <w:r w:rsidRPr="005238B8">
        <w:rPr>
          <w:bCs/>
        </w:rPr>
        <w:t xml:space="preserve">V rámci </w:t>
      </w:r>
      <w:r w:rsidRPr="005238B8">
        <w:rPr>
          <w:bCs/>
          <w:u w:val="single"/>
        </w:rPr>
        <w:t>bežných transferov</w:t>
      </w:r>
      <w:r w:rsidRPr="005238B8">
        <w:rPr>
          <w:bCs/>
        </w:rPr>
        <w:t xml:space="preserve"> medziročne vzrástli najmä transfery:</w:t>
      </w:r>
    </w:p>
    <w:p w14:paraId="482F5933" w14:textId="53B6A102" w:rsidR="0029028D" w:rsidRPr="00474213" w:rsidRDefault="0029028D" w:rsidP="0029028D">
      <w:pPr>
        <w:pStyle w:val="Odsekzoznamu"/>
        <w:numPr>
          <w:ilvl w:val="0"/>
          <w:numId w:val="43"/>
        </w:numPr>
        <w:spacing w:before="120" w:after="120"/>
        <w:ind w:left="771" w:hanging="357"/>
        <w:contextualSpacing w:val="0"/>
        <w:jc w:val="both"/>
        <w:rPr>
          <w:bCs/>
        </w:rPr>
      </w:pPr>
      <w:r w:rsidRPr="00474213">
        <w:rPr>
          <w:b/>
          <w:bCs/>
          <w:i/>
        </w:rPr>
        <w:t>Sociálnej poisťovni</w:t>
      </w:r>
      <w:r w:rsidRPr="00474213">
        <w:rPr>
          <w:bCs/>
        </w:rPr>
        <w:t xml:space="preserve"> medziročne vzrástol transfer zo štátneho rozpočtu o</w:t>
      </w:r>
      <w:r w:rsidR="00E65F50" w:rsidRPr="00474213">
        <w:rPr>
          <w:bCs/>
        </w:rPr>
        <w:t> </w:t>
      </w:r>
      <w:r w:rsidRPr="00474213">
        <w:rPr>
          <w:bCs/>
        </w:rPr>
        <w:t>1</w:t>
      </w:r>
      <w:r w:rsidR="00E65F50" w:rsidRPr="00474213">
        <w:rPr>
          <w:bCs/>
        </w:rPr>
        <w:t> </w:t>
      </w:r>
      <w:r w:rsidRPr="00474213">
        <w:rPr>
          <w:bCs/>
        </w:rPr>
        <w:t>056</w:t>
      </w:r>
      <w:r w:rsidR="00E65F50" w:rsidRPr="00474213">
        <w:rPr>
          <w:bCs/>
        </w:rPr>
        <w:t> </w:t>
      </w:r>
      <w:r w:rsidRPr="00474213">
        <w:rPr>
          <w:bCs/>
        </w:rPr>
        <w:t>512</w:t>
      </w:r>
      <w:r w:rsidR="00E65F50" w:rsidRPr="00474213">
        <w:rPr>
          <w:bCs/>
        </w:rPr>
        <w:t> </w:t>
      </w:r>
      <w:r w:rsidRPr="00474213">
        <w:rPr>
          <w:bCs/>
        </w:rPr>
        <w:t>tis.</w:t>
      </w:r>
      <w:r w:rsidR="00E65F50" w:rsidRPr="00474213">
        <w:rPr>
          <w:bCs/>
        </w:rPr>
        <w:t> </w:t>
      </w:r>
      <w:r w:rsidRPr="00474213">
        <w:rPr>
          <w:bCs/>
        </w:rPr>
        <w:t>eur, išlo o vykrytie výdavkov predovšet</w:t>
      </w:r>
      <w:r w:rsidR="004D1D98" w:rsidRPr="00474213">
        <w:rPr>
          <w:bCs/>
        </w:rPr>
        <w:t>kým na dôchodkové dávky.</w:t>
      </w:r>
    </w:p>
    <w:p w14:paraId="0889B293" w14:textId="60A81321" w:rsidR="005D758E" w:rsidRPr="00EC02DA" w:rsidRDefault="005D758E" w:rsidP="005D758E">
      <w:pPr>
        <w:pStyle w:val="Odsekzoznamu"/>
        <w:numPr>
          <w:ilvl w:val="0"/>
          <w:numId w:val="43"/>
        </w:numPr>
        <w:spacing w:before="120" w:after="120"/>
        <w:ind w:left="771" w:hanging="357"/>
        <w:contextualSpacing w:val="0"/>
        <w:jc w:val="both"/>
        <w:rPr>
          <w:bCs/>
        </w:rPr>
      </w:pPr>
      <w:r w:rsidRPr="00EC02DA">
        <w:rPr>
          <w:bCs/>
        </w:rPr>
        <w:t xml:space="preserve">Výnosu dane z príjmov DPFO a zo zdrojov z príjmov z DPPO poukázaných </w:t>
      </w:r>
      <w:r w:rsidRPr="00EC02DA">
        <w:rPr>
          <w:b/>
          <w:bCs/>
          <w:i/>
        </w:rPr>
        <w:t>územnej samospráve</w:t>
      </w:r>
      <w:r w:rsidRPr="00EC02DA">
        <w:rPr>
          <w:bCs/>
        </w:rPr>
        <w:t xml:space="preserve"> o 270 868 tis. eur (z toho obciam</w:t>
      </w:r>
      <w:r w:rsidR="000177FD">
        <w:rPr>
          <w:bCs/>
        </w:rPr>
        <w:t xml:space="preserve"> a ich RO</w:t>
      </w:r>
      <w:r w:rsidRPr="00EC02DA">
        <w:rPr>
          <w:bCs/>
        </w:rPr>
        <w:t xml:space="preserve"> o 195 675 tis. eur a</w:t>
      </w:r>
      <w:r w:rsidR="000177FD">
        <w:rPr>
          <w:bCs/>
        </w:rPr>
        <w:t> </w:t>
      </w:r>
      <w:r w:rsidRPr="00EC02DA">
        <w:rPr>
          <w:bCs/>
        </w:rPr>
        <w:t>VÚC</w:t>
      </w:r>
      <w:r w:rsidR="000177FD">
        <w:rPr>
          <w:bCs/>
        </w:rPr>
        <w:t xml:space="preserve"> a ich RO</w:t>
      </w:r>
      <w:r w:rsidRPr="00EC02DA">
        <w:rPr>
          <w:bCs/>
        </w:rPr>
        <w:t xml:space="preserve"> o 75 193 tis. eur), čo bolo spôsobené zvýšením celkového výberu dane z príjmov. V roku 2023 boli z výnosu DPPO ob</w:t>
      </w:r>
      <w:r w:rsidR="000177FD">
        <w:rPr>
          <w:bCs/>
        </w:rPr>
        <w:t xml:space="preserve">ciam a VÚC </w:t>
      </w:r>
      <w:r w:rsidRPr="00EC02DA">
        <w:rPr>
          <w:bCs/>
        </w:rPr>
        <w:t>prevedené finančné prostriedky v objeme 325 798 tis. eur vzhľadom ku</w:t>
      </w:r>
      <w:r w:rsidR="0040316C">
        <w:rPr>
          <w:bCs/>
        </w:rPr>
        <w:t> </w:t>
      </w:r>
      <w:r w:rsidRPr="00EC02DA">
        <w:rPr>
          <w:bCs/>
        </w:rPr>
        <w:t>kompenzácii nižšieho prevodu  z výnosu DPFO zo závislej činnosti a z podnikania.</w:t>
      </w:r>
    </w:p>
    <w:p w14:paraId="06F9F99D" w14:textId="7E5588DB" w:rsidR="0029028D" w:rsidRPr="00474213" w:rsidRDefault="004D1D98" w:rsidP="0029028D">
      <w:pPr>
        <w:pStyle w:val="Odsekzoznamu"/>
        <w:numPr>
          <w:ilvl w:val="0"/>
          <w:numId w:val="43"/>
        </w:numPr>
        <w:spacing w:before="120" w:after="120"/>
        <w:ind w:left="771" w:hanging="357"/>
        <w:contextualSpacing w:val="0"/>
        <w:jc w:val="both"/>
        <w:rPr>
          <w:bCs/>
        </w:rPr>
      </w:pPr>
      <w:r w:rsidRPr="00474213">
        <w:rPr>
          <w:bCs/>
        </w:rPr>
        <w:t>V</w:t>
      </w:r>
      <w:r w:rsidR="0029028D" w:rsidRPr="00474213">
        <w:rPr>
          <w:bCs/>
        </w:rPr>
        <w:t xml:space="preserve">zrástli aj príjmy </w:t>
      </w:r>
      <w:r w:rsidR="0029028D" w:rsidRPr="00474213">
        <w:rPr>
          <w:b/>
          <w:bCs/>
          <w:i/>
        </w:rPr>
        <w:t>zdravotníckych zariadení</w:t>
      </w:r>
      <w:r w:rsidR="0029028D" w:rsidRPr="00474213">
        <w:rPr>
          <w:bCs/>
        </w:rPr>
        <w:t xml:space="preserve"> za lekárske výkony a poskytnutú zdravotnú starostlivosť od zdravotných poisťovní o 506 691 tis.</w:t>
      </w:r>
      <w:r w:rsidR="00E65F50" w:rsidRPr="00474213">
        <w:rPr>
          <w:bCs/>
        </w:rPr>
        <w:t> </w:t>
      </w:r>
      <w:r w:rsidRPr="00474213">
        <w:rPr>
          <w:bCs/>
        </w:rPr>
        <w:t>eur.</w:t>
      </w:r>
    </w:p>
    <w:p w14:paraId="3EE9BDBF" w14:textId="0E06C571" w:rsidR="0029028D" w:rsidRDefault="0029028D" w:rsidP="0029028D">
      <w:pPr>
        <w:pStyle w:val="Odsekzoznamu"/>
        <w:numPr>
          <w:ilvl w:val="0"/>
          <w:numId w:val="43"/>
        </w:numPr>
        <w:spacing w:before="120" w:after="120"/>
        <w:ind w:left="771" w:hanging="357"/>
        <w:contextualSpacing w:val="0"/>
        <w:jc w:val="both"/>
        <w:rPr>
          <w:bCs/>
        </w:rPr>
      </w:pPr>
      <w:r w:rsidRPr="00B6008D">
        <w:rPr>
          <w:b/>
          <w:bCs/>
          <w:i/>
        </w:rPr>
        <w:t>ŽSR</w:t>
      </w:r>
      <w:r w:rsidRPr="00B6008D">
        <w:rPr>
          <w:bCs/>
        </w:rPr>
        <w:t xml:space="preserve"> m</w:t>
      </w:r>
      <w:r>
        <w:rPr>
          <w:bCs/>
        </w:rPr>
        <w:t>edziročne</w:t>
      </w:r>
      <w:r w:rsidRPr="0020797F">
        <w:rPr>
          <w:bCs/>
        </w:rPr>
        <w:t xml:space="preserve"> narást</w:t>
      </w:r>
      <w:r>
        <w:rPr>
          <w:bCs/>
        </w:rPr>
        <w:t>li</w:t>
      </w:r>
      <w:r w:rsidRPr="0020797F">
        <w:rPr>
          <w:bCs/>
        </w:rPr>
        <w:t xml:space="preserve"> </w:t>
      </w:r>
      <w:r w:rsidR="00664A25">
        <w:rPr>
          <w:bCs/>
        </w:rPr>
        <w:t xml:space="preserve">hotovostné </w:t>
      </w:r>
      <w:r w:rsidRPr="0020797F">
        <w:rPr>
          <w:bCs/>
        </w:rPr>
        <w:t>tuzemsk</w:t>
      </w:r>
      <w:r>
        <w:rPr>
          <w:bCs/>
        </w:rPr>
        <w:t>é</w:t>
      </w:r>
      <w:r w:rsidRPr="0020797F">
        <w:rPr>
          <w:bCs/>
        </w:rPr>
        <w:t xml:space="preserve"> bežn</w:t>
      </w:r>
      <w:r>
        <w:rPr>
          <w:bCs/>
        </w:rPr>
        <w:t>é</w:t>
      </w:r>
      <w:r w:rsidRPr="0020797F">
        <w:rPr>
          <w:bCs/>
        </w:rPr>
        <w:t xml:space="preserve"> transfer</w:t>
      </w:r>
      <w:r>
        <w:rPr>
          <w:bCs/>
        </w:rPr>
        <w:t>y</w:t>
      </w:r>
      <w:r w:rsidRPr="0020797F">
        <w:rPr>
          <w:bCs/>
        </w:rPr>
        <w:t xml:space="preserve"> </w:t>
      </w:r>
      <w:r>
        <w:t xml:space="preserve">v rámci VS </w:t>
      </w:r>
      <w:r w:rsidRPr="0020797F">
        <w:rPr>
          <w:bCs/>
        </w:rPr>
        <w:t>o</w:t>
      </w:r>
      <w:r w:rsidR="00E65F50">
        <w:rPr>
          <w:bCs/>
        </w:rPr>
        <w:t> 38 </w:t>
      </w:r>
      <w:r w:rsidRPr="0020797F">
        <w:rPr>
          <w:bCs/>
        </w:rPr>
        <w:t>314</w:t>
      </w:r>
      <w:r w:rsidR="00E65F50">
        <w:rPr>
          <w:bCs/>
        </w:rPr>
        <w:t> </w:t>
      </w:r>
      <w:r w:rsidRPr="0020797F">
        <w:rPr>
          <w:bCs/>
        </w:rPr>
        <w:t>tis.</w:t>
      </w:r>
      <w:r w:rsidR="00E65F50">
        <w:rPr>
          <w:bCs/>
        </w:rPr>
        <w:t> </w:t>
      </w:r>
      <w:r w:rsidRPr="0020797F">
        <w:rPr>
          <w:bCs/>
        </w:rPr>
        <w:t>eur</w:t>
      </w:r>
      <w:r>
        <w:rPr>
          <w:bCs/>
        </w:rPr>
        <w:t xml:space="preserve">. </w:t>
      </w:r>
      <w:r w:rsidR="00664A25">
        <w:rPr>
          <w:bCs/>
        </w:rPr>
        <w:t>V</w:t>
      </w:r>
      <w:r w:rsidR="0040316C">
        <w:rPr>
          <w:bCs/>
        </w:rPr>
        <w:t> </w:t>
      </w:r>
      <w:r w:rsidRPr="0020797F">
        <w:rPr>
          <w:bCs/>
        </w:rPr>
        <w:t>roku 2023</w:t>
      </w:r>
      <w:r w:rsidR="00664A25">
        <w:rPr>
          <w:bCs/>
        </w:rPr>
        <w:t xml:space="preserve"> došlo</w:t>
      </w:r>
      <w:r w:rsidRPr="0020797F">
        <w:rPr>
          <w:bCs/>
        </w:rPr>
        <w:t xml:space="preserve"> k</w:t>
      </w:r>
      <w:r w:rsidR="00E65F50">
        <w:rPr>
          <w:bCs/>
        </w:rPr>
        <w:t> </w:t>
      </w:r>
      <w:r w:rsidRPr="0020797F">
        <w:rPr>
          <w:bCs/>
        </w:rPr>
        <w:t>zvýšeniu poskytnutia najmä transferu v zmysle Čiastkovej zmluvy na</w:t>
      </w:r>
      <w:r w:rsidR="0040316C">
        <w:rPr>
          <w:bCs/>
        </w:rPr>
        <w:t> </w:t>
      </w:r>
      <w:r w:rsidRPr="0020797F">
        <w:rPr>
          <w:bCs/>
        </w:rPr>
        <w:t>prevádzkovanie železničnej infraštruktúry a</w:t>
      </w:r>
      <w:r w:rsidR="00E65F50">
        <w:rPr>
          <w:bCs/>
        </w:rPr>
        <w:t> </w:t>
      </w:r>
      <w:r w:rsidRPr="0020797F">
        <w:rPr>
          <w:bCs/>
        </w:rPr>
        <w:t>servisných zariadení vrátane dodatkov. Č</w:t>
      </w:r>
      <w:r>
        <w:rPr>
          <w:bCs/>
        </w:rPr>
        <w:t>iastková zmluva</w:t>
      </w:r>
      <w:r w:rsidRPr="0020797F">
        <w:rPr>
          <w:bCs/>
        </w:rPr>
        <w:t xml:space="preserve"> </w:t>
      </w:r>
      <w:r w:rsidR="00E65F50">
        <w:rPr>
          <w:bCs/>
        </w:rPr>
        <w:t>bola navýšená o</w:t>
      </w:r>
      <w:r w:rsidR="00664A25">
        <w:rPr>
          <w:bCs/>
        </w:rPr>
        <w:t> </w:t>
      </w:r>
      <w:r w:rsidR="00E65F50">
        <w:rPr>
          <w:bCs/>
        </w:rPr>
        <w:t>36</w:t>
      </w:r>
      <w:r w:rsidR="00664A25">
        <w:rPr>
          <w:bCs/>
        </w:rPr>
        <w:t> </w:t>
      </w:r>
      <w:r w:rsidR="00C23873">
        <w:rPr>
          <w:bCs/>
        </w:rPr>
        <w:t>860</w:t>
      </w:r>
      <w:r w:rsidR="00664A25">
        <w:rPr>
          <w:bCs/>
        </w:rPr>
        <w:t> tis.</w:t>
      </w:r>
      <w:r>
        <w:rPr>
          <w:bCs/>
        </w:rPr>
        <w:t> eur, z toho transfer 11</w:t>
      </w:r>
      <w:r w:rsidR="00664A25">
        <w:rPr>
          <w:bCs/>
        </w:rPr>
        <w:t> </w:t>
      </w:r>
      <w:r>
        <w:rPr>
          <w:bCs/>
        </w:rPr>
        <w:t>9</w:t>
      </w:r>
      <w:r w:rsidR="00767DCE">
        <w:rPr>
          <w:bCs/>
        </w:rPr>
        <w:t>88</w:t>
      </w:r>
      <w:r w:rsidR="00664A25">
        <w:rPr>
          <w:bCs/>
        </w:rPr>
        <w:t xml:space="preserve"> tis. </w:t>
      </w:r>
      <w:r>
        <w:rPr>
          <w:bCs/>
        </w:rPr>
        <w:t>eur</w:t>
      </w:r>
      <w:r w:rsidRPr="0020797F">
        <w:rPr>
          <w:bCs/>
        </w:rPr>
        <w:t xml:space="preserve"> bol viazaný na</w:t>
      </w:r>
      <w:r w:rsidR="001C21A5">
        <w:rPr>
          <w:bCs/>
        </w:rPr>
        <w:t> </w:t>
      </w:r>
      <w:r w:rsidRPr="0020797F">
        <w:rPr>
          <w:bCs/>
        </w:rPr>
        <w:t>kompenzáciu finančných dopadov súvisiacich s</w:t>
      </w:r>
      <w:r w:rsidR="00487D5F">
        <w:rPr>
          <w:bCs/>
        </w:rPr>
        <w:t> </w:t>
      </w:r>
      <w:r w:rsidRPr="0020797F">
        <w:rPr>
          <w:bCs/>
        </w:rPr>
        <w:t>nárastom cien energií. Na navýšenie ostatných transferov mala vplyv prijatá dotácia z</w:t>
      </w:r>
      <w:r>
        <w:rPr>
          <w:bCs/>
        </w:rPr>
        <w:t> Ministerstva hospodárstva SR na </w:t>
      </w:r>
      <w:r w:rsidRPr="0020797F">
        <w:rPr>
          <w:bCs/>
        </w:rPr>
        <w:t>kompenzáci</w:t>
      </w:r>
      <w:r>
        <w:rPr>
          <w:bCs/>
        </w:rPr>
        <w:t>u strát z</w:t>
      </w:r>
      <w:r w:rsidR="001C21A5">
        <w:rPr>
          <w:bCs/>
        </w:rPr>
        <w:t> </w:t>
      </w:r>
      <w:r w:rsidR="004D1D98">
        <w:rPr>
          <w:bCs/>
        </w:rPr>
        <w:t>distribúcie elektriny.</w:t>
      </w:r>
    </w:p>
    <w:p w14:paraId="28212DB1" w14:textId="1A08F592" w:rsidR="0029028D" w:rsidRPr="00E511A5" w:rsidRDefault="00B6008D" w:rsidP="0029028D">
      <w:pPr>
        <w:pStyle w:val="Odsekzoznamu"/>
        <w:numPr>
          <w:ilvl w:val="0"/>
          <w:numId w:val="43"/>
        </w:numPr>
        <w:spacing w:before="120" w:after="120"/>
        <w:ind w:left="771" w:hanging="357"/>
        <w:contextualSpacing w:val="0"/>
        <w:jc w:val="both"/>
      </w:pPr>
      <w:r w:rsidRPr="00B6008D">
        <w:rPr>
          <w:b/>
          <w:bCs/>
          <w:i/>
        </w:rPr>
        <w:t>ZSSK</w:t>
      </w:r>
      <w:r w:rsidR="0029028D">
        <w:t xml:space="preserve"> </w:t>
      </w:r>
      <w:r w:rsidR="0029028D" w:rsidRPr="00671231">
        <w:t xml:space="preserve">– zaznamenala medziročný nárast tuzemských </w:t>
      </w:r>
      <w:r w:rsidR="0029028D" w:rsidRPr="00671231">
        <w:rPr>
          <w:bCs/>
        </w:rPr>
        <w:t>bežných transferov</w:t>
      </w:r>
      <w:r w:rsidR="00487D5F">
        <w:t xml:space="preserve"> v rámci VS o 32 227 </w:t>
      </w:r>
      <w:r w:rsidR="0029028D" w:rsidRPr="00671231">
        <w:t>tis.</w:t>
      </w:r>
      <w:r w:rsidR="00487D5F">
        <w:t> </w:t>
      </w:r>
      <w:r w:rsidR="0029028D" w:rsidRPr="00671231">
        <w:t xml:space="preserve">eur. V roku 2023 </w:t>
      </w:r>
      <w:r w:rsidR="00487D5F">
        <w:t>bola spoločnosti v súlade s </w:t>
      </w:r>
      <w:r w:rsidR="0029028D" w:rsidRPr="00671231">
        <w:t>Čiastkovou zmluvou pre</w:t>
      </w:r>
      <w:r w:rsidR="00487D5F">
        <w:t> </w:t>
      </w:r>
      <w:r w:rsidR="0029028D" w:rsidRPr="00671231">
        <w:t>rok 2023 k</w:t>
      </w:r>
      <w:r w:rsidR="00487D5F">
        <w:t> </w:t>
      </w:r>
      <w:r w:rsidR="0029028D" w:rsidRPr="00671231">
        <w:t>ZoDSVZ, v znení dodatkov poskytnu</w:t>
      </w:r>
      <w:r w:rsidR="00487D5F">
        <w:t>tá úhrada za </w:t>
      </w:r>
      <w:r w:rsidR="0029028D">
        <w:t>dopravné služby vo </w:t>
      </w:r>
      <w:r w:rsidR="0029028D" w:rsidRPr="00671231">
        <w:t>verejnom záujme a</w:t>
      </w:r>
      <w:r w:rsidR="0040316C">
        <w:t> </w:t>
      </w:r>
      <w:r w:rsidR="0029028D" w:rsidRPr="00671231">
        <w:t>zároveň boli zo ŠR finančne vy</w:t>
      </w:r>
      <w:r w:rsidR="0029028D">
        <w:t>sporiadané doplatky zo</w:t>
      </w:r>
      <w:r w:rsidR="00487D5F">
        <w:t> </w:t>
      </w:r>
      <w:r w:rsidR="0029028D">
        <w:t>Zmluvy o </w:t>
      </w:r>
      <w:r w:rsidR="0029028D" w:rsidRPr="00671231">
        <w:t>dopravných službách vo</w:t>
      </w:r>
      <w:r w:rsidR="0040316C">
        <w:t> </w:t>
      </w:r>
      <w:r w:rsidR="0029028D" w:rsidRPr="00671231">
        <w:t>verejnom záujme za rok 2022 (nadkom</w:t>
      </w:r>
      <w:r w:rsidR="0029028D">
        <w:t>penzácia vrátená vo</w:t>
      </w:r>
      <w:r w:rsidR="00487D5F">
        <w:t> </w:t>
      </w:r>
      <w:r w:rsidR="0029028D">
        <w:t>výške 2 339 </w:t>
      </w:r>
      <w:r w:rsidR="00487D5F">
        <w:t>tis. eur pre </w:t>
      </w:r>
      <w:r w:rsidR="0029028D" w:rsidRPr="00671231">
        <w:t>MD SR).</w:t>
      </w:r>
    </w:p>
    <w:p w14:paraId="1BE2A8F5" w14:textId="6D2EF679" w:rsidR="0029028D" w:rsidRPr="00EE428A" w:rsidRDefault="0029028D" w:rsidP="0029028D">
      <w:pPr>
        <w:spacing w:after="120" w:line="240" w:lineRule="auto"/>
        <w:jc w:val="both"/>
        <w:rPr>
          <w:bCs/>
        </w:rPr>
      </w:pPr>
      <w:r w:rsidRPr="00EE428A">
        <w:rPr>
          <w:bCs/>
        </w:rPr>
        <w:t xml:space="preserve">Bežné transfery zo zahraničia </w:t>
      </w:r>
      <w:r w:rsidR="00503E9F">
        <w:rPr>
          <w:bCs/>
        </w:rPr>
        <w:t>medziročne vzrástli o 887</w:t>
      </w:r>
      <w:r w:rsidR="00487D5F">
        <w:rPr>
          <w:bCs/>
        </w:rPr>
        <w:t> </w:t>
      </w:r>
      <w:r w:rsidR="00503E9F">
        <w:rPr>
          <w:bCs/>
        </w:rPr>
        <w:t>206</w:t>
      </w:r>
      <w:r w:rsidR="00487D5F">
        <w:rPr>
          <w:bCs/>
        </w:rPr>
        <w:t> </w:t>
      </w:r>
      <w:r w:rsidRPr="00EE428A">
        <w:rPr>
          <w:bCs/>
        </w:rPr>
        <w:t>tis.</w:t>
      </w:r>
      <w:r w:rsidR="00487D5F">
        <w:rPr>
          <w:bCs/>
        </w:rPr>
        <w:t> </w:t>
      </w:r>
      <w:r w:rsidRPr="00EE428A">
        <w:rPr>
          <w:bCs/>
        </w:rPr>
        <w:t>eur, čo bolo spôsobené nárastom príjmov z EÚ fondov o 2 321</w:t>
      </w:r>
      <w:r w:rsidR="00487D5F">
        <w:rPr>
          <w:bCs/>
        </w:rPr>
        <w:t> </w:t>
      </w:r>
      <w:r w:rsidRPr="00EE428A">
        <w:rPr>
          <w:bCs/>
        </w:rPr>
        <w:t>572</w:t>
      </w:r>
      <w:r w:rsidR="00487D5F">
        <w:rPr>
          <w:bCs/>
        </w:rPr>
        <w:t> </w:t>
      </w:r>
      <w:r w:rsidRPr="00EE428A">
        <w:rPr>
          <w:bCs/>
        </w:rPr>
        <w:t>tis.</w:t>
      </w:r>
      <w:r w:rsidR="00487D5F">
        <w:rPr>
          <w:bCs/>
        </w:rPr>
        <w:t> </w:t>
      </w:r>
      <w:r w:rsidRPr="00EE428A">
        <w:rPr>
          <w:bCs/>
        </w:rPr>
        <w:t>eur. Podľa metodiky ESA sa príjmy a výdavky z EÚ fondov, kde konečný príjemca je mimo sektora verejnej správy vylučujú. Preto tento medziročný nárast bol čiastočne kompenzovaný vyšším vylúčením príjmových transferov z EÚ smerujúcich mimo sektor verejnej správy o 642</w:t>
      </w:r>
      <w:r w:rsidR="00487D5F">
        <w:rPr>
          <w:bCs/>
        </w:rPr>
        <w:t> </w:t>
      </w:r>
      <w:r w:rsidRPr="00EE428A">
        <w:rPr>
          <w:bCs/>
        </w:rPr>
        <w:t>315</w:t>
      </w:r>
      <w:r w:rsidR="00487D5F">
        <w:rPr>
          <w:bCs/>
        </w:rPr>
        <w:t> </w:t>
      </w:r>
      <w:r w:rsidRPr="00EE428A">
        <w:rPr>
          <w:bCs/>
        </w:rPr>
        <w:t>tis.</w:t>
      </w:r>
      <w:r w:rsidR="00487D5F">
        <w:rPr>
          <w:bCs/>
        </w:rPr>
        <w:t> </w:t>
      </w:r>
      <w:r w:rsidR="00CA402E">
        <w:rPr>
          <w:bCs/>
        </w:rPr>
        <w:t xml:space="preserve">eur. </w:t>
      </w:r>
    </w:p>
    <w:p w14:paraId="617887AF" w14:textId="06D6A18E" w:rsidR="0029028D" w:rsidRPr="00B24C71" w:rsidRDefault="00184638" w:rsidP="0029028D">
      <w:pPr>
        <w:spacing w:after="0" w:line="240" w:lineRule="auto"/>
        <w:jc w:val="both"/>
        <w:rPr>
          <w:szCs w:val="22"/>
        </w:rPr>
      </w:pPr>
      <w:r>
        <w:rPr>
          <w:szCs w:val="22"/>
        </w:rPr>
        <w:t>Nárast výšky bežných transferov čiastočne eliminovalo zaznamenanie refundácií programu Fast – Care</w:t>
      </w:r>
      <w:r w:rsidR="00802CDA">
        <w:rPr>
          <w:rStyle w:val="Odkaznapoznmkupodiarou"/>
          <w:szCs w:val="22"/>
        </w:rPr>
        <w:footnoteReference w:id="17"/>
      </w:r>
      <w:r>
        <w:rPr>
          <w:szCs w:val="22"/>
        </w:rPr>
        <w:t xml:space="preserve"> </w:t>
      </w:r>
      <w:r w:rsidRPr="00B24C71">
        <w:rPr>
          <w:szCs w:val="22"/>
        </w:rPr>
        <w:t>(podpora krajín, ktoré prichýlili vysídlené osoby z Ukrajiny)</w:t>
      </w:r>
      <w:r>
        <w:rPr>
          <w:szCs w:val="22"/>
        </w:rPr>
        <w:t>. R</w:t>
      </w:r>
      <w:r w:rsidR="0029028D" w:rsidRPr="00B24C71">
        <w:rPr>
          <w:szCs w:val="22"/>
        </w:rPr>
        <w:t>efundácia, ktorá sa hotovostne realizovala v roku 2023 sa posunula akruálne do roku 2022 (vo výške 260 238 tis. eur), kedy sa uskutočnili súvisiace výdavky.</w:t>
      </w:r>
      <w:r>
        <w:rPr>
          <w:szCs w:val="22"/>
        </w:rPr>
        <w:t xml:space="preserve"> Z tohto dôvodu sa </w:t>
      </w:r>
      <w:r w:rsidR="00F95F98">
        <w:rPr>
          <w:szCs w:val="22"/>
        </w:rPr>
        <w:t xml:space="preserve">medziročne </w:t>
      </w:r>
      <w:r>
        <w:rPr>
          <w:szCs w:val="22"/>
        </w:rPr>
        <w:t>znížili ESA príjmy z refundácií.</w:t>
      </w:r>
    </w:p>
    <w:p w14:paraId="02874D83" w14:textId="24FD9EED" w:rsidR="0029028D" w:rsidRPr="003D01AD" w:rsidRDefault="0029028D" w:rsidP="0029028D">
      <w:pPr>
        <w:spacing w:before="120" w:after="120" w:line="240" w:lineRule="auto"/>
        <w:jc w:val="both"/>
        <w:rPr>
          <w:bCs/>
        </w:rPr>
      </w:pPr>
      <w:r w:rsidRPr="003D01AD">
        <w:rPr>
          <w:bCs/>
        </w:rPr>
        <w:t>V rámci bežných transferov bol zaznamenaný aj vplyv odd</w:t>
      </w:r>
      <w:r w:rsidR="00487D5F" w:rsidRPr="003D01AD">
        <w:rPr>
          <w:bCs/>
        </w:rPr>
        <w:t>lžovania Sociálnej poisťovne za </w:t>
      </w:r>
      <w:r w:rsidRPr="003D01AD">
        <w:rPr>
          <w:bCs/>
        </w:rPr>
        <w:t>pohľadávky voči zdravotníckym zariadeniam, medziročne došlo k poklesu o</w:t>
      </w:r>
      <w:r w:rsidR="00487D5F" w:rsidRPr="003D01AD">
        <w:rPr>
          <w:bCs/>
        </w:rPr>
        <w:t> </w:t>
      </w:r>
      <w:r w:rsidRPr="003D01AD">
        <w:rPr>
          <w:bCs/>
        </w:rPr>
        <w:t>100</w:t>
      </w:r>
      <w:r w:rsidR="00487D5F" w:rsidRPr="003D01AD">
        <w:rPr>
          <w:bCs/>
        </w:rPr>
        <w:t> 415 </w:t>
      </w:r>
      <w:r w:rsidRPr="003D01AD">
        <w:rPr>
          <w:bCs/>
        </w:rPr>
        <w:t>tis.</w:t>
      </w:r>
      <w:r w:rsidR="00487D5F" w:rsidRPr="003D01AD">
        <w:rPr>
          <w:bCs/>
        </w:rPr>
        <w:t> </w:t>
      </w:r>
      <w:r w:rsidRPr="003D01AD">
        <w:rPr>
          <w:bCs/>
        </w:rPr>
        <w:t>eur (nakoľko v roku 2023 sa</w:t>
      </w:r>
      <w:r w:rsidR="00487D5F" w:rsidRPr="003D01AD">
        <w:rPr>
          <w:bCs/>
        </w:rPr>
        <w:t> </w:t>
      </w:r>
      <w:r w:rsidRPr="003D01AD">
        <w:rPr>
          <w:bCs/>
        </w:rPr>
        <w:t>nerealizovalo</w:t>
      </w:r>
      <w:r w:rsidR="000E7DA0" w:rsidRPr="000E7DA0">
        <w:rPr>
          <w:bCs/>
        </w:rPr>
        <w:t xml:space="preserve"> </w:t>
      </w:r>
      <w:r w:rsidR="000E7DA0" w:rsidRPr="003D01AD">
        <w:rPr>
          <w:bCs/>
        </w:rPr>
        <w:t>oddlžovanie</w:t>
      </w:r>
      <w:r w:rsidR="000E7DA0">
        <w:rPr>
          <w:bCs/>
        </w:rPr>
        <w:t xml:space="preserve"> Sociálnej poisťovne za</w:t>
      </w:r>
      <w:r w:rsidR="000E7DA0" w:rsidRPr="000E7DA0">
        <w:rPr>
          <w:bCs/>
        </w:rPr>
        <w:t xml:space="preserve"> </w:t>
      </w:r>
      <w:r w:rsidR="000E7DA0">
        <w:rPr>
          <w:bCs/>
        </w:rPr>
        <w:t>pohľadávky voči zdravotníckym zariadeniam</w:t>
      </w:r>
      <w:r w:rsidRPr="003D01AD">
        <w:rPr>
          <w:bCs/>
        </w:rPr>
        <w:t>).</w:t>
      </w:r>
    </w:p>
    <w:p w14:paraId="1BB53963" w14:textId="161FA176" w:rsidR="0029028D" w:rsidRPr="00B610D5" w:rsidRDefault="0029028D" w:rsidP="0029028D">
      <w:pPr>
        <w:spacing w:after="120" w:line="240" w:lineRule="auto"/>
        <w:jc w:val="both"/>
        <w:rPr>
          <w:bCs/>
        </w:rPr>
      </w:pPr>
      <w:r w:rsidRPr="00B610D5">
        <w:rPr>
          <w:bCs/>
        </w:rPr>
        <w:lastRenderedPageBreak/>
        <w:t xml:space="preserve">V rámci </w:t>
      </w:r>
      <w:r w:rsidR="0011263E" w:rsidRPr="0011263E">
        <w:rPr>
          <w:bCs/>
          <w:u w:val="single"/>
        </w:rPr>
        <w:t xml:space="preserve">prijatých </w:t>
      </w:r>
      <w:r w:rsidRPr="00B610D5">
        <w:rPr>
          <w:bCs/>
          <w:u w:val="single"/>
        </w:rPr>
        <w:t>kapitálových transferov</w:t>
      </w:r>
      <w:r w:rsidRPr="00B610D5">
        <w:rPr>
          <w:bCs/>
        </w:rPr>
        <w:t xml:space="preserve"> medziročne vzrástli </w:t>
      </w:r>
      <w:r w:rsidR="002A3FAA" w:rsidRPr="008534C6">
        <w:rPr>
          <w:bCs/>
        </w:rPr>
        <w:t>hotovostn</w:t>
      </w:r>
      <w:r w:rsidR="00970F96" w:rsidRPr="008534C6">
        <w:rPr>
          <w:bCs/>
        </w:rPr>
        <w:t>é</w:t>
      </w:r>
      <w:r w:rsidR="002A3FAA" w:rsidRPr="008534C6">
        <w:rPr>
          <w:bCs/>
        </w:rPr>
        <w:t xml:space="preserve"> </w:t>
      </w:r>
      <w:r w:rsidRPr="008534C6">
        <w:rPr>
          <w:bCs/>
        </w:rPr>
        <w:t>príjmy</w:t>
      </w:r>
      <w:r w:rsidRPr="00B610D5">
        <w:rPr>
          <w:bCs/>
        </w:rPr>
        <w:t xml:space="preserve"> v týchto zložkách:</w:t>
      </w:r>
    </w:p>
    <w:p w14:paraId="1267578C" w14:textId="5D6863A1" w:rsidR="0029028D" w:rsidRDefault="0029028D" w:rsidP="0029028D">
      <w:pPr>
        <w:pStyle w:val="Odsekzoznamu"/>
        <w:numPr>
          <w:ilvl w:val="0"/>
          <w:numId w:val="44"/>
        </w:numPr>
        <w:spacing w:before="120" w:after="120"/>
        <w:ind w:left="714" w:hanging="357"/>
        <w:contextualSpacing w:val="0"/>
        <w:jc w:val="both"/>
      </w:pPr>
      <w:r w:rsidRPr="00B610D5">
        <w:rPr>
          <w:b/>
          <w:bCs/>
          <w:i/>
        </w:rPr>
        <w:t>ŽSR</w:t>
      </w:r>
      <w:r w:rsidRPr="00B610D5">
        <w:rPr>
          <w:bCs/>
        </w:rPr>
        <w:t xml:space="preserve"> vzrástli</w:t>
      </w:r>
      <w:r w:rsidRPr="0067410A">
        <w:rPr>
          <w:bCs/>
        </w:rPr>
        <w:t xml:space="preserve"> </w:t>
      </w:r>
      <w:r w:rsidR="00A15058">
        <w:rPr>
          <w:bCs/>
        </w:rPr>
        <w:t xml:space="preserve">prijaté </w:t>
      </w:r>
      <w:r>
        <w:rPr>
          <w:bCs/>
        </w:rPr>
        <w:t>k</w:t>
      </w:r>
      <w:r w:rsidRPr="0067410A">
        <w:rPr>
          <w:bCs/>
        </w:rPr>
        <w:t>apitálov</w:t>
      </w:r>
      <w:r>
        <w:rPr>
          <w:bCs/>
        </w:rPr>
        <w:t>é</w:t>
      </w:r>
      <w:r w:rsidRPr="0067410A">
        <w:rPr>
          <w:bCs/>
        </w:rPr>
        <w:t xml:space="preserve"> transfe</w:t>
      </w:r>
      <w:r>
        <w:rPr>
          <w:bCs/>
        </w:rPr>
        <w:t>ry</w:t>
      </w:r>
      <w:r>
        <w:t xml:space="preserve"> v rámci VS o 67</w:t>
      </w:r>
      <w:r w:rsidR="00487D5F">
        <w:t> </w:t>
      </w:r>
      <w:r>
        <w:t>669</w:t>
      </w:r>
      <w:r w:rsidR="00487D5F">
        <w:t> </w:t>
      </w:r>
      <w:r>
        <w:t>tis.</w:t>
      </w:r>
      <w:r w:rsidR="00487D5F">
        <w:t> </w:t>
      </w:r>
      <w:r>
        <w:t>eur.</w:t>
      </w:r>
      <w:r w:rsidR="00A15058">
        <w:t xml:space="preserve"> V</w:t>
      </w:r>
      <w:r>
        <w:t> roku 2023 bolo nižšie poskytnutie kapitálového transferu  zo štátneho rozpočtu o</w:t>
      </w:r>
      <w:r w:rsidR="00001004">
        <w:t> 28 499</w:t>
      </w:r>
      <w:r w:rsidR="00487D5F">
        <w:t> </w:t>
      </w:r>
      <w:r w:rsidR="00001004">
        <w:t>tis</w:t>
      </w:r>
      <w:r>
        <w:t>.</w:t>
      </w:r>
      <w:r w:rsidR="00487D5F">
        <w:t> </w:t>
      </w:r>
      <w:r>
        <w:t>eu</w:t>
      </w:r>
      <w:r w:rsidR="00487D5F">
        <w:t>r v zmysle čiastkovej zmluvy na </w:t>
      </w:r>
      <w:r>
        <w:t xml:space="preserve">modernizáciu a rozvoj ŽI, </w:t>
      </w:r>
      <w:r w:rsidR="00C44E1D">
        <w:t xml:space="preserve">ktoré však boli </w:t>
      </w:r>
      <w:r>
        <w:t xml:space="preserve">na druhej strane </w:t>
      </w:r>
      <w:r w:rsidR="00C44E1D">
        <w:t>eliminované poskytnutím</w:t>
      </w:r>
      <w:r w:rsidR="00D71003">
        <w:t xml:space="preserve"> </w:t>
      </w:r>
      <w:r>
        <w:t>vyššie</w:t>
      </w:r>
      <w:r w:rsidR="00C44E1D">
        <w:t>ho objemu</w:t>
      </w:r>
      <w:r w:rsidR="00487D5F">
        <w:t xml:space="preserve"> </w:t>
      </w:r>
      <w:r w:rsidR="00001004">
        <w:t>prostriedkov</w:t>
      </w:r>
      <w:r w:rsidR="00C44E1D">
        <w:t xml:space="preserve"> z</w:t>
      </w:r>
      <w:r w:rsidR="00001004">
        <w:t xml:space="preserve"> OPII o 96 564</w:t>
      </w:r>
      <w:r w:rsidR="00487D5F">
        <w:t> </w:t>
      </w:r>
      <w:r w:rsidR="00001004">
        <w:t>tis</w:t>
      </w:r>
      <w:r>
        <w:t>. eur (aj  z dôvodu ukončenia OPII).</w:t>
      </w:r>
    </w:p>
    <w:p w14:paraId="21965267" w14:textId="7CBF5782" w:rsidR="0029028D" w:rsidRDefault="00B6008D" w:rsidP="0029028D">
      <w:pPr>
        <w:pStyle w:val="Odsekzoznamu"/>
        <w:numPr>
          <w:ilvl w:val="0"/>
          <w:numId w:val="44"/>
        </w:numPr>
        <w:spacing w:before="120" w:after="120"/>
        <w:ind w:left="714" w:hanging="357"/>
        <w:contextualSpacing w:val="0"/>
        <w:jc w:val="both"/>
      </w:pPr>
      <w:r>
        <w:rPr>
          <w:b/>
          <w:i/>
        </w:rPr>
        <w:t>ZSSK</w:t>
      </w:r>
      <w:r w:rsidR="0029028D">
        <w:t xml:space="preserve"> -</w:t>
      </w:r>
      <w:r w:rsidR="0029028D" w:rsidRPr="0067410A">
        <w:t xml:space="preserve"> </w:t>
      </w:r>
      <w:r w:rsidR="0029028D">
        <w:t>v</w:t>
      </w:r>
      <w:r w:rsidR="0029028D" w:rsidRPr="0067410A">
        <w:t xml:space="preserve"> roku 2023 došlo k výraznému nárastu prijatých kapitálových transferov zo štrukturálnych fondov EÚ a ŠR o</w:t>
      </w:r>
      <w:r w:rsidR="00487D5F">
        <w:t> </w:t>
      </w:r>
      <w:r w:rsidR="0029028D" w:rsidRPr="0067410A">
        <w:t>168</w:t>
      </w:r>
      <w:r w:rsidR="00487D5F">
        <w:t> </w:t>
      </w:r>
      <w:r w:rsidR="0029028D" w:rsidRPr="0067410A">
        <w:t>066</w:t>
      </w:r>
      <w:r w:rsidR="00487D5F">
        <w:t> </w:t>
      </w:r>
      <w:r w:rsidR="0029028D" w:rsidRPr="0067410A">
        <w:t>tis.</w:t>
      </w:r>
      <w:r w:rsidR="00487D5F">
        <w:t> </w:t>
      </w:r>
      <w:r w:rsidR="0029028D" w:rsidRPr="0067410A">
        <w:t>eur, čo značne posilnilo finančnú stabilitu a umožnilo realizáciu strategických investícií. Tieto transfery, určené na</w:t>
      </w:r>
      <w:r w:rsidR="00487D5F">
        <w:t> </w:t>
      </w:r>
      <w:r w:rsidR="0029028D" w:rsidRPr="0067410A">
        <w:t>podporu rozvojových projektov, modernizáciu infraštruktúry a ino</w:t>
      </w:r>
      <w:r w:rsidR="00487D5F">
        <w:t>vácie, vytvorili predpoklad pre </w:t>
      </w:r>
      <w:r w:rsidR="0029028D" w:rsidRPr="0067410A">
        <w:t>zlepšenie kvality služieb a</w:t>
      </w:r>
      <w:r w:rsidR="00C765EA">
        <w:t> </w:t>
      </w:r>
      <w:r w:rsidR="0029028D" w:rsidRPr="0067410A">
        <w:t>efektívnejšie využívanie zdrojov. Zvýšené kapitálové transfery pomohli financovať zásadné modernizačné projekt</w:t>
      </w:r>
      <w:r w:rsidR="00487D5F">
        <w:t>y, vrátane obnovy technológií a </w:t>
      </w:r>
      <w:r w:rsidR="0029028D" w:rsidRPr="0067410A">
        <w:t>vozového parku, čo</w:t>
      </w:r>
      <w:r w:rsidR="00487D5F">
        <w:t> </w:t>
      </w:r>
      <w:r w:rsidR="0029028D" w:rsidRPr="0067410A">
        <w:t>prispelo k dlhodobej udržateľnosti a</w:t>
      </w:r>
      <w:r w:rsidR="0040316C">
        <w:t> </w:t>
      </w:r>
      <w:r w:rsidR="0029028D" w:rsidRPr="0067410A">
        <w:t>zvýšeniu konkurencieschopnosti na trhu. Tento nárast transferov tiež znamenal lepšie finančné plánovanie a väčšiu flexibilitu pri realizácii dôležitých investičných zámerov, ktoré zabezpečia dlhodobý rast a rozvoj.</w:t>
      </w:r>
    </w:p>
    <w:p w14:paraId="1EE40A45" w14:textId="6BF37B54" w:rsidR="0029028D" w:rsidRDefault="0029028D" w:rsidP="0029028D">
      <w:pPr>
        <w:pStyle w:val="Odsekzoznamu"/>
        <w:numPr>
          <w:ilvl w:val="0"/>
          <w:numId w:val="44"/>
        </w:numPr>
        <w:spacing w:before="120" w:after="120"/>
        <w:ind w:left="714" w:hanging="357"/>
        <w:contextualSpacing w:val="0"/>
        <w:jc w:val="both"/>
      </w:pPr>
      <w:r w:rsidRPr="00E443BE">
        <w:t xml:space="preserve">Medziročne vzrástli kapitálové transfery </w:t>
      </w:r>
      <w:r w:rsidRPr="007553BF">
        <w:rPr>
          <w:b/>
          <w:i/>
        </w:rPr>
        <w:t>príspevkovým organizáciám štátu</w:t>
      </w:r>
      <w:r w:rsidRPr="00E443BE">
        <w:t xml:space="preserve"> o</w:t>
      </w:r>
      <w:r w:rsidR="00487D5F">
        <w:t> </w:t>
      </w:r>
      <w:r w:rsidRPr="00E443BE">
        <w:t>240</w:t>
      </w:r>
      <w:r w:rsidR="00487D5F">
        <w:t> </w:t>
      </w:r>
      <w:r w:rsidRPr="00E443BE">
        <w:t>875</w:t>
      </w:r>
      <w:r w:rsidR="00487D5F">
        <w:t> </w:t>
      </w:r>
      <w:r w:rsidRPr="00E443BE">
        <w:t>tis.</w:t>
      </w:r>
      <w:r w:rsidR="00487D5F">
        <w:t> </w:t>
      </w:r>
      <w:r w:rsidRPr="00E443BE">
        <w:t>eur. Podstatnú časť z tejto sumy predstavuje transfer Slovenskej ag</w:t>
      </w:r>
      <w:r w:rsidR="00487D5F">
        <w:t>entúre životného prostredia pod </w:t>
      </w:r>
      <w:r w:rsidRPr="00E443BE">
        <w:t xml:space="preserve">kódom zdroja Plán </w:t>
      </w:r>
      <w:r w:rsidR="00487D5F">
        <w:t>obnovy a odolnosti v objeme 180 </w:t>
      </w:r>
      <w:r w:rsidRPr="00E443BE">
        <w:t>346</w:t>
      </w:r>
      <w:r w:rsidR="00487D5F">
        <w:t> tis. </w:t>
      </w:r>
      <w:r w:rsidRPr="00E443BE">
        <w:t xml:space="preserve">eur </w:t>
      </w:r>
      <w:r w:rsidR="00487D5F">
        <w:t>n</w:t>
      </w:r>
      <w:r w:rsidRPr="00E443BE">
        <w:t>a</w:t>
      </w:r>
      <w:r w:rsidR="00487D5F">
        <w:t> </w:t>
      </w:r>
      <w:r w:rsidRPr="00E443BE">
        <w:t>opatrenia na</w:t>
      </w:r>
      <w:r w:rsidR="00487D5F">
        <w:t> </w:t>
      </w:r>
      <w:r w:rsidRPr="00E443BE">
        <w:t>podporu čiastkovej obnovy domácností „Obnov dom“.</w:t>
      </w:r>
    </w:p>
    <w:p w14:paraId="2D6AAC2B" w14:textId="6F98F61A" w:rsidR="0029028D" w:rsidRDefault="0029028D" w:rsidP="0029028D">
      <w:pPr>
        <w:pStyle w:val="Odsekzoznamu"/>
        <w:numPr>
          <w:ilvl w:val="0"/>
          <w:numId w:val="44"/>
        </w:numPr>
        <w:spacing w:before="120" w:after="120"/>
        <w:ind w:left="714" w:hanging="357"/>
        <w:contextualSpacing w:val="0"/>
        <w:jc w:val="both"/>
      </w:pPr>
      <w:r w:rsidRPr="00B3577B">
        <w:rPr>
          <w:b/>
          <w:i/>
        </w:rPr>
        <w:t>Verejné vysoké školy</w:t>
      </w:r>
      <w:r>
        <w:t xml:space="preserve"> prijali</w:t>
      </w:r>
      <w:r w:rsidR="00487D5F">
        <w:t xml:space="preserve"> medziročne o 95 573 tis. </w:t>
      </w:r>
      <w:r w:rsidRPr="00B3577B">
        <w:t>eur viac finančných prostriedkov určených predovšetkým na rekonštrukcie a modernizácie budov vysokých š</w:t>
      </w:r>
      <w:r w:rsidR="00487D5F">
        <w:t>kôl a na </w:t>
      </w:r>
      <w:r>
        <w:t>realizáciu projektov z </w:t>
      </w:r>
      <w:r w:rsidRPr="00B3577B">
        <w:t>oblasti vedy a výskumu.</w:t>
      </w:r>
    </w:p>
    <w:p w14:paraId="705BC2D0" w14:textId="5FFDCFC1" w:rsidR="0029028D" w:rsidRPr="00E0734D" w:rsidRDefault="004D6DF5" w:rsidP="0029028D">
      <w:pPr>
        <w:spacing w:after="120" w:line="240" w:lineRule="auto"/>
        <w:jc w:val="both"/>
        <w:rPr>
          <w:rFonts w:cs="Book Antiqua"/>
          <w:szCs w:val="22"/>
          <w:lang w:eastAsia="sk-SK"/>
        </w:rPr>
      </w:pPr>
      <w:r>
        <w:t>Uznesením vlády Slovenskej republiky č. 459 z 13. septembra 2023</w:t>
      </w:r>
      <w:r>
        <w:rPr>
          <w:rStyle w:val="Odkaznapoznmkupodiarou"/>
        </w:rPr>
        <w:footnoteReference w:id="18"/>
      </w:r>
      <w:r>
        <w:t xml:space="preserve"> bolo schválené zníženie štátnych finančných aktív v sume 151 823 tis. eur, ktoré boli poskytnuté ako návratná finančná výpomoc obciam a</w:t>
      </w:r>
      <w:r w:rsidR="008A1278">
        <w:t> </w:t>
      </w:r>
      <w:r>
        <w:t xml:space="preserve">vyšším územným celkom v roku 2020 </w:t>
      </w:r>
      <w:r>
        <w:rPr>
          <w:rFonts w:cs="Book Antiqua"/>
          <w:szCs w:val="22"/>
          <w:lang w:eastAsia="sk-SK"/>
        </w:rPr>
        <w:t xml:space="preserve">na </w:t>
      </w:r>
      <w:r w:rsidR="0029028D" w:rsidRPr="00F44FAD">
        <w:rPr>
          <w:rFonts w:cs="Book Antiqua"/>
          <w:szCs w:val="22"/>
          <w:lang w:eastAsia="sk-SK"/>
        </w:rPr>
        <w:t>kompenz</w:t>
      </w:r>
      <w:r>
        <w:rPr>
          <w:rFonts w:cs="Book Antiqua"/>
          <w:szCs w:val="22"/>
          <w:lang w:eastAsia="sk-SK"/>
        </w:rPr>
        <w:t>áciu</w:t>
      </w:r>
      <w:r w:rsidR="0029028D" w:rsidRPr="00F44FAD">
        <w:rPr>
          <w:rFonts w:cs="Book Antiqua"/>
          <w:szCs w:val="22"/>
          <w:lang w:eastAsia="sk-SK"/>
        </w:rPr>
        <w:t xml:space="preserve"> výpadk</w:t>
      </w:r>
      <w:r>
        <w:rPr>
          <w:rFonts w:cs="Book Antiqua"/>
          <w:szCs w:val="22"/>
          <w:lang w:eastAsia="sk-SK"/>
        </w:rPr>
        <w:t>u</w:t>
      </w:r>
      <w:r w:rsidR="0029028D" w:rsidRPr="00F44FAD">
        <w:rPr>
          <w:rFonts w:cs="Book Antiqua"/>
          <w:szCs w:val="22"/>
          <w:lang w:eastAsia="sk-SK"/>
        </w:rPr>
        <w:t xml:space="preserve"> DPFO v dôsledku pandémie</w:t>
      </w:r>
      <w:r>
        <w:rPr>
          <w:rFonts w:cs="Book Antiqua"/>
          <w:szCs w:val="22"/>
          <w:lang w:eastAsia="sk-SK"/>
        </w:rPr>
        <w:br/>
      </w:r>
      <w:r w:rsidR="0029028D" w:rsidRPr="00F44FAD">
        <w:rPr>
          <w:rFonts w:cs="Book Antiqua"/>
          <w:szCs w:val="22"/>
          <w:lang w:eastAsia="sk-SK"/>
        </w:rPr>
        <w:t>COVID-19. Toto odpustenie sa v zmysle metodike ESA</w:t>
      </w:r>
      <w:r w:rsidR="00487D5F">
        <w:rPr>
          <w:rFonts w:cs="Book Antiqua"/>
          <w:szCs w:val="22"/>
          <w:lang w:eastAsia="sk-SK"/>
        </w:rPr>
        <w:t> </w:t>
      </w:r>
      <w:r w:rsidR="0029028D" w:rsidRPr="00F44FAD">
        <w:rPr>
          <w:rFonts w:cs="Book Antiqua"/>
          <w:szCs w:val="22"/>
          <w:lang w:eastAsia="sk-SK"/>
        </w:rPr>
        <w:t>2010 zaznamenalo ako imputácia prijatého kapitálového transferu za obce</w:t>
      </w:r>
      <w:r w:rsidR="000177FD">
        <w:rPr>
          <w:rFonts w:cs="Book Antiqua"/>
          <w:szCs w:val="22"/>
          <w:lang w:eastAsia="sk-SK"/>
        </w:rPr>
        <w:t xml:space="preserve"> </w:t>
      </w:r>
      <w:r w:rsidR="00487D5F">
        <w:rPr>
          <w:rFonts w:cs="Book Antiqua"/>
          <w:szCs w:val="22"/>
          <w:lang w:eastAsia="sk-SK"/>
        </w:rPr>
        <w:t>vo výške 99 749 tis. eur a za VÚ</w:t>
      </w:r>
      <w:r w:rsidR="0029028D" w:rsidRPr="00F44FAD">
        <w:rPr>
          <w:rFonts w:cs="Book Antiqua"/>
          <w:szCs w:val="22"/>
          <w:lang w:eastAsia="sk-SK"/>
        </w:rPr>
        <w:t xml:space="preserve">C vo výške 52 074 tis. eur, čo výrazne pozitívne </w:t>
      </w:r>
      <w:r w:rsidR="0029028D" w:rsidRPr="00E0734D">
        <w:rPr>
          <w:rFonts w:cs="Book Antiqua"/>
          <w:szCs w:val="22"/>
          <w:lang w:eastAsia="sk-SK"/>
        </w:rPr>
        <w:t xml:space="preserve">ovplyvnilo </w:t>
      </w:r>
      <w:r w:rsidR="00D71003">
        <w:rPr>
          <w:rFonts w:cs="Book Antiqua"/>
          <w:szCs w:val="22"/>
          <w:lang w:eastAsia="sk-SK"/>
        </w:rPr>
        <w:t xml:space="preserve">ich </w:t>
      </w:r>
      <w:r w:rsidR="0029028D" w:rsidRPr="00E0734D">
        <w:rPr>
          <w:rFonts w:cs="Book Antiqua"/>
          <w:szCs w:val="22"/>
          <w:lang w:eastAsia="sk-SK"/>
        </w:rPr>
        <w:t>prebytok</w:t>
      </w:r>
      <w:r w:rsidR="00D71003">
        <w:rPr>
          <w:rFonts w:cs="Book Antiqua"/>
          <w:szCs w:val="22"/>
          <w:lang w:eastAsia="sk-SK"/>
        </w:rPr>
        <w:t xml:space="preserve"> v metodike ESA</w:t>
      </w:r>
      <w:r w:rsidR="00735DD8">
        <w:rPr>
          <w:rStyle w:val="Odkaznapoznmkupodiarou"/>
          <w:szCs w:val="22"/>
          <w:lang w:eastAsia="sk-SK"/>
        </w:rPr>
        <w:footnoteReference w:id="19"/>
      </w:r>
      <w:r w:rsidR="0029028D" w:rsidRPr="00E0734D">
        <w:rPr>
          <w:rFonts w:cs="Book Antiqua"/>
          <w:szCs w:val="22"/>
          <w:lang w:eastAsia="sk-SK"/>
        </w:rPr>
        <w:t>.</w:t>
      </w:r>
    </w:p>
    <w:p w14:paraId="0B4D9390" w14:textId="5842C32D" w:rsidR="0029028D" w:rsidRPr="00E0734D" w:rsidRDefault="003D01AD" w:rsidP="0029028D">
      <w:pPr>
        <w:spacing w:after="120" w:line="240" w:lineRule="auto"/>
        <w:jc w:val="both"/>
        <w:rPr>
          <w:bCs/>
        </w:rPr>
      </w:pPr>
      <w:r>
        <w:rPr>
          <w:bCs/>
        </w:rPr>
        <w:t xml:space="preserve">Nárast prijatých kapitálových transferov </w:t>
      </w:r>
      <w:r w:rsidR="00CE2E86">
        <w:rPr>
          <w:bCs/>
        </w:rPr>
        <w:t xml:space="preserve">verejnej správy </w:t>
      </w:r>
      <w:r>
        <w:rPr>
          <w:bCs/>
        </w:rPr>
        <w:t xml:space="preserve">bol eliminovaný znížením príjmových kapitálových transferov zdravotníckych zariadení vplyvom </w:t>
      </w:r>
      <w:r w:rsidR="00CE2E86">
        <w:rPr>
          <w:bCs/>
        </w:rPr>
        <w:t xml:space="preserve">nižšej hodnoty </w:t>
      </w:r>
      <w:r>
        <w:rPr>
          <w:bCs/>
        </w:rPr>
        <w:t>oddlžovania</w:t>
      </w:r>
      <w:r w:rsidR="004F7283">
        <w:rPr>
          <w:bCs/>
        </w:rPr>
        <w:t xml:space="preserve"> ako v roku 2022.</w:t>
      </w:r>
    </w:p>
    <w:p w14:paraId="3A22A14D" w14:textId="0E683266" w:rsidR="0029028D" w:rsidRPr="00631BEA" w:rsidRDefault="00227134" w:rsidP="0029028D">
      <w:pPr>
        <w:spacing w:after="120" w:line="240" w:lineRule="auto"/>
        <w:jc w:val="both"/>
        <w:rPr>
          <w:bCs/>
        </w:rPr>
      </w:pPr>
      <w:r>
        <w:rPr>
          <w:bCs/>
        </w:rPr>
        <w:t xml:space="preserve">Pokles bol zaznamenaný aj v hodnote preklasifikovaných príjmových kapitálových transferov. </w:t>
      </w:r>
      <w:r w:rsidR="0029028D" w:rsidRPr="00404E76">
        <w:rPr>
          <w:bCs/>
        </w:rPr>
        <w:t xml:space="preserve">V roku 2023 sa preklasifikovali vklady do základného imania </w:t>
      </w:r>
      <w:r w:rsidR="000259AA">
        <w:rPr>
          <w:bCs/>
        </w:rPr>
        <w:t>(</w:t>
      </w:r>
      <w:r w:rsidR="0029028D" w:rsidRPr="00404E76">
        <w:rPr>
          <w:bCs/>
        </w:rPr>
        <w:t>najmä zo štátnych</w:t>
      </w:r>
      <w:r w:rsidR="0029028D">
        <w:rPr>
          <w:bCs/>
        </w:rPr>
        <w:t xml:space="preserve"> finančných aktív</w:t>
      </w:r>
      <w:r w:rsidR="000259AA">
        <w:rPr>
          <w:bCs/>
        </w:rPr>
        <w:t>)</w:t>
      </w:r>
      <w:r w:rsidR="0029028D">
        <w:rPr>
          <w:bCs/>
        </w:rPr>
        <w:t xml:space="preserve"> </w:t>
      </w:r>
      <w:r w:rsidR="0029028D" w:rsidRPr="00631BEA">
        <w:rPr>
          <w:bCs/>
        </w:rPr>
        <w:t>spolu vo</w:t>
      </w:r>
      <w:r w:rsidR="00487D5F">
        <w:rPr>
          <w:bCs/>
        </w:rPr>
        <w:t> </w:t>
      </w:r>
      <w:r w:rsidR="0029028D" w:rsidRPr="00631BEA">
        <w:rPr>
          <w:bCs/>
        </w:rPr>
        <w:t>výške 204</w:t>
      </w:r>
      <w:r w:rsidR="00487D5F">
        <w:rPr>
          <w:bCs/>
        </w:rPr>
        <w:t> </w:t>
      </w:r>
      <w:r w:rsidR="0029028D" w:rsidRPr="00631BEA">
        <w:rPr>
          <w:bCs/>
        </w:rPr>
        <w:t>319</w:t>
      </w:r>
      <w:r w:rsidR="00487D5F">
        <w:rPr>
          <w:bCs/>
        </w:rPr>
        <w:t> </w:t>
      </w:r>
      <w:r w:rsidR="0029028D" w:rsidRPr="00631BEA">
        <w:rPr>
          <w:bCs/>
        </w:rPr>
        <w:t>tis.</w:t>
      </w:r>
      <w:r w:rsidR="00487D5F">
        <w:rPr>
          <w:bCs/>
        </w:rPr>
        <w:t> </w:t>
      </w:r>
      <w:r w:rsidR="0029028D" w:rsidRPr="00631BEA">
        <w:rPr>
          <w:bCs/>
        </w:rPr>
        <w:t>eur, čo v porovnaní s predchádzajúc</w:t>
      </w:r>
      <w:r w:rsidR="00487D5F">
        <w:rPr>
          <w:bCs/>
        </w:rPr>
        <w:t>im rokom predstavovalo pokles o 205 </w:t>
      </w:r>
      <w:r w:rsidR="0029028D" w:rsidRPr="00631BEA">
        <w:rPr>
          <w:bCs/>
        </w:rPr>
        <w:t>594</w:t>
      </w:r>
      <w:r w:rsidR="00487D5F">
        <w:rPr>
          <w:bCs/>
        </w:rPr>
        <w:t> </w:t>
      </w:r>
      <w:r w:rsidR="0029028D" w:rsidRPr="00631BEA">
        <w:rPr>
          <w:bCs/>
        </w:rPr>
        <w:t>tis.</w:t>
      </w:r>
      <w:r w:rsidR="00487D5F">
        <w:rPr>
          <w:bCs/>
        </w:rPr>
        <w:t> </w:t>
      </w:r>
      <w:r w:rsidR="0029028D" w:rsidRPr="00631BEA">
        <w:rPr>
          <w:bCs/>
        </w:rPr>
        <w:t>eur, z toho najvýznamnejšie predstavoval:</w:t>
      </w:r>
    </w:p>
    <w:p w14:paraId="5D92E455" w14:textId="07CDB701" w:rsidR="0029028D" w:rsidRPr="00631BEA" w:rsidRDefault="0029028D" w:rsidP="0029028D">
      <w:pPr>
        <w:spacing w:after="0" w:line="240" w:lineRule="auto"/>
        <w:ind w:left="142"/>
        <w:jc w:val="both"/>
        <w:rPr>
          <w:bCs/>
        </w:rPr>
      </w:pPr>
      <w:r w:rsidRPr="00631BEA">
        <w:rPr>
          <w:bCs/>
        </w:rPr>
        <w:t>-</w:t>
      </w:r>
      <w:r w:rsidRPr="00631BEA">
        <w:rPr>
          <w:bCs/>
        </w:rPr>
        <w:tab/>
        <w:t>pokles vkladu do Vš</w:t>
      </w:r>
      <w:r w:rsidR="00487D5F">
        <w:rPr>
          <w:bCs/>
        </w:rPr>
        <w:t>eobecnej zdravotnej poisťovne o </w:t>
      </w:r>
      <w:r w:rsidRPr="00631BEA">
        <w:rPr>
          <w:bCs/>
        </w:rPr>
        <w:t>160</w:t>
      </w:r>
      <w:r w:rsidR="00487D5F">
        <w:rPr>
          <w:bCs/>
        </w:rPr>
        <w:t> </w:t>
      </w:r>
      <w:r w:rsidRPr="00631BEA">
        <w:rPr>
          <w:bCs/>
        </w:rPr>
        <w:t>000</w:t>
      </w:r>
      <w:r w:rsidR="00487D5F">
        <w:rPr>
          <w:bCs/>
        </w:rPr>
        <w:t> </w:t>
      </w:r>
      <w:r w:rsidRPr="00631BEA">
        <w:rPr>
          <w:bCs/>
        </w:rPr>
        <w:t>tis.</w:t>
      </w:r>
      <w:r w:rsidR="00487D5F">
        <w:rPr>
          <w:bCs/>
        </w:rPr>
        <w:t> </w:t>
      </w:r>
      <w:r w:rsidRPr="00631BEA">
        <w:rPr>
          <w:bCs/>
        </w:rPr>
        <w:t>eur,</w:t>
      </w:r>
    </w:p>
    <w:p w14:paraId="674E7727" w14:textId="3B8CC6DA" w:rsidR="0029028D" w:rsidRPr="00631BEA" w:rsidRDefault="0029028D" w:rsidP="0029028D">
      <w:pPr>
        <w:spacing w:after="0" w:line="240" w:lineRule="auto"/>
        <w:ind w:left="142"/>
        <w:jc w:val="both"/>
        <w:rPr>
          <w:bCs/>
        </w:rPr>
      </w:pPr>
      <w:r w:rsidRPr="00631BEA">
        <w:rPr>
          <w:bCs/>
        </w:rPr>
        <w:t>-</w:t>
      </w:r>
      <w:r w:rsidRPr="00631BEA">
        <w:rPr>
          <w:bCs/>
        </w:rPr>
        <w:tab/>
        <w:t>pokles vkladu do spoloč</w:t>
      </w:r>
      <w:r w:rsidR="00487D5F">
        <w:rPr>
          <w:bCs/>
        </w:rPr>
        <w:t>nosti Valaliky Industrial Park, </w:t>
      </w:r>
      <w:r w:rsidR="00584786">
        <w:rPr>
          <w:bCs/>
        </w:rPr>
        <w:t>s</w:t>
      </w:r>
      <w:r w:rsidRPr="00631BEA">
        <w:rPr>
          <w:bCs/>
        </w:rPr>
        <w:t>.</w:t>
      </w:r>
      <w:r w:rsidR="00487D5F">
        <w:rPr>
          <w:bCs/>
        </w:rPr>
        <w:t> </w:t>
      </w:r>
      <w:r w:rsidR="00584786">
        <w:rPr>
          <w:bCs/>
        </w:rPr>
        <w:t>r. </w:t>
      </w:r>
      <w:r w:rsidRPr="00631BEA">
        <w:rPr>
          <w:bCs/>
        </w:rPr>
        <w:t>o</w:t>
      </w:r>
      <w:r w:rsidR="00487D5F">
        <w:rPr>
          <w:bCs/>
        </w:rPr>
        <w:t> </w:t>
      </w:r>
      <w:r>
        <w:t>125</w:t>
      </w:r>
      <w:r w:rsidR="00487D5F">
        <w:t> </w:t>
      </w:r>
      <w:r>
        <w:t>488</w:t>
      </w:r>
      <w:r w:rsidR="00487D5F">
        <w:t> </w:t>
      </w:r>
      <w:r w:rsidRPr="00631BEA">
        <w:rPr>
          <w:bCs/>
        </w:rPr>
        <w:t>tis.</w:t>
      </w:r>
      <w:r w:rsidR="00487D5F">
        <w:rPr>
          <w:bCs/>
        </w:rPr>
        <w:t> </w:t>
      </w:r>
      <w:r w:rsidRPr="00631BEA">
        <w:rPr>
          <w:bCs/>
        </w:rPr>
        <w:t>eur,</w:t>
      </w:r>
    </w:p>
    <w:p w14:paraId="6DC035C6" w14:textId="63E40174" w:rsidR="00776AE7" w:rsidRDefault="0029028D" w:rsidP="001B0C57">
      <w:pPr>
        <w:spacing w:after="120" w:line="240" w:lineRule="auto"/>
        <w:ind w:left="142"/>
        <w:jc w:val="both"/>
        <w:rPr>
          <w:bCs/>
        </w:rPr>
      </w:pPr>
      <w:r w:rsidRPr="00631BEA">
        <w:rPr>
          <w:bCs/>
        </w:rPr>
        <w:t>-</w:t>
      </w:r>
      <w:r w:rsidRPr="00631BEA">
        <w:rPr>
          <w:bCs/>
        </w:rPr>
        <w:tab/>
      </w:r>
      <w:r>
        <w:rPr>
          <w:bCs/>
        </w:rPr>
        <w:t xml:space="preserve">a </w:t>
      </w:r>
      <w:r w:rsidR="00487D5F">
        <w:rPr>
          <w:bCs/>
        </w:rPr>
        <w:t xml:space="preserve">nárast vkladu </w:t>
      </w:r>
      <w:r w:rsidR="00487D5F" w:rsidRPr="00614135">
        <w:rPr>
          <w:bCs/>
        </w:rPr>
        <w:t>o</w:t>
      </w:r>
      <w:r w:rsidR="00614135" w:rsidRPr="00614135">
        <w:rPr>
          <w:bCs/>
        </w:rPr>
        <w:t> </w:t>
      </w:r>
      <w:r w:rsidR="00487D5F" w:rsidRPr="00614135">
        <w:rPr>
          <w:bCs/>
        </w:rPr>
        <w:t>83</w:t>
      </w:r>
      <w:r w:rsidR="00614135" w:rsidRPr="00614135">
        <w:rPr>
          <w:bCs/>
        </w:rPr>
        <w:t> 000 tis</w:t>
      </w:r>
      <w:r w:rsidRPr="00614135">
        <w:rPr>
          <w:bCs/>
        </w:rPr>
        <w:t>.</w:t>
      </w:r>
      <w:r w:rsidR="00487D5F">
        <w:rPr>
          <w:bCs/>
        </w:rPr>
        <w:t> </w:t>
      </w:r>
      <w:r w:rsidRPr="00631BEA">
        <w:rPr>
          <w:bCs/>
        </w:rPr>
        <w:t>eur do spoločnosti DMD Group,</w:t>
      </w:r>
      <w:r w:rsidR="00487D5F">
        <w:rPr>
          <w:bCs/>
        </w:rPr>
        <w:t> </w:t>
      </w:r>
      <w:r w:rsidRPr="00631BEA">
        <w:rPr>
          <w:bCs/>
        </w:rPr>
        <w:t>a.</w:t>
      </w:r>
      <w:r w:rsidR="00487D5F">
        <w:rPr>
          <w:bCs/>
        </w:rPr>
        <w:t> </w:t>
      </w:r>
      <w:r w:rsidRPr="00631BEA">
        <w:rPr>
          <w:bCs/>
        </w:rPr>
        <w:t>s.</w:t>
      </w:r>
    </w:p>
    <w:p w14:paraId="3D18BCCC" w14:textId="77777777" w:rsidR="00776AE7" w:rsidRDefault="00776AE7">
      <w:pPr>
        <w:rPr>
          <w:bCs/>
        </w:rPr>
      </w:pPr>
      <w:r>
        <w:rPr>
          <w:bCs/>
        </w:rPr>
        <w:br w:type="page"/>
      </w:r>
    </w:p>
    <w:p w14:paraId="1EBC668A" w14:textId="63350406" w:rsidR="00500BD0" w:rsidRPr="00654390" w:rsidRDefault="00500BD0" w:rsidP="00AA46C8">
      <w:pPr>
        <w:pStyle w:val="Nadpis3"/>
        <w:numPr>
          <w:ilvl w:val="0"/>
          <w:numId w:val="0"/>
        </w:numPr>
        <w:ind w:left="1797"/>
      </w:pPr>
      <w:bookmarkStart w:id="32" w:name="_Toc181095968"/>
      <w:r w:rsidRPr="00654390">
        <w:lastRenderedPageBreak/>
        <w:t xml:space="preserve">2.1.2. </w:t>
      </w:r>
      <w:r w:rsidRPr="00654390">
        <w:tab/>
        <w:t>Výdavky verejnej správy</w:t>
      </w:r>
      <w:bookmarkEnd w:id="32"/>
    </w:p>
    <w:p w14:paraId="2590AE60" w14:textId="7BAF40B9" w:rsidR="00174D14" w:rsidRDefault="009A3759" w:rsidP="00B504AA">
      <w:pPr>
        <w:spacing w:after="120" w:line="240" w:lineRule="auto"/>
        <w:jc w:val="both"/>
        <w:rPr>
          <w:szCs w:val="22"/>
        </w:rPr>
      </w:pPr>
      <w:r w:rsidRPr="00E070F0">
        <w:rPr>
          <w:b/>
          <w:szCs w:val="22"/>
        </w:rPr>
        <w:t>Celkové výd</w:t>
      </w:r>
      <w:r w:rsidR="00095ADF">
        <w:rPr>
          <w:b/>
          <w:szCs w:val="22"/>
        </w:rPr>
        <w:t>avky verejnej správy v roku 2023</w:t>
      </w:r>
      <w:r w:rsidRPr="00E070F0">
        <w:rPr>
          <w:b/>
          <w:szCs w:val="22"/>
        </w:rPr>
        <w:t xml:space="preserve"> v metodike ESA 2010 dosiahli </w:t>
      </w:r>
      <w:r w:rsidR="00095ADF">
        <w:rPr>
          <w:b/>
          <w:bCs/>
          <w:szCs w:val="22"/>
        </w:rPr>
        <w:t>59 571</w:t>
      </w:r>
      <w:r w:rsidRPr="00E070F0">
        <w:rPr>
          <w:b/>
          <w:bCs/>
          <w:szCs w:val="22"/>
        </w:rPr>
        <w:t> </w:t>
      </w:r>
      <w:r w:rsidR="00095ADF">
        <w:rPr>
          <w:b/>
          <w:bCs/>
          <w:szCs w:val="22"/>
        </w:rPr>
        <w:t>577</w:t>
      </w:r>
      <w:r w:rsidRPr="00E070F0">
        <w:rPr>
          <w:b/>
          <w:bCs/>
          <w:szCs w:val="22"/>
        </w:rPr>
        <w:t> </w:t>
      </w:r>
      <w:r w:rsidR="00095ADF">
        <w:rPr>
          <w:b/>
          <w:szCs w:val="22"/>
        </w:rPr>
        <w:t>tis. eur (48,5</w:t>
      </w:r>
      <w:r w:rsidRPr="00E070F0">
        <w:rPr>
          <w:b/>
          <w:szCs w:val="22"/>
        </w:rPr>
        <w:t xml:space="preserve"> % HDP). </w:t>
      </w:r>
      <w:r w:rsidRPr="00614E6F">
        <w:rPr>
          <w:szCs w:val="22"/>
        </w:rPr>
        <w:t>Medziročne s</w:t>
      </w:r>
      <w:r w:rsidR="00095ADF">
        <w:rPr>
          <w:szCs w:val="22"/>
        </w:rPr>
        <w:t xml:space="preserve">a celkové výdavky </w:t>
      </w:r>
      <w:r w:rsidR="00ED5428">
        <w:rPr>
          <w:szCs w:val="22"/>
        </w:rPr>
        <w:t xml:space="preserve">voči HDP </w:t>
      </w:r>
      <w:r w:rsidR="00095ADF">
        <w:rPr>
          <w:szCs w:val="22"/>
        </w:rPr>
        <w:t>zvýšili o 25,9</w:t>
      </w:r>
      <w:r w:rsidRPr="00614E6F">
        <w:rPr>
          <w:szCs w:val="22"/>
        </w:rPr>
        <w:t> %, resp. o 1</w:t>
      </w:r>
      <w:r w:rsidR="00095ADF">
        <w:rPr>
          <w:szCs w:val="22"/>
        </w:rPr>
        <w:t>2 239 000</w:t>
      </w:r>
      <w:r w:rsidRPr="00614E6F">
        <w:rPr>
          <w:szCs w:val="22"/>
        </w:rPr>
        <w:t> tis. eur.</w:t>
      </w:r>
    </w:p>
    <w:p w14:paraId="700B0702" w14:textId="77777777" w:rsidR="00174D14" w:rsidRDefault="00174D14" w:rsidP="00174D14">
      <w:pPr>
        <w:pStyle w:val="Popis"/>
        <w:framePr w:wrap="around" w:x="1744" w:y="71"/>
      </w:pPr>
      <w:r>
        <w:t xml:space="preserve">Tabuľka </w:t>
      </w:r>
      <w:r w:rsidR="001F05DE">
        <w:fldChar w:fldCharType="begin"/>
      </w:r>
      <w:r w:rsidR="001F05DE">
        <w:instrText xml:space="preserve"> SEQ Tabuľka \* ARABIC </w:instrText>
      </w:r>
      <w:r w:rsidR="001F05DE">
        <w:fldChar w:fldCharType="separate"/>
      </w:r>
      <w:r>
        <w:rPr>
          <w:noProof/>
        </w:rPr>
        <w:t>13</w:t>
      </w:r>
      <w:r w:rsidR="001F05DE">
        <w:rPr>
          <w:noProof/>
        </w:rPr>
        <w:fldChar w:fldCharType="end"/>
      </w:r>
      <w:r>
        <w:t xml:space="preserve"> - </w:t>
      </w:r>
      <w:r w:rsidRPr="00DD3899">
        <w:t>Výdavky verejne</w:t>
      </w:r>
      <w:r>
        <w:t xml:space="preserve">j správy (ESA 2010) </w:t>
      </w:r>
      <w:r>
        <w:tab/>
      </w:r>
      <w:r>
        <w:tab/>
      </w:r>
      <w:r>
        <w:tab/>
      </w:r>
      <w:r>
        <w:tab/>
      </w:r>
      <w:r>
        <w:tab/>
      </w:r>
      <w:r>
        <w:tab/>
        <w:t>v tis. eur</w:t>
      </w:r>
    </w:p>
    <w:tbl>
      <w:tblPr>
        <w:tblW w:w="9266" w:type="dxa"/>
        <w:tblCellMar>
          <w:left w:w="70" w:type="dxa"/>
          <w:right w:w="70" w:type="dxa"/>
        </w:tblCellMar>
        <w:tblLook w:val="04A0" w:firstRow="1" w:lastRow="0" w:firstColumn="1" w:lastColumn="0" w:noHBand="0" w:noVBand="1"/>
      </w:tblPr>
      <w:tblGrid>
        <w:gridCol w:w="4101"/>
        <w:gridCol w:w="1120"/>
        <w:gridCol w:w="1040"/>
        <w:gridCol w:w="1025"/>
        <w:gridCol w:w="980"/>
        <w:gridCol w:w="1000"/>
      </w:tblGrid>
      <w:tr w:rsidR="00654390" w:rsidRPr="00D04BEE" w14:paraId="17F8CA32" w14:textId="77777777" w:rsidTr="0019064B">
        <w:trPr>
          <w:trHeight w:val="480"/>
          <w:tblHeader/>
        </w:trPr>
        <w:tc>
          <w:tcPr>
            <w:tcW w:w="4101" w:type="dxa"/>
            <w:tcBorders>
              <w:top w:val="single" w:sz="4" w:space="0" w:color="auto"/>
              <w:left w:val="nil"/>
              <w:bottom w:val="single" w:sz="4" w:space="0" w:color="auto"/>
              <w:right w:val="nil"/>
            </w:tcBorders>
            <w:shd w:val="clear" w:color="auto" w:fill="auto"/>
            <w:noWrap/>
            <w:vAlign w:val="center"/>
            <w:hideMark/>
          </w:tcPr>
          <w:p w14:paraId="40F7A704" w14:textId="77777777" w:rsidR="00654390" w:rsidRPr="00D04BEE" w:rsidRDefault="00654390" w:rsidP="0019064B">
            <w:pPr>
              <w:spacing w:after="0" w:line="240" w:lineRule="auto"/>
              <w:rPr>
                <w:b/>
                <w:bCs/>
                <w:sz w:val="18"/>
                <w:szCs w:val="18"/>
                <w:lang w:eastAsia="sk-SK"/>
              </w:rPr>
            </w:pPr>
            <w:bookmarkStart w:id="33" w:name="_Hlk181096389"/>
            <w:r w:rsidRPr="00D04BEE">
              <w:rPr>
                <w:b/>
                <w:bCs/>
                <w:sz w:val="18"/>
                <w:szCs w:val="18"/>
                <w:lang w:eastAsia="sk-SK"/>
              </w:rPr>
              <w:t> </w:t>
            </w:r>
          </w:p>
        </w:tc>
        <w:tc>
          <w:tcPr>
            <w:tcW w:w="1120" w:type="dxa"/>
            <w:tcBorders>
              <w:top w:val="single" w:sz="4" w:space="0" w:color="auto"/>
              <w:left w:val="nil"/>
              <w:bottom w:val="single" w:sz="4" w:space="0" w:color="auto"/>
              <w:right w:val="nil"/>
            </w:tcBorders>
            <w:shd w:val="clear" w:color="auto" w:fill="auto"/>
            <w:vAlign w:val="center"/>
            <w:hideMark/>
          </w:tcPr>
          <w:p w14:paraId="77CF25DB" w14:textId="77777777" w:rsidR="00654390" w:rsidRPr="00D04BEE" w:rsidRDefault="00654390" w:rsidP="0019064B">
            <w:pPr>
              <w:spacing w:after="0" w:line="240" w:lineRule="auto"/>
              <w:jc w:val="center"/>
              <w:rPr>
                <w:b/>
                <w:bCs/>
                <w:sz w:val="18"/>
                <w:szCs w:val="18"/>
                <w:lang w:eastAsia="sk-SK"/>
              </w:rPr>
            </w:pPr>
            <w:r w:rsidRPr="00D04BEE">
              <w:rPr>
                <w:b/>
                <w:bCs/>
                <w:sz w:val="18"/>
                <w:szCs w:val="18"/>
                <w:lang w:eastAsia="sk-SK"/>
              </w:rPr>
              <w:br/>
              <w:t>2021 S</w:t>
            </w:r>
          </w:p>
        </w:tc>
        <w:tc>
          <w:tcPr>
            <w:tcW w:w="1040" w:type="dxa"/>
            <w:tcBorders>
              <w:top w:val="single" w:sz="4" w:space="0" w:color="auto"/>
              <w:left w:val="nil"/>
              <w:bottom w:val="single" w:sz="4" w:space="0" w:color="auto"/>
              <w:right w:val="nil"/>
            </w:tcBorders>
            <w:shd w:val="clear" w:color="auto" w:fill="auto"/>
            <w:vAlign w:val="center"/>
            <w:hideMark/>
          </w:tcPr>
          <w:p w14:paraId="60EC47DB" w14:textId="77777777" w:rsidR="00654390" w:rsidRPr="00D04BEE" w:rsidRDefault="00654390" w:rsidP="0019064B">
            <w:pPr>
              <w:spacing w:after="0" w:line="240" w:lineRule="auto"/>
              <w:jc w:val="center"/>
              <w:rPr>
                <w:b/>
                <w:bCs/>
                <w:sz w:val="18"/>
                <w:szCs w:val="18"/>
                <w:lang w:eastAsia="sk-SK"/>
              </w:rPr>
            </w:pPr>
            <w:r w:rsidRPr="00D04BEE">
              <w:rPr>
                <w:b/>
                <w:bCs/>
                <w:sz w:val="18"/>
                <w:szCs w:val="18"/>
                <w:lang w:eastAsia="sk-SK"/>
              </w:rPr>
              <w:br/>
              <w:t>2022 S</w:t>
            </w:r>
          </w:p>
        </w:tc>
        <w:tc>
          <w:tcPr>
            <w:tcW w:w="1025" w:type="dxa"/>
            <w:tcBorders>
              <w:top w:val="single" w:sz="4" w:space="0" w:color="auto"/>
              <w:left w:val="nil"/>
              <w:bottom w:val="single" w:sz="4" w:space="0" w:color="auto"/>
              <w:right w:val="nil"/>
            </w:tcBorders>
            <w:shd w:val="clear" w:color="auto" w:fill="auto"/>
            <w:vAlign w:val="center"/>
            <w:hideMark/>
          </w:tcPr>
          <w:p w14:paraId="638D7BCA" w14:textId="77777777" w:rsidR="00654390" w:rsidRPr="00D04BEE" w:rsidRDefault="00654390" w:rsidP="0019064B">
            <w:pPr>
              <w:spacing w:after="0" w:line="240" w:lineRule="auto"/>
              <w:jc w:val="center"/>
              <w:rPr>
                <w:b/>
                <w:bCs/>
                <w:sz w:val="18"/>
                <w:szCs w:val="18"/>
                <w:lang w:eastAsia="sk-SK"/>
              </w:rPr>
            </w:pPr>
            <w:r w:rsidRPr="00D04BEE">
              <w:rPr>
                <w:b/>
                <w:bCs/>
                <w:sz w:val="18"/>
                <w:szCs w:val="18"/>
                <w:lang w:eastAsia="sk-SK"/>
              </w:rPr>
              <w:br/>
              <w:t>2023 S</w:t>
            </w:r>
          </w:p>
        </w:tc>
        <w:tc>
          <w:tcPr>
            <w:tcW w:w="980" w:type="dxa"/>
            <w:tcBorders>
              <w:top w:val="single" w:sz="4" w:space="0" w:color="auto"/>
              <w:left w:val="nil"/>
              <w:bottom w:val="single" w:sz="4" w:space="0" w:color="auto"/>
              <w:right w:val="nil"/>
            </w:tcBorders>
            <w:shd w:val="clear" w:color="auto" w:fill="auto"/>
            <w:vAlign w:val="center"/>
            <w:hideMark/>
          </w:tcPr>
          <w:p w14:paraId="45D2EF6A" w14:textId="77777777" w:rsidR="00654390" w:rsidRPr="00D04BEE" w:rsidRDefault="00654390" w:rsidP="0019064B">
            <w:pPr>
              <w:spacing w:after="0" w:line="240" w:lineRule="auto"/>
              <w:jc w:val="center"/>
              <w:rPr>
                <w:b/>
                <w:bCs/>
                <w:sz w:val="18"/>
                <w:szCs w:val="18"/>
                <w:lang w:eastAsia="sk-SK"/>
              </w:rPr>
            </w:pPr>
            <w:r w:rsidRPr="00D04BEE">
              <w:rPr>
                <w:b/>
                <w:bCs/>
                <w:sz w:val="18"/>
                <w:szCs w:val="18"/>
                <w:lang w:eastAsia="sk-SK"/>
              </w:rPr>
              <w:br/>
              <w:t>2023 R</w:t>
            </w:r>
          </w:p>
        </w:tc>
        <w:tc>
          <w:tcPr>
            <w:tcW w:w="1000" w:type="dxa"/>
            <w:tcBorders>
              <w:top w:val="single" w:sz="4" w:space="0" w:color="auto"/>
              <w:left w:val="nil"/>
              <w:bottom w:val="single" w:sz="4" w:space="0" w:color="auto"/>
              <w:right w:val="nil"/>
            </w:tcBorders>
            <w:shd w:val="clear" w:color="auto" w:fill="auto"/>
            <w:vAlign w:val="center"/>
            <w:hideMark/>
          </w:tcPr>
          <w:p w14:paraId="48379916" w14:textId="77777777" w:rsidR="00654390" w:rsidRPr="00D04BEE" w:rsidRDefault="00654390" w:rsidP="0019064B">
            <w:pPr>
              <w:spacing w:after="0" w:line="240" w:lineRule="auto"/>
              <w:jc w:val="center"/>
              <w:rPr>
                <w:b/>
                <w:bCs/>
                <w:sz w:val="18"/>
                <w:szCs w:val="18"/>
                <w:lang w:eastAsia="sk-SK"/>
              </w:rPr>
            </w:pPr>
            <w:r w:rsidRPr="00D04BEE">
              <w:rPr>
                <w:b/>
                <w:bCs/>
                <w:sz w:val="18"/>
                <w:szCs w:val="18"/>
                <w:lang w:eastAsia="sk-SK"/>
              </w:rPr>
              <w:t>2023/2022</w:t>
            </w:r>
            <w:r w:rsidRPr="00D04BEE">
              <w:rPr>
                <w:b/>
                <w:bCs/>
                <w:sz w:val="18"/>
                <w:szCs w:val="18"/>
                <w:lang w:eastAsia="sk-SK"/>
              </w:rPr>
              <w:br/>
              <w:t>v %</w:t>
            </w:r>
          </w:p>
        </w:tc>
      </w:tr>
      <w:bookmarkEnd w:id="33"/>
      <w:tr w:rsidR="00F1187C" w:rsidRPr="00D04BEE" w14:paraId="360CB51E" w14:textId="77777777" w:rsidTr="0019064B">
        <w:trPr>
          <w:trHeight w:val="300"/>
        </w:trPr>
        <w:tc>
          <w:tcPr>
            <w:tcW w:w="4101" w:type="dxa"/>
            <w:tcBorders>
              <w:top w:val="nil"/>
              <w:left w:val="nil"/>
              <w:bottom w:val="nil"/>
              <w:right w:val="nil"/>
            </w:tcBorders>
            <w:shd w:val="clear" w:color="auto" w:fill="auto"/>
            <w:noWrap/>
            <w:vAlign w:val="center"/>
            <w:hideMark/>
          </w:tcPr>
          <w:p w14:paraId="3E71948A" w14:textId="77777777" w:rsidR="00F1187C" w:rsidRPr="00D04BEE" w:rsidRDefault="00F1187C" w:rsidP="00F1187C">
            <w:pPr>
              <w:spacing w:after="0" w:line="240" w:lineRule="auto"/>
              <w:rPr>
                <w:b/>
                <w:bCs/>
                <w:color w:val="000000"/>
                <w:sz w:val="18"/>
                <w:szCs w:val="18"/>
                <w:lang w:eastAsia="sk-SK"/>
              </w:rPr>
            </w:pPr>
            <w:r w:rsidRPr="00D04BEE">
              <w:rPr>
                <w:b/>
                <w:bCs/>
                <w:color w:val="000000"/>
                <w:sz w:val="18"/>
                <w:szCs w:val="18"/>
                <w:lang w:eastAsia="sk-SK"/>
              </w:rPr>
              <w:t>Bežné výdavky</w:t>
            </w:r>
          </w:p>
        </w:tc>
        <w:tc>
          <w:tcPr>
            <w:tcW w:w="1120" w:type="dxa"/>
            <w:tcBorders>
              <w:top w:val="nil"/>
              <w:left w:val="nil"/>
              <w:bottom w:val="nil"/>
              <w:right w:val="nil"/>
            </w:tcBorders>
            <w:shd w:val="clear" w:color="auto" w:fill="auto"/>
            <w:noWrap/>
            <w:vAlign w:val="bottom"/>
            <w:hideMark/>
          </w:tcPr>
          <w:p w14:paraId="265C4AB3" w14:textId="653046B5" w:rsidR="00F1187C" w:rsidRPr="00D04BEE" w:rsidRDefault="00F1187C" w:rsidP="00F1187C">
            <w:pPr>
              <w:spacing w:after="0" w:line="240" w:lineRule="auto"/>
              <w:jc w:val="right"/>
              <w:rPr>
                <w:b/>
                <w:bCs/>
                <w:sz w:val="18"/>
                <w:szCs w:val="18"/>
                <w:lang w:eastAsia="sk-SK"/>
              </w:rPr>
            </w:pPr>
            <w:r w:rsidRPr="00D04BEE">
              <w:rPr>
                <w:b/>
                <w:bCs/>
                <w:sz w:val="18"/>
                <w:szCs w:val="18"/>
              </w:rPr>
              <w:t>41 970 878</w:t>
            </w:r>
          </w:p>
        </w:tc>
        <w:tc>
          <w:tcPr>
            <w:tcW w:w="1040" w:type="dxa"/>
            <w:tcBorders>
              <w:top w:val="nil"/>
              <w:left w:val="nil"/>
              <w:bottom w:val="nil"/>
              <w:right w:val="nil"/>
            </w:tcBorders>
            <w:shd w:val="clear" w:color="auto" w:fill="auto"/>
            <w:noWrap/>
            <w:vAlign w:val="bottom"/>
            <w:hideMark/>
          </w:tcPr>
          <w:p w14:paraId="3DAA8354" w14:textId="3D0AEC27" w:rsidR="00F1187C" w:rsidRPr="00D04BEE" w:rsidRDefault="00F1187C" w:rsidP="00F1187C">
            <w:pPr>
              <w:spacing w:after="0" w:line="240" w:lineRule="auto"/>
              <w:jc w:val="right"/>
              <w:rPr>
                <w:b/>
                <w:bCs/>
                <w:sz w:val="18"/>
                <w:szCs w:val="18"/>
                <w:lang w:eastAsia="sk-SK"/>
              </w:rPr>
            </w:pPr>
            <w:r w:rsidRPr="00D04BEE">
              <w:rPr>
                <w:b/>
                <w:bCs/>
                <w:sz w:val="18"/>
                <w:szCs w:val="18"/>
              </w:rPr>
              <w:t>43 041 862</w:t>
            </w:r>
          </w:p>
        </w:tc>
        <w:tc>
          <w:tcPr>
            <w:tcW w:w="1025" w:type="dxa"/>
            <w:tcBorders>
              <w:top w:val="single" w:sz="4" w:space="0" w:color="auto"/>
              <w:left w:val="nil"/>
              <w:bottom w:val="nil"/>
              <w:right w:val="nil"/>
            </w:tcBorders>
            <w:shd w:val="clear" w:color="000000" w:fill="auto"/>
            <w:noWrap/>
            <w:vAlign w:val="bottom"/>
            <w:hideMark/>
          </w:tcPr>
          <w:p w14:paraId="517D003C" w14:textId="474A08F6" w:rsidR="00F1187C" w:rsidRPr="00D04BEE" w:rsidRDefault="00F1187C" w:rsidP="00F1187C">
            <w:pPr>
              <w:spacing w:after="0" w:line="240" w:lineRule="auto"/>
              <w:jc w:val="right"/>
              <w:rPr>
                <w:b/>
                <w:bCs/>
                <w:sz w:val="18"/>
                <w:szCs w:val="18"/>
                <w:lang w:eastAsia="sk-SK"/>
              </w:rPr>
            </w:pPr>
            <w:r w:rsidRPr="00D04BEE">
              <w:rPr>
                <w:b/>
                <w:bCs/>
                <w:sz w:val="18"/>
                <w:szCs w:val="18"/>
              </w:rPr>
              <w:t>52 911 204</w:t>
            </w:r>
          </w:p>
        </w:tc>
        <w:tc>
          <w:tcPr>
            <w:tcW w:w="980" w:type="dxa"/>
            <w:tcBorders>
              <w:top w:val="nil"/>
              <w:left w:val="nil"/>
              <w:bottom w:val="nil"/>
              <w:right w:val="nil"/>
            </w:tcBorders>
            <w:shd w:val="clear" w:color="auto" w:fill="auto"/>
            <w:noWrap/>
            <w:vAlign w:val="bottom"/>
            <w:hideMark/>
          </w:tcPr>
          <w:p w14:paraId="437EEC04" w14:textId="76BB2165" w:rsidR="00F1187C" w:rsidRPr="00D04BEE" w:rsidRDefault="00F1187C" w:rsidP="00F1187C">
            <w:pPr>
              <w:spacing w:after="0" w:line="240" w:lineRule="auto"/>
              <w:jc w:val="right"/>
              <w:rPr>
                <w:b/>
                <w:bCs/>
                <w:sz w:val="18"/>
                <w:szCs w:val="18"/>
                <w:lang w:eastAsia="sk-SK"/>
              </w:rPr>
            </w:pPr>
            <w:r w:rsidRPr="00D04BEE">
              <w:rPr>
                <w:b/>
                <w:bCs/>
                <w:sz w:val="18"/>
                <w:szCs w:val="18"/>
              </w:rPr>
              <w:t>53 390 285</w:t>
            </w:r>
          </w:p>
        </w:tc>
        <w:tc>
          <w:tcPr>
            <w:tcW w:w="1000" w:type="dxa"/>
            <w:tcBorders>
              <w:top w:val="nil"/>
              <w:left w:val="nil"/>
              <w:bottom w:val="nil"/>
              <w:right w:val="nil"/>
            </w:tcBorders>
            <w:shd w:val="clear" w:color="auto" w:fill="auto"/>
            <w:noWrap/>
            <w:vAlign w:val="bottom"/>
            <w:hideMark/>
          </w:tcPr>
          <w:p w14:paraId="773136B5" w14:textId="221096AE" w:rsidR="00F1187C" w:rsidRPr="00D04BEE" w:rsidRDefault="00F1187C" w:rsidP="00F1187C">
            <w:pPr>
              <w:tabs>
                <w:tab w:val="decimal" w:pos="309"/>
              </w:tabs>
              <w:spacing w:after="0" w:line="240" w:lineRule="auto"/>
              <w:jc w:val="center"/>
              <w:rPr>
                <w:b/>
                <w:bCs/>
                <w:sz w:val="18"/>
                <w:szCs w:val="18"/>
                <w:lang w:eastAsia="sk-SK"/>
              </w:rPr>
            </w:pPr>
            <w:r w:rsidRPr="00D04BEE">
              <w:rPr>
                <w:b/>
                <w:bCs/>
                <w:sz w:val="18"/>
                <w:szCs w:val="18"/>
              </w:rPr>
              <w:t>22,9</w:t>
            </w:r>
          </w:p>
        </w:tc>
      </w:tr>
      <w:tr w:rsidR="00F1187C" w:rsidRPr="00D04BEE" w14:paraId="50F568BB" w14:textId="77777777" w:rsidTr="0019064B">
        <w:trPr>
          <w:trHeight w:val="300"/>
        </w:trPr>
        <w:tc>
          <w:tcPr>
            <w:tcW w:w="4101" w:type="dxa"/>
            <w:tcBorders>
              <w:top w:val="nil"/>
              <w:left w:val="nil"/>
              <w:bottom w:val="nil"/>
              <w:right w:val="nil"/>
            </w:tcBorders>
            <w:shd w:val="clear" w:color="auto" w:fill="auto"/>
            <w:noWrap/>
            <w:vAlign w:val="center"/>
            <w:hideMark/>
          </w:tcPr>
          <w:p w14:paraId="208D0103" w14:textId="77777777" w:rsidR="00F1187C" w:rsidRPr="00D04BEE" w:rsidRDefault="00F1187C" w:rsidP="00F1187C">
            <w:pPr>
              <w:spacing w:after="0" w:line="240" w:lineRule="auto"/>
              <w:ind w:firstLineChars="100" w:firstLine="181"/>
              <w:rPr>
                <w:b/>
                <w:bCs/>
                <w:color w:val="000000"/>
                <w:sz w:val="18"/>
                <w:szCs w:val="18"/>
                <w:lang w:eastAsia="sk-SK"/>
              </w:rPr>
            </w:pPr>
            <w:r w:rsidRPr="00D04BEE">
              <w:rPr>
                <w:b/>
                <w:bCs/>
                <w:color w:val="000000"/>
                <w:sz w:val="18"/>
                <w:szCs w:val="18"/>
                <w:lang w:eastAsia="sk-SK"/>
              </w:rPr>
              <w:t>Kompenzácie zamestnancov</w:t>
            </w:r>
          </w:p>
        </w:tc>
        <w:tc>
          <w:tcPr>
            <w:tcW w:w="1120" w:type="dxa"/>
            <w:tcBorders>
              <w:top w:val="nil"/>
              <w:left w:val="nil"/>
              <w:bottom w:val="nil"/>
              <w:right w:val="nil"/>
            </w:tcBorders>
            <w:shd w:val="clear" w:color="auto" w:fill="auto"/>
            <w:noWrap/>
            <w:vAlign w:val="bottom"/>
            <w:hideMark/>
          </w:tcPr>
          <w:p w14:paraId="5C6CA402" w14:textId="243C24E4" w:rsidR="00F1187C" w:rsidRPr="00D04BEE" w:rsidRDefault="00F1187C" w:rsidP="00F1187C">
            <w:pPr>
              <w:spacing w:after="0" w:line="240" w:lineRule="auto"/>
              <w:jc w:val="right"/>
              <w:rPr>
                <w:b/>
                <w:bCs/>
                <w:color w:val="000000"/>
                <w:sz w:val="18"/>
                <w:szCs w:val="18"/>
                <w:lang w:eastAsia="sk-SK"/>
              </w:rPr>
            </w:pPr>
            <w:r w:rsidRPr="00D04BEE">
              <w:rPr>
                <w:b/>
                <w:bCs/>
                <w:sz w:val="18"/>
                <w:szCs w:val="18"/>
              </w:rPr>
              <w:t>11 408 561</w:t>
            </w:r>
          </w:p>
        </w:tc>
        <w:tc>
          <w:tcPr>
            <w:tcW w:w="1040" w:type="dxa"/>
            <w:tcBorders>
              <w:top w:val="nil"/>
              <w:left w:val="nil"/>
              <w:bottom w:val="nil"/>
              <w:right w:val="nil"/>
            </w:tcBorders>
            <w:shd w:val="clear" w:color="auto" w:fill="auto"/>
            <w:noWrap/>
            <w:vAlign w:val="bottom"/>
            <w:hideMark/>
          </w:tcPr>
          <w:p w14:paraId="4EDCCB59" w14:textId="2A8B3636" w:rsidR="00F1187C" w:rsidRPr="00D04BEE" w:rsidRDefault="00F1187C" w:rsidP="00F1187C">
            <w:pPr>
              <w:spacing w:after="0" w:line="240" w:lineRule="auto"/>
              <w:jc w:val="right"/>
              <w:rPr>
                <w:b/>
                <w:bCs/>
                <w:color w:val="000000"/>
                <w:sz w:val="18"/>
                <w:szCs w:val="18"/>
                <w:lang w:eastAsia="sk-SK"/>
              </w:rPr>
            </w:pPr>
            <w:r w:rsidRPr="00D04BEE">
              <w:rPr>
                <w:b/>
                <w:bCs/>
                <w:sz w:val="18"/>
                <w:szCs w:val="18"/>
              </w:rPr>
              <w:t>11 935 777</w:t>
            </w:r>
          </w:p>
        </w:tc>
        <w:tc>
          <w:tcPr>
            <w:tcW w:w="1025" w:type="dxa"/>
            <w:tcBorders>
              <w:top w:val="nil"/>
              <w:left w:val="nil"/>
              <w:bottom w:val="nil"/>
              <w:right w:val="nil"/>
            </w:tcBorders>
            <w:shd w:val="clear" w:color="000000" w:fill="auto"/>
            <w:noWrap/>
            <w:vAlign w:val="bottom"/>
            <w:hideMark/>
          </w:tcPr>
          <w:p w14:paraId="07720162" w14:textId="01A63B7B" w:rsidR="00F1187C" w:rsidRPr="00D04BEE" w:rsidRDefault="00F1187C" w:rsidP="00F1187C">
            <w:pPr>
              <w:spacing w:after="0" w:line="240" w:lineRule="auto"/>
              <w:jc w:val="right"/>
              <w:rPr>
                <w:b/>
                <w:bCs/>
                <w:sz w:val="18"/>
                <w:szCs w:val="18"/>
                <w:lang w:eastAsia="sk-SK"/>
              </w:rPr>
            </w:pPr>
            <w:r w:rsidRPr="00D04BEE">
              <w:rPr>
                <w:b/>
                <w:bCs/>
                <w:sz w:val="18"/>
                <w:szCs w:val="18"/>
              </w:rPr>
              <w:t>13 618 928</w:t>
            </w:r>
          </w:p>
        </w:tc>
        <w:tc>
          <w:tcPr>
            <w:tcW w:w="980" w:type="dxa"/>
            <w:tcBorders>
              <w:top w:val="nil"/>
              <w:left w:val="nil"/>
              <w:bottom w:val="nil"/>
              <w:right w:val="nil"/>
            </w:tcBorders>
            <w:shd w:val="clear" w:color="auto" w:fill="auto"/>
            <w:noWrap/>
            <w:vAlign w:val="bottom"/>
            <w:hideMark/>
          </w:tcPr>
          <w:p w14:paraId="3BABBD3B" w14:textId="1B51484C" w:rsidR="00F1187C" w:rsidRPr="00D04BEE" w:rsidRDefault="00F1187C" w:rsidP="00F1187C">
            <w:pPr>
              <w:spacing w:after="0" w:line="240" w:lineRule="auto"/>
              <w:jc w:val="right"/>
              <w:rPr>
                <w:b/>
                <w:bCs/>
                <w:color w:val="000000"/>
                <w:sz w:val="18"/>
                <w:szCs w:val="18"/>
                <w:lang w:eastAsia="sk-SK"/>
              </w:rPr>
            </w:pPr>
            <w:r w:rsidRPr="00D04BEE">
              <w:rPr>
                <w:b/>
                <w:bCs/>
                <w:color w:val="000000"/>
                <w:sz w:val="18"/>
                <w:szCs w:val="18"/>
              </w:rPr>
              <w:t>12 151 508</w:t>
            </w:r>
          </w:p>
        </w:tc>
        <w:tc>
          <w:tcPr>
            <w:tcW w:w="1000" w:type="dxa"/>
            <w:tcBorders>
              <w:top w:val="nil"/>
              <w:left w:val="nil"/>
              <w:bottom w:val="nil"/>
              <w:right w:val="nil"/>
            </w:tcBorders>
            <w:shd w:val="clear" w:color="auto" w:fill="auto"/>
            <w:noWrap/>
            <w:vAlign w:val="bottom"/>
            <w:hideMark/>
          </w:tcPr>
          <w:p w14:paraId="468755DA" w14:textId="37C5EC07" w:rsidR="00F1187C" w:rsidRPr="00D04BEE" w:rsidRDefault="00F1187C" w:rsidP="00F1187C">
            <w:pPr>
              <w:tabs>
                <w:tab w:val="decimal" w:pos="309"/>
              </w:tabs>
              <w:spacing w:after="0" w:line="240" w:lineRule="auto"/>
              <w:jc w:val="center"/>
              <w:rPr>
                <w:b/>
                <w:bCs/>
                <w:color w:val="000000"/>
                <w:sz w:val="18"/>
                <w:szCs w:val="18"/>
                <w:lang w:eastAsia="sk-SK"/>
              </w:rPr>
            </w:pPr>
            <w:r w:rsidRPr="00D04BEE">
              <w:rPr>
                <w:b/>
                <w:bCs/>
                <w:color w:val="000000"/>
                <w:sz w:val="18"/>
                <w:szCs w:val="18"/>
              </w:rPr>
              <w:t>14,1</w:t>
            </w:r>
          </w:p>
        </w:tc>
      </w:tr>
      <w:tr w:rsidR="00F1187C" w:rsidRPr="00D04BEE" w14:paraId="42E38736" w14:textId="77777777" w:rsidTr="0019064B">
        <w:trPr>
          <w:trHeight w:val="300"/>
        </w:trPr>
        <w:tc>
          <w:tcPr>
            <w:tcW w:w="4101" w:type="dxa"/>
            <w:tcBorders>
              <w:top w:val="nil"/>
              <w:left w:val="nil"/>
              <w:bottom w:val="nil"/>
              <w:right w:val="nil"/>
            </w:tcBorders>
            <w:shd w:val="clear" w:color="auto" w:fill="auto"/>
            <w:noWrap/>
            <w:vAlign w:val="center"/>
            <w:hideMark/>
          </w:tcPr>
          <w:p w14:paraId="71BFB448" w14:textId="77777777" w:rsidR="00F1187C" w:rsidRPr="00D04BEE" w:rsidRDefault="00F1187C" w:rsidP="00F1187C">
            <w:pPr>
              <w:spacing w:after="0" w:line="240" w:lineRule="auto"/>
              <w:ind w:firstLineChars="100" w:firstLine="180"/>
              <w:rPr>
                <w:color w:val="000000"/>
                <w:sz w:val="18"/>
                <w:szCs w:val="18"/>
                <w:lang w:eastAsia="sk-SK"/>
              </w:rPr>
            </w:pPr>
            <w:r w:rsidRPr="00D04BEE">
              <w:rPr>
                <w:color w:val="000000"/>
                <w:sz w:val="18"/>
                <w:szCs w:val="18"/>
                <w:lang w:eastAsia="sk-SK"/>
              </w:rPr>
              <w:t xml:space="preserve"> - Mzdy a platy</w:t>
            </w:r>
          </w:p>
        </w:tc>
        <w:tc>
          <w:tcPr>
            <w:tcW w:w="1120" w:type="dxa"/>
            <w:tcBorders>
              <w:top w:val="nil"/>
              <w:left w:val="nil"/>
              <w:bottom w:val="nil"/>
              <w:right w:val="nil"/>
            </w:tcBorders>
            <w:shd w:val="clear" w:color="auto" w:fill="auto"/>
            <w:noWrap/>
            <w:vAlign w:val="bottom"/>
            <w:hideMark/>
          </w:tcPr>
          <w:p w14:paraId="62743301" w14:textId="7E78298D" w:rsidR="00F1187C" w:rsidRPr="00D04BEE" w:rsidRDefault="00F1187C" w:rsidP="00F1187C">
            <w:pPr>
              <w:spacing w:after="0" w:line="240" w:lineRule="auto"/>
              <w:jc w:val="right"/>
              <w:rPr>
                <w:sz w:val="18"/>
                <w:szCs w:val="18"/>
                <w:lang w:eastAsia="sk-SK"/>
              </w:rPr>
            </w:pPr>
            <w:r w:rsidRPr="00D04BEE">
              <w:rPr>
                <w:sz w:val="18"/>
                <w:szCs w:val="18"/>
              </w:rPr>
              <w:t>8 150 121</w:t>
            </w:r>
          </w:p>
        </w:tc>
        <w:tc>
          <w:tcPr>
            <w:tcW w:w="1040" w:type="dxa"/>
            <w:tcBorders>
              <w:top w:val="nil"/>
              <w:left w:val="nil"/>
              <w:bottom w:val="nil"/>
              <w:right w:val="nil"/>
            </w:tcBorders>
            <w:shd w:val="clear" w:color="auto" w:fill="auto"/>
            <w:noWrap/>
            <w:vAlign w:val="bottom"/>
            <w:hideMark/>
          </w:tcPr>
          <w:p w14:paraId="1ED58927" w14:textId="2295E372" w:rsidR="00F1187C" w:rsidRPr="00D04BEE" w:rsidRDefault="00F1187C" w:rsidP="00F1187C">
            <w:pPr>
              <w:spacing w:after="0" w:line="240" w:lineRule="auto"/>
              <w:jc w:val="right"/>
              <w:rPr>
                <w:sz w:val="18"/>
                <w:szCs w:val="18"/>
                <w:lang w:eastAsia="sk-SK"/>
              </w:rPr>
            </w:pPr>
            <w:r w:rsidRPr="00D04BEE">
              <w:rPr>
                <w:sz w:val="18"/>
                <w:szCs w:val="18"/>
              </w:rPr>
              <w:t>8 540 694</w:t>
            </w:r>
          </w:p>
        </w:tc>
        <w:tc>
          <w:tcPr>
            <w:tcW w:w="1025" w:type="dxa"/>
            <w:tcBorders>
              <w:top w:val="nil"/>
              <w:left w:val="nil"/>
              <w:bottom w:val="nil"/>
              <w:right w:val="nil"/>
            </w:tcBorders>
            <w:shd w:val="clear" w:color="000000" w:fill="auto"/>
            <w:noWrap/>
            <w:vAlign w:val="bottom"/>
            <w:hideMark/>
          </w:tcPr>
          <w:p w14:paraId="00FB6434" w14:textId="1060E3B3" w:rsidR="00F1187C" w:rsidRPr="00D04BEE" w:rsidRDefault="00F1187C" w:rsidP="00F1187C">
            <w:pPr>
              <w:spacing w:after="0" w:line="240" w:lineRule="auto"/>
              <w:jc w:val="right"/>
              <w:rPr>
                <w:sz w:val="18"/>
                <w:szCs w:val="18"/>
                <w:lang w:eastAsia="sk-SK"/>
              </w:rPr>
            </w:pPr>
            <w:r w:rsidRPr="00D04BEE">
              <w:rPr>
                <w:sz w:val="18"/>
                <w:szCs w:val="18"/>
              </w:rPr>
              <w:t>9 812 345</w:t>
            </w:r>
          </w:p>
        </w:tc>
        <w:tc>
          <w:tcPr>
            <w:tcW w:w="980" w:type="dxa"/>
            <w:tcBorders>
              <w:top w:val="nil"/>
              <w:left w:val="nil"/>
              <w:bottom w:val="nil"/>
              <w:right w:val="nil"/>
            </w:tcBorders>
            <w:shd w:val="clear" w:color="auto" w:fill="auto"/>
            <w:noWrap/>
            <w:vAlign w:val="bottom"/>
            <w:hideMark/>
          </w:tcPr>
          <w:p w14:paraId="473FD9DC" w14:textId="166DD686"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8 866 707</w:t>
            </w:r>
          </w:p>
        </w:tc>
        <w:tc>
          <w:tcPr>
            <w:tcW w:w="1000" w:type="dxa"/>
            <w:tcBorders>
              <w:top w:val="nil"/>
              <w:left w:val="nil"/>
              <w:bottom w:val="nil"/>
              <w:right w:val="nil"/>
            </w:tcBorders>
            <w:shd w:val="clear" w:color="auto" w:fill="auto"/>
            <w:noWrap/>
            <w:vAlign w:val="bottom"/>
            <w:hideMark/>
          </w:tcPr>
          <w:p w14:paraId="7795A4E3" w14:textId="2FB00C2C"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14,9</w:t>
            </w:r>
          </w:p>
        </w:tc>
      </w:tr>
      <w:tr w:rsidR="00F1187C" w:rsidRPr="00D04BEE" w14:paraId="701D95A8" w14:textId="77777777" w:rsidTr="0019064B">
        <w:trPr>
          <w:trHeight w:val="300"/>
        </w:trPr>
        <w:tc>
          <w:tcPr>
            <w:tcW w:w="4101" w:type="dxa"/>
            <w:tcBorders>
              <w:top w:val="nil"/>
              <w:left w:val="nil"/>
              <w:bottom w:val="nil"/>
              <w:right w:val="nil"/>
            </w:tcBorders>
            <w:shd w:val="clear" w:color="auto" w:fill="auto"/>
            <w:noWrap/>
            <w:vAlign w:val="center"/>
            <w:hideMark/>
          </w:tcPr>
          <w:p w14:paraId="2DC6E814" w14:textId="77777777" w:rsidR="00F1187C" w:rsidRPr="00D04BEE" w:rsidRDefault="00F1187C" w:rsidP="00F1187C">
            <w:pPr>
              <w:spacing w:after="0" w:line="240" w:lineRule="auto"/>
              <w:ind w:firstLineChars="100" w:firstLine="180"/>
              <w:rPr>
                <w:color w:val="000000"/>
                <w:sz w:val="18"/>
                <w:szCs w:val="18"/>
                <w:lang w:eastAsia="sk-SK"/>
              </w:rPr>
            </w:pPr>
            <w:r w:rsidRPr="00D04BEE">
              <w:rPr>
                <w:color w:val="000000"/>
                <w:sz w:val="18"/>
                <w:szCs w:val="18"/>
                <w:lang w:eastAsia="sk-SK"/>
              </w:rPr>
              <w:t xml:space="preserve"> - Sociálne príspevky zamestnávateľov</w:t>
            </w:r>
          </w:p>
        </w:tc>
        <w:tc>
          <w:tcPr>
            <w:tcW w:w="1120" w:type="dxa"/>
            <w:tcBorders>
              <w:top w:val="nil"/>
              <w:left w:val="nil"/>
              <w:bottom w:val="nil"/>
              <w:right w:val="nil"/>
            </w:tcBorders>
            <w:shd w:val="clear" w:color="auto" w:fill="auto"/>
            <w:noWrap/>
            <w:vAlign w:val="bottom"/>
            <w:hideMark/>
          </w:tcPr>
          <w:p w14:paraId="42C2095A" w14:textId="2FBC447C" w:rsidR="00F1187C" w:rsidRPr="00D04BEE" w:rsidRDefault="00F1187C" w:rsidP="00F1187C">
            <w:pPr>
              <w:spacing w:after="0" w:line="240" w:lineRule="auto"/>
              <w:jc w:val="right"/>
              <w:rPr>
                <w:sz w:val="18"/>
                <w:szCs w:val="18"/>
                <w:lang w:eastAsia="sk-SK"/>
              </w:rPr>
            </w:pPr>
            <w:r w:rsidRPr="00D04BEE">
              <w:rPr>
                <w:sz w:val="18"/>
                <w:szCs w:val="18"/>
              </w:rPr>
              <w:t>3 258 440</w:t>
            </w:r>
          </w:p>
        </w:tc>
        <w:tc>
          <w:tcPr>
            <w:tcW w:w="1040" w:type="dxa"/>
            <w:tcBorders>
              <w:top w:val="nil"/>
              <w:left w:val="nil"/>
              <w:bottom w:val="nil"/>
              <w:right w:val="nil"/>
            </w:tcBorders>
            <w:shd w:val="clear" w:color="auto" w:fill="auto"/>
            <w:noWrap/>
            <w:vAlign w:val="bottom"/>
            <w:hideMark/>
          </w:tcPr>
          <w:p w14:paraId="28EDA37A" w14:textId="52584E24" w:rsidR="00F1187C" w:rsidRPr="00D04BEE" w:rsidRDefault="00F1187C" w:rsidP="00F1187C">
            <w:pPr>
              <w:spacing w:after="0" w:line="240" w:lineRule="auto"/>
              <w:jc w:val="right"/>
              <w:rPr>
                <w:sz w:val="18"/>
                <w:szCs w:val="18"/>
                <w:lang w:eastAsia="sk-SK"/>
              </w:rPr>
            </w:pPr>
            <w:r w:rsidRPr="00D04BEE">
              <w:rPr>
                <w:sz w:val="18"/>
                <w:szCs w:val="18"/>
              </w:rPr>
              <w:t>3 395 083</w:t>
            </w:r>
          </w:p>
        </w:tc>
        <w:tc>
          <w:tcPr>
            <w:tcW w:w="1025" w:type="dxa"/>
            <w:tcBorders>
              <w:top w:val="nil"/>
              <w:left w:val="nil"/>
              <w:bottom w:val="nil"/>
              <w:right w:val="nil"/>
            </w:tcBorders>
            <w:shd w:val="clear" w:color="000000" w:fill="auto"/>
            <w:noWrap/>
            <w:vAlign w:val="bottom"/>
            <w:hideMark/>
          </w:tcPr>
          <w:p w14:paraId="3FA55ABC" w14:textId="306B92FE" w:rsidR="00F1187C" w:rsidRPr="00D04BEE" w:rsidRDefault="00F1187C" w:rsidP="00F1187C">
            <w:pPr>
              <w:spacing w:after="0" w:line="240" w:lineRule="auto"/>
              <w:jc w:val="right"/>
              <w:rPr>
                <w:sz w:val="18"/>
                <w:szCs w:val="18"/>
                <w:lang w:eastAsia="sk-SK"/>
              </w:rPr>
            </w:pPr>
            <w:r w:rsidRPr="00D04BEE">
              <w:rPr>
                <w:sz w:val="18"/>
                <w:szCs w:val="18"/>
              </w:rPr>
              <w:t>3 806 583</w:t>
            </w:r>
          </w:p>
        </w:tc>
        <w:tc>
          <w:tcPr>
            <w:tcW w:w="980" w:type="dxa"/>
            <w:tcBorders>
              <w:top w:val="nil"/>
              <w:left w:val="nil"/>
              <w:bottom w:val="nil"/>
              <w:right w:val="nil"/>
            </w:tcBorders>
            <w:shd w:val="clear" w:color="auto" w:fill="auto"/>
            <w:noWrap/>
            <w:vAlign w:val="bottom"/>
            <w:hideMark/>
          </w:tcPr>
          <w:p w14:paraId="4596A8DA" w14:textId="682452DC"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3 284 801</w:t>
            </w:r>
          </w:p>
        </w:tc>
        <w:tc>
          <w:tcPr>
            <w:tcW w:w="1000" w:type="dxa"/>
            <w:tcBorders>
              <w:top w:val="nil"/>
              <w:left w:val="nil"/>
              <w:bottom w:val="nil"/>
              <w:right w:val="nil"/>
            </w:tcBorders>
            <w:shd w:val="clear" w:color="auto" w:fill="auto"/>
            <w:noWrap/>
            <w:vAlign w:val="bottom"/>
            <w:hideMark/>
          </w:tcPr>
          <w:p w14:paraId="3FD882C5" w14:textId="0FCE60DF"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12,1</w:t>
            </w:r>
          </w:p>
        </w:tc>
      </w:tr>
      <w:tr w:rsidR="00F1187C" w:rsidRPr="00D04BEE" w14:paraId="61A514DB" w14:textId="77777777" w:rsidTr="0019064B">
        <w:trPr>
          <w:trHeight w:val="300"/>
        </w:trPr>
        <w:tc>
          <w:tcPr>
            <w:tcW w:w="4101" w:type="dxa"/>
            <w:tcBorders>
              <w:top w:val="nil"/>
              <w:left w:val="nil"/>
              <w:bottom w:val="nil"/>
              <w:right w:val="nil"/>
            </w:tcBorders>
            <w:shd w:val="clear" w:color="auto" w:fill="auto"/>
            <w:noWrap/>
            <w:vAlign w:val="center"/>
            <w:hideMark/>
          </w:tcPr>
          <w:p w14:paraId="3A0342EC" w14:textId="77777777" w:rsidR="00F1187C" w:rsidRPr="00D04BEE" w:rsidRDefault="00F1187C" w:rsidP="00F1187C">
            <w:pPr>
              <w:spacing w:after="0" w:line="240" w:lineRule="auto"/>
              <w:ind w:firstLineChars="100" w:firstLine="181"/>
              <w:rPr>
                <w:b/>
                <w:bCs/>
                <w:color w:val="000000"/>
                <w:sz w:val="18"/>
                <w:szCs w:val="18"/>
                <w:lang w:eastAsia="sk-SK"/>
              </w:rPr>
            </w:pPr>
            <w:r w:rsidRPr="00D04BEE">
              <w:rPr>
                <w:b/>
                <w:bCs/>
                <w:color w:val="000000"/>
                <w:sz w:val="18"/>
                <w:szCs w:val="18"/>
                <w:lang w:eastAsia="sk-SK"/>
              </w:rPr>
              <w:t>Medzispotreba</w:t>
            </w:r>
          </w:p>
        </w:tc>
        <w:tc>
          <w:tcPr>
            <w:tcW w:w="1120" w:type="dxa"/>
            <w:tcBorders>
              <w:top w:val="nil"/>
              <w:left w:val="nil"/>
              <w:bottom w:val="nil"/>
              <w:right w:val="nil"/>
            </w:tcBorders>
            <w:shd w:val="clear" w:color="auto" w:fill="auto"/>
            <w:noWrap/>
            <w:vAlign w:val="bottom"/>
            <w:hideMark/>
          </w:tcPr>
          <w:p w14:paraId="2A2B1900" w14:textId="2D0D9065" w:rsidR="00F1187C" w:rsidRPr="00D04BEE" w:rsidRDefault="00F1187C" w:rsidP="00F1187C">
            <w:pPr>
              <w:spacing w:after="0" w:line="240" w:lineRule="auto"/>
              <w:jc w:val="right"/>
              <w:rPr>
                <w:b/>
                <w:bCs/>
                <w:color w:val="000000"/>
                <w:sz w:val="18"/>
                <w:szCs w:val="18"/>
                <w:lang w:eastAsia="sk-SK"/>
              </w:rPr>
            </w:pPr>
            <w:r w:rsidRPr="00D04BEE">
              <w:rPr>
                <w:b/>
                <w:bCs/>
                <w:color w:val="000000"/>
                <w:sz w:val="18"/>
                <w:szCs w:val="18"/>
              </w:rPr>
              <w:t>5 716 781</w:t>
            </w:r>
          </w:p>
        </w:tc>
        <w:tc>
          <w:tcPr>
            <w:tcW w:w="1040" w:type="dxa"/>
            <w:tcBorders>
              <w:top w:val="nil"/>
              <w:left w:val="nil"/>
              <w:bottom w:val="nil"/>
              <w:right w:val="nil"/>
            </w:tcBorders>
            <w:shd w:val="clear" w:color="auto" w:fill="auto"/>
            <w:noWrap/>
            <w:vAlign w:val="bottom"/>
            <w:hideMark/>
          </w:tcPr>
          <w:p w14:paraId="526AD07E" w14:textId="6D2B8047" w:rsidR="00F1187C" w:rsidRPr="00D04BEE" w:rsidRDefault="00F1187C" w:rsidP="00F1187C">
            <w:pPr>
              <w:spacing w:after="0" w:line="240" w:lineRule="auto"/>
              <w:jc w:val="right"/>
              <w:rPr>
                <w:b/>
                <w:bCs/>
                <w:color w:val="000000"/>
                <w:sz w:val="18"/>
                <w:szCs w:val="18"/>
                <w:lang w:eastAsia="sk-SK"/>
              </w:rPr>
            </w:pPr>
            <w:r w:rsidRPr="00D04BEE">
              <w:rPr>
                <w:b/>
                <w:bCs/>
                <w:sz w:val="18"/>
                <w:szCs w:val="18"/>
              </w:rPr>
              <w:t>6 597 778</w:t>
            </w:r>
          </w:p>
        </w:tc>
        <w:tc>
          <w:tcPr>
            <w:tcW w:w="1025" w:type="dxa"/>
            <w:tcBorders>
              <w:top w:val="nil"/>
              <w:left w:val="nil"/>
              <w:bottom w:val="nil"/>
              <w:right w:val="nil"/>
            </w:tcBorders>
            <w:shd w:val="clear" w:color="000000" w:fill="auto"/>
            <w:noWrap/>
            <w:vAlign w:val="bottom"/>
            <w:hideMark/>
          </w:tcPr>
          <w:p w14:paraId="66CD5427" w14:textId="457B2F3C" w:rsidR="00F1187C" w:rsidRPr="00D04BEE" w:rsidRDefault="00F1187C" w:rsidP="00F1187C">
            <w:pPr>
              <w:spacing w:after="0" w:line="240" w:lineRule="auto"/>
              <w:jc w:val="right"/>
              <w:rPr>
                <w:b/>
                <w:bCs/>
                <w:sz w:val="18"/>
                <w:szCs w:val="18"/>
                <w:lang w:eastAsia="sk-SK"/>
              </w:rPr>
            </w:pPr>
            <w:r w:rsidRPr="00D04BEE">
              <w:rPr>
                <w:b/>
                <w:bCs/>
                <w:sz w:val="18"/>
                <w:szCs w:val="18"/>
              </w:rPr>
              <w:t>6 646 884</w:t>
            </w:r>
          </w:p>
        </w:tc>
        <w:tc>
          <w:tcPr>
            <w:tcW w:w="980" w:type="dxa"/>
            <w:tcBorders>
              <w:top w:val="nil"/>
              <w:left w:val="nil"/>
              <w:bottom w:val="nil"/>
              <w:right w:val="nil"/>
            </w:tcBorders>
            <w:shd w:val="clear" w:color="auto" w:fill="auto"/>
            <w:noWrap/>
            <w:vAlign w:val="bottom"/>
            <w:hideMark/>
          </w:tcPr>
          <w:p w14:paraId="6E2248F6" w14:textId="3FEDA673" w:rsidR="00F1187C" w:rsidRPr="00D04BEE" w:rsidRDefault="00F1187C" w:rsidP="00F1187C">
            <w:pPr>
              <w:spacing w:after="0" w:line="240" w:lineRule="auto"/>
              <w:jc w:val="right"/>
              <w:rPr>
                <w:b/>
                <w:bCs/>
                <w:color w:val="000000"/>
                <w:sz w:val="18"/>
                <w:szCs w:val="18"/>
                <w:lang w:eastAsia="sk-SK"/>
              </w:rPr>
            </w:pPr>
            <w:r w:rsidRPr="00D04BEE">
              <w:rPr>
                <w:b/>
                <w:bCs/>
                <w:color w:val="000000"/>
                <w:sz w:val="18"/>
                <w:szCs w:val="18"/>
              </w:rPr>
              <w:t>11 832 941</w:t>
            </w:r>
          </w:p>
        </w:tc>
        <w:tc>
          <w:tcPr>
            <w:tcW w:w="1000" w:type="dxa"/>
            <w:tcBorders>
              <w:top w:val="nil"/>
              <w:left w:val="nil"/>
              <w:bottom w:val="nil"/>
              <w:right w:val="nil"/>
            </w:tcBorders>
            <w:shd w:val="clear" w:color="auto" w:fill="auto"/>
            <w:noWrap/>
            <w:vAlign w:val="bottom"/>
            <w:hideMark/>
          </w:tcPr>
          <w:p w14:paraId="3455FBAE" w14:textId="6913B010" w:rsidR="00F1187C" w:rsidRPr="00D04BEE" w:rsidRDefault="00F1187C" w:rsidP="00F1187C">
            <w:pPr>
              <w:tabs>
                <w:tab w:val="decimal" w:pos="309"/>
              </w:tabs>
              <w:spacing w:after="0" w:line="240" w:lineRule="auto"/>
              <w:jc w:val="center"/>
              <w:rPr>
                <w:b/>
                <w:bCs/>
                <w:color w:val="000000"/>
                <w:sz w:val="18"/>
                <w:szCs w:val="18"/>
                <w:lang w:eastAsia="sk-SK"/>
              </w:rPr>
            </w:pPr>
            <w:r w:rsidRPr="00D04BEE">
              <w:rPr>
                <w:b/>
                <w:bCs/>
                <w:color w:val="000000"/>
                <w:sz w:val="18"/>
                <w:szCs w:val="18"/>
              </w:rPr>
              <w:t>0,7</w:t>
            </w:r>
          </w:p>
        </w:tc>
      </w:tr>
      <w:tr w:rsidR="00F1187C" w:rsidRPr="00D04BEE" w14:paraId="45C2A4DB" w14:textId="77777777" w:rsidTr="0019064B">
        <w:trPr>
          <w:trHeight w:val="300"/>
        </w:trPr>
        <w:tc>
          <w:tcPr>
            <w:tcW w:w="4101" w:type="dxa"/>
            <w:tcBorders>
              <w:top w:val="nil"/>
              <w:left w:val="nil"/>
              <w:bottom w:val="nil"/>
              <w:right w:val="nil"/>
            </w:tcBorders>
            <w:shd w:val="clear" w:color="auto" w:fill="auto"/>
            <w:noWrap/>
            <w:vAlign w:val="center"/>
            <w:hideMark/>
          </w:tcPr>
          <w:p w14:paraId="151DFCD0" w14:textId="77777777" w:rsidR="00F1187C" w:rsidRPr="00D04BEE" w:rsidRDefault="00F1187C" w:rsidP="00F1187C">
            <w:pPr>
              <w:spacing w:after="0" w:line="240" w:lineRule="auto"/>
              <w:ind w:firstLineChars="100" w:firstLine="181"/>
              <w:rPr>
                <w:b/>
                <w:bCs/>
                <w:color w:val="000000"/>
                <w:sz w:val="18"/>
                <w:szCs w:val="18"/>
                <w:lang w:eastAsia="sk-SK"/>
              </w:rPr>
            </w:pPr>
            <w:r w:rsidRPr="00D04BEE">
              <w:rPr>
                <w:b/>
                <w:bCs/>
                <w:color w:val="000000"/>
                <w:sz w:val="18"/>
                <w:szCs w:val="18"/>
                <w:lang w:eastAsia="sk-SK"/>
              </w:rPr>
              <w:t>Dane</w:t>
            </w:r>
          </w:p>
        </w:tc>
        <w:tc>
          <w:tcPr>
            <w:tcW w:w="1120" w:type="dxa"/>
            <w:tcBorders>
              <w:top w:val="nil"/>
              <w:left w:val="nil"/>
              <w:bottom w:val="nil"/>
              <w:right w:val="nil"/>
            </w:tcBorders>
            <w:shd w:val="clear" w:color="auto" w:fill="auto"/>
            <w:noWrap/>
            <w:vAlign w:val="bottom"/>
            <w:hideMark/>
          </w:tcPr>
          <w:p w14:paraId="3A787694" w14:textId="0FC4A4EF" w:rsidR="00F1187C" w:rsidRPr="00D04BEE" w:rsidRDefault="00F1187C" w:rsidP="00F1187C">
            <w:pPr>
              <w:spacing w:after="0" w:line="240" w:lineRule="auto"/>
              <w:jc w:val="right"/>
              <w:rPr>
                <w:b/>
                <w:bCs/>
                <w:sz w:val="18"/>
                <w:szCs w:val="18"/>
                <w:lang w:eastAsia="sk-SK"/>
              </w:rPr>
            </w:pPr>
            <w:r w:rsidRPr="00D04BEE">
              <w:rPr>
                <w:b/>
                <w:bCs/>
                <w:sz w:val="18"/>
                <w:szCs w:val="18"/>
              </w:rPr>
              <w:t>173 797</w:t>
            </w:r>
          </w:p>
        </w:tc>
        <w:tc>
          <w:tcPr>
            <w:tcW w:w="1040" w:type="dxa"/>
            <w:tcBorders>
              <w:top w:val="nil"/>
              <w:left w:val="nil"/>
              <w:bottom w:val="nil"/>
              <w:right w:val="nil"/>
            </w:tcBorders>
            <w:shd w:val="clear" w:color="auto" w:fill="auto"/>
            <w:noWrap/>
            <w:vAlign w:val="bottom"/>
            <w:hideMark/>
          </w:tcPr>
          <w:p w14:paraId="3A69DC64" w14:textId="1A44AE16" w:rsidR="00F1187C" w:rsidRPr="00D04BEE" w:rsidRDefault="00F1187C" w:rsidP="00F1187C">
            <w:pPr>
              <w:spacing w:after="0" w:line="240" w:lineRule="auto"/>
              <w:jc w:val="right"/>
              <w:rPr>
                <w:b/>
                <w:bCs/>
                <w:sz w:val="18"/>
                <w:szCs w:val="18"/>
                <w:lang w:eastAsia="sk-SK"/>
              </w:rPr>
            </w:pPr>
            <w:r w:rsidRPr="00D04BEE">
              <w:rPr>
                <w:b/>
                <w:bCs/>
                <w:sz w:val="18"/>
                <w:szCs w:val="18"/>
              </w:rPr>
              <w:t>133 146</w:t>
            </w:r>
          </w:p>
        </w:tc>
        <w:tc>
          <w:tcPr>
            <w:tcW w:w="1025" w:type="dxa"/>
            <w:tcBorders>
              <w:top w:val="nil"/>
              <w:left w:val="nil"/>
              <w:bottom w:val="nil"/>
              <w:right w:val="nil"/>
            </w:tcBorders>
            <w:shd w:val="clear" w:color="000000" w:fill="auto"/>
            <w:noWrap/>
            <w:vAlign w:val="bottom"/>
            <w:hideMark/>
          </w:tcPr>
          <w:p w14:paraId="0A38ACE4" w14:textId="784A55D2" w:rsidR="00F1187C" w:rsidRPr="00D04BEE" w:rsidRDefault="00F1187C" w:rsidP="00F1187C">
            <w:pPr>
              <w:spacing w:after="0" w:line="240" w:lineRule="auto"/>
              <w:jc w:val="right"/>
              <w:rPr>
                <w:b/>
                <w:bCs/>
                <w:sz w:val="18"/>
                <w:szCs w:val="18"/>
                <w:lang w:eastAsia="sk-SK"/>
              </w:rPr>
            </w:pPr>
            <w:r w:rsidRPr="00D04BEE">
              <w:rPr>
                <w:b/>
                <w:bCs/>
                <w:sz w:val="18"/>
                <w:szCs w:val="18"/>
              </w:rPr>
              <w:t>102 815</w:t>
            </w:r>
          </w:p>
        </w:tc>
        <w:tc>
          <w:tcPr>
            <w:tcW w:w="980" w:type="dxa"/>
            <w:tcBorders>
              <w:top w:val="nil"/>
              <w:left w:val="nil"/>
              <w:bottom w:val="nil"/>
              <w:right w:val="nil"/>
            </w:tcBorders>
            <w:shd w:val="clear" w:color="auto" w:fill="auto"/>
            <w:noWrap/>
            <w:vAlign w:val="bottom"/>
            <w:hideMark/>
          </w:tcPr>
          <w:p w14:paraId="3B4D6206" w14:textId="50663D6A" w:rsidR="00F1187C" w:rsidRPr="00D04BEE" w:rsidRDefault="00F1187C" w:rsidP="00F1187C">
            <w:pPr>
              <w:spacing w:after="0" w:line="240" w:lineRule="auto"/>
              <w:jc w:val="right"/>
              <w:rPr>
                <w:b/>
                <w:bCs/>
                <w:sz w:val="18"/>
                <w:szCs w:val="18"/>
                <w:lang w:eastAsia="sk-SK"/>
              </w:rPr>
            </w:pPr>
            <w:r w:rsidRPr="00D04BEE">
              <w:rPr>
                <w:b/>
                <w:bCs/>
                <w:sz w:val="18"/>
                <w:szCs w:val="18"/>
              </w:rPr>
              <w:t>124 914</w:t>
            </w:r>
          </w:p>
        </w:tc>
        <w:tc>
          <w:tcPr>
            <w:tcW w:w="1000" w:type="dxa"/>
            <w:tcBorders>
              <w:top w:val="nil"/>
              <w:left w:val="nil"/>
              <w:bottom w:val="nil"/>
              <w:right w:val="nil"/>
            </w:tcBorders>
            <w:shd w:val="clear" w:color="auto" w:fill="auto"/>
            <w:noWrap/>
            <w:vAlign w:val="bottom"/>
            <w:hideMark/>
          </w:tcPr>
          <w:p w14:paraId="22B646B0" w14:textId="5A78CE32" w:rsidR="00F1187C" w:rsidRPr="00D04BEE" w:rsidRDefault="00F1187C" w:rsidP="00F1187C">
            <w:pPr>
              <w:tabs>
                <w:tab w:val="decimal" w:pos="309"/>
              </w:tabs>
              <w:spacing w:after="0" w:line="240" w:lineRule="auto"/>
              <w:jc w:val="center"/>
              <w:rPr>
                <w:b/>
                <w:bCs/>
                <w:sz w:val="18"/>
                <w:szCs w:val="18"/>
                <w:lang w:eastAsia="sk-SK"/>
              </w:rPr>
            </w:pPr>
            <w:r w:rsidRPr="00D04BEE">
              <w:rPr>
                <w:b/>
                <w:bCs/>
                <w:sz w:val="18"/>
                <w:szCs w:val="18"/>
              </w:rPr>
              <w:t>-22,8</w:t>
            </w:r>
          </w:p>
        </w:tc>
      </w:tr>
      <w:tr w:rsidR="00F1187C" w:rsidRPr="00D04BEE" w14:paraId="77CB01E0" w14:textId="77777777" w:rsidTr="0019064B">
        <w:trPr>
          <w:trHeight w:val="300"/>
        </w:trPr>
        <w:tc>
          <w:tcPr>
            <w:tcW w:w="4101" w:type="dxa"/>
            <w:tcBorders>
              <w:top w:val="nil"/>
              <w:left w:val="nil"/>
              <w:bottom w:val="nil"/>
              <w:right w:val="nil"/>
            </w:tcBorders>
            <w:shd w:val="clear" w:color="auto" w:fill="auto"/>
            <w:noWrap/>
            <w:vAlign w:val="center"/>
            <w:hideMark/>
          </w:tcPr>
          <w:p w14:paraId="573B3402" w14:textId="77777777" w:rsidR="00F1187C" w:rsidRPr="00D04BEE" w:rsidRDefault="00F1187C" w:rsidP="00F1187C">
            <w:pPr>
              <w:spacing w:after="0" w:line="240" w:lineRule="auto"/>
              <w:ind w:firstLineChars="100" w:firstLine="180"/>
              <w:rPr>
                <w:color w:val="000000"/>
                <w:sz w:val="18"/>
                <w:szCs w:val="18"/>
                <w:lang w:eastAsia="sk-SK"/>
              </w:rPr>
            </w:pPr>
            <w:r w:rsidRPr="00D04BEE">
              <w:rPr>
                <w:color w:val="000000"/>
                <w:sz w:val="18"/>
                <w:szCs w:val="18"/>
                <w:lang w:eastAsia="sk-SK"/>
              </w:rPr>
              <w:t xml:space="preserve"> - Iné dane z produkcie</w:t>
            </w:r>
          </w:p>
        </w:tc>
        <w:tc>
          <w:tcPr>
            <w:tcW w:w="1120" w:type="dxa"/>
            <w:tcBorders>
              <w:top w:val="nil"/>
              <w:left w:val="nil"/>
              <w:bottom w:val="nil"/>
              <w:right w:val="nil"/>
            </w:tcBorders>
            <w:shd w:val="clear" w:color="auto" w:fill="auto"/>
            <w:noWrap/>
            <w:vAlign w:val="bottom"/>
            <w:hideMark/>
          </w:tcPr>
          <w:p w14:paraId="15471163" w14:textId="63EED153" w:rsidR="00F1187C" w:rsidRPr="00D04BEE" w:rsidRDefault="00F1187C" w:rsidP="00F1187C">
            <w:pPr>
              <w:spacing w:after="0" w:line="240" w:lineRule="auto"/>
              <w:jc w:val="right"/>
              <w:rPr>
                <w:color w:val="000000"/>
                <w:sz w:val="18"/>
                <w:szCs w:val="18"/>
                <w:lang w:eastAsia="sk-SK"/>
              </w:rPr>
            </w:pPr>
            <w:r w:rsidRPr="00D04BEE">
              <w:rPr>
                <w:sz w:val="18"/>
                <w:szCs w:val="18"/>
              </w:rPr>
              <w:t>147 816</w:t>
            </w:r>
          </w:p>
        </w:tc>
        <w:tc>
          <w:tcPr>
            <w:tcW w:w="1040" w:type="dxa"/>
            <w:tcBorders>
              <w:top w:val="nil"/>
              <w:left w:val="nil"/>
              <w:bottom w:val="nil"/>
              <w:right w:val="nil"/>
            </w:tcBorders>
            <w:shd w:val="clear" w:color="auto" w:fill="auto"/>
            <w:noWrap/>
            <w:vAlign w:val="bottom"/>
            <w:hideMark/>
          </w:tcPr>
          <w:p w14:paraId="6272C294" w14:textId="6AD676A2" w:rsidR="00F1187C" w:rsidRPr="00D04BEE" w:rsidRDefault="00F1187C" w:rsidP="00F1187C">
            <w:pPr>
              <w:spacing w:after="0" w:line="240" w:lineRule="auto"/>
              <w:jc w:val="right"/>
              <w:rPr>
                <w:color w:val="000000"/>
                <w:sz w:val="18"/>
                <w:szCs w:val="18"/>
                <w:lang w:eastAsia="sk-SK"/>
              </w:rPr>
            </w:pPr>
            <w:r w:rsidRPr="00D04BEE">
              <w:rPr>
                <w:sz w:val="18"/>
                <w:szCs w:val="18"/>
              </w:rPr>
              <w:t>120 564</w:t>
            </w:r>
          </w:p>
        </w:tc>
        <w:tc>
          <w:tcPr>
            <w:tcW w:w="1025" w:type="dxa"/>
            <w:tcBorders>
              <w:top w:val="nil"/>
              <w:left w:val="nil"/>
              <w:bottom w:val="nil"/>
              <w:right w:val="nil"/>
            </w:tcBorders>
            <w:shd w:val="clear" w:color="000000" w:fill="auto"/>
            <w:noWrap/>
            <w:vAlign w:val="bottom"/>
            <w:hideMark/>
          </w:tcPr>
          <w:p w14:paraId="679F89C5" w14:textId="3D5A4D3C" w:rsidR="00F1187C" w:rsidRPr="00D04BEE" w:rsidRDefault="00F1187C" w:rsidP="00F1187C">
            <w:pPr>
              <w:spacing w:after="0" w:line="240" w:lineRule="auto"/>
              <w:jc w:val="right"/>
              <w:rPr>
                <w:sz w:val="18"/>
                <w:szCs w:val="18"/>
                <w:lang w:eastAsia="sk-SK"/>
              </w:rPr>
            </w:pPr>
            <w:r w:rsidRPr="00D04BEE">
              <w:rPr>
                <w:sz w:val="18"/>
                <w:szCs w:val="18"/>
              </w:rPr>
              <w:t>96 591</w:t>
            </w:r>
          </w:p>
        </w:tc>
        <w:tc>
          <w:tcPr>
            <w:tcW w:w="980" w:type="dxa"/>
            <w:tcBorders>
              <w:top w:val="nil"/>
              <w:left w:val="nil"/>
              <w:bottom w:val="nil"/>
              <w:right w:val="nil"/>
            </w:tcBorders>
            <w:shd w:val="clear" w:color="auto" w:fill="auto"/>
            <w:noWrap/>
            <w:vAlign w:val="bottom"/>
            <w:hideMark/>
          </w:tcPr>
          <w:p w14:paraId="6E753AE2" w14:textId="7AEBA14E"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124 914</w:t>
            </w:r>
          </w:p>
        </w:tc>
        <w:tc>
          <w:tcPr>
            <w:tcW w:w="1000" w:type="dxa"/>
            <w:tcBorders>
              <w:top w:val="nil"/>
              <w:left w:val="nil"/>
              <w:bottom w:val="nil"/>
              <w:right w:val="nil"/>
            </w:tcBorders>
            <w:shd w:val="clear" w:color="auto" w:fill="auto"/>
            <w:noWrap/>
            <w:vAlign w:val="bottom"/>
            <w:hideMark/>
          </w:tcPr>
          <w:p w14:paraId="2260D4A8" w14:textId="336B8C3A"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-19,9</w:t>
            </w:r>
          </w:p>
        </w:tc>
      </w:tr>
      <w:tr w:rsidR="00F1187C" w:rsidRPr="00D04BEE" w14:paraId="5DE659D0" w14:textId="77777777" w:rsidTr="0019064B">
        <w:trPr>
          <w:trHeight w:val="300"/>
        </w:trPr>
        <w:tc>
          <w:tcPr>
            <w:tcW w:w="4101" w:type="dxa"/>
            <w:tcBorders>
              <w:top w:val="nil"/>
              <w:left w:val="nil"/>
              <w:bottom w:val="nil"/>
              <w:right w:val="nil"/>
            </w:tcBorders>
            <w:shd w:val="clear" w:color="auto" w:fill="auto"/>
            <w:noWrap/>
            <w:vAlign w:val="center"/>
            <w:hideMark/>
          </w:tcPr>
          <w:p w14:paraId="4213EE34" w14:textId="77777777" w:rsidR="00F1187C" w:rsidRPr="00D04BEE" w:rsidRDefault="00F1187C" w:rsidP="00F1187C">
            <w:pPr>
              <w:spacing w:after="0" w:line="240" w:lineRule="auto"/>
              <w:ind w:firstLineChars="100" w:firstLine="180"/>
              <w:rPr>
                <w:color w:val="000000"/>
                <w:sz w:val="18"/>
                <w:szCs w:val="18"/>
                <w:lang w:eastAsia="sk-SK"/>
              </w:rPr>
            </w:pPr>
            <w:r w:rsidRPr="00D04BEE">
              <w:rPr>
                <w:color w:val="000000"/>
                <w:sz w:val="18"/>
                <w:szCs w:val="18"/>
                <w:lang w:eastAsia="sk-SK"/>
              </w:rPr>
              <w:t xml:space="preserve"> - Bežné dane z majetku, atď.</w:t>
            </w:r>
          </w:p>
        </w:tc>
        <w:tc>
          <w:tcPr>
            <w:tcW w:w="1120" w:type="dxa"/>
            <w:tcBorders>
              <w:top w:val="nil"/>
              <w:left w:val="nil"/>
              <w:bottom w:val="nil"/>
              <w:right w:val="nil"/>
            </w:tcBorders>
            <w:shd w:val="clear" w:color="auto" w:fill="auto"/>
            <w:noWrap/>
            <w:vAlign w:val="bottom"/>
            <w:hideMark/>
          </w:tcPr>
          <w:p w14:paraId="11A6163D" w14:textId="5A9A14DD" w:rsidR="00F1187C" w:rsidRPr="00D04BEE" w:rsidRDefault="00F1187C" w:rsidP="00F1187C">
            <w:pPr>
              <w:spacing w:after="0" w:line="240" w:lineRule="auto"/>
              <w:jc w:val="right"/>
              <w:rPr>
                <w:color w:val="000000"/>
                <w:sz w:val="18"/>
                <w:szCs w:val="18"/>
                <w:lang w:eastAsia="sk-SK"/>
              </w:rPr>
            </w:pPr>
            <w:r w:rsidRPr="00D04BEE">
              <w:rPr>
                <w:sz w:val="18"/>
                <w:szCs w:val="18"/>
              </w:rPr>
              <w:t>25 981</w:t>
            </w:r>
          </w:p>
        </w:tc>
        <w:tc>
          <w:tcPr>
            <w:tcW w:w="1040" w:type="dxa"/>
            <w:tcBorders>
              <w:top w:val="nil"/>
              <w:left w:val="nil"/>
              <w:bottom w:val="nil"/>
              <w:right w:val="nil"/>
            </w:tcBorders>
            <w:shd w:val="clear" w:color="auto" w:fill="auto"/>
            <w:noWrap/>
            <w:vAlign w:val="bottom"/>
            <w:hideMark/>
          </w:tcPr>
          <w:p w14:paraId="2BAFD15E" w14:textId="1F383371" w:rsidR="00F1187C" w:rsidRPr="00D04BEE" w:rsidRDefault="00F1187C" w:rsidP="00F1187C">
            <w:pPr>
              <w:spacing w:after="0" w:line="240" w:lineRule="auto"/>
              <w:jc w:val="right"/>
              <w:rPr>
                <w:color w:val="000000"/>
                <w:sz w:val="18"/>
                <w:szCs w:val="18"/>
                <w:lang w:eastAsia="sk-SK"/>
              </w:rPr>
            </w:pPr>
            <w:r w:rsidRPr="00D04BEE">
              <w:rPr>
                <w:sz w:val="18"/>
                <w:szCs w:val="18"/>
              </w:rPr>
              <w:t>12 582</w:t>
            </w:r>
          </w:p>
        </w:tc>
        <w:tc>
          <w:tcPr>
            <w:tcW w:w="1025" w:type="dxa"/>
            <w:tcBorders>
              <w:top w:val="nil"/>
              <w:left w:val="nil"/>
              <w:bottom w:val="nil"/>
              <w:right w:val="nil"/>
            </w:tcBorders>
            <w:shd w:val="clear" w:color="000000" w:fill="auto"/>
            <w:noWrap/>
            <w:vAlign w:val="bottom"/>
            <w:hideMark/>
          </w:tcPr>
          <w:p w14:paraId="12FFC743" w14:textId="6D835A7D" w:rsidR="00F1187C" w:rsidRPr="00D04BEE" w:rsidRDefault="00F1187C" w:rsidP="00F1187C">
            <w:pPr>
              <w:spacing w:after="0" w:line="240" w:lineRule="auto"/>
              <w:jc w:val="right"/>
              <w:rPr>
                <w:sz w:val="18"/>
                <w:szCs w:val="18"/>
                <w:lang w:eastAsia="sk-SK"/>
              </w:rPr>
            </w:pPr>
            <w:r w:rsidRPr="00D04BEE">
              <w:rPr>
                <w:sz w:val="18"/>
                <w:szCs w:val="18"/>
              </w:rPr>
              <w:t>6 224</w:t>
            </w:r>
          </w:p>
        </w:tc>
        <w:tc>
          <w:tcPr>
            <w:tcW w:w="980" w:type="dxa"/>
            <w:tcBorders>
              <w:top w:val="nil"/>
              <w:left w:val="nil"/>
              <w:bottom w:val="nil"/>
              <w:right w:val="nil"/>
            </w:tcBorders>
            <w:shd w:val="clear" w:color="auto" w:fill="auto"/>
            <w:noWrap/>
            <w:vAlign w:val="bottom"/>
            <w:hideMark/>
          </w:tcPr>
          <w:p w14:paraId="798C0D15" w14:textId="47B049D1"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0</w:t>
            </w:r>
          </w:p>
        </w:tc>
        <w:tc>
          <w:tcPr>
            <w:tcW w:w="1000" w:type="dxa"/>
            <w:tcBorders>
              <w:top w:val="nil"/>
              <w:left w:val="nil"/>
              <w:bottom w:val="nil"/>
              <w:right w:val="nil"/>
            </w:tcBorders>
            <w:shd w:val="clear" w:color="auto" w:fill="auto"/>
            <w:noWrap/>
            <w:vAlign w:val="bottom"/>
            <w:hideMark/>
          </w:tcPr>
          <w:p w14:paraId="0CDEE43B" w14:textId="71672408"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-50,5</w:t>
            </w:r>
          </w:p>
        </w:tc>
      </w:tr>
      <w:tr w:rsidR="00F1187C" w:rsidRPr="00D04BEE" w14:paraId="68BC58A3" w14:textId="77777777" w:rsidTr="0019064B">
        <w:trPr>
          <w:trHeight w:val="300"/>
        </w:trPr>
        <w:tc>
          <w:tcPr>
            <w:tcW w:w="4101" w:type="dxa"/>
            <w:tcBorders>
              <w:top w:val="nil"/>
              <w:left w:val="nil"/>
              <w:bottom w:val="nil"/>
              <w:right w:val="nil"/>
            </w:tcBorders>
            <w:shd w:val="clear" w:color="auto" w:fill="auto"/>
            <w:noWrap/>
            <w:vAlign w:val="center"/>
            <w:hideMark/>
          </w:tcPr>
          <w:p w14:paraId="69106B1C" w14:textId="77777777" w:rsidR="00F1187C" w:rsidRPr="00D04BEE" w:rsidRDefault="00F1187C" w:rsidP="00F1187C">
            <w:pPr>
              <w:spacing w:after="0" w:line="240" w:lineRule="auto"/>
              <w:ind w:firstLineChars="100" w:firstLine="181"/>
              <w:rPr>
                <w:b/>
                <w:bCs/>
                <w:color w:val="000000"/>
                <w:sz w:val="18"/>
                <w:szCs w:val="18"/>
                <w:lang w:eastAsia="sk-SK"/>
              </w:rPr>
            </w:pPr>
            <w:r w:rsidRPr="00D04BEE">
              <w:rPr>
                <w:b/>
                <w:bCs/>
                <w:color w:val="000000"/>
                <w:sz w:val="18"/>
                <w:szCs w:val="18"/>
                <w:lang w:eastAsia="sk-SK"/>
              </w:rPr>
              <w:t>Subvencie</w:t>
            </w:r>
          </w:p>
        </w:tc>
        <w:tc>
          <w:tcPr>
            <w:tcW w:w="1120" w:type="dxa"/>
            <w:tcBorders>
              <w:top w:val="nil"/>
              <w:left w:val="nil"/>
              <w:bottom w:val="nil"/>
              <w:right w:val="nil"/>
            </w:tcBorders>
            <w:shd w:val="clear" w:color="auto" w:fill="auto"/>
            <w:noWrap/>
            <w:vAlign w:val="bottom"/>
            <w:hideMark/>
          </w:tcPr>
          <w:p w14:paraId="35E9F640" w14:textId="168BACA6" w:rsidR="00F1187C" w:rsidRPr="00D04BEE" w:rsidRDefault="00F1187C" w:rsidP="00F1187C">
            <w:pPr>
              <w:spacing w:after="0" w:line="240" w:lineRule="auto"/>
              <w:jc w:val="right"/>
              <w:rPr>
                <w:b/>
                <w:bCs/>
                <w:sz w:val="18"/>
                <w:szCs w:val="18"/>
                <w:lang w:eastAsia="sk-SK"/>
              </w:rPr>
            </w:pPr>
            <w:r w:rsidRPr="00D04BEE">
              <w:rPr>
                <w:b/>
                <w:bCs/>
                <w:sz w:val="18"/>
                <w:szCs w:val="18"/>
              </w:rPr>
              <w:t>1 369 152</w:t>
            </w:r>
          </w:p>
        </w:tc>
        <w:tc>
          <w:tcPr>
            <w:tcW w:w="1040" w:type="dxa"/>
            <w:tcBorders>
              <w:top w:val="nil"/>
              <w:left w:val="nil"/>
              <w:bottom w:val="nil"/>
              <w:right w:val="nil"/>
            </w:tcBorders>
            <w:shd w:val="clear" w:color="auto" w:fill="auto"/>
            <w:noWrap/>
            <w:vAlign w:val="bottom"/>
            <w:hideMark/>
          </w:tcPr>
          <w:p w14:paraId="6B98D05C" w14:textId="3237D298" w:rsidR="00F1187C" w:rsidRPr="00D04BEE" w:rsidRDefault="00F1187C" w:rsidP="00F1187C">
            <w:pPr>
              <w:spacing w:after="0" w:line="240" w:lineRule="auto"/>
              <w:jc w:val="right"/>
              <w:rPr>
                <w:b/>
                <w:bCs/>
                <w:sz w:val="18"/>
                <w:szCs w:val="18"/>
                <w:lang w:eastAsia="sk-SK"/>
              </w:rPr>
            </w:pPr>
            <w:r w:rsidRPr="00D04BEE">
              <w:rPr>
                <w:b/>
                <w:bCs/>
                <w:sz w:val="18"/>
                <w:szCs w:val="18"/>
              </w:rPr>
              <w:t>1 196 408</w:t>
            </w:r>
          </w:p>
        </w:tc>
        <w:tc>
          <w:tcPr>
            <w:tcW w:w="1025" w:type="dxa"/>
            <w:tcBorders>
              <w:top w:val="nil"/>
              <w:left w:val="nil"/>
              <w:bottom w:val="nil"/>
              <w:right w:val="nil"/>
            </w:tcBorders>
            <w:shd w:val="clear" w:color="000000" w:fill="auto"/>
            <w:noWrap/>
            <w:vAlign w:val="bottom"/>
            <w:hideMark/>
          </w:tcPr>
          <w:p w14:paraId="607E54D4" w14:textId="132ECB57" w:rsidR="00F1187C" w:rsidRPr="00D04BEE" w:rsidRDefault="00F1187C" w:rsidP="00F1187C">
            <w:pPr>
              <w:spacing w:after="0" w:line="240" w:lineRule="auto"/>
              <w:jc w:val="right"/>
              <w:rPr>
                <w:b/>
                <w:bCs/>
                <w:sz w:val="18"/>
                <w:szCs w:val="18"/>
                <w:lang w:eastAsia="sk-SK"/>
              </w:rPr>
            </w:pPr>
            <w:r w:rsidRPr="00D04BEE">
              <w:rPr>
                <w:b/>
                <w:bCs/>
                <w:sz w:val="18"/>
                <w:szCs w:val="18"/>
              </w:rPr>
              <w:t>4 147 372</w:t>
            </w:r>
          </w:p>
        </w:tc>
        <w:tc>
          <w:tcPr>
            <w:tcW w:w="980" w:type="dxa"/>
            <w:tcBorders>
              <w:top w:val="nil"/>
              <w:left w:val="nil"/>
              <w:bottom w:val="nil"/>
              <w:right w:val="nil"/>
            </w:tcBorders>
            <w:shd w:val="clear" w:color="auto" w:fill="auto"/>
            <w:noWrap/>
            <w:vAlign w:val="bottom"/>
            <w:hideMark/>
          </w:tcPr>
          <w:p w14:paraId="69892925" w14:textId="56282265" w:rsidR="00F1187C" w:rsidRPr="00D04BEE" w:rsidRDefault="00F1187C" w:rsidP="00F1187C">
            <w:pPr>
              <w:spacing w:after="0" w:line="240" w:lineRule="auto"/>
              <w:jc w:val="right"/>
              <w:rPr>
                <w:b/>
                <w:bCs/>
                <w:sz w:val="18"/>
                <w:szCs w:val="18"/>
                <w:lang w:eastAsia="sk-SK"/>
              </w:rPr>
            </w:pPr>
            <w:r w:rsidRPr="00D04BEE">
              <w:rPr>
                <w:b/>
                <w:bCs/>
                <w:sz w:val="18"/>
                <w:szCs w:val="18"/>
              </w:rPr>
              <w:t>981 172</w:t>
            </w:r>
          </w:p>
        </w:tc>
        <w:tc>
          <w:tcPr>
            <w:tcW w:w="1000" w:type="dxa"/>
            <w:tcBorders>
              <w:top w:val="nil"/>
              <w:left w:val="nil"/>
              <w:bottom w:val="nil"/>
              <w:right w:val="nil"/>
            </w:tcBorders>
            <w:shd w:val="clear" w:color="auto" w:fill="auto"/>
            <w:noWrap/>
            <w:vAlign w:val="bottom"/>
            <w:hideMark/>
          </w:tcPr>
          <w:p w14:paraId="4DFC725E" w14:textId="41AC416E" w:rsidR="00F1187C" w:rsidRPr="00D04BEE" w:rsidRDefault="00F1187C" w:rsidP="00F1187C">
            <w:pPr>
              <w:tabs>
                <w:tab w:val="decimal" w:pos="309"/>
              </w:tabs>
              <w:spacing w:after="0" w:line="240" w:lineRule="auto"/>
              <w:jc w:val="center"/>
              <w:rPr>
                <w:b/>
                <w:bCs/>
                <w:sz w:val="18"/>
                <w:szCs w:val="18"/>
                <w:lang w:eastAsia="sk-SK"/>
              </w:rPr>
            </w:pPr>
            <w:r w:rsidRPr="00D04BEE">
              <w:rPr>
                <w:b/>
                <w:bCs/>
                <w:sz w:val="18"/>
                <w:szCs w:val="18"/>
              </w:rPr>
              <w:t>246,7</w:t>
            </w:r>
          </w:p>
        </w:tc>
      </w:tr>
      <w:tr w:rsidR="00F1187C" w:rsidRPr="00D04BEE" w14:paraId="54271A06" w14:textId="77777777" w:rsidTr="0019064B">
        <w:trPr>
          <w:trHeight w:val="300"/>
        </w:trPr>
        <w:tc>
          <w:tcPr>
            <w:tcW w:w="4101" w:type="dxa"/>
            <w:tcBorders>
              <w:top w:val="nil"/>
              <w:left w:val="nil"/>
              <w:bottom w:val="nil"/>
              <w:right w:val="nil"/>
            </w:tcBorders>
            <w:shd w:val="clear" w:color="auto" w:fill="auto"/>
            <w:noWrap/>
            <w:vAlign w:val="center"/>
            <w:hideMark/>
          </w:tcPr>
          <w:p w14:paraId="1CA152EA" w14:textId="77777777" w:rsidR="00F1187C" w:rsidRPr="00D04BEE" w:rsidRDefault="00F1187C" w:rsidP="00F1187C">
            <w:pPr>
              <w:spacing w:after="0" w:line="240" w:lineRule="auto"/>
              <w:ind w:firstLineChars="100" w:firstLine="180"/>
              <w:rPr>
                <w:i/>
                <w:iCs/>
                <w:color w:val="000000"/>
                <w:sz w:val="18"/>
                <w:szCs w:val="18"/>
                <w:lang w:eastAsia="sk-SK"/>
              </w:rPr>
            </w:pPr>
            <w:r w:rsidRPr="00D04BEE">
              <w:rPr>
                <w:i/>
                <w:iCs/>
                <w:color w:val="000000"/>
                <w:sz w:val="18"/>
                <w:szCs w:val="18"/>
                <w:lang w:eastAsia="sk-SK"/>
              </w:rPr>
              <w:t xml:space="preserve"> - Dotácie do poľnohospodárstva</w:t>
            </w:r>
          </w:p>
        </w:tc>
        <w:tc>
          <w:tcPr>
            <w:tcW w:w="1120" w:type="dxa"/>
            <w:tcBorders>
              <w:top w:val="nil"/>
              <w:left w:val="nil"/>
              <w:bottom w:val="nil"/>
              <w:right w:val="nil"/>
            </w:tcBorders>
            <w:shd w:val="clear" w:color="auto" w:fill="auto"/>
            <w:noWrap/>
            <w:vAlign w:val="bottom"/>
            <w:hideMark/>
          </w:tcPr>
          <w:p w14:paraId="73F68B7C" w14:textId="0A9F14CB" w:rsidR="00F1187C" w:rsidRPr="00D04BEE" w:rsidRDefault="00F1187C" w:rsidP="00F1187C">
            <w:pPr>
              <w:spacing w:after="0" w:line="240" w:lineRule="auto"/>
              <w:jc w:val="right"/>
              <w:rPr>
                <w:color w:val="000000"/>
                <w:sz w:val="18"/>
                <w:szCs w:val="18"/>
                <w:lang w:eastAsia="sk-SK"/>
              </w:rPr>
            </w:pPr>
            <w:r w:rsidRPr="00D04BEE">
              <w:rPr>
                <w:sz w:val="18"/>
                <w:szCs w:val="18"/>
              </w:rPr>
              <w:t>108 738</w:t>
            </w:r>
          </w:p>
        </w:tc>
        <w:tc>
          <w:tcPr>
            <w:tcW w:w="1040" w:type="dxa"/>
            <w:tcBorders>
              <w:top w:val="nil"/>
              <w:left w:val="nil"/>
              <w:bottom w:val="nil"/>
              <w:right w:val="nil"/>
            </w:tcBorders>
            <w:shd w:val="clear" w:color="auto" w:fill="auto"/>
            <w:noWrap/>
            <w:vAlign w:val="bottom"/>
            <w:hideMark/>
          </w:tcPr>
          <w:p w14:paraId="545201E4" w14:textId="18099098" w:rsidR="00F1187C" w:rsidRPr="00D04BEE" w:rsidRDefault="00F1187C" w:rsidP="00F1187C">
            <w:pPr>
              <w:spacing w:after="0" w:line="240" w:lineRule="auto"/>
              <w:jc w:val="right"/>
              <w:rPr>
                <w:color w:val="000000"/>
                <w:sz w:val="18"/>
                <w:szCs w:val="18"/>
                <w:lang w:eastAsia="sk-SK"/>
              </w:rPr>
            </w:pPr>
            <w:r w:rsidRPr="00D04BEE">
              <w:rPr>
                <w:sz w:val="18"/>
                <w:szCs w:val="18"/>
              </w:rPr>
              <w:t>169 264</w:t>
            </w:r>
          </w:p>
        </w:tc>
        <w:tc>
          <w:tcPr>
            <w:tcW w:w="1025" w:type="dxa"/>
            <w:tcBorders>
              <w:top w:val="nil"/>
              <w:left w:val="nil"/>
              <w:bottom w:val="nil"/>
              <w:right w:val="nil"/>
            </w:tcBorders>
            <w:shd w:val="clear" w:color="000000" w:fill="auto"/>
            <w:noWrap/>
            <w:vAlign w:val="bottom"/>
            <w:hideMark/>
          </w:tcPr>
          <w:p w14:paraId="691F6CC1" w14:textId="1A7FFA43" w:rsidR="00F1187C" w:rsidRPr="00D04BEE" w:rsidRDefault="00F1187C" w:rsidP="00F1187C">
            <w:pPr>
              <w:spacing w:after="0" w:line="240" w:lineRule="auto"/>
              <w:jc w:val="right"/>
              <w:rPr>
                <w:sz w:val="18"/>
                <w:szCs w:val="18"/>
                <w:lang w:eastAsia="sk-SK"/>
              </w:rPr>
            </w:pPr>
            <w:r w:rsidRPr="00D04BEE">
              <w:rPr>
                <w:sz w:val="18"/>
                <w:szCs w:val="18"/>
              </w:rPr>
              <w:t>143 575</w:t>
            </w:r>
          </w:p>
        </w:tc>
        <w:tc>
          <w:tcPr>
            <w:tcW w:w="980" w:type="dxa"/>
            <w:tcBorders>
              <w:top w:val="nil"/>
              <w:left w:val="nil"/>
              <w:bottom w:val="nil"/>
              <w:right w:val="nil"/>
            </w:tcBorders>
            <w:shd w:val="clear" w:color="auto" w:fill="auto"/>
            <w:noWrap/>
            <w:vAlign w:val="bottom"/>
            <w:hideMark/>
          </w:tcPr>
          <w:p w14:paraId="759C1BA6" w14:textId="2230FA9C"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196 621</w:t>
            </w:r>
          </w:p>
        </w:tc>
        <w:tc>
          <w:tcPr>
            <w:tcW w:w="1000" w:type="dxa"/>
            <w:tcBorders>
              <w:top w:val="nil"/>
              <w:left w:val="nil"/>
              <w:bottom w:val="nil"/>
              <w:right w:val="nil"/>
            </w:tcBorders>
            <w:shd w:val="clear" w:color="auto" w:fill="auto"/>
            <w:noWrap/>
            <w:vAlign w:val="bottom"/>
            <w:hideMark/>
          </w:tcPr>
          <w:p w14:paraId="00DDB2F5" w14:textId="5B009C65"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-15,2</w:t>
            </w:r>
          </w:p>
        </w:tc>
      </w:tr>
      <w:tr w:rsidR="00F1187C" w:rsidRPr="00D04BEE" w14:paraId="389CC97E" w14:textId="77777777" w:rsidTr="0019064B">
        <w:trPr>
          <w:trHeight w:val="300"/>
        </w:trPr>
        <w:tc>
          <w:tcPr>
            <w:tcW w:w="4101" w:type="dxa"/>
            <w:tcBorders>
              <w:top w:val="nil"/>
              <w:left w:val="nil"/>
              <w:bottom w:val="nil"/>
              <w:right w:val="nil"/>
            </w:tcBorders>
            <w:shd w:val="clear" w:color="auto" w:fill="auto"/>
            <w:noWrap/>
            <w:vAlign w:val="center"/>
            <w:hideMark/>
          </w:tcPr>
          <w:p w14:paraId="7B1E3AC9" w14:textId="77777777" w:rsidR="00F1187C" w:rsidRPr="00D04BEE" w:rsidRDefault="00F1187C" w:rsidP="00F1187C">
            <w:pPr>
              <w:spacing w:after="0" w:line="240" w:lineRule="auto"/>
              <w:ind w:firstLineChars="100" w:firstLine="180"/>
              <w:rPr>
                <w:i/>
                <w:iCs/>
                <w:color w:val="000000"/>
                <w:sz w:val="18"/>
                <w:szCs w:val="18"/>
                <w:lang w:eastAsia="sk-SK"/>
              </w:rPr>
            </w:pPr>
            <w:r w:rsidRPr="00D04BEE">
              <w:rPr>
                <w:i/>
                <w:iCs/>
                <w:color w:val="000000"/>
                <w:sz w:val="18"/>
                <w:szCs w:val="18"/>
                <w:lang w:eastAsia="sk-SK"/>
              </w:rPr>
              <w:t xml:space="preserve"> - Dotácie do dopravy</w:t>
            </w:r>
          </w:p>
        </w:tc>
        <w:tc>
          <w:tcPr>
            <w:tcW w:w="1120" w:type="dxa"/>
            <w:tcBorders>
              <w:top w:val="nil"/>
              <w:left w:val="nil"/>
              <w:bottom w:val="nil"/>
              <w:right w:val="nil"/>
            </w:tcBorders>
            <w:shd w:val="clear" w:color="auto" w:fill="auto"/>
            <w:noWrap/>
            <w:vAlign w:val="bottom"/>
            <w:hideMark/>
          </w:tcPr>
          <w:p w14:paraId="51C217D2" w14:textId="691A7B64" w:rsidR="00F1187C" w:rsidRPr="00D04BEE" w:rsidRDefault="00F1187C" w:rsidP="00F1187C">
            <w:pPr>
              <w:spacing w:after="0" w:line="240" w:lineRule="auto"/>
              <w:jc w:val="right"/>
              <w:rPr>
                <w:color w:val="000000"/>
                <w:sz w:val="18"/>
                <w:szCs w:val="18"/>
                <w:lang w:eastAsia="sk-SK"/>
              </w:rPr>
            </w:pPr>
            <w:r w:rsidRPr="00D04BEE">
              <w:rPr>
                <w:sz w:val="18"/>
                <w:szCs w:val="18"/>
              </w:rPr>
              <w:t>287 528</w:t>
            </w:r>
          </w:p>
        </w:tc>
        <w:tc>
          <w:tcPr>
            <w:tcW w:w="1040" w:type="dxa"/>
            <w:tcBorders>
              <w:top w:val="nil"/>
              <w:left w:val="nil"/>
              <w:bottom w:val="nil"/>
              <w:right w:val="nil"/>
            </w:tcBorders>
            <w:shd w:val="clear" w:color="auto" w:fill="auto"/>
            <w:noWrap/>
            <w:vAlign w:val="bottom"/>
            <w:hideMark/>
          </w:tcPr>
          <w:p w14:paraId="1E18B539" w14:textId="716787EE" w:rsidR="00F1187C" w:rsidRPr="00D04BEE" w:rsidRDefault="00F1187C" w:rsidP="00F1187C">
            <w:pPr>
              <w:spacing w:after="0" w:line="240" w:lineRule="auto"/>
              <w:jc w:val="right"/>
              <w:rPr>
                <w:color w:val="000000"/>
                <w:sz w:val="18"/>
                <w:szCs w:val="18"/>
                <w:lang w:eastAsia="sk-SK"/>
              </w:rPr>
            </w:pPr>
            <w:r w:rsidRPr="00D04BEE">
              <w:rPr>
                <w:sz w:val="18"/>
                <w:szCs w:val="18"/>
              </w:rPr>
              <w:t>322 759</w:t>
            </w:r>
          </w:p>
        </w:tc>
        <w:tc>
          <w:tcPr>
            <w:tcW w:w="1025" w:type="dxa"/>
            <w:tcBorders>
              <w:top w:val="nil"/>
              <w:left w:val="nil"/>
              <w:bottom w:val="nil"/>
              <w:right w:val="nil"/>
            </w:tcBorders>
            <w:shd w:val="clear" w:color="000000" w:fill="auto"/>
            <w:noWrap/>
            <w:vAlign w:val="bottom"/>
            <w:hideMark/>
          </w:tcPr>
          <w:p w14:paraId="34ED0EB2" w14:textId="67D5E2FD" w:rsidR="00F1187C" w:rsidRPr="00D04BEE" w:rsidRDefault="00F1187C" w:rsidP="00F1187C">
            <w:pPr>
              <w:spacing w:after="0" w:line="240" w:lineRule="auto"/>
              <w:jc w:val="right"/>
              <w:rPr>
                <w:sz w:val="18"/>
                <w:szCs w:val="18"/>
                <w:lang w:eastAsia="sk-SK"/>
              </w:rPr>
            </w:pPr>
            <w:r w:rsidRPr="00D04BEE">
              <w:rPr>
                <w:sz w:val="18"/>
                <w:szCs w:val="18"/>
              </w:rPr>
              <w:t>329 286</w:t>
            </w:r>
          </w:p>
        </w:tc>
        <w:tc>
          <w:tcPr>
            <w:tcW w:w="980" w:type="dxa"/>
            <w:tcBorders>
              <w:top w:val="nil"/>
              <w:left w:val="nil"/>
              <w:bottom w:val="nil"/>
              <w:right w:val="nil"/>
            </w:tcBorders>
            <w:shd w:val="clear" w:color="auto" w:fill="auto"/>
            <w:noWrap/>
            <w:vAlign w:val="bottom"/>
            <w:hideMark/>
          </w:tcPr>
          <w:p w14:paraId="055984FB" w14:textId="132C76BA"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280 000</w:t>
            </w:r>
          </w:p>
        </w:tc>
        <w:tc>
          <w:tcPr>
            <w:tcW w:w="1000" w:type="dxa"/>
            <w:tcBorders>
              <w:top w:val="nil"/>
              <w:left w:val="nil"/>
              <w:bottom w:val="nil"/>
              <w:right w:val="nil"/>
            </w:tcBorders>
            <w:shd w:val="clear" w:color="auto" w:fill="auto"/>
            <w:noWrap/>
            <w:vAlign w:val="bottom"/>
            <w:hideMark/>
          </w:tcPr>
          <w:p w14:paraId="564F3B24" w14:textId="69400F8E"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2,0</w:t>
            </w:r>
          </w:p>
        </w:tc>
      </w:tr>
      <w:tr w:rsidR="00F1187C" w:rsidRPr="00D04BEE" w14:paraId="5E1F61C1" w14:textId="77777777" w:rsidTr="0019064B">
        <w:trPr>
          <w:trHeight w:val="300"/>
        </w:trPr>
        <w:tc>
          <w:tcPr>
            <w:tcW w:w="4101" w:type="dxa"/>
            <w:tcBorders>
              <w:top w:val="nil"/>
              <w:left w:val="nil"/>
              <w:bottom w:val="nil"/>
              <w:right w:val="nil"/>
            </w:tcBorders>
            <w:shd w:val="clear" w:color="auto" w:fill="auto"/>
            <w:noWrap/>
            <w:vAlign w:val="bottom"/>
            <w:hideMark/>
          </w:tcPr>
          <w:p w14:paraId="71EAB273" w14:textId="77777777" w:rsidR="00F1187C" w:rsidRPr="00D04BEE" w:rsidRDefault="00F1187C" w:rsidP="00F1187C">
            <w:pPr>
              <w:spacing w:after="0" w:line="240" w:lineRule="auto"/>
              <w:ind w:firstLineChars="200" w:firstLine="360"/>
              <w:rPr>
                <w:i/>
                <w:iCs/>
                <w:color w:val="000000"/>
                <w:sz w:val="18"/>
                <w:szCs w:val="18"/>
                <w:lang w:eastAsia="sk-SK"/>
              </w:rPr>
            </w:pPr>
            <w:r w:rsidRPr="00D04BEE">
              <w:rPr>
                <w:i/>
                <w:iCs/>
                <w:color w:val="000000"/>
                <w:sz w:val="18"/>
                <w:szCs w:val="18"/>
                <w:lang w:eastAsia="sk-SK"/>
              </w:rPr>
              <w:t xml:space="preserve"> - železničná doprava</w:t>
            </w:r>
          </w:p>
        </w:tc>
        <w:tc>
          <w:tcPr>
            <w:tcW w:w="1120" w:type="dxa"/>
            <w:tcBorders>
              <w:top w:val="nil"/>
              <w:left w:val="nil"/>
              <w:bottom w:val="nil"/>
              <w:right w:val="nil"/>
            </w:tcBorders>
            <w:shd w:val="clear" w:color="auto" w:fill="auto"/>
            <w:noWrap/>
            <w:vAlign w:val="bottom"/>
            <w:hideMark/>
          </w:tcPr>
          <w:p w14:paraId="53CCD126" w14:textId="2B14D9BD" w:rsidR="00F1187C" w:rsidRPr="00D04BEE" w:rsidRDefault="00F1187C" w:rsidP="00F1187C">
            <w:pPr>
              <w:spacing w:after="0" w:line="240" w:lineRule="auto"/>
              <w:jc w:val="right"/>
              <w:rPr>
                <w:color w:val="000000"/>
                <w:sz w:val="18"/>
                <w:szCs w:val="18"/>
                <w:lang w:eastAsia="sk-SK"/>
              </w:rPr>
            </w:pPr>
            <w:r w:rsidRPr="00D04BEE">
              <w:rPr>
                <w:sz w:val="18"/>
                <w:szCs w:val="18"/>
              </w:rPr>
              <w:t>0</w:t>
            </w:r>
          </w:p>
        </w:tc>
        <w:tc>
          <w:tcPr>
            <w:tcW w:w="1040" w:type="dxa"/>
            <w:tcBorders>
              <w:top w:val="nil"/>
              <w:left w:val="nil"/>
              <w:bottom w:val="nil"/>
              <w:right w:val="nil"/>
            </w:tcBorders>
            <w:shd w:val="clear" w:color="auto" w:fill="auto"/>
            <w:noWrap/>
            <w:vAlign w:val="bottom"/>
            <w:hideMark/>
          </w:tcPr>
          <w:p w14:paraId="738083E1" w14:textId="334D4764" w:rsidR="00F1187C" w:rsidRPr="00D04BEE" w:rsidRDefault="00F1187C" w:rsidP="00F1187C">
            <w:pPr>
              <w:spacing w:after="0" w:line="240" w:lineRule="auto"/>
              <w:jc w:val="right"/>
              <w:rPr>
                <w:color w:val="000000"/>
                <w:sz w:val="18"/>
                <w:szCs w:val="18"/>
                <w:lang w:eastAsia="sk-SK"/>
              </w:rPr>
            </w:pPr>
            <w:r w:rsidRPr="00D04BEE">
              <w:rPr>
                <w:sz w:val="18"/>
                <w:szCs w:val="18"/>
              </w:rPr>
              <w:t>0</w:t>
            </w:r>
          </w:p>
        </w:tc>
        <w:tc>
          <w:tcPr>
            <w:tcW w:w="1025" w:type="dxa"/>
            <w:tcBorders>
              <w:top w:val="nil"/>
              <w:left w:val="nil"/>
              <w:bottom w:val="nil"/>
              <w:right w:val="nil"/>
            </w:tcBorders>
            <w:shd w:val="clear" w:color="000000" w:fill="auto"/>
            <w:noWrap/>
            <w:vAlign w:val="bottom"/>
            <w:hideMark/>
          </w:tcPr>
          <w:p w14:paraId="24505037" w14:textId="61068314" w:rsidR="00F1187C" w:rsidRPr="00D04BEE" w:rsidRDefault="00F1187C" w:rsidP="00F1187C">
            <w:pPr>
              <w:spacing w:after="0" w:line="240" w:lineRule="auto"/>
              <w:jc w:val="right"/>
              <w:rPr>
                <w:sz w:val="18"/>
                <w:szCs w:val="18"/>
                <w:lang w:eastAsia="sk-SK"/>
              </w:rPr>
            </w:pPr>
            <w:r w:rsidRPr="00D04BEE">
              <w:rPr>
                <w:sz w:val="18"/>
                <w:szCs w:val="18"/>
              </w:rPr>
              <w:t>880</w:t>
            </w:r>
          </w:p>
        </w:tc>
        <w:tc>
          <w:tcPr>
            <w:tcW w:w="980" w:type="dxa"/>
            <w:tcBorders>
              <w:top w:val="nil"/>
              <w:left w:val="nil"/>
              <w:bottom w:val="nil"/>
              <w:right w:val="nil"/>
            </w:tcBorders>
            <w:shd w:val="clear" w:color="auto" w:fill="auto"/>
            <w:noWrap/>
            <w:vAlign w:val="bottom"/>
            <w:hideMark/>
          </w:tcPr>
          <w:p w14:paraId="38222306" w14:textId="08F2B2E6"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0</w:t>
            </w:r>
          </w:p>
        </w:tc>
        <w:tc>
          <w:tcPr>
            <w:tcW w:w="1000" w:type="dxa"/>
            <w:tcBorders>
              <w:top w:val="nil"/>
              <w:left w:val="nil"/>
              <w:bottom w:val="nil"/>
              <w:right w:val="nil"/>
            </w:tcBorders>
            <w:shd w:val="clear" w:color="auto" w:fill="auto"/>
            <w:noWrap/>
            <w:vAlign w:val="bottom"/>
            <w:hideMark/>
          </w:tcPr>
          <w:p w14:paraId="10A67D3E" w14:textId="7F6A6FFA"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0,0</w:t>
            </w:r>
          </w:p>
        </w:tc>
      </w:tr>
      <w:tr w:rsidR="00F1187C" w:rsidRPr="00D04BEE" w14:paraId="43A42F28" w14:textId="77777777" w:rsidTr="0019064B">
        <w:trPr>
          <w:trHeight w:val="300"/>
        </w:trPr>
        <w:tc>
          <w:tcPr>
            <w:tcW w:w="4101" w:type="dxa"/>
            <w:tcBorders>
              <w:top w:val="nil"/>
              <w:left w:val="nil"/>
              <w:bottom w:val="nil"/>
              <w:right w:val="nil"/>
            </w:tcBorders>
            <w:shd w:val="clear" w:color="auto" w:fill="auto"/>
            <w:noWrap/>
            <w:vAlign w:val="bottom"/>
            <w:hideMark/>
          </w:tcPr>
          <w:p w14:paraId="74F605B9" w14:textId="77777777" w:rsidR="00F1187C" w:rsidRPr="00D04BEE" w:rsidRDefault="00F1187C" w:rsidP="00F1187C">
            <w:pPr>
              <w:spacing w:after="0" w:line="240" w:lineRule="auto"/>
              <w:ind w:firstLineChars="200" w:firstLine="360"/>
              <w:rPr>
                <w:i/>
                <w:iCs/>
                <w:color w:val="000000"/>
                <w:sz w:val="18"/>
                <w:szCs w:val="18"/>
                <w:lang w:eastAsia="sk-SK"/>
              </w:rPr>
            </w:pPr>
            <w:r w:rsidRPr="00D04BEE">
              <w:rPr>
                <w:i/>
                <w:iCs/>
                <w:color w:val="000000"/>
                <w:sz w:val="18"/>
                <w:szCs w:val="18"/>
                <w:lang w:eastAsia="sk-SK"/>
              </w:rPr>
              <w:t xml:space="preserve"> - cestná doprava</w:t>
            </w:r>
          </w:p>
        </w:tc>
        <w:tc>
          <w:tcPr>
            <w:tcW w:w="1120" w:type="dxa"/>
            <w:tcBorders>
              <w:top w:val="nil"/>
              <w:left w:val="nil"/>
              <w:bottom w:val="nil"/>
              <w:right w:val="nil"/>
            </w:tcBorders>
            <w:shd w:val="clear" w:color="auto" w:fill="auto"/>
            <w:noWrap/>
            <w:vAlign w:val="bottom"/>
            <w:hideMark/>
          </w:tcPr>
          <w:p w14:paraId="1D467788" w14:textId="69D8F69E" w:rsidR="00F1187C" w:rsidRPr="00D04BEE" w:rsidRDefault="00F1187C" w:rsidP="00F1187C">
            <w:pPr>
              <w:spacing w:after="0" w:line="240" w:lineRule="auto"/>
              <w:jc w:val="right"/>
              <w:rPr>
                <w:color w:val="000000"/>
                <w:sz w:val="18"/>
                <w:szCs w:val="18"/>
                <w:lang w:eastAsia="sk-SK"/>
              </w:rPr>
            </w:pPr>
            <w:r w:rsidRPr="00D04BEE">
              <w:rPr>
                <w:sz w:val="18"/>
                <w:szCs w:val="18"/>
              </w:rPr>
              <w:t>270 548</w:t>
            </w:r>
          </w:p>
        </w:tc>
        <w:tc>
          <w:tcPr>
            <w:tcW w:w="1040" w:type="dxa"/>
            <w:tcBorders>
              <w:top w:val="nil"/>
              <w:left w:val="nil"/>
              <w:bottom w:val="nil"/>
              <w:right w:val="nil"/>
            </w:tcBorders>
            <w:shd w:val="clear" w:color="auto" w:fill="auto"/>
            <w:noWrap/>
            <w:vAlign w:val="bottom"/>
            <w:hideMark/>
          </w:tcPr>
          <w:p w14:paraId="3364507C" w14:textId="3819B2CA" w:rsidR="00F1187C" w:rsidRPr="00D04BEE" w:rsidRDefault="00F1187C" w:rsidP="00F1187C">
            <w:pPr>
              <w:spacing w:after="0" w:line="240" w:lineRule="auto"/>
              <w:jc w:val="right"/>
              <w:rPr>
                <w:color w:val="000000"/>
                <w:sz w:val="18"/>
                <w:szCs w:val="18"/>
                <w:lang w:eastAsia="sk-SK"/>
              </w:rPr>
            </w:pPr>
            <w:r w:rsidRPr="00D04BEE">
              <w:rPr>
                <w:sz w:val="18"/>
                <w:szCs w:val="18"/>
              </w:rPr>
              <w:t>310 076</w:t>
            </w:r>
          </w:p>
        </w:tc>
        <w:tc>
          <w:tcPr>
            <w:tcW w:w="1025" w:type="dxa"/>
            <w:tcBorders>
              <w:top w:val="nil"/>
              <w:left w:val="nil"/>
              <w:bottom w:val="nil"/>
              <w:right w:val="nil"/>
            </w:tcBorders>
            <w:shd w:val="clear" w:color="000000" w:fill="auto"/>
            <w:noWrap/>
            <w:vAlign w:val="bottom"/>
            <w:hideMark/>
          </w:tcPr>
          <w:p w14:paraId="2A7061BE" w14:textId="2F21ED39" w:rsidR="00F1187C" w:rsidRPr="00D04BEE" w:rsidRDefault="00F1187C" w:rsidP="00F1187C">
            <w:pPr>
              <w:spacing w:after="0" w:line="240" w:lineRule="auto"/>
              <w:jc w:val="right"/>
              <w:rPr>
                <w:sz w:val="18"/>
                <w:szCs w:val="18"/>
                <w:lang w:eastAsia="sk-SK"/>
              </w:rPr>
            </w:pPr>
            <w:r w:rsidRPr="00D04BEE">
              <w:rPr>
                <w:sz w:val="18"/>
                <w:szCs w:val="18"/>
              </w:rPr>
              <w:t>321 911</w:t>
            </w:r>
          </w:p>
        </w:tc>
        <w:tc>
          <w:tcPr>
            <w:tcW w:w="980" w:type="dxa"/>
            <w:tcBorders>
              <w:top w:val="nil"/>
              <w:left w:val="nil"/>
              <w:bottom w:val="nil"/>
              <w:right w:val="nil"/>
            </w:tcBorders>
            <w:shd w:val="clear" w:color="auto" w:fill="auto"/>
            <w:noWrap/>
            <w:vAlign w:val="bottom"/>
            <w:hideMark/>
          </w:tcPr>
          <w:p w14:paraId="34626E72" w14:textId="7BEE7CF9"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274 000</w:t>
            </w:r>
          </w:p>
        </w:tc>
        <w:tc>
          <w:tcPr>
            <w:tcW w:w="1000" w:type="dxa"/>
            <w:tcBorders>
              <w:top w:val="nil"/>
              <w:left w:val="nil"/>
              <w:bottom w:val="nil"/>
              <w:right w:val="nil"/>
            </w:tcBorders>
            <w:shd w:val="clear" w:color="auto" w:fill="auto"/>
            <w:noWrap/>
            <w:vAlign w:val="bottom"/>
            <w:hideMark/>
          </w:tcPr>
          <w:p w14:paraId="3F33DCA3" w14:textId="56AB817D"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3,8</w:t>
            </w:r>
          </w:p>
        </w:tc>
      </w:tr>
      <w:tr w:rsidR="00F1187C" w:rsidRPr="00D04BEE" w14:paraId="19B25BC5" w14:textId="77777777" w:rsidTr="0019064B">
        <w:trPr>
          <w:trHeight w:val="300"/>
        </w:trPr>
        <w:tc>
          <w:tcPr>
            <w:tcW w:w="4101" w:type="dxa"/>
            <w:tcBorders>
              <w:top w:val="nil"/>
              <w:left w:val="nil"/>
              <w:bottom w:val="nil"/>
              <w:right w:val="nil"/>
            </w:tcBorders>
            <w:shd w:val="clear" w:color="auto" w:fill="auto"/>
            <w:noWrap/>
            <w:vAlign w:val="center"/>
            <w:hideMark/>
          </w:tcPr>
          <w:p w14:paraId="0CB1F87C" w14:textId="77777777" w:rsidR="00F1187C" w:rsidRPr="00D04BEE" w:rsidRDefault="00F1187C" w:rsidP="00F1187C">
            <w:pPr>
              <w:spacing w:after="0" w:line="240" w:lineRule="auto"/>
              <w:ind w:firstLineChars="100" w:firstLine="180"/>
              <w:rPr>
                <w:color w:val="000000"/>
                <w:sz w:val="18"/>
                <w:szCs w:val="18"/>
                <w:lang w:eastAsia="sk-SK"/>
              </w:rPr>
            </w:pPr>
            <w:r w:rsidRPr="00D04BEE">
              <w:rPr>
                <w:color w:val="000000"/>
                <w:sz w:val="18"/>
                <w:szCs w:val="18"/>
                <w:lang w:eastAsia="sk-SK"/>
              </w:rPr>
              <w:t xml:space="preserve"> - Ostatné</w:t>
            </w:r>
          </w:p>
        </w:tc>
        <w:tc>
          <w:tcPr>
            <w:tcW w:w="1120" w:type="dxa"/>
            <w:tcBorders>
              <w:top w:val="nil"/>
              <w:left w:val="nil"/>
              <w:bottom w:val="nil"/>
              <w:right w:val="nil"/>
            </w:tcBorders>
            <w:shd w:val="clear" w:color="auto" w:fill="auto"/>
            <w:noWrap/>
            <w:vAlign w:val="bottom"/>
            <w:hideMark/>
          </w:tcPr>
          <w:p w14:paraId="2296768E" w14:textId="13334927" w:rsidR="00F1187C" w:rsidRPr="00D04BEE" w:rsidRDefault="00F1187C" w:rsidP="00F1187C">
            <w:pPr>
              <w:spacing w:after="0" w:line="240" w:lineRule="auto"/>
              <w:jc w:val="right"/>
              <w:rPr>
                <w:color w:val="000000"/>
                <w:sz w:val="18"/>
                <w:szCs w:val="18"/>
                <w:lang w:eastAsia="sk-SK"/>
              </w:rPr>
            </w:pPr>
            <w:r w:rsidRPr="00D04BEE">
              <w:rPr>
                <w:sz w:val="18"/>
                <w:szCs w:val="18"/>
              </w:rPr>
              <w:t>972 886</w:t>
            </w:r>
          </w:p>
        </w:tc>
        <w:tc>
          <w:tcPr>
            <w:tcW w:w="1040" w:type="dxa"/>
            <w:tcBorders>
              <w:top w:val="nil"/>
              <w:left w:val="nil"/>
              <w:bottom w:val="nil"/>
              <w:right w:val="nil"/>
            </w:tcBorders>
            <w:shd w:val="clear" w:color="auto" w:fill="auto"/>
            <w:noWrap/>
            <w:vAlign w:val="bottom"/>
            <w:hideMark/>
          </w:tcPr>
          <w:p w14:paraId="014EE055" w14:textId="1A59A859" w:rsidR="00F1187C" w:rsidRPr="00D04BEE" w:rsidRDefault="00F1187C" w:rsidP="00F1187C">
            <w:pPr>
              <w:spacing w:after="0" w:line="240" w:lineRule="auto"/>
              <w:jc w:val="right"/>
              <w:rPr>
                <w:color w:val="000000"/>
                <w:sz w:val="18"/>
                <w:szCs w:val="18"/>
                <w:lang w:eastAsia="sk-SK"/>
              </w:rPr>
            </w:pPr>
            <w:r w:rsidRPr="00D04BEE">
              <w:rPr>
                <w:sz w:val="18"/>
                <w:szCs w:val="18"/>
              </w:rPr>
              <w:t>704 385</w:t>
            </w:r>
          </w:p>
        </w:tc>
        <w:tc>
          <w:tcPr>
            <w:tcW w:w="1025" w:type="dxa"/>
            <w:tcBorders>
              <w:top w:val="nil"/>
              <w:left w:val="nil"/>
              <w:bottom w:val="nil"/>
              <w:right w:val="nil"/>
            </w:tcBorders>
            <w:shd w:val="clear" w:color="000000" w:fill="auto"/>
            <w:noWrap/>
            <w:vAlign w:val="bottom"/>
            <w:hideMark/>
          </w:tcPr>
          <w:p w14:paraId="4A00DFF0" w14:textId="0A4A250A" w:rsidR="00F1187C" w:rsidRPr="00D04BEE" w:rsidRDefault="00F1187C" w:rsidP="00F1187C">
            <w:pPr>
              <w:spacing w:after="0" w:line="240" w:lineRule="auto"/>
              <w:jc w:val="right"/>
              <w:rPr>
                <w:sz w:val="18"/>
                <w:szCs w:val="18"/>
                <w:lang w:eastAsia="sk-SK"/>
              </w:rPr>
            </w:pPr>
            <w:r w:rsidRPr="00D04BEE">
              <w:rPr>
                <w:sz w:val="18"/>
                <w:szCs w:val="18"/>
              </w:rPr>
              <w:t>3 674 511</w:t>
            </w:r>
          </w:p>
        </w:tc>
        <w:tc>
          <w:tcPr>
            <w:tcW w:w="980" w:type="dxa"/>
            <w:tcBorders>
              <w:top w:val="nil"/>
              <w:left w:val="nil"/>
              <w:bottom w:val="nil"/>
              <w:right w:val="nil"/>
            </w:tcBorders>
            <w:shd w:val="clear" w:color="auto" w:fill="auto"/>
            <w:noWrap/>
            <w:vAlign w:val="bottom"/>
            <w:hideMark/>
          </w:tcPr>
          <w:p w14:paraId="1E9BE9D6" w14:textId="77145AB0"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504 551</w:t>
            </w:r>
          </w:p>
        </w:tc>
        <w:tc>
          <w:tcPr>
            <w:tcW w:w="1000" w:type="dxa"/>
            <w:tcBorders>
              <w:top w:val="nil"/>
              <w:left w:val="nil"/>
              <w:bottom w:val="nil"/>
              <w:right w:val="nil"/>
            </w:tcBorders>
            <w:shd w:val="clear" w:color="auto" w:fill="auto"/>
            <w:noWrap/>
            <w:vAlign w:val="bottom"/>
            <w:hideMark/>
          </w:tcPr>
          <w:p w14:paraId="5E66680B" w14:textId="78526BC2"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421,7</w:t>
            </w:r>
          </w:p>
        </w:tc>
      </w:tr>
      <w:tr w:rsidR="00F1187C" w:rsidRPr="00D04BEE" w14:paraId="2F9D69FD" w14:textId="77777777" w:rsidTr="0019064B">
        <w:trPr>
          <w:trHeight w:val="300"/>
        </w:trPr>
        <w:tc>
          <w:tcPr>
            <w:tcW w:w="4101" w:type="dxa"/>
            <w:tcBorders>
              <w:top w:val="nil"/>
              <w:left w:val="nil"/>
              <w:bottom w:val="nil"/>
              <w:right w:val="nil"/>
            </w:tcBorders>
            <w:shd w:val="clear" w:color="auto" w:fill="auto"/>
            <w:noWrap/>
            <w:vAlign w:val="center"/>
            <w:hideMark/>
          </w:tcPr>
          <w:p w14:paraId="6A774C03" w14:textId="77777777" w:rsidR="00F1187C" w:rsidRPr="00D04BEE" w:rsidRDefault="00F1187C" w:rsidP="00F1187C">
            <w:pPr>
              <w:spacing w:after="0" w:line="240" w:lineRule="auto"/>
              <w:ind w:firstLineChars="100" w:firstLine="181"/>
              <w:rPr>
                <w:b/>
                <w:bCs/>
                <w:color w:val="000000"/>
                <w:sz w:val="18"/>
                <w:szCs w:val="18"/>
                <w:lang w:eastAsia="sk-SK"/>
              </w:rPr>
            </w:pPr>
            <w:r w:rsidRPr="00D04BEE">
              <w:rPr>
                <w:b/>
                <w:bCs/>
                <w:color w:val="000000"/>
                <w:sz w:val="18"/>
                <w:szCs w:val="18"/>
                <w:lang w:eastAsia="sk-SK"/>
              </w:rPr>
              <w:t xml:space="preserve">Dôchodky z majetku </w:t>
            </w:r>
            <w:r w:rsidRPr="00D04BEE">
              <w:rPr>
                <w:color w:val="000000"/>
                <w:sz w:val="18"/>
                <w:szCs w:val="18"/>
                <w:lang w:eastAsia="sk-SK"/>
              </w:rPr>
              <w:t>(Úrokové náklady)</w:t>
            </w:r>
          </w:p>
        </w:tc>
        <w:tc>
          <w:tcPr>
            <w:tcW w:w="1120" w:type="dxa"/>
            <w:tcBorders>
              <w:top w:val="nil"/>
              <w:left w:val="nil"/>
              <w:bottom w:val="nil"/>
              <w:right w:val="nil"/>
            </w:tcBorders>
            <w:shd w:val="clear" w:color="auto" w:fill="auto"/>
            <w:noWrap/>
            <w:vAlign w:val="bottom"/>
            <w:hideMark/>
          </w:tcPr>
          <w:p w14:paraId="7DABF8CF" w14:textId="5DDC1D06" w:rsidR="00F1187C" w:rsidRPr="00D04BEE" w:rsidRDefault="00F1187C" w:rsidP="00F1187C">
            <w:pPr>
              <w:spacing w:after="0" w:line="240" w:lineRule="auto"/>
              <w:jc w:val="right"/>
              <w:rPr>
                <w:b/>
                <w:bCs/>
                <w:sz w:val="18"/>
                <w:szCs w:val="18"/>
                <w:lang w:eastAsia="sk-SK"/>
              </w:rPr>
            </w:pPr>
            <w:r w:rsidRPr="00D04BEE">
              <w:rPr>
                <w:b/>
                <w:bCs/>
                <w:sz w:val="18"/>
                <w:szCs w:val="18"/>
              </w:rPr>
              <w:t>1 099 066</w:t>
            </w:r>
          </w:p>
        </w:tc>
        <w:tc>
          <w:tcPr>
            <w:tcW w:w="1040" w:type="dxa"/>
            <w:tcBorders>
              <w:top w:val="nil"/>
              <w:left w:val="nil"/>
              <w:bottom w:val="nil"/>
              <w:right w:val="nil"/>
            </w:tcBorders>
            <w:shd w:val="clear" w:color="auto" w:fill="auto"/>
            <w:noWrap/>
            <w:vAlign w:val="bottom"/>
            <w:hideMark/>
          </w:tcPr>
          <w:p w14:paraId="497528B7" w14:textId="528E168B" w:rsidR="00F1187C" w:rsidRPr="00D04BEE" w:rsidRDefault="00F1187C" w:rsidP="00F1187C">
            <w:pPr>
              <w:spacing w:after="0" w:line="240" w:lineRule="auto"/>
              <w:jc w:val="right"/>
              <w:rPr>
                <w:b/>
                <w:bCs/>
                <w:sz w:val="18"/>
                <w:szCs w:val="18"/>
                <w:lang w:eastAsia="sk-SK"/>
              </w:rPr>
            </w:pPr>
            <w:r w:rsidRPr="00D04BEE">
              <w:rPr>
                <w:b/>
                <w:bCs/>
                <w:sz w:val="18"/>
                <w:szCs w:val="18"/>
              </w:rPr>
              <w:t>1 138 939</w:t>
            </w:r>
          </w:p>
        </w:tc>
        <w:tc>
          <w:tcPr>
            <w:tcW w:w="1025" w:type="dxa"/>
            <w:tcBorders>
              <w:top w:val="nil"/>
              <w:left w:val="nil"/>
              <w:bottom w:val="nil"/>
              <w:right w:val="nil"/>
            </w:tcBorders>
            <w:shd w:val="clear" w:color="000000" w:fill="auto"/>
            <w:noWrap/>
            <w:vAlign w:val="bottom"/>
            <w:hideMark/>
          </w:tcPr>
          <w:p w14:paraId="2EA7D6B6" w14:textId="1A94F2C9" w:rsidR="00F1187C" w:rsidRPr="00D04BEE" w:rsidRDefault="00F1187C" w:rsidP="00F1187C">
            <w:pPr>
              <w:spacing w:after="0" w:line="240" w:lineRule="auto"/>
              <w:jc w:val="right"/>
              <w:rPr>
                <w:b/>
                <w:bCs/>
                <w:sz w:val="18"/>
                <w:szCs w:val="18"/>
                <w:lang w:eastAsia="sk-SK"/>
              </w:rPr>
            </w:pPr>
            <w:r w:rsidRPr="00D04BEE">
              <w:rPr>
                <w:b/>
                <w:bCs/>
                <w:sz w:val="18"/>
                <w:szCs w:val="18"/>
              </w:rPr>
              <w:t>1 428 013</w:t>
            </w:r>
          </w:p>
        </w:tc>
        <w:tc>
          <w:tcPr>
            <w:tcW w:w="980" w:type="dxa"/>
            <w:tcBorders>
              <w:top w:val="nil"/>
              <w:left w:val="nil"/>
              <w:bottom w:val="nil"/>
              <w:right w:val="nil"/>
            </w:tcBorders>
            <w:shd w:val="clear" w:color="auto" w:fill="auto"/>
            <w:noWrap/>
            <w:vAlign w:val="bottom"/>
            <w:hideMark/>
          </w:tcPr>
          <w:p w14:paraId="77E4E2F9" w14:textId="3839C886" w:rsidR="00F1187C" w:rsidRPr="00D04BEE" w:rsidRDefault="00F1187C" w:rsidP="00F1187C">
            <w:pPr>
              <w:spacing w:after="0" w:line="240" w:lineRule="auto"/>
              <w:jc w:val="right"/>
              <w:rPr>
                <w:b/>
                <w:bCs/>
                <w:color w:val="000000"/>
                <w:sz w:val="18"/>
                <w:szCs w:val="18"/>
                <w:lang w:eastAsia="sk-SK"/>
              </w:rPr>
            </w:pPr>
            <w:r w:rsidRPr="00D04BEE">
              <w:rPr>
                <w:b/>
                <w:bCs/>
                <w:color w:val="000000"/>
                <w:sz w:val="18"/>
                <w:szCs w:val="18"/>
              </w:rPr>
              <w:t>1 278 237</w:t>
            </w:r>
          </w:p>
        </w:tc>
        <w:tc>
          <w:tcPr>
            <w:tcW w:w="1000" w:type="dxa"/>
            <w:tcBorders>
              <w:top w:val="nil"/>
              <w:left w:val="nil"/>
              <w:bottom w:val="nil"/>
              <w:right w:val="nil"/>
            </w:tcBorders>
            <w:shd w:val="clear" w:color="auto" w:fill="auto"/>
            <w:noWrap/>
            <w:vAlign w:val="bottom"/>
            <w:hideMark/>
          </w:tcPr>
          <w:p w14:paraId="22E46903" w14:textId="60D88DD2" w:rsidR="00F1187C" w:rsidRPr="00D04BEE" w:rsidRDefault="00F1187C" w:rsidP="00F1187C">
            <w:pPr>
              <w:tabs>
                <w:tab w:val="decimal" w:pos="309"/>
              </w:tabs>
              <w:spacing w:after="0" w:line="240" w:lineRule="auto"/>
              <w:jc w:val="center"/>
              <w:rPr>
                <w:b/>
                <w:bCs/>
                <w:sz w:val="18"/>
                <w:szCs w:val="18"/>
                <w:lang w:eastAsia="sk-SK"/>
              </w:rPr>
            </w:pPr>
            <w:r w:rsidRPr="00D04BEE">
              <w:rPr>
                <w:b/>
                <w:bCs/>
                <w:sz w:val="18"/>
                <w:szCs w:val="18"/>
              </w:rPr>
              <w:t>25,4</w:t>
            </w:r>
          </w:p>
        </w:tc>
      </w:tr>
      <w:tr w:rsidR="00F1187C" w:rsidRPr="00D04BEE" w14:paraId="4D646887" w14:textId="77777777" w:rsidTr="0019064B">
        <w:trPr>
          <w:trHeight w:val="300"/>
        </w:trPr>
        <w:tc>
          <w:tcPr>
            <w:tcW w:w="4101" w:type="dxa"/>
            <w:tcBorders>
              <w:top w:val="nil"/>
              <w:left w:val="nil"/>
              <w:bottom w:val="nil"/>
              <w:right w:val="nil"/>
            </w:tcBorders>
            <w:shd w:val="clear" w:color="auto" w:fill="auto"/>
            <w:noWrap/>
            <w:vAlign w:val="center"/>
            <w:hideMark/>
          </w:tcPr>
          <w:p w14:paraId="44F7D6D7" w14:textId="77777777" w:rsidR="00F1187C" w:rsidRPr="00D04BEE" w:rsidRDefault="00F1187C" w:rsidP="00F1187C">
            <w:pPr>
              <w:spacing w:after="0" w:line="240" w:lineRule="auto"/>
              <w:ind w:firstLineChars="100" w:firstLine="181"/>
              <w:rPr>
                <w:b/>
                <w:bCs/>
                <w:color w:val="000000"/>
                <w:sz w:val="18"/>
                <w:szCs w:val="18"/>
                <w:lang w:eastAsia="sk-SK"/>
              </w:rPr>
            </w:pPr>
            <w:r w:rsidRPr="00D04BEE">
              <w:rPr>
                <w:b/>
                <w:bCs/>
                <w:color w:val="000000"/>
                <w:sz w:val="18"/>
                <w:szCs w:val="18"/>
                <w:lang w:eastAsia="sk-SK"/>
              </w:rPr>
              <w:t>Celkové sociálne transfery</w:t>
            </w:r>
          </w:p>
        </w:tc>
        <w:tc>
          <w:tcPr>
            <w:tcW w:w="1120" w:type="dxa"/>
            <w:tcBorders>
              <w:top w:val="nil"/>
              <w:left w:val="nil"/>
              <w:bottom w:val="nil"/>
              <w:right w:val="nil"/>
            </w:tcBorders>
            <w:shd w:val="clear" w:color="auto" w:fill="auto"/>
            <w:noWrap/>
            <w:vAlign w:val="bottom"/>
            <w:hideMark/>
          </w:tcPr>
          <w:p w14:paraId="72F9DE54" w14:textId="2EB03D8C" w:rsidR="00F1187C" w:rsidRPr="00D04BEE" w:rsidRDefault="00F1187C" w:rsidP="00F1187C">
            <w:pPr>
              <w:spacing w:after="0" w:line="240" w:lineRule="auto"/>
              <w:jc w:val="right"/>
              <w:rPr>
                <w:b/>
                <w:bCs/>
                <w:color w:val="000000"/>
                <w:sz w:val="18"/>
                <w:szCs w:val="18"/>
                <w:lang w:eastAsia="sk-SK"/>
              </w:rPr>
            </w:pPr>
            <w:r w:rsidRPr="00D04BEE">
              <w:rPr>
                <w:b/>
                <w:bCs/>
                <w:color w:val="000000"/>
                <w:sz w:val="18"/>
                <w:szCs w:val="18"/>
              </w:rPr>
              <w:t>18 455 992</w:t>
            </w:r>
          </w:p>
        </w:tc>
        <w:tc>
          <w:tcPr>
            <w:tcW w:w="1040" w:type="dxa"/>
            <w:tcBorders>
              <w:top w:val="nil"/>
              <w:left w:val="nil"/>
              <w:bottom w:val="nil"/>
              <w:right w:val="nil"/>
            </w:tcBorders>
            <w:shd w:val="clear" w:color="auto" w:fill="auto"/>
            <w:noWrap/>
            <w:vAlign w:val="bottom"/>
            <w:hideMark/>
          </w:tcPr>
          <w:p w14:paraId="76D32FC1" w14:textId="3F7E854F" w:rsidR="00F1187C" w:rsidRPr="00D04BEE" w:rsidRDefault="00F1187C" w:rsidP="00F1187C">
            <w:pPr>
              <w:spacing w:after="0" w:line="240" w:lineRule="auto"/>
              <w:jc w:val="right"/>
              <w:rPr>
                <w:b/>
                <w:bCs/>
                <w:color w:val="000000"/>
                <w:sz w:val="18"/>
                <w:szCs w:val="18"/>
                <w:lang w:eastAsia="sk-SK"/>
              </w:rPr>
            </w:pPr>
            <w:r w:rsidRPr="00D04BEE">
              <w:rPr>
                <w:b/>
                <w:bCs/>
                <w:color w:val="000000"/>
                <w:sz w:val="18"/>
                <w:szCs w:val="18"/>
              </w:rPr>
              <w:t>19 699 456</w:t>
            </w:r>
          </w:p>
        </w:tc>
        <w:tc>
          <w:tcPr>
            <w:tcW w:w="1025" w:type="dxa"/>
            <w:tcBorders>
              <w:top w:val="nil"/>
              <w:left w:val="nil"/>
              <w:bottom w:val="nil"/>
              <w:right w:val="nil"/>
            </w:tcBorders>
            <w:shd w:val="clear" w:color="000000" w:fill="auto"/>
            <w:noWrap/>
            <w:vAlign w:val="bottom"/>
            <w:hideMark/>
          </w:tcPr>
          <w:p w14:paraId="1EDBE70B" w14:textId="1BC950E9" w:rsidR="00F1187C" w:rsidRPr="00D04BEE" w:rsidRDefault="00F1187C" w:rsidP="00F1187C">
            <w:pPr>
              <w:spacing w:after="0" w:line="240" w:lineRule="auto"/>
              <w:jc w:val="right"/>
              <w:rPr>
                <w:b/>
                <w:bCs/>
                <w:sz w:val="18"/>
                <w:szCs w:val="18"/>
                <w:lang w:eastAsia="sk-SK"/>
              </w:rPr>
            </w:pPr>
            <w:r w:rsidRPr="00D04BEE">
              <w:rPr>
                <w:b/>
                <w:bCs/>
                <w:sz w:val="18"/>
                <w:szCs w:val="18"/>
              </w:rPr>
              <w:t>24 420 431</w:t>
            </w:r>
          </w:p>
        </w:tc>
        <w:tc>
          <w:tcPr>
            <w:tcW w:w="980" w:type="dxa"/>
            <w:tcBorders>
              <w:top w:val="nil"/>
              <w:left w:val="nil"/>
              <w:bottom w:val="nil"/>
              <w:right w:val="nil"/>
            </w:tcBorders>
            <w:shd w:val="clear" w:color="auto" w:fill="auto"/>
            <w:noWrap/>
            <w:vAlign w:val="bottom"/>
            <w:hideMark/>
          </w:tcPr>
          <w:p w14:paraId="753B4212" w14:textId="2E92A5B1" w:rsidR="00F1187C" w:rsidRPr="00D04BEE" w:rsidRDefault="00F1187C" w:rsidP="00F1187C">
            <w:pPr>
              <w:spacing w:after="0" w:line="240" w:lineRule="auto"/>
              <w:jc w:val="right"/>
              <w:rPr>
                <w:b/>
                <w:bCs/>
                <w:color w:val="000000"/>
                <w:sz w:val="18"/>
                <w:szCs w:val="18"/>
                <w:lang w:eastAsia="sk-SK"/>
              </w:rPr>
            </w:pPr>
            <w:r w:rsidRPr="00D04BEE">
              <w:rPr>
                <w:b/>
                <w:bCs/>
                <w:color w:val="000000"/>
                <w:sz w:val="18"/>
                <w:szCs w:val="18"/>
              </w:rPr>
              <w:t>22 084 772</w:t>
            </w:r>
          </w:p>
        </w:tc>
        <w:tc>
          <w:tcPr>
            <w:tcW w:w="1000" w:type="dxa"/>
            <w:tcBorders>
              <w:top w:val="nil"/>
              <w:left w:val="nil"/>
              <w:bottom w:val="nil"/>
              <w:right w:val="nil"/>
            </w:tcBorders>
            <w:shd w:val="clear" w:color="auto" w:fill="auto"/>
            <w:noWrap/>
            <w:vAlign w:val="bottom"/>
            <w:hideMark/>
          </w:tcPr>
          <w:p w14:paraId="7D62ABC4" w14:textId="406C6590" w:rsidR="00F1187C" w:rsidRPr="00D04BEE" w:rsidRDefault="00F1187C" w:rsidP="00F1187C">
            <w:pPr>
              <w:tabs>
                <w:tab w:val="decimal" w:pos="309"/>
              </w:tabs>
              <w:spacing w:after="0" w:line="240" w:lineRule="auto"/>
              <w:jc w:val="center"/>
              <w:rPr>
                <w:b/>
                <w:bCs/>
                <w:color w:val="000000"/>
                <w:sz w:val="18"/>
                <w:szCs w:val="18"/>
                <w:lang w:eastAsia="sk-SK"/>
              </w:rPr>
            </w:pPr>
            <w:r w:rsidRPr="00D04BEE">
              <w:rPr>
                <w:b/>
                <w:bCs/>
                <w:color w:val="000000"/>
                <w:sz w:val="18"/>
                <w:szCs w:val="18"/>
              </w:rPr>
              <w:t>24,0</w:t>
            </w:r>
          </w:p>
        </w:tc>
      </w:tr>
      <w:tr w:rsidR="00F1187C" w:rsidRPr="00D04BEE" w14:paraId="6F67066A" w14:textId="77777777" w:rsidTr="0019064B">
        <w:trPr>
          <w:trHeight w:val="300"/>
        </w:trPr>
        <w:tc>
          <w:tcPr>
            <w:tcW w:w="4101" w:type="dxa"/>
            <w:tcBorders>
              <w:top w:val="nil"/>
              <w:left w:val="nil"/>
              <w:bottom w:val="nil"/>
              <w:right w:val="nil"/>
            </w:tcBorders>
            <w:shd w:val="clear" w:color="auto" w:fill="auto"/>
            <w:noWrap/>
            <w:vAlign w:val="center"/>
            <w:hideMark/>
          </w:tcPr>
          <w:p w14:paraId="200AD34B" w14:textId="77777777" w:rsidR="00F1187C" w:rsidRPr="00D04BEE" w:rsidRDefault="00F1187C" w:rsidP="00F1187C">
            <w:pPr>
              <w:spacing w:after="0" w:line="240" w:lineRule="auto"/>
              <w:ind w:firstLineChars="100" w:firstLine="180"/>
              <w:rPr>
                <w:color w:val="000000"/>
                <w:sz w:val="18"/>
                <w:szCs w:val="18"/>
                <w:lang w:eastAsia="sk-SK"/>
              </w:rPr>
            </w:pPr>
            <w:r w:rsidRPr="00D04BEE">
              <w:rPr>
                <w:color w:val="000000"/>
                <w:sz w:val="18"/>
                <w:szCs w:val="18"/>
                <w:lang w:eastAsia="sk-SK"/>
              </w:rPr>
              <w:t xml:space="preserve"> - Sociálne dávky okrem naturálnych soc. transf.</w:t>
            </w:r>
          </w:p>
        </w:tc>
        <w:tc>
          <w:tcPr>
            <w:tcW w:w="1120" w:type="dxa"/>
            <w:tcBorders>
              <w:top w:val="nil"/>
              <w:left w:val="nil"/>
              <w:bottom w:val="nil"/>
              <w:right w:val="nil"/>
            </w:tcBorders>
            <w:shd w:val="clear" w:color="auto" w:fill="auto"/>
            <w:noWrap/>
            <w:vAlign w:val="bottom"/>
            <w:hideMark/>
          </w:tcPr>
          <w:p w14:paraId="5A58AC53" w14:textId="06A98E78"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14 971 753</w:t>
            </w:r>
          </w:p>
        </w:tc>
        <w:tc>
          <w:tcPr>
            <w:tcW w:w="1040" w:type="dxa"/>
            <w:tcBorders>
              <w:top w:val="nil"/>
              <w:left w:val="nil"/>
              <w:bottom w:val="nil"/>
              <w:right w:val="nil"/>
            </w:tcBorders>
            <w:shd w:val="clear" w:color="auto" w:fill="auto"/>
            <w:noWrap/>
            <w:vAlign w:val="bottom"/>
            <w:hideMark/>
          </w:tcPr>
          <w:p w14:paraId="16D7E251" w14:textId="5DACDAA4" w:rsidR="00F1187C" w:rsidRPr="00D04BEE" w:rsidRDefault="00F1187C" w:rsidP="00F1187C">
            <w:pPr>
              <w:spacing w:after="0" w:line="240" w:lineRule="auto"/>
              <w:jc w:val="right"/>
              <w:rPr>
                <w:color w:val="000000"/>
                <w:sz w:val="18"/>
                <w:szCs w:val="18"/>
                <w:lang w:eastAsia="sk-SK"/>
              </w:rPr>
            </w:pPr>
            <w:r w:rsidRPr="00D04BEE">
              <w:rPr>
                <w:sz w:val="18"/>
                <w:szCs w:val="18"/>
              </w:rPr>
              <w:t>15 883 949</w:t>
            </w:r>
          </w:p>
        </w:tc>
        <w:tc>
          <w:tcPr>
            <w:tcW w:w="1025" w:type="dxa"/>
            <w:tcBorders>
              <w:top w:val="nil"/>
              <w:left w:val="nil"/>
              <w:bottom w:val="nil"/>
              <w:right w:val="nil"/>
            </w:tcBorders>
            <w:shd w:val="clear" w:color="000000" w:fill="auto"/>
            <w:noWrap/>
            <w:vAlign w:val="bottom"/>
            <w:hideMark/>
          </w:tcPr>
          <w:p w14:paraId="7312020F" w14:textId="586C7C6F" w:rsidR="00F1187C" w:rsidRPr="00D04BEE" w:rsidRDefault="00F1187C" w:rsidP="00F1187C">
            <w:pPr>
              <w:spacing w:after="0" w:line="240" w:lineRule="auto"/>
              <w:jc w:val="right"/>
              <w:rPr>
                <w:sz w:val="18"/>
                <w:szCs w:val="18"/>
                <w:lang w:eastAsia="sk-SK"/>
              </w:rPr>
            </w:pPr>
            <w:r w:rsidRPr="00D04BEE">
              <w:rPr>
                <w:sz w:val="18"/>
                <w:szCs w:val="18"/>
              </w:rPr>
              <w:t>20 129 866</w:t>
            </w:r>
          </w:p>
        </w:tc>
        <w:tc>
          <w:tcPr>
            <w:tcW w:w="980" w:type="dxa"/>
            <w:tcBorders>
              <w:top w:val="nil"/>
              <w:left w:val="nil"/>
              <w:bottom w:val="nil"/>
              <w:right w:val="nil"/>
            </w:tcBorders>
            <w:shd w:val="clear" w:color="auto" w:fill="auto"/>
            <w:noWrap/>
            <w:vAlign w:val="bottom"/>
            <w:hideMark/>
          </w:tcPr>
          <w:p w14:paraId="14E5E1FA" w14:textId="60B92499"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17 568 384</w:t>
            </w:r>
          </w:p>
        </w:tc>
        <w:tc>
          <w:tcPr>
            <w:tcW w:w="1000" w:type="dxa"/>
            <w:tcBorders>
              <w:top w:val="nil"/>
              <w:left w:val="nil"/>
              <w:bottom w:val="nil"/>
              <w:right w:val="nil"/>
            </w:tcBorders>
            <w:shd w:val="clear" w:color="auto" w:fill="auto"/>
            <w:noWrap/>
            <w:vAlign w:val="bottom"/>
            <w:hideMark/>
          </w:tcPr>
          <w:p w14:paraId="521AF648" w14:textId="445B071D"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26,7</w:t>
            </w:r>
          </w:p>
        </w:tc>
      </w:tr>
      <w:tr w:rsidR="00F1187C" w:rsidRPr="00D04BEE" w14:paraId="328425C5" w14:textId="77777777" w:rsidTr="0019064B">
        <w:trPr>
          <w:trHeight w:val="300"/>
        </w:trPr>
        <w:tc>
          <w:tcPr>
            <w:tcW w:w="4101" w:type="dxa"/>
            <w:tcBorders>
              <w:top w:val="nil"/>
              <w:left w:val="nil"/>
              <w:bottom w:val="nil"/>
              <w:right w:val="nil"/>
            </w:tcBorders>
            <w:shd w:val="clear" w:color="auto" w:fill="auto"/>
            <w:noWrap/>
            <w:vAlign w:val="center"/>
            <w:hideMark/>
          </w:tcPr>
          <w:p w14:paraId="5E6DFDAD" w14:textId="77777777" w:rsidR="00F1187C" w:rsidRPr="00D04BEE" w:rsidRDefault="00F1187C" w:rsidP="00F1187C">
            <w:pPr>
              <w:spacing w:after="0" w:line="240" w:lineRule="auto"/>
              <w:ind w:firstLineChars="200" w:firstLine="360"/>
              <w:rPr>
                <w:i/>
                <w:iCs/>
                <w:color w:val="000000"/>
                <w:sz w:val="18"/>
                <w:szCs w:val="18"/>
                <w:lang w:eastAsia="sk-SK"/>
              </w:rPr>
            </w:pPr>
            <w:r w:rsidRPr="00D04BEE">
              <w:rPr>
                <w:i/>
                <w:iCs/>
                <w:color w:val="000000"/>
                <w:sz w:val="18"/>
                <w:szCs w:val="18"/>
                <w:lang w:eastAsia="sk-SK"/>
              </w:rPr>
              <w:t xml:space="preserve"> - Aktívne opatrenia trhu práce</w:t>
            </w:r>
          </w:p>
        </w:tc>
        <w:tc>
          <w:tcPr>
            <w:tcW w:w="1120" w:type="dxa"/>
            <w:tcBorders>
              <w:top w:val="nil"/>
              <w:left w:val="nil"/>
              <w:bottom w:val="nil"/>
              <w:right w:val="nil"/>
            </w:tcBorders>
            <w:shd w:val="clear" w:color="auto" w:fill="auto"/>
            <w:noWrap/>
            <w:vAlign w:val="bottom"/>
            <w:hideMark/>
          </w:tcPr>
          <w:p w14:paraId="3CA9C8B7" w14:textId="14983280" w:rsidR="00F1187C" w:rsidRPr="00D04BEE" w:rsidRDefault="00F1187C" w:rsidP="00F1187C">
            <w:pPr>
              <w:spacing w:after="0" w:line="240" w:lineRule="auto"/>
              <w:jc w:val="right"/>
              <w:rPr>
                <w:color w:val="000000"/>
                <w:sz w:val="18"/>
                <w:szCs w:val="18"/>
                <w:lang w:eastAsia="sk-SK"/>
              </w:rPr>
            </w:pPr>
            <w:r w:rsidRPr="00D04BEE">
              <w:rPr>
                <w:sz w:val="18"/>
                <w:szCs w:val="18"/>
              </w:rPr>
              <w:t>40 367</w:t>
            </w:r>
          </w:p>
        </w:tc>
        <w:tc>
          <w:tcPr>
            <w:tcW w:w="1040" w:type="dxa"/>
            <w:tcBorders>
              <w:top w:val="nil"/>
              <w:left w:val="nil"/>
              <w:bottom w:val="nil"/>
              <w:right w:val="nil"/>
            </w:tcBorders>
            <w:shd w:val="clear" w:color="auto" w:fill="auto"/>
            <w:noWrap/>
            <w:vAlign w:val="bottom"/>
            <w:hideMark/>
          </w:tcPr>
          <w:p w14:paraId="5885D96A" w14:textId="09D52DA1" w:rsidR="00F1187C" w:rsidRPr="00D04BEE" w:rsidRDefault="00F1187C" w:rsidP="00F1187C">
            <w:pPr>
              <w:spacing w:after="0" w:line="240" w:lineRule="auto"/>
              <w:jc w:val="right"/>
              <w:rPr>
                <w:sz w:val="18"/>
                <w:szCs w:val="18"/>
                <w:lang w:eastAsia="sk-SK"/>
              </w:rPr>
            </w:pPr>
            <w:r w:rsidRPr="00D04BEE">
              <w:rPr>
                <w:sz w:val="18"/>
                <w:szCs w:val="18"/>
              </w:rPr>
              <w:t>60 981</w:t>
            </w:r>
          </w:p>
        </w:tc>
        <w:tc>
          <w:tcPr>
            <w:tcW w:w="1025" w:type="dxa"/>
            <w:tcBorders>
              <w:top w:val="nil"/>
              <w:left w:val="nil"/>
              <w:bottom w:val="nil"/>
              <w:right w:val="nil"/>
            </w:tcBorders>
            <w:shd w:val="clear" w:color="000000" w:fill="auto"/>
            <w:noWrap/>
            <w:vAlign w:val="bottom"/>
            <w:hideMark/>
          </w:tcPr>
          <w:p w14:paraId="21F2958C" w14:textId="1F63700A" w:rsidR="00F1187C" w:rsidRPr="00D04BEE" w:rsidRDefault="00F1187C" w:rsidP="00F1187C">
            <w:pPr>
              <w:spacing w:after="0" w:line="240" w:lineRule="auto"/>
              <w:jc w:val="right"/>
              <w:rPr>
                <w:sz w:val="18"/>
                <w:szCs w:val="18"/>
                <w:lang w:eastAsia="sk-SK"/>
              </w:rPr>
            </w:pPr>
            <w:r w:rsidRPr="00D04BEE">
              <w:rPr>
                <w:sz w:val="18"/>
                <w:szCs w:val="18"/>
              </w:rPr>
              <w:t>79 136</w:t>
            </w:r>
          </w:p>
        </w:tc>
        <w:tc>
          <w:tcPr>
            <w:tcW w:w="980" w:type="dxa"/>
            <w:tcBorders>
              <w:top w:val="nil"/>
              <w:left w:val="nil"/>
              <w:bottom w:val="nil"/>
              <w:right w:val="nil"/>
            </w:tcBorders>
            <w:shd w:val="clear" w:color="auto" w:fill="auto"/>
            <w:noWrap/>
            <w:vAlign w:val="bottom"/>
            <w:hideMark/>
          </w:tcPr>
          <w:p w14:paraId="725FCDC2" w14:textId="2B20E8BD"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46 390</w:t>
            </w:r>
          </w:p>
        </w:tc>
        <w:tc>
          <w:tcPr>
            <w:tcW w:w="1000" w:type="dxa"/>
            <w:tcBorders>
              <w:top w:val="nil"/>
              <w:left w:val="nil"/>
              <w:bottom w:val="nil"/>
              <w:right w:val="nil"/>
            </w:tcBorders>
            <w:shd w:val="clear" w:color="auto" w:fill="auto"/>
            <w:noWrap/>
            <w:vAlign w:val="bottom"/>
            <w:hideMark/>
          </w:tcPr>
          <w:p w14:paraId="60658AA1" w14:textId="55706789"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29,8</w:t>
            </w:r>
          </w:p>
        </w:tc>
      </w:tr>
      <w:tr w:rsidR="00F1187C" w:rsidRPr="00D04BEE" w14:paraId="4181F280" w14:textId="77777777" w:rsidTr="0019064B">
        <w:trPr>
          <w:trHeight w:val="300"/>
        </w:trPr>
        <w:tc>
          <w:tcPr>
            <w:tcW w:w="4101" w:type="dxa"/>
            <w:tcBorders>
              <w:top w:val="nil"/>
              <w:left w:val="nil"/>
              <w:bottom w:val="nil"/>
              <w:right w:val="nil"/>
            </w:tcBorders>
            <w:shd w:val="clear" w:color="auto" w:fill="auto"/>
            <w:noWrap/>
            <w:vAlign w:val="center"/>
            <w:hideMark/>
          </w:tcPr>
          <w:p w14:paraId="12A9C3E5" w14:textId="77777777" w:rsidR="00F1187C" w:rsidRPr="00D04BEE" w:rsidRDefault="00F1187C" w:rsidP="00F1187C">
            <w:pPr>
              <w:spacing w:after="0" w:line="240" w:lineRule="auto"/>
              <w:ind w:firstLineChars="200" w:firstLine="360"/>
              <w:rPr>
                <w:i/>
                <w:iCs/>
                <w:color w:val="000000"/>
                <w:sz w:val="18"/>
                <w:szCs w:val="18"/>
                <w:lang w:eastAsia="sk-SK"/>
              </w:rPr>
            </w:pPr>
            <w:r w:rsidRPr="00D04BEE">
              <w:rPr>
                <w:i/>
                <w:iCs/>
                <w:color w:val="000000"/>
                <w:sz w:val="18"/>
                <w:szCs w:val="18"/>
                <w:lang w:eastAsia="sk-SK"/>
              </w:rPr>
              <w:t xml:space="preserve"> - Nemocenské dávky</w:t>
            </w:r>
          </w:p>
        </w:tc>
        <w:tc>
          <w:tcPr>
            <w:tcW w:w="1120" w:type="dxa"/>
            <w:tcBorders>
              <w:top w:val="nil"/>
              <w:left w:val="nil"/>
              <w:bottom w:val="nil"/>
              <w:right w:val="nil"/>
            </w:tcBorders>
            <w:shd w:val="clear" w:color="auto" w:fill="auto"/>
            <w:noWrap/>
            <w:vAlign w:val="bottom"/>
            <w:hideMark/>
          </w:tcPr>
          <w:p w14:paraId="15CCED0E" w14:textId="53B45CD4" w:rsidR="00F1187C" w:rsidRPr="00D04BEE" w:rsidRDefault="00F1187C" w:rsidP="00F1187C">
            <w:pPr>
              <w:spacing w:after="0" w:line="240" w:lineRule="auto"/>
              <w:jc w:val="right"/>
              <w:rPr>
                <w:color w:val="000000"/>
                <w:sz w:val="18"/>
                <w:szCs w:val="18"/>
                <w:lang w:eastAsia="sk-SK"/>
              </w:rPr>
            </w:pPr>
            <w:r w:rsidRPr="00D04BEE">
              <w:rPr>
                <w:sz w:val="18"/>
                <w:szCs w:val="18"/>
              </w:rPr>
              <w:t>1 131 284</w:t>
            </w:r>
          </w:p>
        </w:tc>
        <w:tc>
          <w:tcPr>
            <w:tcW w:w="1040" w:type="dxa"/>
            <w:tcBorders>
              <w:top w:val="nil"/>
              <w:left w:val="nil"/>
              <w:bottom w:val="nil"/>
              <w:right w:val="nil"/>
            </w:tcBorders>
            <w:shd w:val="clear" w:color="auto" w:fill="auto"/>
            <w:noWrap/>
            <w:vAlign w:val="bottom"/>
            <w:hideMark/>
          </w:tcPr>
          <w:p w14:paraId="71AEE2C9" w14:textId="1E7C03F1" w:rsidR="00F1187C" w:rsidRPr="00D04BEE" w:rsidRDefault="00F1187C" w:rsidP="00F1187C">
            <w:pPr>
              <w:spacing w:after="0" w:line="240" w:lineRule="auto"/>
              <w:jc w:val="right"/>
              <w:rPr>
                <w:sz w:val="18"/>
                <w:szCs w:val="18"/>
                <w:lang w:eastAsia="sk-SK"/>
              </w:rPr>
            </w:pPr>
            <w:r w:rsidRPr="00D04BEE">
              <w:rPr>
                <w:sz w:val="18"/>
                <w:szCs w:val="18"/>
              </w:rPr>
              <w:t>1 034 378</w:t>
            </w:r>
          </w:p>
        </w:tc>
        <w:tc>
          <w:tcPr>
            <w:tcW w:w="1025" w:type="dxa"/>
            <w:tcBorders>
              <w:top w:val="nil"/>
              <w:left w:val="nil"/>
              <w:bottom w:val="nil"/>
              <w:right w:val="nil"/>
            </w:tcBorders>
            <w:shd w:val="clear" w:color="000000" w:fill="auto"/>
            <w:noWrap/>
            <w:vAlign w:val="bottom"/>
            <w:hideMark/>
          </w:tcPr>
          <w:p w14:paraId="5D3F3BC5" w14:textId="74E6ABE7" w:rsidR="00F1187C" w:rsidRPr="00D04BEE" w:rsidRDefault="00F1187C" w:rsidP="00F1187C">
            <w:pPr>
              <w:spacing w:after="0" w:line="240" w:lineRule="auto"/>
              <w:jc w:val="right"/>
              <w:rPr>
                <w:sz w:val="18"/>
                <w:szCs w:val="18"/>
                <w:lang w:eastAsia="sk-SK"/>
              </w:rPr>
            </w:pPr>
            <w:r w:rsidRPr="00D04BEE">
              <w:rPr>
                <w:sz w:val="18"/>
                <w:szCs w:val="18"/>
              </w:rPr>
              <w:t>1 039 039</w:t>
            </w:r>
          </w:p>
        </w:tc>
        <w:tc>
          <w:tcPr>
            <w:tcW w:w="980" w:type="dxa"/>
            <w:tcBorders>
              <w:top w:val="nil"/>
              <w:left w:val="nil"/>
              <w:bottom w:val="nil"/>
              <w:right w:val="nil"/>
            </w:tcBorders>
            <w:shd w:val="clear" w:color="auto" w:fill="auto"/>
            <w:noWrap/>
            <w:vAlign w:val="bottom"/>
            <w:hideMark/>
          </w:tcPr>
          <w:p w14:paraId="5DE4CD0E" w14:textId="358972E4"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1 152 959</w:t>
            </w:r>
          </w:p>
        </w:tc>
        <w:tc>
          <w:tcPr>
            <w:tcW w:w="1000" w:type="dxa"/>
            <w:tcBorders>
              <w:top w:val="nil"/>
              <w:left w:val="nil"/>
              <w:bottom w:val="nil"/>
              <w:right w:val="nil"/>
            </w:tcBorders>
            <w:shd w:val="clear" w:color="auto" w:fill="auto"/>
            <w:noWrap/>
            <w:vAlign w:val="bottom"/>
            <w:hideMark/>
          </w:tcPr>
          <w:p w14:paraId="2D9B7FC8" w14:textId="050FD17F"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0,5</w:t>
            </w:r>
          </w:p>
        </w:tc>
      </w:tr>
      <w:tr w:rsidR="00F1187C" w:rsidRPr="00D04BEE" w14:paraId="1EAEE6CB" w14:textId="77777777" w:rsidTr="0019064B">
        <w:trPr>
          <w:trHeight w:val="300"/>
        </w:trPr>
        <w:tc>
          <w:tcPr>
            <w:tcW w:w="4101" w:type="dxa"/>
            <w:tcBorders>
              <w:top w:val="nil"/>
              <w:left w:val="nil"/>
              <w:bottom w:val="nil"/>
              <w:right w:val="nil"/>
            </w:tcBorders>
            <w:shd w:val="clear" w:color="auto" w:fill="auto"/>
            <w:noWrap/>
            <w:vAlign w:val="center"/>
            <w:hideMark/>
          </w:tcPr>
          <w:p w14:paraId="3140DFFC" w14:textId="77777777" w:rsidR="00F1187C" w:rsidRPr="00D04BEE" w:rsidRDefault="00F1187C" w:rsidP="00F1187C">
            <w:pPr>
              <w:spacing w:after="0" w:line="240" w:lineRule="auto"/>
              <w:ind w:firstLineChars="200" w:firstLine="360"/>
              <w:rPr>
                <w:i/>
                <w:iCs/>
                <w:color w:val="000000"/>
                <w:sz w:val="18"/>
                <w:szCs w:val="18"/>
                <w:lang w:eastAsia="sk-SK"/>
              </w:rPr>
            </w:pPr>
            <w:r w:rsidRPr="00D04BEE">
              <w:rPr>
                <w:i/>
                <w:iCs/>
                <w:color w:val="000000"/>
                <w:sz w:val="18"/>
                <w:szCs w:val="18"/>
                <w:lang w:eastAsia="sk-SK"/>
              </w:rPr>
              <w:t xml:space="preserve"> - Dôchodkové dávky zo starob. a inv. poistenia</w:t>
            </w:r>
          </w:p>
        </w:tc>
        <w:tc>
          <w:tcPr>
            <w:tcW w:w="1120" w:type="dxa"/>
            <w:tcBorders>
              <w:top w:val="nil"/>
              <w:left w:val="nil"/>
              <w:bottom w:val="nil"/>
              <w:right w:val="nil"/>
            </w:tcBorders>
            <w:shd w:val="clear" w:color="auto" w:fill="auto"/>
            <w:noWrap/>
            <w:vAlign w:val="bottom"/>
            <w:hideMark/>
          </w:tcPr>
          <w:p w14:paraId="20DD84F7" w14:textId="416A5D9A" w:rsidR="00F1187C" w:rsidRPr="00D04BEE" w:rsidRDefault="00F1187C" w:rsidP="00F1187C">
            <w:pPr>
              <w:spacing w:after="0" w:line="240" w:lineRule="auto"/>
              <w:jc w:val="right"/>
              <w:rPr>
                <w:color w:val="000000"/>
                <w:sz w:val="18"/>
                <w:szCs w:val="18"/>
                <w:lang w:eastAsia="sk-SK"/>
              </w:rPr>
            </w:pPr>
            <w:r w:rsidRPr="00D04BEE">
              <w:rPr>
                <w:sz w:val="18"/>
                <w:szCs w:val="18"/>
              </w:rPr>
              <w:t>8 465 028</w:t>
            </w:r>
          </w:p>
        </w:tc>
        <w:tc>
          <w:tcPr>
            <w:tcW w:w="1040" w:type="dxa"/>
            <w:tcBorders>
              <w:top w:val="nil"/>
              <w:left w:val="nil"/>
              <w:bottom w:val="nil"/>
              <w:right w:val="nil"/>
            </w:tcBorders>
            <w:shd w:val="clear" w:color="auto" w:fill="auto"/>
            <w:noWrap/>
            <w:vAlign w:val="bottom"/>
            <w:hideMark/>
          </w:tcPr>
          <w:p w14:paraId="6D42B6F8" w14:textId="14EDB389" w:rsidR="00F1187C" w:rsidRPr="00D04BEE" w:rsidRDefault="00F1187C" w:rsidP="00F1187C">
            <w:pPr>
              <w:spacing w:after="0" w:line="240" w:lineRule="auto"/>
              <w:jc w:val="right"/>
              <w:rPr>
                <w:color w:val="000000"/>
                <w:sz w:val="18"/>
                <w:szCs w:val="18"/>
                <w:lang w:eastAsia="sk-SK"/>
              </w:rPr>
            </w:pPr>
            <w:r w:rsidRPr="00D04BEE">
              <w:rPr>
                <w:sz w:val="18"/>
                <w:szCs w:val="18"/>
              </w:rPr>
              <w:t>8 750 582</w:t>
            </w:r>
          </w:p>
        </w:tc>
        <w:tc>
          <w:tcPr>
            <w:tcW w:w="1025" w:type="dxa"/>
            <w:tcBorders>
              <w:top w:val="nil"/>
              <w:left w:val="nil"/>
              <w:bottom w:val="nil"/>
              <w:right w:val="nil"/>
            </w:tcBorders>
            <w:shd w:val="clear" w:color="000000" w:fill="auto"/>
            <w:noWrap/>
            <w:vAlign w:val="bottom"/>
            <w:hideMark/>
          </w:tcPr>
          <w:p w14:paraId="33722D9F" w14:textId="602BA01B" w:rsidR="00F1187C" w:rsidRPr="00D04BEE" w:rsidRDefault="00F1187C" w:rsidP="00F1187C">
            <w:pPr>
              <w:spacing w:after="0" w:line="240" w:lineRule="auto"/>
              <w:jc w:val="right"/>
              <w:rPr>
                <w:sz w:val="18"/>
                <w:szCs w:val="18"/>
                <w:lang w:eastAsia="sk-SK"/>
              </w:rPr>
            </w:pPr>
            <w:r w:rsidRPr="00D04BEE">
              <w:rPr>
                <w:sz w:val="18"/>
                <w:szCs w:val="18"/>
              </w:rPr>
              <w:t>10 856 159</w:t>
            </w:r>
          </w:p>
        </w:tc>
        <w:tc>
          <w:tcPr>
            <w:tcW w:w="980" w:type="dxa"/>
            <w:tcBorders>
              <w:top w:val="nil"/>
              <w:left w:val="nil"/>
              <w:bottom w:val="nil"/>
              <w:right w:val="nil"/>
            </w:tcBorders>
            <w:shd w:val="clear" w:color="auto" w:fill="auto"/>
            <w:noWrap/>
            <w:vAlign w:val="bottom"/>
            <w:hideMark/>
          </w:tcPr>
          <w:p w14:paraId="3E4D0B66" w14:textId="0BB86B2F"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9 813 573</w:t>
            </w:r>
          </w:p>
        </w:tc>
        <w:tc>
          <w:tcPr>
            <w:tcW w:w="1000" w:type="dxa"/>
            <w:tcBorders>
              <w:top w:val="nil"/>
              <w:left w:val="nil"/>
              <w:bottom w:val="nil"/>
              <w:right w:val="nil"/>
            </w:tcBorders>
            <w:shd w:val="clear" w:color="auto" w:fill="auto"/>
            <w:noWrap/>
            <w:vAlign w:val="bottom"/>
            <w:hideMark/>
          </w:tcPr>
          <w:p w14:paraId="2CBB0B58" w14:textId="1094AD28"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24,1</w:t>
            </w:r>
          </w:p>
        </w:tc>
      </w:tr>
      <w:tr w:rsidR="00F1187C" w:rsidRPr="00D04BEE" w14:paraId="52B71C5F" w14:textId="77777777" w:rsidTr="0019064B">
        <w:trPr>
          <w:trHeight w:val="300"/>
        </w:trPr>
        <w:tc>
          <w:tcPr>
            <w:tcW w:w="4101" w:type="dxa"/>
            <w:tcBorders>
              <w:top w:val="nil"/>
              <w:left w:val="nil"/>
              <w:bottom w:val="nil"/>
              <w:right w:val="nil"/>
            </w:tcBorders>
            <w:shd w:val="clear" w:color="auto" w:fill="auto"/>
            <w:noWrap/>
            <w:vAlign w:val="center"/>
            <w:hideMark/>
          </w:tcPr>
          <w:p w14:paraId="36D8B996" w14:textId="77777777" w:rsidR="00F1187C" w:rsidRPr="00D04BEE" w:rsidRDefault="00F1187C" w:rsidP="00F1187C">
            <w:pPr>
              <w:spacing w:after="0" w:line="240" w:lineRule="auto"/>
              <w:ind w:firstLineChars="200" w:firstLine="360"/>
              <w:rPr>
                <w:i/>
                <w:iCs/>
                <w:color w:val="000000"/>
                <w:sz w:val="18"/>
                <w:szCs w:val="18"/>
                <w:lang w:eastAsia="sk-SK"/>
              </w:rPr>
            </w:pPr>
            <w:r w:rsidRPr="00D04BEE">
              <w:rPr>
                <w:i/>
                <w:iCs/>
                <w:color w:val="000000"/>
                <w:sz w:val="18"/>
                <w:szCs w:val="18"/>
                <w:lang w:eastAsia="sk-SK"/>
              </w:rPr>
              <w:t xml:space="preserve"> - Dávky v nezamestnanosti</w:t>
            </w:r>
          </w:p>
        </w:tc>
        <w:tc>
          <w:tcPr>
            <w:tcW w:w="1120" w:type="dxa"/>
            <w:tcBorders>
              <w:top w:val="nil"/>
              <w:left w:val="nil"/>
              <w:bottom w:val="nil"/>
              <w:right w:val="nil"/>
            </w:tcBorders>
            <w:shd w:val="clear" w:color="auto" w:fill="auto"/>
            <w:noWrap/>
            <w:vAlign w:val="bottom"/>
            <w:hideMark/>
          </w:tcPr>
          <w:p w14:paraId="3354800B" w14:textId="113D2E79" w:rsidR="00F1187C" w:rsidRPr="00D04BEE" w:rsidRDefault="00F1187C" w:rsidP="00F1187C">
            <w:pPr>
              <w:spacing w:after="0" w:line="240" w:lineRule="auto"/>
              <w:jc w:val="right"/>
              <w:rPr>
                <w:color w:val="000000"/>
                <w:sz w:val="18"/>
                <w:szCs w:val="18"/>
                <w:lang w:eastAsia="sk-SK"/>
              </w:rPr>
            </w:pPr>
            <w:r w:rsidRPr="00D04BEE">
              <w:rPr>
                <w:sz w:val="18"/>
                <w:szCs w:val="18"/>
              </w:rPr>
              <w:t>289 840</w:t>
            </w:r>
          </w:p>
        </w:tc>
        <w:tc>
          <w:tcPr>
            <w:tcW w:w="1040" w:type="dxa"/>
            <w:tcBorders>
              <w:top w:val="nil"/>
              <w:left w:val="nil"/>
              <w:bottom w:val="nil"/>
              <w:right w:val="nil"/>
            </w:tcBorders>
            <w:shd w:val="clear" w:color="auto" w:fill="auto"/>
            <w:noWrap/>
            <w:vAlign w:val="bottom"/>
            <w:hideMark/>
          </w:tcPr>
          <w:p w14:paraId="4BC0E396" w14:textId="0FE527E1" w:rsidR="00F1187C" w:rsidRPr="00D04BEE" w:rsidRDefault="00F1187C" w:rsidP="00F1187C">
            <w:pPr>
              <w:spacing w:after="0" w:line="240" w:lineRule="auto"/>
              <w:jc w:val="right"/>
              <w:rPr>
                <w:color w:val="000000"/>
                <w:sz w:val="18"/>
                <w:szCs w:val="18"/>
                <w:lang w:eastAsia="sk-SK"/>
              </w:rPr>
            </w:pPr>
            <w:r w:rsidRPr="00D04BEE">
              <w:rPr>
                <w:sz w:val="18"/>
                <w:szCs w:val="18"/>
              </w:rPr>
              <w:t>239 211</w:t>
            </w:r>
          </w:p>
        </w:tc>
        <w:tc>
          <w:tcPr>
            <w:tcW w:w="1025" w:type="dxa"/>
            <w:tcBorders>
              <w:top w:val="nil"/>
              <w:left w:val="nil"/>
              <w:bottom w:val="nil"/>
              <w:right w:val="nil"/>
            </w:tcBorders>
            <w:shd w:val="clear" w:color="000000" w:fill="auto"/>
            <w:noWrap/>
            <w:vAlign w:val="bottom"/>
            <w:hideMark/>
          </w:tcPr>
          <w:p w14:paraId="41E7D72C" w14:textId="1F1A9E35" w:rsidR="00F1187C" w:rsidRPr="00D04BEE" w:rsidRDefault="00F1187C" w:rsidP="00F1187C">
            <w:pPr>
              <w:spacing w:after="0" w:line="240" w:lineRule="auto"/>
              <w:jc w:val="right"/>
              <w:rPr>
                <w:sz w:val="18"/>
                <w:szCs w:val="18"/>
                <w:lang w:eastAsia="sk-SK"/>
              </w:rPr>
            </w:pPr>
            <w:r w:rsidRPr="00D04BEE">
              <w:rPr>
                <w:sz w:val="18"/>
                <w:szCs w:val="18"/>
              </w:rPr>
              <w:t>267 491</w:t>
            </w:r>
          </w:p>
        </w:tc>
        <w:tc>
          <w:tcPr>
            <w:tcW w:w="980" w:type="dxa"/>
            <w:tcBorders>
              <w:top w:val="nil"/>
              <w:left w:val="nil"/>
              <w:bottom w:val="nil"/>
              <w:right w:val="nil"/>
            </w:tcBorders>
            <w:shd w:val="clear" w:color="auto" w:fill="auto"/>
            <w:noWrap/>
            <w:vAlign w:val="bottom"/>
            <w:hideMark/>
          </w:tcPr>
          <w:p w14:paraId="7636791D" w14:textId="7ACB08B8"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264 155</w:t>
            </w:r>
          </w:p>
        </w:tc>
        <w:tc>
          <w:tcPr>
            <w:tcW w:w="1000" w:type="dxa"/>
            <w:tcBorders>
              <w:top w:val="nil"/>
              <w:left w:val="nil"/>
              <w:bottom w:val="nil"/>
              <w:right w:val="nil"/>
            </w:tcBorders>
            <w:shd w:val="clear" w:color="auto" w:fill="auto"/>
            <w:noWrap/>
            <w:vAlign w:val="bottom"/>
            <w:hideMark/>
          </w:tcPr>
          <w:p w14:paraId="22D14E57" w14:textId="4162F5F9"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11,8</w:t>
            </w:r>
          </w:p>
        </w:tc>
      </w:tr>
      <w:tr w:rsidR="00F1187C" w:rsidRPr="00D04BEE" w14:paraId="4D0824BC" w14:textId="77777777" w:rsidTr="0019064B">
        <w:trPr>
          <w:trHeight w:val="300"/>
        </w:trPr>
        <w:tc>
          <w:tcPr>
            <w:tcW w:w="4101" w:type="dxa"/>
            <w:tcBorders>
              <w:top w:val="nil"/>
              <w:left w:val="nil"/>
              <w:bottom w:val="nil"/>
              <w:right w:val="nil"/>
            </w:tcBorders>
            <w:shd w:val="clear" w:color="auto" w:fill="auto"/>
            <w:noWrap/>
            <w:vAlign w:val="center"/>
            <w:hideMark/>
          </w:tcPr>
          <w:p w14:paraId="55C84E43" w14:textId="77777777" w:rsidR="00F1187C" w:rsidRPr="00D04BEE" w:rsidRDefault="00F1187C" w:rsidP="00F1187C">
            <w:pPr>
              <w:spacing w:after="0" w:line="240" w:lineRule="auto"/>
              <w:ind w:firstLineChars="200" w:firstLine="360"/>
              <w:rPr>
                <w:i/>
                <w:iCs/>
                <w:color w:val="000000"/>
                <w:sz w:val="18"/>
                <w:szCs w:val="18"/>
                <w:lang w:eastAsia="sk-SK"/>
              </w:rPr>
            </w:pPr>
            <w:r w:rsidRPr="00D04BEE">
              <w:rPr>
                <w:i/>
                <w:iCs/>
                <w:color w:val="000000"/>
                <w:sz w:val="18"/>
                <w:szCs w:val="18"/>
                <w:lang w:eastAsia="sk-SK"/>
              </w:rPr>
              <w:t xml:space="preserve"> - Štátne sociálne dávky a podpora</w:t>
            </w:r>
          </w:p>
        </w:tc>
        <w:tc>
          <w:tcPr>
            <w:tcW w:w="1120" w:type="dxa"/>
            <w:tcBorders>
              <w:top w:val="nil"/>
              <w:left w:val="nil"/>
              <w:bottom w:val="nil"/>
              <w:right w:val="nil"/>
            </w:tcBorders>
            <w:shd w:val="clear" w:color="auto" w:fill="auto"/>
            <w:noWrap/>
            <w:vAlign w:val="bottom"/>
            <w:hideMark/>
          </w:tcPr>
          <w:p w14:paraId="006F53CF" w14:textId="1FCA6CA7" w:rsidR="00F1187C" w:rsidRPr="00D04BEE" w:rsidRDefault="00F1187C" w:rsidP="00F1187C">
            <w:pPr>
              <w:spacing w:after="0" w:line="240" w:lineRule="auto"/>
              <w:jc w:val="right"/>
              <w:rPr>
                <w:color w:val="000000"/>
                <w:sz w:val="18"/>
                <w:szCs w:val="18"/>
                <w:lang w:eastAsia="sk-SK"/>
              </w:rPr>
            </w:pPr>
            <w:r w:rsidRPr="00D04BEE">
              <w:rPr>
                <w:sz w:val="18"/>
                <w:szCs w:val="18"/>
              </w:rPr>
              <w:t>3 350 586</w:t>
            </w:r>
          </w:p>
        </w:tc>
        <w:tc>
          <w:tcPr>
            <w:tcW w:w="1040" w:type="dxa"/>
            <w:tcBorders>
              <w:top w:val="nil"/>
              <w:left w:val="nil"/>
              <w:bottom w:val="nil"/>
              <w:right w:val="nil"/>
            </w:tcBorders>
            <w:shd w:val="clear" w:color="auto" w:fill="auto"/>
            <w:noWrap/>
            <w:vAlign w:val="bottom"/>
            <w:hideMark/>
          </w:tcPr>
          <w:p w14:paraId="49EEDC27" w14:textId="10CAF00D" w:rsidR="00F1187C" w:rsidRPr="00D04BEE" w:rsidRDefault="00F1187C" w:rsidP="00F1187C">
            <w:pPr>
              <w:spacing w:after="0" w:line="240" w:lineRule="auto"/>
              <w:jc w:val="right"/>
              <w:rPr>
                <w:color w:val="000000"/>
                <w:sz w:val="18"/>
                <w:szCs w:val="18"/>
                <w:lang w:eastAsia="sk-SK"/>
              </w:rPr>
            </w:pPr>
            <w:r w:rsidRPr="00D04BEE">
              <w:rPr>
                <w:sz w:val="18"/>
                <w:szCs w:val="18"/>
              </w:rPr>
              <w:t>2 751 097</w:t>
            </w:r>
          </w:p>
        </w:tc>
        <w:tc>
          <w:tcPr>
            <w:tcW w:w="1025" w:type="dxa"/>
            <w:tcBorders>
              <w:top w:val="nil"/>
              <w:left w:val="nil"/>
              <w:bottom w:val="nil"/>
              <w:right w:val="nil"/>
            </w:tcBorders>
            <w:shd w:val="clear" w:color="000000" w:fill="auto"/>
            <w:noWrap/>
            <w:vAlign w:val="bottom"/>
            <w:hideMark/>
          </w:tcPr>
          <w:p w14:paraId="6B80A799" w14:textId="2FD045D8" w:rsidR="00F1187C" w:rsidRPr="00D04BEE" w:rsidRDefault="00F1187C" w:rsidP="00F1187C">
            <w:pPr>
              <w:spacing w:after="0" w:line="240" w:lineRule="auto"/>
              <w:jc w:val="right"/>
              <w:rPr>
                <w:sz w:val="18"/>
                <w:szCs w:val="18"/>
                <w:lang w:eastAsia="sk-SK"/>
              </w:rPr>
            </w:pPr>
            <w:r w:rsidRPr="00D04BEE">
              <w:rPr>
                <w:sz w:val="18"/>
                <w:szCs w:val="18"/>
              </w:rPr>
              <w:t>3 167 319</w:t>
            </w:r>
          </w:p>
        </w:tc>
        <w:tc>
          <w:tcPr>
            <w:tcW w:w="980" w:type="dxa"/>
            <w:tcBorders>
              <w:top w:val="nil"/>
              <w:left w:val="nil"/>
              <w:bottom w:val="nil"/>
              <w:right w:val="nil"/>
            </w:tcBorders>
            <w:shd w:val="clear" w:color="auto" w:fill="auto"/>
            <w:noWrap/>
            <w:vAlign w:val="bottom"/>
            <w:hideMark/>
          </w:tcPr>
          <w:p w14:paraId="41AA7F4F" w14:textId="79AC091A"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2 445 447</w:t>
            </w:r>
          </w:p>
        </w:tc>
        <w:tc>
          <w:tcPr>
            <w:tcW w:w="1000" w:type="dxa"/>
            <w:tcBorders>
              <w:top w:val="nil"/>
              <w:left w:val="nil"/>
              <w:bottom w:val="nil"/>
              <w:right w:val="nil"/>
            </w:tcBorders>
            <w:shd w:val="clear" w:color="auto" w:fill="auto"/>
            <w:noWrap/>
            <w:vAlign w:val="bottom"/>
            <w:hideMark/>
          </w:tcPr>
          <w:p w14:paraId="44E2D4BD" w14:textId="30CBB8FC"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15,1</w:t>
            </w:r>
          </w:p>
        </w:tc>
      </w:tr>
      <w:tr w:rsidR="00F1187C" w:rsidRPr="00D04BEE" w14:paraId="6D42EB2E" w14:textId="77777777" w:rsidTr="0019064B">
        <w:trPr>
          <w:trHeight w:val="300"/>
        </w:trPr>
        <w:tc>
          <w:tcPr>
            <w:tcW w:w="4101" w:type="dxa"/>
            <w:tcBorders>
              <w:top w:val="nil"/>
              <w:left w:val="nil"/>
              <w:bottom w:val="nil"/>
              <w:right w:val="nil"/>
            </w:tcBorders>
            <w:shd w:val="clear" w:color="auto" w:fill="auto"/>
            <w:noWrap/>
            <w:vAlign w:val="center"/>
            <w:hideMark/>
          </w:tcPr>
          <w:p w14:paraId="4C76247A" w14:textId="77777777" w:rsidR="00F1187C" w:rsidRPr="00D04BEE" w:rsidRDefault="00F1187C" w:rsidP="00F1187C">
            <w:pPr>
              <w:spacing w:after="0" w:line="240" w:lineRule="auto"/>
              <w:ind w:firstLineChars="300" w:firstLine="540"/>
              <w:rPr>
                <w:i/>
                <w:iCs/>
                <w:color w:val="000000"/>
                <w:sz w:val="18"/>
                <w:szCs w:val="18"/>
                <w:lang w:eastAsia="sk-SK"/>
              </w:rPr>
            </w:pPr>
            <w:r w:rsidRPr="00D04BEE">
              <w:rPr>
                <w:i/>
                <w:iCs/>
                <w:color w:val="000000"/>
                <w:sz w:val="18"/>
                <w:szCs w:val="18"/>
                <w:lang w:eastAsia="sk-SK"/>
              </w:rPr>
              <w:t xml:space="preserve"> - na prídavok na dieťa</w:t>
            </w:r>
          </w:p>
        </w:tc>
        <w:tc>
          <w:tcPr>
            <w:tcW w:w="1120" w:type="dxa"/>
            <w:tcBorders>
              <w:top w:val="nil"/>
              <w:left w:val="nil"/>
              <w:bottom w:val="nil"/>
              <w:right w:val="nil"/>
            </w:tcBorders>
            <w:shd w:val="clear" w:color="auto" w:fill="auto"/>
            <w:noWrap/>
            <w:vAlign w:val="bottom"/>
            <w:hideMark/>
          </w:tcPr>
          <w:p w14:paraId="6B62308A" w14:textId="7E674AD5" w:rsidR="00F1187C" w:rsidRPr="00D04BEE" w:rsidRDefault="00F1187C" w:rsidP="00F1187C">
            <w:pPr>
              <w:spacing w:after="0" w:line="240" w:lineRule="auto"/>
              <w:jc w:val="right"/>
              <w:rPr>
                <w:color w:val="000000"/>
                <w:sz w:val="18"/>
                <w:szCs w:val="18"/>
                <w:lang w:eastAsia="sk-SK"/>
              </w:rPr>
            </w:pPr>
            <w:r w:rsidRPr="00D04BEE">
              <w:rPr>
                <w:sz w:val="18"/>
                <w:szCs w:val="18"/>
              </w:rPr>
              <w:t>343 222</w:t>
            </w:r>
          </w:p>
        </w:tc>
        <w:tc>
          <w:tcPr>
            <w:tcW w:w="1040" w:type="dxa"/>
            <w:tcBorders>
              <w:top w:val="nil"/>
              <w:left w:val="nil"/>
              <w:bottom w:val="nil"/>
              <w:right w:val="nil"/>
            </w:tcBorders>
            <w:shd w:val="clear" w:color="auto" w:fill="auto"/>
            <w:noWrap/>
            <w:vAlign w:val="bottom"/>
            <w:hideMark/>
          </w:tcPr>
          <w:p w14:paraId="30ECFE44" w14:textId="5B008B16" w:rsidR="00F1187C" w:rsidRPr="00D04BEE" w:rsidRDefault="00F1187C" w:rsidP="00F1187C">
            <w:pPr>
              <w:spacing w:after="0" w:line="240" w:lineRule="auto"/>
              <w:jc w:val="right"/>
              <w:rPr>
                <w:color w:val="000000"/>
                <w:sz w:val="18"/>
                <w:szCs w:val="18"/>
                <w:lang w:eastAsia="sk-SK"/>
              </w:rPr>
            </w:pPr>
            <w:r w:rsidRPr="00D04BEE">
              <w:rPr>
                <w:sz w:val="18"/>
                <w:szCs w:val="18"/>
              </w:rPr>
              <w:t>372 588</w:t>
            </w:r>
          </w:p>
        </w:tc>
        <w:tc>
          <w:tcPr>
            <w:tcW w:w="1025" w:type="dxa"/>
            <w:tcBorders>
              <w:top w:val="nil"/>
              <w:left w:val="nil"/>
              <w:bottom w:val="nil"/>
              <w:right w:val="nil"/>
            </w:tcBorders>
            <w:shd w:val="clear" w:color="000000" w:fill="auto"/>
            <w:noWrap/>
            <w:vAlign w:val="bottom"/>
            <w:hideMark/>
          </w:tcPr>
          <w:p w14:paraId="0EE35258" w14:textId="65B0E43F" w:rsidR="00F1187C" w:rsidRPr="00D04BEE" w:rsidRDefault="00F1187C" w:rsidP="00F1187C">
            <w:pPr>
              <w:spacing w:after="0" w:line="240" w:lineRule="auto"/>
              <w:jc w:val="right"/>
              <w:rPr>
                <w:sz w:val="18"/>
                <w:szCs w:val="18"/>
                <w:lang w:eastAsia="sk-SK"/>
              </w:rPr>
            </w:pPr>
            <w:r w:rsidRPr="00D04BEE">
              <w:rPr>
                <w:sz w:val="18"/>
                <w:szCs w:val="18"/>
              </w:rPr>
              <w:t>778 585</w:t>
            </w:r>
          </w:p>
        </w:tc>
        <w:tc>
          <w:tcPr>
            <w:tcW w:w="980" w:type="dxa"/>
            <w:tcBorders>
              <w:top w:val="nil"/>
              <w:left w:val="nil"/>
              <w:bottom w:val="nil"/>
              <w:right w:val="nil"/>
            </w:tcBorders>
            <w:shd w:val="clear" w:color="auto" w:fill="auto"/>
            <w:noWrap/>
            <w:vAlign w:val="bottom"/>
            <w:hideMark/>
          </w:tcPr>
          <w:p w14:paraId="41DAB310" w14:textId="4F7CDFD5"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529 252</w:t>
            </w:r>
          </w:p>
        </w:tc>
        <w:tc>
          <w:tcPr>
            <w:tcW w:w="1000" w:type="dxa"/>
            <w:tcBorders>
              <w:top w:val="nil"/>
              <w:left w:val="nil"/>
              <w:bottom w:val="nil"/>
              <w:right w:val="nil"/>
            </w:tcBorders>
            <w:shd w:val="clear" w:color="auto" w:fill="auto"/>
            <w:noWrap/>
            <w:vAlign w:val="bottom"/>
            <w:hideMark/>
          </w:tcPr>
          <w:p w14:paraId="7E145662" w14:textId="1D66D9F0"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109,0</w:t>
            </w:r>
          </w:p>
        </w:tc>
      </w:tr>
      <w:tr w:rsidR="00F1187C" w:rsidRPr="00D04BEE" w14:paraId="505849CB" w14:textId="77777777" w:rsidTr="0019064B">
        <w:trPr>
          <w:trHeight w:val="300"/>
        </w:trPr>
        <w:tc>
          <w:tcPr>
            <w:tcW w:w="4101" w:type="dxa"/>
            <w:tcBorders>
              <w:top w:val="nil"/>
              <w:left w:val="nil"/>
              <w:bottom w:val="nil"/>
              <w:right w:val="nil"/>
            </w:tcBorders>
            <w:shd w:val="clear" w:color="auto" w:fill="auto"/>
            <w:noWrap/>
            <w:vAlign w:val="center"/>
            <w:hideMark/>
          </w:tcPr>
          <w:p w14:paraId="3B452E09" w14:textId="77777777" w:rsidR="00F1187C" w:rsidRPr="00D04BEE" w:rsidRDefault="00F1187C" w:rsidP="00F1187C">
            <w:pPr>
              <w:spacing w:after="0" w:line="240" w:lineRule="auto"/>
              <w:ind w:firstLineChars="300" w:firstLine="540"/>
              <w:rPr>
                <w:i/>
                <w:iCs/>
                <w:color w:val="000000"/>
                <w:sz w:val="18"/>
                <w:szCs w:val="18"/>
                <w:lang w:eastAsia="sk-SK"/>
              </w:rPr>
            </w:pPr>
            <w:r w:rsidRPr="00D04BEE">
              <w:rPr>
                <w:i/>
                <w:iCs/>
                <w:color w:val="000000"/>
                <w:sz w:val="18"/>
                <w:szCs w:val="18"/>
                <w:lang w:eastAsia="sk-SK"/>
              </w:rPr>
              <w:t xml:space="preserve"> - pri narodení dieťaťa a prísp. rodičom</w:t>
            </w:r>
          </w:p>
        </w:tc>
        <w:tc>
          <w:tcPr>
            <w:tcW w:w="1120" w:type="dxa"/>
            <w:tcBorders>
              <w:top w:val="nil"/>
              <w:left w:val="nil"/>
              <w:bottom w:val="nil"/>
              <w:right w:val="nil"/>
            </w:tcBorders>
            <w:shd w:val="clear" w:color="auto" w:fill="auto"/>
            <w:noWrap/>
            <w:vAlign w:val="bottom"/>
            <w:hideMark/>
          </w:tcPr>
          <w:p w14:paraId="6803DF84" w14:textId="201F4D45" w:rsidR="00F1187C" w:rsidRPr="00D04BEE" w:rsidRDefault="00F1187C" w:rsidP="00F1187C">
            <w:pPr>
              <w:spacing w:after="0" w:line="240" w:lineRule="auto"/>
              <w:jc w:val="right"/>
              <w:rPr>
                <w:color w:val="000000"/>
                <w:sz w:val="18"/>
                <w:szCs w:val="18"/>
                <w:lang w:eastAsia="sk-SK"/>
              </w:rPr>
            </w:pPr>
            <w:r w:rsidRPr="00D04BEE">
              <w:rPr>
                <w:sz w:val="18"/>
                <w:szCs w:val="18"/>
              </w:rPr>
              <w:t>42 548</w:t>
            </w:r>
          </w:p>
        </w:tc>
        <w:tc>
          <w:tcPr>
            <w:tcW w:w="1040" w:type="dxa"/>
            <w:tcBorders>
              <w:top w:val="nil"/>
              <w:left w:val="nil"/>
              <w:bottom w:val="nil"/>
              <w:right w:val="nil"/>
            </w:tcBorders>
            <w:shd w:val="clear" w:color="auto" w:fill="auto"/>
            <w:noWrap/>
            <w:vAlign w:val="bottom"/>
            <w:hideMark/>
          </w:tcPr>
          <w:p w14:paraId="77A2B965" w14:textId="25885BBF" w:rsidR="00F1187C" w:rsidRPr="00D04BEE" w:rsidRDefault="00F1187C" w:rsidP="00F1187C">
            <w:pPr>
              <w:spacing w:after="0" w:line="240" w:lineRule="auto"/>
              <w:jc w:val="right"/>
              <w:rPr>
                <w:color w:val="000000"/>
                <w:sz w:val="18"/>
                <w:szCs w:val="18"/>
                <w:lang w:eastAsia="sk-SK"/>
              </w:rPr>
            </w:pPr>
            <w:r w:rsidRPr="00D04BEE">
              <w:rPr>
                <w:sz w:val="18"/>
                <w:szCs w:val="18"/>
              </w:rPr>
              <w:t>44 053</w:t>
            </w:r>
          </w:p>
        </w:tc>
        <w:tc>
          <w:tcPr>
            <w:tcW w:w="1025" w:type="dxa"/>
            <w:tcBorders>
              <w:top w:val="nil"/>
              <w:left w:val="nil"/>
              <w:bottom w:val="nil"/>
              <w:right w:val="nil"/>
            </w:tcBorders>
            <w:shd w:val="clear" w:color="000000" w:fill="auto"/>
            <w:noWrap/>
            <w:vAlign w:val="bottom"/>
            <w:hideMark/>
          </w:tcPr>
          <w:p w14:paraId="38AF4DDB" w14:textId="2841376B" w:rsidR="00F1187C" w:rsidRPr="00D04BEE" w:rsidRDefault="00F1187C" w:rsidP="00F1187C">
            <w:pPr>
              <w:spacing w:after="0" w:line="240" w:lineRule="auto"/>
              <w:jc w:val="right"/>
              <w:rPr>
                <w:sz w:val="18"/>
                <w:szCs w:val="18"/>
                <w:lang w:eastAsia="sk-SK"/>
              </w:rPr>
            </w:pPr>
            <w:r w:rsidRPr="00D04BEE">
              <w:rPr>
                <w:sz w:val="18"/>
                <w:szCs w:val="18"/>
              </w:rPr>
              <w:t>36 985</w:t>
            </w:r>
          </w:p>
        </w:tc>
        <w:tc>
          <w:tcPr>
            <w:tcW w:w="980" w:type="dxa"/>
            <w:tcBorders>
              <w:top w:val="nil"/>
              <w:left w:val="nil"/>
              <w:bottom w:val="nil"/>
              <w:right w:val="nil"/>
            </w:tcBorders>
            <w:shd w:val="clear" w:color="auto" w:fill="auto"/>
            <w:noWrap/>
            <w:vAlign w:val="bottom"/>
            <w:hideMark/>
          </w:tcPr>
          <w:p w14:paraId="384A8F45" w14:textId="053880DE"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44 574</w:t>
            </w:r>
          </w:p>
        </w:tc>
        <w:tc>
          <w:tcPr>
            <w:tcW w:w="1000" w:type="dxa"/>
            <w:tcBorders>
              <w:top w:val="nil"/>
              <w:left w:val="nil"/>
              <w:bottom w:val="nil"/>
              <w:right w:val="nil"/>
            </w:tcBorders>
            <w:shd w:val="clear" w:color="auto" w:fill="auto"/>
            <w:noWrap/>
            <w:vAlign w:val="bottom"/>
            <w:hideMark/>
          </w:tcPr>
          <w:p w14:paraId="1F671333" w14:textId="1B4F0DDF"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-16,0</w:t>
            </w:r>
          </w:p>
        </w:tc>
      </w:tr>
      <w:tr w:rsidR="00F1187C" w:rsidRPr="00D04BEE" w14:paraId="0EF5AC29" w14:textId="77777777" w:rsidTr="0019064B">
        <w:trPr>
          <w:trHeight w:val="300"/>
        </w:trPr>
        <w:tc>
          <w:tcPr>
            <w:tcW w:w="4101" w:type="dxa"/>
            <w:tcBorders>
              <w:top w:val="nil"/>
              <w:left w:val="nil"/>
              <w:bottom w:val="nil"/>
              <w:right w:val="nil"/>
            </w:tcBorders>
            <w:shd w:val="clear" w:color="auto" w:fill="auto"/>
            <w:noWrap/>
            <w:vAlign w:val="center"/>
            <w:hideMark/>
          </w:tcPr>
          <w:p w14:paraId="6613C869" w14:textId="77777777" w:rsidR="00F1187C" w:rsidRPr="00D04BEE" w:rsidRDefault="00F1187C" w:rsidP="00F1187C">
            <w:pPr>
              <w:spacing w:after="0" w:line="240" w:lineRule="auto"/>
              <w:ind w:firstLineChars="300" w:firstLine="540"/>
              <w:rPr>
                <w:i/>
                <w:iCs/>
                <w:color w:val="000000"/>
                <w:sz w:val="18"/>
                <w:szCs w:val="18"/>
                <w:lang w:eastAsia="sk-SK"/>
              </w:rPr>
            </w:pPr>
            <w:r w:rsidRPr="00D04BEE">
              <w:rPr>
                <w:i/>
                <w:iCs/>
                <w:color w:val="000000"/>
                <w:sz w:val="18"/>
                <w:szCs w:val="18"/>
                <w:lang w:eastAsia="sk-SK"/>
              </w:rPr>
              <w:t xml:space="preserve"> - na rodičovský príspevok</w:t>
            </w:r>
          </w:p>
        </w:tc>
        <w:tc>
          <w:tcPr>
            <w:tcW w:w="1120" w:type="dxa"/>
            <w:tcBorders>
              <w:top w:val="nil"/>
              <w:left w:val="nil"/>
              <w:bottom w:val="nil"/>
              <w:right w:val="nil"/>
            </w:tcBorders>
            <w:shd w:val="clear" w:color="auto" w:fill="auto"/>
            <w:noWrap/>
            <w:vAlign w:val="bottom"/>
            <w:hideMark/>
          </w:tcPr>
          <w:p w14:paraId="1FFC51EB" w14:textId="56490DB3" w:rsidR="00F1187C" w:rsidRPr="00D04BEE" w:rsidRDefault="00F1187C" w:rsidP="00F1187C">
            <w:pPr>
              <w:spacing w:after="0" w:line="240" w:lineRule="auto"/>
              <w:jc w:val="right"/>
              <w:rPr>
                <w:color w:val="000000"/>
                <w:sz w:val="18"/>
                <w:szCs w:val="18"/>
                <w:lang w:eastAsia="sk-SK"/>
              </w:rPr>
            </w:pPr>
            <w:r w:rsidRPr="00D04BEE">
              <w:rPr>
                <w:sz w:val="18"/>
                <w:szCs w:val="18"/>
              </w:rPr>
              <w:t>649 854</w:t>
            </w:r>
          </w:p>
        </w:tc>
        <w:tc>
          <w:tcPr>
            <w:tcW w:w="1040" w:type="dxa"/>
            <w:tcBorders>
              <w:top w:val="nil"/>
              <w:left w:val="nil"/>
              <w:bottom w:val="nil"/>
              <w:right w:val="nil"/>
            </w:tcBorders>
            <w:shd w:val="clear" w:color="auto" w:fill="auto"/>
            <w:noWrap/>
            <w:vAlign w:val="bottom"/>
            <w:hideMark/>
          </w:tcPr>
          <w:p w14:paraId="2DDF5BD2" w14:textId="3D810268" w:rsidR="00F1187C" w:rsidRPr="00D04BEE" w:rsidRDefault="00F1187C" w:rsidP="00F1187C">
            <w:pPr>
              <w:spacing w:after="0" w:line="240" w:lineRule="auto"/>
              <w:jc w:val="right"/>
              <w:rPr>
                <w:color w:val="000000"/>
                <w:sz w:val="18"/>
                <w:szCs w:val="18"/>
                <w:lang w:eastAsia="sk-SK"/>
              </w:rPr>
            </w:pPr>
            <w:r w:rsidRPr="00D04BEE">
              <w:rPr>
                <w:sz w:val="18"/>
                <w:szCs w:val="18"/>
              </w:rPr>
              <w:t>605 724</w:t>
            </w:r>
          </w:p>
        </w:tc>
        <w:tc>
          <w:tcPr>
            <w:tcW w:w="1025" w:type="dxa"/>
            <w:tcBorders>
              <w:top w:val="nil"/>
              <w:left w:val="nil"/>
              <w:bottom w:val="nil"/>
              <w:right w:val="nil"/>
            </w:tcBorders>
            <w:shd w:val="clear" w:color="000000" w:fill="auto"/>
            <w:noWrap/>
            <w:vAlign w:val="bottom"/>
            <w:hideMark/>
          </w:tcPr>
          <w:p w14:paraId="6CD24AA6" w14:textId="332D90A4" w:rsidR="00F1187C" w:rsidRPr="00D04BEE" w:rsidRDefault="00F1187C" w:rsidP="00F1187C">
            <w:pPr>
              <w:spacing w:after="0" w:line="240" w:lineRule="auto"/>
              <w:jc w:val="right"/>
              <w:rPr>
                <w:sz w:val="18"/>
                <w:szCs w:val="18"/>
                <w:lang w:eastAsia="sk-SK"/>
              </w:rPr>
            </w:pPr>
            <w:r w:rsidRPr="00D04BEE">
              <w:rPr>
                <w:sz w:val="18"/>
                <w:szCs w:val="18"/>
              </w:rPr>
              <w:t>657 272</w:t>
            </w:r>
          </w:p>
        </w:tc>
        <w:tc>
          <w:tcPr>
            <w:tcW w:w="980" w:type="dxa"/>
            <w:tcBorders>
              <w:top w:val="nil"/>
              <w:left w:val="nil"/>
              <w:bottom w:val="nil"/>
              <w:right w:val="nil"/>
            </w:tcBorders>
            <w:shd w:val="clear" w:color="auto" w:fill="auto"/>
            <w:noWrap/>
            <w:vAlign w:val="bottom"/>
            <w:hideMark/>
          </w:tcPr>
          <w:p w14:paraId="5A86A775" w14:textId="48CE39F9"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649 018</w:t>
            </w:r>
          </w:p>
        </w:tc>
        <w:tc>
          <w:tcPr>
            <w:tcW w:w="1000" w:type="dxa"/>
            <w:tcBorders>
              <w:top w:val="nil"/>
              <w:left w:val="nil"/>
              <w:bottom w:val="nil"/>
              <w:right w:val="nil"/>
            </w:tcBorders>
            <w:shd w:val="clear" w:color="auto" w:fill="auto"/>
            <w:noWrap/>
            <w:vAlign w:val="bottom"/>
            <w:hideMark/>
          </w:tcPr>
          <w:p w14:paraId="7AD315BB" w14:textId="5FC6B5B1"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8,5</w:t>
            </w:r>
          </w:p>
        </w:tc>
      </w:tr>
      <w:tr w:rsidR="00F1187C" w:rsidRPr="00D04BEE" w14:paraId="1EF2A0AF" w14:textId="77777777" w:rsidTr="0019064B">
        <w:trPr>
          <w:trHeight w:val="300"/>
        </w:trPr>
        <w:tc>
          <w:tcPr>
            <w:tcW w:w="4101" w:type="dxa"/>
            <w:tcBorders>
              <w:top w:val="nil"/>
              <w:left w:val="nil"/>
              <w:bottom w:val="nil"/>
              <w:right w:val="nil"/>
            </w:tcBorders>
            <w:shd w:val="clear" w:color="auto" w:fill="auto"/>
            <w:noWrap/>
            <w:vAlign w:val="center"/>
            <w:hideMark/>
          </w:tcPr>
          <w:p w14:paraId="01DA52E0" w14:textId="77777777" w:rsidR="00F1187C" w:rsidRPr="00D04BEE" w:rsidRDefault="00F1187C" w:rsidP="00F1187C">
            <w:pPr>
              <w:spacing w:after="0" w:line="240" w:lineRule="auto"/>
              <w:ind w:firstLineChars="300" w:firstLine="540"/>
              <w:rPr>
                <w:i/>
                <w:iCs/>
                <w:color w:val="000000"/>
                <w:sz w:val="18"/>
                <w:szCs w:val="18"/>
                <w:lang w:eastAsia="sk-SK"/>
              </w:rPr>
            </w:pPr>
            <w:r w:rsidRPr="00D04BEE">
              <w:rPr>
                <w:i/>
                <w:iCs/>
                <w:color w:val="000000"/>
                <w:sz w:val="18"/>
                <w:szCs w:val="18"/>
                <w:lang w:eastAsia="sk-SK"/>
              </w:rPr>
              <w:t xml:space="preserve"> - na dávku v hmotnej núdzi</w:t>
            </w:r>
          </w:p>
        </w:tc>
        <w:tc>
          <w:tcPr>
            <w:tcW w:w="1120" w:type="dxa"/>
            <w:tcBorders>
              <w:top w:val="nil"/>
              <w:left w:val="nil"/>
              <w:bottom w:val="nil"/>
              <w:right w:val="nil"/>
            </w:tcBorders>
            <w:shd w:val="clear" w:color="auto" w:fill="auto"/>
            <w:noWrap/>
            <w:vAlign w:val="bottom"/>
            <w:hideMark/>
          </w:tcPr>
          <w:p w14:paraId="2FAA14C5" w14:textId="47193C24" w:rsidR="00F1187C" w:rsidRPr="00D04BEE" w:rsidRDefault="00F1187C" w:rsidP="00F1187C">
            <w:pPr>
              <w:spacing w:after="0" w:line="240" w:lineRule="auto"/>
              <w:jc w:val="right"/>
              <w:rPr>
                <w:color w:val="000000"/>
                <w:sz w:val="18"/>
                <w:szCs w:val="18"/>
                <w:lang w:eastAsia="sk-SK"/>
              </w:rPr>
            </w:pPr>
            <w:r w:rsidRPr="00D04BEE">
              <w:rPr>
                <w:sz w:val="18"/>
                <w:szCs w:val="18"/>
              </w:rPr>
              <w:t>104 554</w:t>
            </w:r>
          </w:p>
        </w:tc>
        <w:tc>
          <w:tcPr>
            <w:tcW w:w="1040" w:type="dxa"/>
            <w:tcBorders>
              <w:top w:val="nil"/>
              <w:left w:val="nil"/>
              <w:bottom w:val="nil"/>
              <w:right w:val="nil"/>
            </w:tcBorders>
            <w:shd w:val="clear" w:color="auto" w:fill="auto"/>
            <w:noWrap/>
            <w:vAlign w:val="bottom"/>
            <w:hideMark/>
          </w:tcPr>
          <w:p w14:paraId="2AEBA8A8" w14:textId="5CF5B87E" w:rsidR="00F1187C" w:rsidRPr="00D04BEE" w:rsidRDefault="00F1187C" w:rsidP="00F1187C">
            <w:pPr>
              <w:spacing w:after="0" w:line="240" w:lineRule="auto"/>
              <w:jc w:val="right"/>
              <w:rPr>
                <w:color w:val="000000"/>
                <w:sz w:val="18"/>
                <w:szCs w:val="18"/>
                <w:lang w:eastAsia="sk-SK"/>
              </w:rPr>
            </w:pPr>
            <w:r w:rsidRPr="00D04BEE">
              <w:rPr>
                <w:sz w:val="18"/>
                <w:szCs w:val="18"/>
              </w:rPr>
              <w:t>106 746</w:t>
            </w:r>
          </w:p>
        </w:tc>
        <w:tc>
          <w:tcPr>
            <w:tcW w:w="1025" w:type="dxa"/>
            <w:tcBorders>
              <w:top w:val="nil"/>
              <w:left w:val="nil"/>
              <w:bottom w:val="nil"/>
              <w:right w:val="nil"/>
            </w:tcBorders>
            <w:shd w:val="clear" w:color="000000" w:fill="auto"/>
            <w:noWrap/>
            <w:vAlign w:val="bottom"/>
            <w:hideMark/>
          </w:tcPr>
          <w:p w14:paraId="2DB1EC68" w14:textId="5A1E751A" w:rsidR="00F1187C" w:rsidRPr="00D04BEE" w:rsidRDefault="00F1187C" w:rsidP="00F1187C">
            <w:pPr>
              <w:spacing w:after="0" w:line="240" w:lineRule="auto"/>
              <w:jc w:val="right"/>
              <w:rPr>
                <w:sz w:val="18"/>
                <w:szCs w:val="18"/>
                <w:lang w:eastAsia="sk-SK"/>
              </w:rPr>
            </w:pPr>
            <w:r w:rsidRPr="00D04BEE">
              <w:rPr>
                <w:sz w:val="18"/>
                <w:szCs w:val="18"/>
              </w:rPr>
              <w:t>118 038</w:t>
            </w:r>
          </w:p>
        </w:tc>
        <w:tc>
          <w:tcPr>
            <w:tcW w:w="980" w:type="dxa"/>
            <w:tcBorders>
              <w:top w:val="nil"/>
              <w:left w:val="nil"/>
              <w:bottom w:val="nil"/>
              <w:right w:val="nil"/>
            </w:tcBorders>
            <w:shd w:val="clear" w:color="auto" w:fill="auto"/>
            <w:noWrap/>
            <w:vAlign w:val="bottom"/>
            <w:hideMark/>
          </w:tcPr>
          <w:p w14:paraId="1DC70E2D" w14:textId="76DA764A"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114 876</w:t>
            </w:r>
          </w:p>
        </w:tc>
        <w:tc>
          <w:tcPr>
            <w:tcW w:w="1000" w:type="dxa"/>
            <w:tcBorders>
              <w:top w:val="nil"/>
              <w:left w:val="nil"/>
              <w:bottom w:val="nil"/>
              <w:right w:val="nil"/>
            </w:tcBorders>
            <w:shd w:val="clear" w:color="auto" w:fill="auto"/>
            <w:noWrap/>
            <w:vAlign w:val="bottom"/>
            <w:hideMark/>
          </w:tcPr>
          <w:p w14:paraId="78779741" w14:textId="2B7A57C2" w:rsidR="00F1187C" w:rsidRPr="00D04BEE" w:rsidRDefault="00F1187C" w:rsidP="00F1187C">
            <w:pPr>
              <w:tabs>
                <w:tab w:val="decimal" w:pos="309"/>
              </w:tabs>
              <w:spacing w:after="0" w:line="240" w:lineRule="auto"/>
              <w:jc w:val="center"/>
              <w:rPr>
                <w:color w:val="000000"/>
                <w:sz w:val="18"/>
                <w:szCs w:val="18"/>
                <w:lang w:eastAsia="sk-SK"/>
              </w:rPr>
            </w:pPr>
            <w:r w:rsidRPr="00D04BEE">
              <w:rPr>
                <w:color w:val="000000"/>
                <w:sz w:val="18"/>
                <w:szCs w:val="18"/>
              </w:rPr>
              <w:t>10,6</w:t>
            </w:r>
          </w:p>
        </w:tc>
      </w:tr>
      <w:tr w:rsidR="00F1187C" w:rsidRPr="00D04BEE" w14:paraId="6BED2279" w14:textId="77777777" w:rsidTr="0019064B">
        <w:trPr>
          <w:trHeight w:val="300"/>
        </w:trPr>
        <w:tc>
          <w:tcPr>
            <w:tcW w:w="4101" w:type="dxa"/>
            <w:tcBorders>
              <w:top w:val="nil"/>
              <w:left w:val="nil"/>
              <w:bottom w:val="nil"/>
              <w:right w:val="nil"/>
            </w:tcBorders>
            <w:shd w:val="clear" w:color="auto" w:fill="auto"/>
            <w:noWrap/>
            <w:vAlign w:val="center"/>
            <w:hideMark/>
          </w:tcPr>
          <w:p w14:paraId="5D0B2E04" w14:textId="77777777" w:rsidR="00F1187C" w:rsidRPr="00D04BEE" w:rsidRDefault="00F1187C" w:rsidP="00F1187C">
            <w:pPr>
              <w:spacing w:after="0" w:line="240" w:lineRule="auto"/>
              <w:ind w:firstLineChars="300" w:firstLine="540"/>
              <w:rPr>
                <w:i/>
                <w:iCs/>
                <w:color w:val="000000"/>
                <w:sz w:val="18"/>
                <w:szCs w:val="18"/>
                <w:lang w:eastAsia="sk-SK"/>
              </w:rPr>
            </w:pPr>
            <w:r w:rsidRPr="00D04BEE">
              <w:rPr>
                <w:i/>
                <w:iCs/>
                <w:color w:val="000000"/>
                <w:sz w:val="18"/>
                <w:szCs w:val="18"/>
                <w:lang w:eastAsia="sk-SK"/>
              </w:rPr>
              <w:t xml:space="preserve"> - na peňažné príspevky na kompenzáciu</w:t>
            </w:r>
          </w:p>
        </w:tc>
        <w:tc>
          <w:tcPr>
            <w:tcW w:w="1120" w:type="dxa"/>
            <w:tcBorders>
              <w:top w:val="nil"/>
              <w:left w:val="nil"/>
              <w:bottom w:val="nil"/>
              <w:right w:val="nil"/>
            </w:tcBorders>
            <w:shd w:val="clear" w:color="auto" w:fill="auto"/>
            <w:noWrap/>
            <w:vAlign w:val="bottom"/>
            <w:hideMark/>
          </w:tcPr>
          <w:p w14:paraId="10F1447F" w14:textId="0D0489E0" w:rsidR="00F1187C" w:rsidRPr="00D04BEE" w:rsidRDefault="00F1187C" w:rsidP="00F1187C">
            <w:pPr>
              <w:spacing w:after="0" w:line="240" w:lineRule="auto"/>
              <w:jc w:val="right"/>
              <w:rPr>
                <w:color w:val="000000"/>
                <w:sz w:val="18"/>
                <w:szCs w:val="18"/>
                <w:lang w:eastAsia="sk-SK"/>
              </w:rPr>
            </w:pPr>
            <w:r w:rsidRPr="00D04BEE">
              <w:rPr>
                <w:sz w:val="18"/>
                <w:szCs w:val="18"/>
              </w:rPr>
              <w:t>1 696 183</w:t>
            </w:r>
          </w:p>
        </w:tc>
        <w:tc>
          <w:tcPr>
            <w:tcW w:w="1040" w:type="dxa"/>
            <w:tcBorders>
              <w:top w:val="nil"/>
              <w:left w:val="nil"/>
              <w:bottom w:val="nil"/>
              <w:right w:val="nil"/>
            </w:tcBorders>
            <w:shd w:val="clear" w:color="auto" w:fill="auto"/>
            <w:noWrap/>
            <w:vAlign w:val="bottom"/>
            <w:hideMark/>
          </w:tcPr>
          <w:p w14:paraId="12DD64FA" w14:textId="1FF9F6B1" w:rsidR="00F1187C" w:rsidRPr="00D04BEE" w:rsidRDefault="00F1187C" w:rsidP="00F1187C">
            <w:pPr>
              <w:spacing w:after="0" w:line="240" w:lineRule="auto"/>
              <w:jc w:val="right"/>
              <w:rPr>
                <w:color w:val="000000"/>
                <w:sz w:val="18"/>
                <w:szCs w:val="18"/>
                <w:lang w:eastAsia="sk-SK"/>
              </w:rPr>
            </w:pPr>
            <w:r w:rsidRPr="00D04BEE">
              <w:rPr>
                <w:sz w:val="18"/>
                <w:szCs w:val="18"/>
              </w:rPr>
              <w:t>811 002</w:t>
            </w:r>
          </w:p>
        </w:tc>
        <w:tc>
          <w:tcPr>
            <w:tcW w:w="1025" w:type="dxa"/>
            <w:tcBorders>
              <w:top w:val="nil"/>
              <w:left w:val="nil"/>
              <w:bottom w:val="nil"/>
              <w:right w:val="nil"/>
            </w:tcBorders>
            <w:shd w:val="clear" w:color="000000" w:fill="auto"/>
            <w:noWrap/>
            <w:vAlign w:val="bottom"/>
            <w:hideMark/>
          </w:tcPr>
          <w:p w14:paraId="52777E12" w14:textId="7C616336" w:rsidR="00F1187C" w:rsidRPr="00D04BEE" w:rsidRDefault="00F1187C" w:rsidP="00F1187C">
            <w:pPr>
              <w:spacing w:after="0" w:line="240" w:lineRule="auto"/>
              <w:jc w:val="right"/>
              <w:rPr>
                <w:sz w:val="18"/>
                <w:szCs w:val="18"/>
                <w:lang w:eastAsia="sk-SK"/>
              </w:rPr>
            </w:pPr>
            <w:r w:rsidRPr="00D04BEE">
              <w:rPr>
                <w:sz w:val="18"/>
                <w:szCs w:val="18"/>
              </w:rPr>
              <w:t>610 040</w:t>
            </w:r>
          </w:p>
        </w:tc>
        <w:tc>
          <w:tcPr>
            <w:tcW w:w="980" w:type="dxa"/>
            <w:tcBorders>
              <w:top w:val="nil"/>
              <w:left w:val="nil"/>
              <w:bottom w:val="nil"/>
              <w:right w:val="nil"/>
            </w:tcBorders>
            <w:shd w:val="clear" w:color="auto" w:fill="auto"/>
            <w:noWrap/>
            <w:vAlign w:val="bottom"/>
            <w:hideMark/>
          </w:tcPr>
          <w:p w14:paraId="4D2C5BAB" w14:textId="7FD01465"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564 616</w:t>
            </w:r>
          </w:p>
        </w:tc>
        <w:tc>
          <w:tcPr>
            <w:tcW w:w="1000" w:type="dxa"/>
            <w:tcBorders>
              <w:top w:val="nil"/>
              <w:left w:val="nil"/>
              <w:bottom w:val="nil"/>
              <w:right w:val="nil"/>
            </w:tcBorders>
            <w:shd w:val="clear" w:color="auto" w:fill="auto"/>
            <w:noWrap/>
            <w:vAlign w:val="bottom"/>
            <w:hideMark/>
          </w:tcPr>
          <w:p w14:paraId="39C594E0" w14:textId="03BA31D8" w:rsidR="00F1187C" w:rsidRPr="00D04BEE" w:rsidRDefault="00F1187C" w:rsidP="00F1187C">
            <w:pPr>
              <w:tabs>
                <w:tab w:val="decimal" w:pos="313"/>
              </w:tabs>
              <w:spacing w:after="0" w:line="240" w:lineRule="auto"/>
              <w:jc w:val="center"/>
              <w:rPr>
                <w:color w:val="000000"/>
                <w:sz w:val="18"/>
                <w:szCs w:val="18"/>
                <w:lang w:eastAsia="sk-SK"/>
              </w:rPr>
            </w:pPr>
            <w:r w:rsidRPr="00D04BEE">
              <w:rPr>
                <w:color w:val="000000"/>
                <w:sz w:val="18"/>
                <w:szCs w:val="18"/>
              </w:rPr>
              <w:t>-24,8</w:t>
            </w:r>
          </w:p>
        </w:tc>
      </w:tr>
      <w:tr w:rsidR="00F1187C" w:rsidRPr="00D04BEE" w14:paraId="6C953F2F" w14:textId="77777777" w:rsidTr="0019064B">
        <w:trPr>
          <w:trHeight w:val="300"/>
        </w:trPr>
        <w:tc>
          <w:tcPr>
            <w:tcW w:w="4101" w:type="dxa"/>
            <w:tcBorders>
              <w:top w:val="nil"/>
              <w:left w:val="nil"/>
              <w:bottom w:val="nil"/>
              <w:right w:val="nil"/>
            </w:tcBorders>
            <w:shd w:val="clear" w:color="auto" w:fill="auto"/>
            <w:noWrap/>
            <w:vAlign w:val="center"/>
            <w:hideMark/>
          </w:tcPr>
          <w:p w14:paraId="035078A4" w14:textId="77777777" w:rsidR="00F1187C" w:rsidRPr="00D04BEE" w:rsidRDefault="00F1187C" w:rsidP="00F1187C">
            <w:pPr>
              <w:spacing w:after="0" w:line="240" w:lineRule="auto"/>
              <w:ind w:firstLineChars="300" w:firstLine="540"/>
              <w:rPr>
                <w:i/>
                <w:iCs/>
                <w:color w:val="000000"/>
                <w:sz w:val="18"/>
                <w:szCs w:val="18"/>
                <w:lang w:eastAsia="sk-SK"/>
              </w:rPr>
            </w:pPr>
            <w:r w:rsidRPr="00D04BEE">
              <w:rPr>
                <w:i/>
                <w:iCs/>
                <w:color w:val="000000"/>
                <w:sz w:val="18"/>
                <w:szCs w:val="18"/>
                <w:lang w:eastAsia="sk-SK"/>
              </w:rPr>
              <w:t xml:space="preserve"> - ostatné</w:t>
            </w:r>
          </w:p>
        </w:tc>
        <w:tc>
          <w:tcPr>
            <w:tcW w:w="1120" w:type="dxa"/>
            <w:tcBorders>
              <w:top w:val="nil"/>
              <w:left w:val="nil"/>
              <w:bottom w:val="nil"/>
              <w:right w:val="nil"/>
            </w:tcBorders>
            <w:shd w:val="clear" w:color="auto" w:fill="auto"/>
            <w:noWrap/>
            <w:vAlign w:val="bottom"/>
            <w:hideMark/>
          </w:tcPr>
          <w:p w14:paraId="4130E8A5" w14:textId="1FA7223E" w:rsidR="00F1187C" w:rsidRPr="00D04BEE" w:rsidRDefault="00F1187C" w:rsidP="00F1187C">
            <w:pPr>
              <w:spacing w:after="0" w:line="240" w:lineRule="auto"/>
              <w:jc w:val="right"/>
              <w:rPr>
                <w:color w:val="000000"/>
                <w:sz w:val="18"/>
                <w:szCs w:val="18"/>
                <w:lang w:eastAsia="sk-SK"/>
              </w:rPr>
            </w:pPr>
            <w:r w:rsidRPr="00D04BEE">
              <w:rPr>
                <w:sz w:val="18"/>
                <w:szCs w:val="18"/>
              </w:rPr>
              <w:t>514 225</w:t>
            </w:r>
          </w:p>
        </w:tc>
        <w:tc>
          <w:tcPr>
            <w:tcW w:w="1040" w:type="dxa"/>
            <w:tcBorders>
              <w:top w:val="nil"/>
              <w:left w:val="nil"/>
              <w:bottom w:val="nil"/>
              <w:right w:val="nil"/>
            </w:tcBorders>
            <w:shd w:val="clear" w:color="auto" w:fill="auto"/>
            <w:noWrap/>
            <w:vAlign w:val="bottom"/>
            <w:hideMark/>
          </w:tcPr>
          <w:p w14:paraId="0C59DD36" w14:textId="51B00E11" w:rsidR="00F1187C" w:rsidRPr="00D04BEE" w:rsidRDefault="00F1187C" w:rsidP="00F1187C">
            <w:pPr>
              <w:spacing w:after="0" w:line="240" w:lineRule="auto"/>
              <w:jc w:val="right"/>
              <w:rPr>
                <w:color w:val="000000"/>
                <w:sz w:val="18"/>
                <w:szCs w:val="18"/>
                <w:lang w:eastAsia="sk-SK"/>
              </w:rPr>
            </w:pPr>
            <w:r w:rsidRPr="00D04BEE">
              <w:rPr>
                <w:sz w:val="18"/>
                <w:szCs w:val="18"/>
              </w:rPr>
              <w:t>810 984</w:t>
            </w:r>
          </w:p>
        </w:tc>
        <w:tc>
          <w:tcPr>
            <w:tcW w:w="1025" w:type="dxa"/>
            <w:tcBorders>
              <w:top w:val="nil"/>
              <w:left w:val="nil"/>
              <w:bottom w:val="nil"/>
              <w:right w:val="nil"/>
            </w:tcBorders>
            <w:shd w:val="clear" w:color="000000" w:fill="auto"/>
            <w:noWrap/>
            <w:vAlign w:val="bottom"/>
            <w:hideMark/>
          </w:tcPr>
          <w:p w14:paraId="6E880DDF" w14:textId="4C094CB5" w:rsidR="00F1187C" w:rsidRPr="00D04BEE" w:rsidRDefault="00F1187C" w:rsidP="00F1187C">
            <w:pPr>
              <w:spacing w:after="0" w:line="240" w:lineRule="auto"/>
              <w:jc w:val="right"/>
              <w:rPr>
                <w:sz w:val="18"/>
                <w:szCs w:val="18"/>
                <w:lang w:eastAsia="sk-SK"/>
              </w:rPr>
            </w:pPr>
            <w:r w:rsidRPr="00D04BEE">
              <w:rPr>
                <w:sz w:val="18"/>
                <w:szCs w:val="18"/>
              </w:rPr>
              <w:t>966 399</w:t>
            </w:r>
          </w:p>
        </w:tc>
        <w:tc>
          <w:tcPr>
            <w:tcW w:w="980" w:type="dxa"/>
            <w:tcBorders>
              <w:top w:val="nil"/>
              <w:left w:val="nil"/>
              <w:bottom w:val="nil"/>
              <w:right w:val="nil"/>
            </w:tcBorders>
            <w:shd w:val="clear" w:color="auto" w:fill="auto"/>
            <w:noWrap/>
            <w:vAlign w:val="bottom"/>
            <w:hideMark/>
          </w:tcPr>
          <w:p w14:paraId="7489191F" w14:textId="2A9D8A30"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543 111</w:t>
            </w:r>
          </w:p>
        </w:tc>
        <w:tc>
          <w:tcPr>
            <w:tcW w:w="1000" w:type="dxa"/>
            <w:tcBorders>
              <w:top w:val="nil"/>
              <w:left w:val="nil"/>
              <w:bottom w:val="nil"/>
              <w:right w:val="nil"/>
            </w:tcBorders>
            <w:shd w:val="clear" w:color="auto" w:fill="auto"/>
            <w:noWrap/>
            <w:vAlign w:val="bottom"/>
            <w:hideMark/>
          </w:tcPr>
          <w:p w14:paraId="4A95B6DE" w14:textId="22D76E06" w:rsidR="00F1187C" w:rsidRPr="00D04BEE" w:rsidRDefault="00F1187C" w:rsidP="00F1187C">
            <w:pPr>
              <w:tabs>
                <w:tab w:val="decimal" w:pos="313"/>
              </w:tabs>
              <w:spacing w:after="0" w:line="240" w:lineRule="auto"/>
              <w:jc w:val="center"/>
              <w:rPr>
                <w:color w:val="000000"/>
                <w:sz w:val="18"/>
                <w:szCs w:val="18"/>
                <w:lang w:eastAsia="sk-SK"/>
              </w:rPr>
            </w:pPr>
            <w:r w:rsidRPr="00D04BEE">
              <w:rPr>
                <w:color w:val="000000"/>
                <w:sz w:val="18"/>
                <w:szCs w:val="18"/>
              </w:rPr>
              <w:t>19,2</w:t>
            </w:r>
          </w:p>
        </w:tc>
      </w:tr>
      <w:tr w:rsidR="00F1187C" w:rsidRPr="00D04BEE" w14:paraId="32598DB5" w14:textId="77777777" w:rsidTr="0019064B">
        <w:trPr>
          <w:trHeight w:val="300"/>
        </w:trPr>
        <w:tc>
          <w:tcPr>
            <w:tcW w:w="4101" w:type="dxa"/>
            <w:tcBorders>
              <w:top w:val="nil"/>
              <w:left w:val="nil"/>
              <w:bottom w:val="nil"/>
              <w:right w:val="nil"/>
            </w:tcBorders>
            <w:shd w:val="clear" w:color="auto" w:fill="auto"/>
            <w:noWrap/>
            <w:vAlign w:val="center"/>
            <w:hideMark/>
          </w:tcPr>
          <w:p w14:paraId="34A5D46D" w14:textId="77777777" w:rsidR="00F1187C" w:rsidRPr="00D04BEE" w:rsidRDefault="00F1187C" w:rsidP="00F1187C">
            <w:pPr>
              <w:spacing w:after="0" w:line="240" w:lineRule="auto"/>
              <w:ind w:firstLineChars="200" w:firstLine="360"/>
              <w:rPr>
                <w:i/>
                <w:iCs/>
                <w:color w:val="000000"/>
                <w:sz w:val="18"/>
                <w:szCs w:val="18"/>
                <w:lang w:eastAsia="sk-SK"/>
              </w:rPr>
            </w:pPr>
            <w:r w:rsidRPr="00D04BEE">
              <w:rPr>
                <w:i/>
                <w:iCs/>
                <w:color w:val="000000"/>
                <w:sz w:val="18"/>
                <w:szCs w:val="18"/>
                <w:lang w:eastAsia="sk-SK"/>
              </w:rPr>
              <w:t xml:space="preserve"> - Platené poistné za skupiny osôb ust. zákonom</w:t>
            </w:r>
          </w:p>
        </w:tc>
        <w:tc>
          <w:tcPr>
            <w:tcW w:w="1120" w:type="dxa"/>
            <w:tcBorders>
              <w:top w:val="nil"/>
              <w:left w:val="nil"/>
              <w:bottom w:val="nil"/>
              <w:right w:val="nil"/>
            </w:tcBorders>
            <w:shd w:val="clear" w:color="auto" w:fill="auto"/>
            <w:noWrap/>
            <w:vAlign w:val="bottom"/>
            <w:hideMark/>
          </w:tcPr>
          <w:p w14:paraId="58D3383B" w14:textId="6E52E440" w:rsidR="00F1187C" w:rsidRPr="00D04BEE" w:rsidRDefault="00F1187C" w:rsidP="00F1187C">
            <w:pPr>
              <w:spacing w:after="0" w:line="240" w:lineRule="auto"/>
              <w:jc w:val="right"/>
              <w:rPr>
                <w:color w:val="000000"/>
                <w:sz w:val="18"/>
                <w:szCs w:val="18"/>
                <w:lang w:eastAsia="sk-SK"/>
              </w:rPr>
            </w:pPr>
            <w:r w:rsidRPr="00D04BEE">
              <w:rPr>
                <w:sz w:val="18"/>
                <w:szCs w:val="18"/>
              </w:rPr>
              <w:t>1 764 601</w:t>
            </w:r>
          </w:p>
        </w:tc>
        <w:tc>
          <w:tcPr>
            <w:tcW w:w="1040" w:type="dxa"/>
            <w:tcBorders>
              <w:top w:val="nil"/>
              <w:left w:val="nil"/>
              <w:bottom w:val="nil"/>
              <w:right w:val="nil"/>
            </w:tcBorders>
            <w:shd w:val="clear" w:color="auto" w:fill="auto"/>
            <w:noWrap/>
            <w:vAlign w:val="bottom"/>
            <w:hideMark/>
          </w:tcPr>
          <w:p w14:paraId="3A211915" w14:textId="3917DF0B" w:rsidR="00F1187C" w:rsidRPr="00D04BEE" w:rsidRDefault="00F1187C" w:rsidP="00F1187C">
            <w:pPr>
              <w:spacing w:after="0" w:line="240" w:lineRule="auto"/>
              <w:jc w:val="right"/>
              <w:rPr>
                <w:color w:val="000000"/>
                <w:sz w:val="18"/>
                <w:szCs w:val="18"/>
                <w:lang w:eastAsia="sk-SK"/>
              </w:rPr>
            </w:pPr>
            <w:r w:rsidRPr="00D04BEE">
              <w:rPr>
                <w:sz w:val="18"/>
                <w:szCs w:val="18"/>
              </w:rPr>
              <w:t>1 785 149</w:t>
            </w:r>
          </w:p>
        </w:tc>
        <w:tc>
          <w:tcPr>
            <w:tcW w:w="1025" w:type="dxa"/>
            <w:tcBorders>
              <w:top w:val="nil"/>
              <w:left w:val="nil"/>
              <w:bottom w:val="nil"/>
              <w:right w:val="nil"/>
            </w:tcBorders>
            <w:shd w:val="clear" w:color="000000" w:fill="auto"/>
            <w:noWrap/>
            <w:vAlign w:val="bottom"/>
            <w:hideMark/>
          </w:tcPr>
          <w:p w14:paraId="22CC18D1" w14:textId="6C38CB91" w:rsidR="00F1187C" w:rsidRPr="00D04BEE" w:rsidRDefault="00F1187C" w:rsidP="00F1187C">
            <w:pPr>
              <w:spacing w:after="0" w:line="240" w:lineRule="auto"/>
              <w:jc w:val="right"/>
              <w:rPr>
                <w:sz w:val="18"/>
                <w:szCs w:val="18"/>
                <w:lang w:eastAsia="sk-SK"/>
              </w:rPr>
            </w:pPr>
            <w:r w:rsidRPr="00D04BEE">
              <w:rPr>
                <w:sz w:val="18"/>
                <w:szCs w:val="18"/>
              </w:rPr>
              <w:t>2 612 124</w:t>
            </w:r>
          </w:p>
        </w:tc>
        <w:tc>
          <w:tcPr>
            <w:tcW w:w="980" w:type="dxa"/>
            <w:tcBorders>
              <w:top w:val="nil"/>
              <w:left w:val="nil"/>
              <w:bottom w:val="nil"/>
              <w:right w:val="nil"/>
            </w:tcBorders>
            <w:shd w:val="clear" w:color="auto" w:fill="auto"/>
            <w:noWrap/>
            <w:vAlign w:val="bottom"/>
            <w:hideMark/>
          </w:tcPr>
          <w:p w14:paraId="0AE0C9C5" w14:textId="751035D5"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2 153 554</w:t>
            </w:r>
          </w:p>
        </w:tc>
        <w:tc>
          <w:tcPr>
            <w:tcW w:w="1000" w:type="dxa"/>
            <w:tcBorders>
              <w:top w:val="nil"/>
              <w:left w:val="nil"/>
              <w:bottom w:val="nil"/>
              <w:right w:val="nil"/>
            </w:tcBorders>
            <w:shd w:val="clear" w:color="auto" w:fill="auto"/>
            <w:noWrap/>
            <w:vAlign w:val="bottom"/>
            <w:hideMark/>
          </w:tcPr>
          <w:p w14:paraId="6CA934C0" w14:textId="1208B841" w:rsidR="00F1187C" w:rsidRPr="00D04BEE" w:rsidRDefault="00F1187C" w:rsidP="00F1187C">
            <w:pPr>
              <w:tabs>
                <w:tab w:val="decimal" w:pos="313"/>
              </w:tabs>
              <w:spacing w:after="0" w:line="240" w:lineRule="auto"/>
              <w:jc w:val="center"/>
              <w:rPr>
                <w:color w:val="000000"/>
                <w:sz w:val="18"/>
                <w:szCs w:val="18"/>
                <w:lang w:eastAsia="sk-SK"/>
              </w:rPr>
            </w:pPr>
            <w:r w:rsidRPr="00D04BEE">
              <w:rPr>
                <w:color w:val="000000"/>
                <w:sz w:val="18"/>
                <w:szCs w:val="18"/>
              </w:rPr>
              <w:t>46,3</w:t>
            </w:r>
          </w:p>
        </w:tc>
      </w:tr>
      <w:tr w:rsidR="00F1187C" w:rsidRPr="00D04BEE" w14:paraId="20D142B9" w14:textId="77777777" w:rsidTr="0019064B">
        <w:trPr>
          <w:trHeight w:val="300"/>
        </w:trPr>
        <w:tc>
          <w:tcPr>
            <w:tcW w:w="4101" w:type="dxa"/>
            <w:tcBorders>
              <w:top w:val="nil"/>
              <w:left w:val="nil"/>
              <w:bottom w:val="nil"/>
              <w:right w:val="nil"/>
            </w:tcBorders>
            <w:shd w:val="clear" w:color="auto" w:fill="auto"/>
            <w:noWrap/>
            <w:vAlign w:val="center"/>
            <w:hideMark/>
          </w:tcPr>
          <w:p w14:paraId="309E1838" w14:textId="77777777" w:rsidR="00F1187C" w:rsidRPr="00D04BEE" w:rsidRDefault="00F1187C" w:rsidP="00F1187C">
            <w:pPr>
              <w:spacing w:after="0" w:line="240" w:lineRule="auto"/>
              <w:ind w:firstLineChars="300" w:firstLine="540"/>
              <w:rPr>
                <w:i/>
                <w:iCs/>
                <w:color w:val="000000"/>
                <w:sz w:val="18"/>
                <w:szCs w:val="18"/>
                <w:lang w:eastAsia="sk-SK"/>
              </w:rPr>
            </w:pPr>
            <w:r w:rsidRPr="00D04BEE">
              <w:rPr>
                <w:i/>
                <w:iCs/>
                <w:color w:val="000000"/>
                <w:sz w:val="18"/>
                <w:szCs w:val="18"/>
                <w:lang w:eastAsia="sk-SK"/>
              </w:rPr>
              <w:t xml:space="preserve"> - sociálne poistenie</w:t>
            </w:r>
          </w:p>
        </w:tc>
        <w:tc>
          <w:tcPr>
            <w:tcW w:w="1120" w:type="dxa"/>
            <w:tcBorders>
              <w:top w:val="nil"/>
              <w:left w:val="nil"/>
              <w:bottom w:val="nil"/>
              <w:right w:val="nil"/>
            </w:tcBorders>
            <w:shd w:val="clear" w:color="auto" w:fill="auto"/>
            <w:noWrap/>
            <w:vAlign w:val="bottom"/>
            <w:hideMark/>
          </w:tcPr>
          <w:p w14:paraId="3C13F06A" w14:textId="295FD580" w:rsidR="00F1187C" w:rsidRPr="00D04BEE" w:rsidRDefault="00F1187C" w:rsidP="00F1187C">
            <w:pPr>
              <w:spacing w:after="0" w:line="240" w:lineRule="auto"/>
              <w:jc w:val="right"/>
              <w:rPr>
                <w:color w:val="000000"/>
                <w:sz w:val="18"/>
                <w:szCs w:val="18"/>
                <w:lang w:eastAsia="sk-SK"/>
              </w:rPr>
            </w:pPr>
            <w:r w:rsidRPr="00D04BEE">
              <w:rPr>
                <w:sz w:val="18"/>
                <w:szCs w:val="18"/>
              </w:rPr>
              <w:t>472 477</w:t>
            </w:r>
          </w:p>
        </w:tc>
        <w:tc>
          <w:tcPr>
            <w:tcW w:w="1040" w:type="dxa"/>
            <w:tcBorders>
              <w:top w:val="nil"/>
              <w:left w:val="nil"/>
              <w:bottom w:val="nil"/>
              <w:right w:val="nil"/>
            </w:tcBorders>
            <w:shd w:val="clear" w:color="auto" w:fill="auto"/>
            <w:noWrap/>
            <w:vAlign w:val="bottom"/>
            <w:hideMark/>
          </w:tcPr>
          <w:p w14:paraId="63FAE4B4" w14:textId="5D18CF89" w:rsidR="00F1187C" w:rsidRPr="00D04BEE" w:rsidRDefault="00F1187C" w:rsidP="00F1187C">
            <w:pPr>
              <w:spacing w:after="0" w:line="240" w:lineRule="auto"/>
              <w:jc w:val="right"/>
              <w:rPr>
                <w:color w:val="000000"/>
                <w:sz w:val="18"/>
                <w:szCs w:val="18"/>
                <w:lang w:eastAsia="sk-SK"/>
              </w:rPr>
            </w:pPr>
            <w:r w:rsidRPr="00D04BEE">
              <w:rPr>
                <w:sz w:val="18"/>
                <w:szCs w:val="18"/>
              </w:rPr>
              <w:t>496 180</w:t>
            </w:r>
          </w:p>
        </w:tc>
        <w:tc>
          <w:tcPr>
            <w:tcW w:w="1025" w:type="dxa"/>
            <w:tcBorders>
              <w:top w:val="nil"/>
              <w:left w:val="nil"/>
              <w:bottom w:val="nil"/>
              <w:right w:val="nil"/>
            </w:tcBorders>
            <w:shd w:val="clear" w:color="000000" w:fill="auto"/>
            <w:noWrap/>
            <w:vAlign w:val="bottom"/>
            <w:hideMark/>
          </w:tcPr>
          <w:p w14:paraId="2B24B132" w14:textId="48C94A5F" w:rsidR="00F1187C" w:rsidRPr="00D04BEE" w:rsidRDefault="00F1187C" w:rsidP="00F1187C">
            <w:pPr>
              <w:spacing w:after="0" w:line="240" w:lineRule="auto"/>
              <w:jc w:val="right"/>
              <w:rPr>
                <w:sz w:val="18"/>
                <w:szCs w:val="18"/>
                <w:lang w:eastAsia="sk-SK"/>
              </w:rPr>
            </w:pPr>
            <w:r w:rsidRPr="00D04BEE">
              <w:rPr>
                <w:sz w:val="18"/>
                <w:szCs w:val="18"/>
              </w:rPr>
              <w:t>530 724</w:t>
            </w:r>
          </w:p>
        </w:tc>
        <w:tc>
          <w:tcPr>
            <w:tcW w:w="980" w:type="dxa"/>
            <w:tcBorders>
              <w:top w:val="nil"/>
              <w:left w:val="nil"/>
              <w:bottom w:val="nil"/>
              <w:right w:val="nil"/>
            </w:tcBorders>
            <w:shd w:val="clear" w:color="auto" w:fill="auto"/>
            <w:noWrap/>
            <w:vAlign w:val="bottom"/>
            <w:hideMark/>
          </w:tcPr>
          <w:p w14:paraId="39AEA2E8" w14:textId="738E8796"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460 810</w:t>
            </w:r>
          </w:p>
        </w:tc>
        <w:tc>
          <w:tcPr>
            <w:tcW w:w="1000" w:type="dxa"/>
            <w:tcBorders>
              <w:top w:val="nil"/>
              <w:left w:val="nil"/>
              <w:bottom w:val="nil"/>
              <w:right w:val="nil"/>
            </w:tcBorders>
            <w:shd w:val="clear" w:color="auto" w:fill="auto"/>
            <w:noWrap/>
            <w:vAlign w:val="bottom"/>
            <w:hideMark/>
          </w:tcPr>
          <w:p w14:paraId="7BAC6CA7" w14:textId="6566F5B0" w:rsidR="00F1187C" w:rsidRPr="00D04BEE" w:rsidRDefault="00F1187C" w:rsidP="00F1187C">
            <w:pPr>
              <w:tabs>
                <w:tab w:val="decimal" w:pos="313"/>
              </w:tabs>
              <w:spacing w:after="0" w:line="240" w:lineRule="auto"/>
              <w:jc w:val="center"/>
              <w:rPr>
                <w:color w:val="000000"/>
                <w:sz w:val="18"/>
                <w:szCs w:val="18"/>
                <w:lang w:eastAsia="sk-SK"/>
              </w:rPr>
            </w:pPr>
            <w:r w:rsidRPr="00D04BEE">
              <w:rPr>
                <w:color w:val="000000"/>
                <w:sz w:val="18"/>
                <w:szCs w:val="18"/>
              </w:rPr>
              <w:t>7,0</w:t>
            </w:r>
          </w:p>
        </w:tc>
      </w:tr>
      <w:tr w:rsidR="00F1187C" w:rsidRPr="00D04BEE" w14:paraId="1BC59B41" w14:textId="77777777" w:rsidTr="0019064B">
        <w:trPr>
          <w:trHeight w:val="300"/>
        </w:trPr>
        <w:tc>
          <w:tcPr>
            <w:tcW w:w="4101" w:type="dxa"/>
            <w:tcBorders>
              <w:top w:val="nil"/>
              <w:left w:val="nil"/>
              <w:bottom w:val="nil"/>
              <w:right w:val="nil"/>
            </w:tcBorders>
            <w:shd w:val="clear" w:color="auto" w:fill="auto"/>
            <w:noWrap/>
            <w:vAlign w:val="center"/>
            <w:hideMark/>
          </w:tcPr>
          <w:p w14:paraId="16F97705" w14:textId="77777777" w:rsidR="00F1187C" w:rsidRPr="00D04BEE" w:rsidRDefault="00F1187C" w:rsidP="00F1187C">
            <w:pPr>
              <w:spacing w:after="0" w:line="240" w:lineRule="auto"/>
              <w:ind w:firstLineChars="300" w:firstLine="540"/>
              <w:rPr>
                <w:i/>
                <w:iCs/>
                <w:color w:val="000000"/>
                <w:sz w:val="18"/>
                <w:szCs w:val="18"/>
                <w:lang w:eastAsia="sk-SK"/>
              </w:rPr>
            </w:pPr>
            <w:r w:rsidRPr="00D04BEE">
              <w:rPr>
                <w:i/>
                <w:iCs/>
                <w:color w:val="000000"/>
                <w:sz w:val="18"/>
                <w:szCs w:val="18"/>
                <w:lang w:eastAsia="sk-SK"/>
              </w:rPr>
              <w:t xml:space="preserve"> - zdravotné poistenie</w:t>
            </w:r>
          </w:p>
        </w:tc>
        <w:tc>
          <w:tcPr>
            <w:tcW w:w="1120" w:type="dxa"/>
            <w:tcBorders>
              <w:top w:val="nil"/>
              <w:left w:val="nil"/>
              <w:bottom w:val="nil"/>
              <w:right w:val="nil"/>
            </w:tcBorders>
            <w:shd w:val="clear" w:color="auto" w:fill="auto"/>
            <w:noWrap/>
            <w:vAlign w:val="bottom"/>
            <w:hideMark/>
          </w:tcPr>
          <w:p w14:paraId="7B57BD0D" w14:textId="3C2695F3" w:rsidR="00F1187C" w:rsidRPr="00D04BEE" w:rsidRDefault="00F1187C" w:rsidP="00F1187C">
            <w:pPr>
              <w:spacing w:after="0" w:line="240" w:lineRule="auto"/>
              <w:jc w:val="right"/>
              <w:rPr>
                <w:color w:val="000000"/>
                <w:sz w:val="18"/>
                <w:szCs w:val="18"/>
                <w:lang w:eastAsia="sk-SK"/>
              </w:rPr>
            </w:pPr>
            <w:r w:rsidRPr="00D04BEE">
              <w:rPr>
                <w:sz w:val="18"/>
                <w:szCs w:val="18"/>
              </w:rPr>
              <w:t>1 292 124</w:t>
            </w:r>
          </w:p>
        </w:tc>
        <w:tc>
          <w:tcPr>
            <w:tcW w:w="1040" w:type="dxa"/>
            <w:tcBorders>
              <w:top w:val="nil"/>
              <w:left w:val="nil"/>
              <w:bottom w:val="nil"/>
              <w:right w:val="nil"/>
            </w:tcBorders>
            <w:shd w:val="clear" w:color="auto" w:fill="auto"/>
            <w:noWrap/>
            <w:vAlign w:val="bottom"/>
            <w:hideMark/>
          </w:tcPr>
          <w:p w14:paraId="6FFC8B70" w14:textId="2C49EDDC" w:rsidR="00F1187C" w:rsidRPr="00D04BEE" w:rsidRDefault="00F1187C" w:rsidP="00F1187C">
            <w:pPr>
              <w:spacing w:after="0" w:line="240" w:lineRule="auto"/>
              <w:jc w:val="right"/>
              <w:rPr>
                <w:color w:val="000000"/>
                <w:sz w:val="18"/>
                <w:szCs w:val="18"/>
                <w:lang w:eastAsia="sk-SK"/>
              </w:rPr>
            </w:pPr>
            <w:r w:rsidRPr="00D04BEE">
              <w:rPr>
                <w:sz w:val="18"/>
                <w:szCs w:val="18"/>
              </w:rPr>
              <w:t>1 288 969</w:t>
            </w:r>
          </w:p>
        </w:tc>
        <w:tc>
          <w:tcPr>
            <w:tcW w:w="1025" w:type="dxa"/>
            <w:tcBorders>
              <w:top w:val="nil"/>
              <w:left w:val="nil"/>
              <w:bottom w:val="nil"/>
              <w:right w:val="nil"/>
            </w:tcBorders>
            <w:shd w:val="clear" w:color="000000" w:fill="auto"/>
            <w:noWrap/>
            <w:vAlign w:val="bottom"/>
            <w:hideMark/>
          </w:tcPr>
          <w:p w14:paraId="467E414C" w14:textId="7035E1EC" w:rsidR="00F1187C" w:rsidRPr="00D04BEE" w:rsidRDefault="00F1187C" w:rsidP="00F1187C">
            <w:pPr>
              <w:spacing w:after="0" w:line="240" w:lineRule="auto"/>
              <w:jc w:val="right"/>
              <w:rPr>
                <w:sz w:val="18"/>
                <w:szCs w:val="18"/>
                <w:lang w:eastAsia="sk-SK"/>
              </w:rPr>
            </w:pPr>
            <w:r w:rsidRPr="00D04BEE">
              <w:rPr>
                <w:sz w:val="18"/>
                <w:szCs w:val="18"/>
              </w:rPr>
              <w:t>2 081 400</w:t>
            </w:r>
          </w:p>
        </w:tc>
        <w:tc>
          <w:tcPr>
            <w:tcW w:w="980" w:type="dxa"/>
            <w:tcBorders>
              <w:top w:val="nil"/>
              <w:left w:val="nil"/>
              <w:bottom w:val="nil"/>
              <w:right w:val="nil"/>
            </w:tcBorders>
            <w:shd w:val="clear" w:color="auto" w:fill="auto"/>
            <w:noWrap/>
            <w:vAlign w:val="bottom"/>
            <w:hideMark/>
          </w:tcPr>
          <w:p w14:paraId="749BD2F4" w14:textId="6643C5AA"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1 618 069</w:t>
            </w:r>
          </w:p>
        </w:tc>
        <w:tc>
          <w:tcPr>
            <w:tcW w:w="1000" w:type="dxa"/>
            <w:tcBorders>
              <w:top w:val="nil"/>
              <w:left w:val="nil"/>
              <w:bottom w:val="nil"/>
              <w:right w:val="nil"/>
            </w:tcBorders>
            <w:shd w:val="clear" w:color="auto" w:fill="auto"/>
            <w:noWrap/>
            <w:vAlign w:val="bottom"/>
            <w:hideMark/>
          </w:tcPr>
          <w:p w14:paraId="18F8CC62" w14:textId="7A2A8F2B" w:rsidR="00F1187C" w:rsidRPr="00D04BEE" w:rsidRDefault="00F1187C" w:rsidP="00F1187C">
            <w:pPr>
              <w:tabs>
                <w:tab w:val="decimal" w:pos="313"/>
              </w:tabs>
              <w:spacing w:after="0" w:line="240" w:lineRule="auto"/>
              <w:jc w:val="center"/>
              <w:rPr>
                <w:color w:val="000000"/>
                <w:sz w:val="18"/>
                <w:szCs w:val="18"/>
                <w:lang w:eastAsia="sk-SK"/>
              </w:rPr>
            </w:pPr>
            <w:r w:rsidRPr="00D04BEE">
              <w:rPr>
                <w:color w:val="000000"/>
                <w:sz w:val="18"/>
                <w:szCs w:val="18"/>
              </w:rPr>
              <w:t>61,5</w:t>
            </w:r>
          </w:p>
        </w:tc>
      </w:tr>
      <w:tr w:rsidR="00F1187C" w:rsidRPr="00D04BEE" w14:paraId="1060C123" w14:textId="77777777" w:rsidTr="0019064B">
        <w:trPr>
          <w:trHeight w:val="300"/>
        </w:trPr>
        <w:tc>
          <w:tcPr>
            <w:tcW w:w="4101" w:type="dxa"/>
            <w:tcBorders>
              <w:top w:val="nil"/>
              <w:left w:val="nil"/>
              <w:bottom w:val="nil"/>
              <w:right w:val="nil"/>
            </w:tcBorders>
            <w:shd w:val="clear" w:color="auto" w:fill="auto"/>
            <w:noWrap/>
            <w:vAlign w:val="center"/>
            <w:hideMark/>
          </w:tcPr>
          <w:p w14:paraId="06E1C351" w14:textId="77777777" w:rsidR="00F1187C" w:rsidRPr="00D04BEE" w:rsidRDefault="00F1187C" w:rsidP="00F1187C">
            <w:pPr>
              <w:spacing w:after="0" w:line="240" w:lineRule="auto"/>
              <w:ind w:firstLineChars="100" w:firstLine="180"/>
              <w:rPr>
                <w:color w:val="000000"/>
                <w:sz w:val="18"/>
                <w:szCs w:val="18"/>
                <w:lang w:eastAsia="sk-SK"/>
              </w:rPr>
            </w:pPr>
            <w:r w:rsidRPr="00D04BEE">
              <w:rPr>
                <w:color w:val="000000"/>
                <w:sz w:val="18"/>
                <w:szCs w:val="18"/>
                <w:lang w:eastAsia="sk-SK"/>
              </w:rPr>
              <w:t xml:space="preserve"> - Naturálne sociálne transfery (zdr. zariadenia)</w:t>
            </w:r>
          </w:p>
        </w:tc>
        <w:tc>
          <w:tcPr>
            <w:tcW w:w="1120" w:type="dxa"/>
            <w:tcBorders>
              <w:top w:val="nil"/>
              <w:left w:val="nil"/>
              <w:bottom w:val="nil"/>
              <w:right w:val="nil"/>
            </w:tcBorders>
            <w:shd w:val="clear" w:color="auto" w:fill="auto"/>
            <w:noWrap/>
            <w:vAlign w:val="bottom"/>
            <w:hideMark/>
          </w:tcPr>
          <w:p w14:paraId="1E0E9E78" w14:textId="5C19A329" w:rsidR="00F1187C" w:rsidRPr="00D04BEE" w:rsidRDefault="00F1187C" w:rsidP="00F1187C">
            <w:pPr>
              <w:spacing w:after="0" w:line="240" w:lineRule="auto"/>
              <w:jc w:val="right"/>
              <w:rPr>
                <w:color w:val="000000"/>
                <w:sz w:val="18"/>
                <w:szCs w:val="18"/>
                <w:lang w:eastAsia="sk-SK"/>
              </w:rPr>
            </w:pPr>
            <w:r w:rsidRPr="00D04BEE">
              <w:rPr>
                <w:sz w:val="18"/>
                <w:szCs w:val="18"/>
              </w:rPr>
              <w:t>3 484 239</w:t>
            </w:r>
          </w:p>
        </w:tc>
        <w:tc>
          <w:tcPr>
            <w:tcW w:w="1040" w:type="dxa"/>
            <w:tcBorders>
              <w:top w:val="nil"/>
              <w:left w:val="nil"/>
              <w:bottom w:val="nil"/>
              <w:right w:val="nil"/>
            </w:tcBorders>
            <w:shd w:val="clear" w:color="auto" w:fill="auto"/>
            <w:noWrap/>
            <w:vAlign w:val="bottom"/>
            <w:hideMark/>
          </w:tcPr>
          <w:p w14:paraId="31E2233B" w14:textId="1D5ADD8C" w:rsidR="00F1187C" w:rsidRPr="00D04BEE" w:rsidRDefault="00F1187C" w:rsidP="00F1187C">
            <w:pPr>
              <w:spacing w:after="0" w:line="240" w:lineRule="auto"/>
              <w:jc w:val="right"/>
              <w:rPr>
                <w:color w:val="000000"/>
                <w:sz w:val="18"/>
                <w:szCs w:val="18"/>
                <w:lang w:eastAsia="sk-SK"/>
              </w:rPr>
            </w:pPr>
            <w:r w:rsidRPr="00D04BEE">
              <w:rPr>
                <w:sz w:val="18"/>
                <w:szCs w:val="18"/>
              </w:rPr>
              <w:t>3 815 507</w:t>
            </w:r>
          </w:p>
        </w:tc>
        <w:tc>
          <w:tcPr>
            <w:tcW w:w="1025" w:type="dxa"/>
            <w:tcBorders>
              <w:top w:val="nil"/>
              <w:left w:val="nil"/>
              <w:bottom w:val="nil"/>
              <w:right w:val="nil"/>
            </w:tcBorders>
            <w:shd w:val="clear" w:color="000000" w:fill="auto"/>
            <w:noWrap/>
            <w:vAlign w:val="bottom"/>
            <w:hideMark/>
          </w:tcPr>
          <w:p w14:paraId="4B6E6CC5" w14:textId="7F4D9A80" w:rsidR="00F1187C" w:rsidRPr="00D04BEE" w:rsidRDefault="00F1187C" w:rsidP="00F1187C">
            <w:pPr>
              <w:spacing w:after="0" w:line="240" w:lineRule="auto"/>
              <w:jc w:val="right"/>
              <w:rPr>
                <w:sz w:val="18"/>
                <w:szCs w:val="18"/>
                <w:lang w:eastAsia="sk-SK"/>
              </w:rPr>
            </w:pPr>
            <w:r w:rsidRPr="00D04BEE">
              <w:rPr>
                <w:sz w:val="18"/>
                <w:szCs w:val="18"/>
              </w:rPr>
              <w:t>4 290 565</w:t>
            </w:r>
          </w:p>
        </w:tc>
        <w:tc>
          <w:tcPr>
            <w:tcW w:w="980" w:type="dxa"/>
            <w:tcBorders>
              <w:top w:val="nil"/>
              <w:left w:val="nil"/>
              <w:bottom w:val="nil"/>
              <w:right w:val="nil"/>
            </w:tcBorders>
            <w:shd w:val="clear" w:color="auto" w:fill="auto"/>
            <w:noWrap/>
            <w:vAlign w:val="bottom"/>
            <w:hideMark/>
          </w:tcPr>
          <w:p w14:paraId="664F8F57" w14:textId="5F21A42C"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4 516 388</w:t>
            </w:r>
          </w:p>
        </w:tc>
        <w:tc>
          <w:tcPr>
            <w:tcW w:w="1000" w:type="dxa"/>
            <w:tcBorders>
              <w:top w:val="nil"/>
              <w:left w:val="nil"/>
              <w:bottom w:val="nil"/>
              <w:right w:val="nil"/>
            </w:tcBorders>
            <w:shd w:val="clear" w:color="auto" w:fill="auto"/>
            <w:noWrap/>
            <w:vAlign w:val="bottom"/>
            <w:hideMark/>
          </w:tcPr>
          <w:p w14:paraId="153AEB47" w14:textId="37FBDBC4" w:rsidR="00F1187C" w:rsidRPr="00D04BEE" w:rsidRDefault="00F1187C" w:rsidP="00F1187C">
            <w:pPr>
              <w:tabs>
                <w:tab w:val="decimal" w:pos="313"/>
              </w:tabs>
              <w:spacing w:after="0" w:line="240" w:lineRule="auto"/>
              <w:jc w:val="center"/>
              <w:rPr>
                <w:color w:val="000000"/>
                <w:sz w:val="18"/>
                <w:szCs w:val="18"/>
                <w:lang w:eastAsia="sk-SK"/>
              </w:rPr>
            </w:pPr>
            <w:r w:rsidRPr="00D04BEE">
              <w:rPr>
                <w:color w:val="000000"/>
                <w:sz w:val="18"/>
                <w:szCs w:val="18"/>
              </w:rPr>
              <w:t>12,5</w:t>
            </w:r>
          </w:p>
        </w:tc>
      </w:tr>
      <w:tr w:rsidR="00F1187C" w:rsidRPr="00D04BEE" w14:paraId="4AC10CA7" w14:textId="77777777" w:rsidTr="0019064B">
        <w:trPr>
          <w:trHeight w:val="300"/>
        </w:trPr>
        <w:tc>
          <w:tcPr>
            <w:tcW w:w="4101" w:type="dxa"/>
            <w:tcBorders>
              <w:top w:val="nil"/>
              <w:left w:val="nil"/>
              <w:bottom w:val="nil"/>
              <w:right w:val="nil"/>
            </w:tcBorders>
            <w:shd w:val="clear" w:color="auto" w:fill="auto"/>
            <w:noWrap/>
            <w:vAlign w:val="center"/>
            <w:hideMark/>
          </w:tcPr>
          <w:p w14:paraId="6ADE13FC" w14:textId="77777777" w:rsidR="00F1187C" w:rsidRPr="00D04BEE" w:rsidRDefault="00F1187C" w:rsidP="00F1187C">
            <w:pPr>
              <w:spacing w:after="0" w:line="240" w:lineRule="auto"/>
              <w:ind w:firstLineChars="100" w:firstLine="181"/>
              <w:rPr>
                <w:b/>
                <w:bCs/>
                <w:color w:val="000000"/>
                <w:sz w:val="18"/>
                <w:szCs w:val="18"/>
                <w:lang w:eastAsia="sk-SK"/>
              </w:rPr>
            </w:pPr>
            <w:r w:rsidRPr="00D04BEE">
              <w:rPr>
                <w:b/>
                <w:bCs/>
                <w:color w:val="000000"/>
                <w:sz w:val="18"/>
                <w:szCs w:val="18"/>
                <w:lang w:eastAsia="sk-SK"/>
              </w:rPr>
              <w:t>Ostatné bežné transfery, z toho:</w:t>
            </w:r>
          </w:p>
        </w:tc>
        <w:tc>
          <w:tcPr>
            <w:tcW w:w="1120" w:type="dxa"/>
            <w:tcBorders>
              <w:top w:val="nil"/>
              <w:left w:val="nil"/>
              <w:bottom w:val="nil"/>
              <w:right w:val="nil"/>
            </w:tcBorders>
            <w:shd w:val="clear" w:color="auto" w:fill="auto"/>
            <w:noWrap/>
            <w:vAlign w:val="bottom"/>
            <w:hideMark/>
          </w:tcPr>
          <w:p w14:paraId="64B19432" w14:textId="04A8A972" w:rsidR="00F1187C" w:rsidRPr="00D04BEE" w:rsidRDefault="00F1187C" w:rsidP="00F1187C">
            <w:pPr>
              <w:spacing w:after="0" w:line="240" w:lineRule="auto"/>
              <w:jc w:val="right"/>
              <w:rPr>
                <w:b/>
                <w:bCs/>
                <w:color w:val="000000"/>
                <w:sz w:val="18"/>
                <w:szCs w:val="18"/>
                <w:lang w:eastAsia="sk-SK"/>
              </w:rPr>
            </w:pPr>
            <w:r w:rsidRPr="00D04BEE">
              <w:rPr>
                <w:b/>
                <w:bCs/>
                <w:color w:val="000000"/>
                <w:sz w:val="18"/>
                <w:szCs w:val="18"/>
              </w:rPr>
              <w:t>3 747 529</w:t>
            </w:r>
          </w:p>
        </w:tc>
        <w:tc>
          <w:tcPr>
            <w:tcW w:w="1040" w:type="dxa"/>
            <w:tcBorders>
              <w:top w:val="nil"/>
              <w:left w:val="nil"/>
              <w:bottom w:val="nil"/>
              <w:right w:val="nil"/>
            </w:tcBorders>
            <w:shd w:val="clear" w:color="auto" w:fill="auto"/>
            <w:noWrap/>
            <w:vAlign w:val="bottom"/>
            <w:hideMark/>
          </w:tcPr>
          <w:p w14:paraId="0B8F2081" w14:textId="23138A53" w:rsidR="00F1187C" w:rsidRPr="00D04BEE" w:rsidRDefault="00F1187C" w:rsidP="00F1187C">
            <w:pPr>
              <w:spacing w:after="0" w:line="240" w:lineRule="auto"/>
              <w:jc w:val="right"/>
              <w:rPr>
                <w:b/>
                <w:bCs/>
                <w:color w:val="000000"/>
                <w:sz w:val="18"/>
                <w:szCs w:val="18"/>
                <w:lang w:eastAsia="sk-SK"/>
              </w:rPr>
            </w:pPr>
            <w:r w:rsidRPr="00D04BEE">
              <w:rPr>
                <w:b/>
                <w:bCs/>
                <w:sz w:val="18"/>
                <w:szCs w:val="18"/>
              </w:rPr>
              <w:t>2 340 358</w:t>
            </w:r>
          </w:p>
        </w:tc>
        <w:tc>
          <w:tcPr>
            <w:tcW w:w="1025" w:type="dxa"/>
            <w:tcBorders>
              <w:top w:val="nil"/>
              <w:left w:val="nil"/>
              <w:bottom w:val="nil"/>
              <w:right w:val="nil"/>
            </w:tcBorders>
            <w:shd w:val="clear" w:color="000000" w:fill="auto"/>
            <w:noWrap/>
            <w:vAlign w:val="bottom"/>
            <w:hideMark/>
          </w:tcPr>
          <w:p w14:paraId="0CDE9C47" w14:textId="1D52D069" w:rsidR="00F1187C" w:rsidRPr="00D04BEE" w:rsidRDefault="00F1187C" w:rsidP="00F1187C">
            <w:pPr>
              <w:spacing w:after="0" w:line="240" w:lineRule="auto"/>
              <w:jc w:val="right"/>
              <w:rPr>
                <w:b/>
                <w:bCs/>
                <w:sz w:val="18"/>
                <w:szCs w:val="18"/>
                <w:lang w:eastAsia="sk-SK"/>
              </w:rPr>
            </w:pPr>
            <w:r w:rsidRPr="00D04BEE">
              <w:rPr>
                <w:b/>
                <w:bCs/>
                <w:sz w:val="18"/>
                <w:szCs w:val="18"/>
              </w:rPr>
              <w:t>2 546 761</w:t>
            </w:r>
          </w:p>
        </w:tc>
        <w:tc>
          <w:tcPr>
            <w:tcW w:w="980" w:type="dxa"/>
            <w:tcBorders>
              <w:top w:val="nil"/>
              <w:left w:val="nil"/>
              <w:bottom w:val="nil"/>
              <w:right w:val="nil"/>
            </w:tcBorders>
            <w:shd w:val="clear" w:color="auto" w:fill="auto"/>
            <w:noWrap/>
            <w:vAlign w:val="bottom"/>
            <w:hideMark/>
          </w:tcPr>
          <w:p w14:paraId="531E1819" w14:textId="08E6CD26" w:rsidR="00F1187C" w:rsidRPr="00D04BEE" w:rsidRDefault="00F1187C" w:rsidP="00F1187C">
            <w:pPr>
              <w:spacing w:after="0" w:line="240" w:lineRule="auto"/>
              <w:jc w:val="right"/>
              <w:rPr>
                <w:b/>
                <w:bCs/>
                <w:color w:val="000000"/>
                <w:sz w:val="18"/>
                <w:szCs w:val="18"/>
                <w:lang w:eastAsia="sk-SK"/>
              </w:rPr>
            </w:pPr>
            <w:r w:rsidRPr="00D04BEE">
              <w:rPr>
                <w:b/>
                <w:bCs/>
                <w:color w:val="000000"/>
                <w:sz w:val="18"/>
                <w:szCs w:val="18"/>
              </w:rPr>
              <w:t>4 936 741</w:t>
            </w:r>
          </w:p>
        </w:tc>
        <w:tc>
          <w:tcPr>
            <w:tcW w:w="1000" w:type="dxa"/>
            <w:tcBorders>
              <w:top w:val="nil"/>
              <w:left w:val="nil"/>
              <w:bottom w:val="nil"/>
              <w:right w:val="nil"/>
            </w:tcBorders>
            <w:shd w:val="clear" w:color="auto" w:fill="auto"/>
            <w:noWrap/>
            <w:vAlign w:val="bottom"/>
            <w:hideMark/>
          </w:tcPr>
          <w:p w14:paraId="448F5BC9" w14:textId="032E8C7E" w:rsidR="00F1187C" w:rsidRPr="00D04BEE" w:rsidRDefault="00F1187C" w:rsidP="00F1187C">
            <w:pPr>
              <w:tabs>
                <w:tab w:val="decimal" w:pos="313"/>
              </w:tabs>
              <w:spacing w:after="0" w:line="240" w:lineRule="auto"/>
              <w:jc w:val="center"/>
              <w:rPr>
                <w:b/>
                <w:bCs/>
                <w:color w:val="000000"/>
                <w:sz w:val="18"/>
                <w:szCs w:val="18"/>
                <w:lang w:eastAsia="sk-SK"/>
              </w:rPr>
            </w:pPr>
            <w:r w:rsidRPr="00D04BEE">
              <w:rPr>
                <w:b/>
                <w:bCs/>
                <w:color w:val="000000"/>
                <w:sz w:val="18"/>
                <w:szCs w:val="18"/>
              </w:rPr>
              <w:t>8,8</w:t>
            </w:r>
          </w:p>
        </w:tc>
      </w:tr>
      <w:tr w:rsidR="00F1187C" w:rsidRPr="00D04BEE" w14:paraId="01BEC8E8" w14:textId="77777777" w:rsidTr="0019064B">
        <w:trPr>
          <w:trHeight w:val="300"/>
        </w:trPr>
        <w:tc>
          <w:tcPr>
            <w:tcW w:w="4101" w:type="dxa"/>
            <w:tcBorders>
              <w:top w:val="nil"/>
              <w:left w:val="nil"/>
              <w:bottom w:val="nil"/>
              <w:right w:val="nil"/>
            </w:tcBorders>
            <w:shd w:val="clear" w:color="auto" w:fill="auto"/>
            <w:noWrap/>
            <w:vAlign w:val="center"/>
            <w:hideMark/>
          </w:tcPr>
          <w:p w14:paraId="6B0F4C51" w14:textId="77777777" w:rsidR="00F1187C" w:rsidRPr="00D04BEE" w:rsidRDefault="00F1187C" w:rsidP="00F1187C">
            <w:pPr>
              <w:spacing w:after="0" w:line="240" w:lineRule="auto"/>
              <w:ind w:firstLineChars="100" w:firstLine="180"/>
              <w:rPr>
                <w:i/>
                <w:iCs/>
                <w:color w:val="000000"/>
                <w:sz w:val="18"/>
                <w:szCs w:val="18"/>
                <w:lang w:eastAsia="sk-SK"/>
              </w:rPr>
            </w:pPr>
            <w:r w:rsidRPr="00D04BEE">
              <w:rPr>
                <w:i/>
                <w:iCs/>
                <w:color w:val="000000"/>
                <w:sz w:val="18"/>
                <w:szCs w:val="18"/>
                <w:lang w:eastAsia="sk-SK"/>
              </w:rPr>
              <w:t xml:space="preserve"> - Odvody do rozpočtu EÚ</w:t>
            </w:r>
          </w:p>
        </w:tc>
        <w:tc>
          <w:tcPr>
            <w:tcW w:w="1120" w:type="dxa"/>
            <w:tcBorders>
              <w:top w:val="nil"/>
              <w:left w:val="nil"/>
              <w:bottom w:val="nil"/>
              <w:right w:val="nil"/>
            </w:tcBorders>
            <w:shd w:val="clear" w:color="auto" w:fill="auto"/>
            <w:noWrap/>
            <w:vAlign w:val="bottom"/>
            <w:hideMark/>
          </w:tcPr>
          <w:p w14:paraId="44EF9D9C" w14:textId="78198476" w:rsidR="00F1187C" w:rsidRPr="00D04BEE" w:rsidRDefault="00F1187C" w:rsidP="00F1187C">
            <w:pPr>
              <w:spacing w:after="0" w:line="240" w:lineRule="auto"/>
              <w:jc w:val="right"/>
              <w:rPr>
                <w:color w:val="000000"/>
                <w:sz w:val="18"/>
                <w:szCs w:val="18"/>
                <w:lang w:eastAsia="sk-SK"/>
              </w:rPr>
            </w:pPr>
            <w:r w:rsidRPr="00D04BEE">
              <w:rPr>
                <w:sz w:val="18"/>
                <w:szCs w:val="18"/>
              </w:rPr>
              <w:t>964 922</w:t>
            </w:r>
          </w:p>
        </w:tc>
        <w:tc>
          <w:tcPr>
            <w:tcW w:w="1040" w:type="dxa"/>
            <w:tcBorders>
              <w:top w:val="nil"/>
              <w:left w:val="nil"/>
              <w:bottom w:val="nil"/>
              <w:right w:val="nil"/>
            </w:tcBorders>
            <w:shd w:val="clear" w:color="auto" w:fill="auto"/>
            <w:noWrap/>
            <w:vAlign w:val="bottom"/>
            <w:hideMark/>
          </w:tcPr>
          <w:p w14:paraId="377E4FF3" w14:textId="222A3599" w:rsidR="00F1187C" w:rsidRPr="00D04BEE" w:rsidRDefault="00F1187C" w:rsidP="00F1187C">
            <w:pPr>
              <w:spacing w:after="0" w:line="240" w:lineRule="auto"/>
              <w:jc w:val="right"/>
              <w:rPr>
                <w:color w:val="000000"/>
                <w:sz w:val="18"/>
                <w:szCs w:val="18"/>
                <w:lang w:eastAsia="sk-SK"/>
              </w:rPr>
            </w:pPr>
            <w:r w:rsidRPr="00D04BEE">
              <w:rPr>
                <w:sz w:val="18"/>
                <w:szCs w:val="18"/>
              </w:rPr>
              <w:t>916 494</w:t>
            </w:r>
          </w:p>
        </w:tc>
        <w:tc>
          <w:tcPr>
            <w:tcW w:w="1025" w:type="dxa"/>
            <w:tcBorders>
              <w:top w:val="nil"/>
              <w:left w:val="nil"/>
              <w:bottom w:val="nil"/>
              <w:right w:val="nil"/>
            </w:tcBorders>
            <w:shd w:val="clear" w:color="000000" w:fill="auto"/>
            <w:noWrap/>
            <w:vAlign w:val="bottom"/>
            <w:hideMark/>
          </w:tcPr>
          <w:p w14:paraId="03CDF4CC" w14:textId="4AB7ADC4" w:rsidR="00F1187C" w:rsidRPr="00D04BEE" w:rsidRDefault="00F1187C" w:rsidP="00F1187C">
            <w:pPr>
              <w:spacing w:after="0" w:line="240" w:lineRule="auto"/>
              <w:jc w:val="right"/>
              <w:rPr>
                <w:sz w:val="18"/>
                <w:szCs w:val="18"/>
                <w:lang w:eastAsia="sk-SK"/>
              </w:rPr>
            </w:pPr>
            <w:r w:rsidRPr="00D04BEE">
              <w:rPr>
                <w:sz w:val="18"/>
                <w:szCs w:val="18"/>
              </w:rPr>
              <w:t>945 834</w:t>
            </w:r>
          </w:p>
        </w:tc>
        <w:tc>
          <w:tcPr>
            <w:tcW w:w="980" w:type="dxa"/>
            <w:tcBorders>
              <w:top w:val="nil"/>
              <w:left w:val="nil"/>
              <w:bottom w:val="nil"/>
              <w:right w:val="nil"/>
            </w:tcBorders>
            <w:shd w:val="clear" w:color="auto" w:fill="auto"/>
            <w:noWrap/>
            <w:vAlign w:val="bottom"/>
            <w:hideMark/>
          </w:tcPr>
          <w:p w14:paraId="0F34EF95" w14:textId="13837BED"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1 027 581</w:t>
            </w:r>
          </w:p>
        </w:tc>
        <w:tc>
          <w:tcPr>
            <w:tcW w:w="1000" w:type="dxa"/>
            <w:tcBorders>
              <w:top w:val="nil"/>
              <w:left w:val="nil"/>
              <w:bottom w:val="nil"/>
              <w:right w:val="nil"/>
            </w:tcBorders>
            <w:shd w:val="clear" w:color="auto" w:fill="auto"/>
            <w:noWrap/>
            <w:vAlign w:val="bottom"/>
            <w:hideMark/>
          </w:tcPr>
          <w:p w14:paraId="7CD7E6D1" w14:textId="4BAD94A7" w:rsidR="00F1187C" w:rsidRPr="00D04BEE" w:rsidRDefault="00F1187C" w:rsidP="00F1187C">
            <w:pPr>
              <w:tabs>
                <w:tab w:val="decimal" w:pos="313"/>
              </w:tabs>
              <w:spacing w:after="0" w:line="240" w:lineRule="auto"/>
              <w:jc w:val="center"/>
              <w:rPr>
                <w:color w:val="000000"/>
                <w:sz w:val="18"/>
                <w:szCs w:val="18"/>
                <w:lang w:eastAsia="sk-SK"/>
              </w:rPr>
            </w:pPr>
            <w:r w:rsidRPr="00D04BEE">
              <w:rPr>
                <w:color w:val="000000"/>
                <w:sz w:val="18"/>
                <w:szCs w:val="18"/>
              </w:rPr>
              <w:t>3,2</w:t>
            </w:r>
          </w:p>
        </w:tc>
      </w:tr>
      <w:tr w:rsidR="00F1187C" w:rsidRPr="00D04BEE" w14:paraId="4ED6FFDE" w14:textId="77777777" w:rsidTr="0019064B">
        <w:trPr>
          <w:trHeight w:val="300"/>
        </w:trPr>
        <w:tc>
          <w:tcPr>
            <w:tcW w:w="4101" w:type="dxa"/>
            <w:tcBorders>
              <w:top w:val="nil"/>
              <w:left w:val="nil"/>
              <w:bottom w:val="nil"/>
              <w:right w:val="nil"/>
            </w:tcBorders>
            <w:shd w:val="clear" w:color="auto" w:fill="auto"/>
            <w:noWrap/>
            <w:vAlign w:val="center"/>
            <w:hideMark/>
          </w:tcPr>
          <w:p w14:paraId="0F2E0BD4" w14:textId="77777777" w:rsidR="00F1187C" w:rsidRPr="00D04BEE" w:rsidRDefault="00F1187C" w:rsidP="00F1187C">
            <w:pPr>
              <w:spacing w:after="0" w:line="240" w:lineRule="auto"/>
              <w:ind w:firstLineChars="100" w:firstLine="180"/>
              <w:rPr>
                <w:i/>
                <w:iCs/>
                <w:sz w:val="18"/>
                <w:szCs w:val="18"/>
                <w:lang w:eastAsia="sk-SK"/>
              </w:rPr>
            </w:pPr>
            <w:r w:rsidRPr="00D04BEE">
              <w:rPr>
                <w:i/>
                <w:iCs/>
                <w:sz w:val="18"/>
                <w:szCs w:val="18"/>
                <w:lang w:eastAsia="sk-SK"/>
              </w:rPr>
              <w:t xml:space="preserve"> - Transfery NO, cirkvi, súkr. školám a pod.</w:t>
            </w:r>
          </w:p>
        </w:tc>
        <w:tc>
          <w:tcPr>
            <w:tcW w:w="1120" w:type="dxa"/>
            <w:tcBorders>
              <w:top w:val="nil"/>
              <w:left w:val="nil"/>
              <w:bottom w:val="nil"/>
              <w:right w:val="nil"/>
            </w:tcBorders>
            <w:shd w:val="clear" w:color="auto" w:fill="auto"/>
            <w:noWrap/>
            <w:vAlign w:val="bottom"/>
            <w:hideMark/>
          </w:tcPr>
          <w:p w14:paraId="7488898C" w14:textId="1639AF2F" w:rsidR="00F1187C" w:rsidRPr="00D04BEE" w:rsidRDefault="00F1187C" w:rsidP="00F1187C">
            <w:pPr>
              <w:spacing w:after="0" w:line="240" w:lineRule="auto"/>
              <w:jc w:val="right"/>
              <w:rPr>
                <w:color w:val="000000"/>
                <w:sz w:val="18"/>
                <w:szCs w:val="18"/>
                <w:lang w:eastAsia="sk-SK"/>
              </w:rPr>
            </w:pPr>
            <w:r w:rsidRPr="00D04BEE">
              <w:rPr>
                <w:sz w:val="18"/>
                <w:szCs w:val="18"/>
              </w:rPr>
              <w:t>601 556</w:t>
            </w:r>
          </w:p>
        </w:tc>
        <w:tc>
          <w:tcPr>
            <w:tcW w:w="1040" w:type="dxa"/>
            <w:tcBorders>
              <w:top w:val="nil"/>
              <w:left w:val="nil"/>
              <w:bottom w:val="nil"/>
              <w:right w:val="nil"/>
            </w:tcBorders>
            <w:shd w:val="clear" w:color="auto" w:fill="auto"/>
            <w:noWrap/>
            <w:vAlign w:val="bottom"/>
            <w:hideMark/>
          </w:tcPr>
          <w:p w14:paraId="3511C648" w14:textId="7B8EEDEA" w:rsidR="00F1187C" w:rsidRPr="00D04BEE" w:rsidRDefault="00F1187C" w:rsidP="00F1187C">
            <w:pPr>
              <w:spacing w:after="0" w:line="240" w:lineRule="auto"/>
              <w:jc w:val="right"/>
              <w:rPr>
                <w:color w:val="000000"/>
                <w:sz w:val="18"/>
                <w:szCs w:val="18"/>
                <w:lang w:eastAsia="sk-SK"/>
              </w:rPr>
            </w:pPr>
            <w:r w:rsidRPr="00D04BEE">
              <w:rPr>
                <w:sz w:val="18"/>
                <w:szCs w:val="18"/>
              </w:rPr>
              <w:t>637 789</w:t>
            </w:r>
          </w:p>
        </w:tc>
        <w:tc>
          <w:tcPr>
            <w:tcW w:w="1025" w:type="dxa"/>
            <w:tcBorders>
              <w:top w:val="nil"/>
              <w:left w:val="nil"/>
              <w:bottom w:val="nil"/>
              <w:right w:val="nil"/>
            </w:tcBorders>
            <w:shd w:val="clear" w:color="000000" w:fill="auto"/>
            <w:noWrap/>
            <w:vAlign w:val="bottom"/>
            <w:hideMark/>
          </w:tcPr>
          <w:p w14:paraId="05F08CE7" w14:textId="79958789" w:rsidR="00F1187C" w:rsidRPr="00D04BEE" w:rsidRDefault="00F1187C" w:rsidP="00F1187C">
            <w:pPr>
              <w:spacing w:after="0" w:line="240" w:lineRule="auto"/>
              <w:jc w:val="right"/>
              <w:rPr>
                <w:sz w:val="18"/>
                <w:szCs w:val="18"/>
                <w:lang w:eastAsia="sk-SK"/>
              </w:rPr>
            </w:pPr>
            <w:r w:rsidRPr="00D04BEE">
              <w:rPr>
                <w:sz w:val="18"/>
                <w:szCs w:val="18"/>
              </w:rPr>
              <w:t>773 751</w:t>
            </w:r>
          </w:p>
        </w:tc>
        <w:tc>
          <w:tcPr>
            <w:tcW w:w="980" w:type="dxa"/>
            <w:tcBorders>
              <w:top w:val="nil"/>
              <w:left w:val="nil"/>
              <w:bottom w:val="nil"/>
              <w:right w:val="nil"/>
            </w:tcBorders>
            <w:shd w:val="clear" w:color="auto" w:fill="auto"/>
            <w:noWrap/>
            <w:vAlign w:val="bottom"/>
            <w:hideMark/>
          </w:tcPr>
          <w:p w14:paraId="785A3E19" w14:textId="03C154B0"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636 121</w:t>
            </w:r>
          </w:p>
        </w:tc>
        <w:tc>
          <w:tcPr>
            <w:tcW w:w="1000" w:type="dxa"/>
            <w:tcBorders>
              <w:top w:val="nil"/>
              <w:left w:val="nil"/>
              <w:bottom w:val="nil"/>
              <w:right w:val="nil"/>
            </w:tcBorders>
            <w:shd w:val="clear" w:color="auto" w:fill="auto"/>
            <w:noWrap/>
            <w:vAlign w:val="bottom"/>
            <w:hideMark/>
          </w:tcPr>
          <w:p w14:paraId="390D5086" w14:textId="20DDF8F0" w:rsidR="00F1187C" w:rsidRPr="00D04BEE" w:rsidRDefault="00F1187C" w:rsidP="00F1187C">
            <w:pPr>
              <w:tabs>
                <w:tab w:val="decimal" w:pos="313"/>
              </w:tabs>
              <w:spacing w:after="0" w:line="240" w:lineRule="auto"/>
              <w:jc w:val="center"/>
              <w:rPr>
                <w:color w:val="000000"/>
                <w:sz w:val="18"/>
                <w:szCs w:val="18"/>
                <w:lang w:eastAsia="sk-SK"/>
              </w:rPr>
            </w:pPr>
            <w:r w:rsidRPr="00D04BEE">
              <w:rPr>
                <w:color w:val="000000"/>
                <w:sz w:val="18"/>
                <w:szCs w:val="18"/>
              </w:rPr>
              <w:t>21,3</w:t>
            </w:r>
          </w:p>
        </w:tc>
      </w:tr>
      <w:tr w:rsidR="00F1187C" w:rsidRPr="00D04BEE" w14:paraId="00B84D70" w14:textId="77777777" w:rsidTr="0019064B">
        <w:trPr>
          <w:trHeight w:val="300"/>
        </w:trPr>
        <w:tc>
          <w:tcPr>
            <w:tcW w:w="4101" w:type="dxa"/>
            <w:tcBorders>
              <w:top w:val="nil"/>
              <w:left w:val="nil"/>
              <w:bottom w:val="nil"/>
              <w:right w:val="nil"/>
            </w:tcBorders>
            <w:shd w:val="clear" w:color="auto" w:fill="auto"/>
            <w:noWrap/>
            <w:vAlign w:val="center"/>
            <w:hideMark/>
          </w:tcPr>
          <w:p w14:paraId="2922C3A9" w14:textId="77777777" w:rsidR="00F1187C" w:rsidRPr="00D04BEE" w:rsidRDefault="00F1187C" w:rsidP="00F1187C">
            <w:pPr>
              <w:spacing w:after="0" w:line="240" w:lineRule="auto"/>
              <w:ind w:firstLineChars="100" w:firstLine="180"/>
              <w:rPr>
                <w:i/>
                <w:iCs/>
                <w:color w:val="000000"/>
                <w:sz w:val="18"/>
                <w:szCs w:val="18"/>
                <w:lang w:eastAsia="sk-SK"/>
              </w:rPr>
            </w:pPr>
            <w:r w:rsidRPr="00D04BEE">
              <w:rPr>
                <w:i/>
                <w:iCs/>
                <w:color w:val="000000"/>
                <w:sz w:val="18"/>
                <w:szCs w:val="18"/>
                <w:lang w:eastAsia="sk-SK"/>
              </w:rPr>
              <w:t xml:space="preserve"> - 2% z daní na verejnoprospešný účel</w:t>
            </w:r>
          </w:p>
        </w:tc>
        <w:tc>
          <w:tcPr>
            <w:tcW w:w="1120" w:type="dxa"/>
            <w:tcBorders>
              <w:top w:val="nil"/>
              <w:left w:val="nil"/>
              <w:bottom w:val="nil"/>
              <w:right w:val="nil"/>
            </w:tcBorders>
            <w:shd w:val="clear" w:color="auto" w:fill="auto"/>
            <w:noWrap/>
            <w:vAlign w:val="bottom"/>
            <w:hideMark/>
          </w:tcPr>
          <w:p w14:paraId="35B90655" w14:textId="6E60E38B" w:rsidR="00F1187C" w:rsidRPr="00D04BEE" w:rsidRDefault="00F1187C" w:rsidP="00F1187C">
            <w:pPr>
              <w:spacing w:after="0" w:line="240" w:lineRule="auto"/>
              <w:jc w:val="right"/>
              <w:rPr>
                <w:color w:val="000000"/>
                <w:sz w:val="18"/>
                <w:szCs w:val="18"/>
                <w:lang w:eastAsia="sk-SK"/>
              </w:rPr>
            </w:pPr>
            <w:r w:rsidRPr="00D04BEE">
              <w:rPr>
                <w:sz w:val="18"/>
                <w:szCs w:val="18"/>
              </w:rPr>
              <w:t>87 190</w:t>
            </w:r>
          </w:p>
        </w:tc>
        <w:tc>
          <w:tcPr>
            <w:tcW w:w="1040" w:type="dxa"/>
            <w:tcBorders>
              <w:top w:val="nil"/>
              <w:left w:val="nil"/>
              <w:bottom w:val="nil"/>
              <w:right w:val="nil"/>
            </w:tcBorders>
            <w:shd w:val="clear" w:color="auto" w:fill="auto"/>
            <w:noWrap/>
            <w:vAlign w:val="bottom"/>
            <w:hideMark/>
          </w:tcPr>
          <w:p w14:paraId="1634BFDA" w14:textId="09ACEE20" w:rsidR="00F1187C" w:rsidRPr="00D04BEE" w:rsidRDefault="00F1187C" w:rsidP="00F1187C">
            <w:pPr>
              <w:spacing w:after="0" w:line="240" w:lineRule="auto"/>
              <w:jc w:val="right"/>
              <w:rPr>
                <w:color w:val="000000"/>
                <w:sz w:val="18"/>
                <w:szCs w:val="18"/>
                <w:lang w:eastAsia="sk-SK"/>
              </w:rPr>
            </w:pPr>
            <w:r w:rsidRPr="00D04BEE">
              <w:rPr>
                <w:sz w:val="18"/>
                <w:szCs w:val="18"/>
              </w:rPr>
              <w:t>87 993</w:t>
            </w:r>
          </w:p>
        </w:tc>
        <w:tc>
          <w:tcPr>
            <w:tcW w:w="1025" w:type="dxa"/>
            <w:tcBorders>
              <w:top w:val="nil"/>
              <w:left w:val="nil"/>
              <w:bottom w:val="nil"/>
              <w:right w:val="nil"/>
            </w:tcBorders>
            <w:shd w:val="clear" w:color="000000" w:fill="auto"/>
            <w:noWrap/>
            <w:vAlign w:val="bottom"/>
            <w:hideMark/>
          </w:tcPr>
          <w:p w14:paraId="00B0C0ED" w14:textId="5E66E7C4" w:rsidR="00F1187C" w:rsidRPr="00D04BEE" w:rsidRDefault="00F1187C" w:rsidP="00F1187C">
            <w:pPr>
              <w:spacing w:after="0" w:line="240" w:lineRule="auto"/>
              <w:jc w:val="right"/>
              <w:rPr>
                <w:sz w:val="18"/>
                <w:szCs w:val="18"/>
                <w:lang w:eastAsia="sk-SK"/>
              </w:rPr>
            </w:pPr>
            <w:r w:rsidRPr="00D04BEE">
              <w:rPr>
                <w:sz w:val="18"/>
                <w:szCs w:val="18"/>
              </w:rPr>
              <w:t>100 870</w:t>
            </w:r>
          </w:p>
        </w:tc>
        <w:tc>
          <w:tcPr>
            <w:tcW w:w="980" w:type="dxa"/>
            <w:tcBorders>
              <w:top w:val="nil"/>
              <w:left w:val="nil"/>
              <w:bottom w:val="nil"/>
              <w:right w:val="nil"/>
            </w:tcBorders>
            <w:shd w:val="clear" w:color="auto" w:fill="auto"/>
            <w:noWrap/>
            <w:vAlign w:val="bottom"/>
            <w:hideMark/>
          </w:tcPr>
          <w:p w14:paraId="17E5F674" w14:textId="2E1D6C93" w:rsidR="00F1187C" w:rsidRPr="00D04BEE" w:rsidRDefault="00F1187C" w:rsidP="00F1187C">
            <w:pPr>
              <w:spacing w:after="0" w:line="240" w:lineRule="auto"/>
              <w:jc w:val="right"/>
              <w:rPr>
                <w:color w:val="000000"/>
                <w:sz w:val="18"/>
                <w:szCs w:val="18"/>
                <w:lang w:eastAsia="sk-SK"/>
              </w:rPr>
            </w:pPr>
            <w:r w:rsidRPr="00D04BEE">
              <w:rPr>
                <w:color w:val="000000"/>
                <w:sz w:val="18"/>
                <w:szCs w:val="18"/>
              </w:rPr>
              <w:t>89 286</w:t>
            </w:r>
          </w:p>
        </w:tc>
        <w:tc>
          <w:tcPr>
            <w:tcW w:w="1000" w:type="dxa"/>
            <w:tcBorders>
              <w:top w:val="nil"/>
              <w:left w:val="nil"/>
              <w:bottom w:val="nil"/>
              <w:right w:val="nil"/>
            </w:tcBorders>
            <w:shd w:val="clear" w:color="auto" w:fill="auto"/>
            <w:noWrap/>
            <w:vAlign w:val="bottom"/>
            <w:hideMark/>
          </w:tcPr>
          <w:p w14:paraId="6C2C7603" w14:textId="247F5666" w:rsidR="00F1187C" w:rsidRPr="00D04BEE" w:rsidRDefault="00F1187C" w:rsidP="00F1187C">
            <w:pPr>
              <w:tabs>
                <w:tab w:val="decimal" w:pos="313"/>
              </w:tabs>
              <w:spacing w:after="0" w:line="240" w:lineRule="auto"/>
              <w:jc w:val="center"/>
              <w:rPr>
                <w:color w:val="000000"/>
                <w:sz w:val="18"/>
                <w:szCs w:val="18"/>
                <w:lang w:eastAsia="sk-SK"/>
              </w:rPr>
            </w:pPr>
            <w:r w:rsidRPr="00D04BEE">
              <w:rPr>
                <w:color w:val="000000"/>
                <w:sz w:val="18"/>
                <w:szCs w:val="18"/>
              </w:rPr>
              <w:t>14,6</w:t>
            </w:r>
          </w:p>
        </w:tc>
      </w:tr>
    </w:tbl>
    <w:p w14:paraId="6856BDE6" w14:textId="77777777" w:rsidR="00776AE7" w:rsidRDefault="00776AE7">
      <w:r>
        <w:br w:type="page"/>
      </w:r>
    </w:p>
    <w:tbl>
      <w:tblPr>
        <w:tblW w:w="9266" w:type="dxa"/>
        <w:tblCellMar>
          <w:left w:w="70" w:type="dxa"/>
          <w:right w:w="70" w:type="dxa"/>
        </w:tblCellMar>
        <w:tblLook w:val="04A0" w:firstRow="1" w:lastRow="0" w:firstColumn="1" w:lastColumn="0" w:noHBand="0" w:noVBand="1"/>
      </w:tblPr>
      <w:tblGrid>
        <w:gridCol w:w="4101"/>
        <w:gridCol w:w="1120"/>
        <w:gridCol w:w="1040"/>
        <w:gridCol w:w="1025"/>
        <w:gridCol w:w="980"/>
        <w:gridCol w:w="1000"/>
      </w:tblGrid>
      <w:tr w:rsidR="00776AE7" w:rsidRPr="00D04BEE" w14:paraId="59510E3B" w14:textId="77777777" w:rsidTr="008A6C2A">
        <w:trPr>
          <w:trHeight w:val="480"/>
          <w:tblHeader/>
        </w:trPr>
        <w:tc>
          <w:tcPr>
            <w:tcW w:w="4101" w:type="dxa"/>
            <w:tcBorders>
              <w:top w:val="single" w:sz="4" w:space="0" w:color="auto"/>
              <w:left w:val="nil"/>
              <w:bottom w:val="single" w:sz="4" w:space="0" w:color="auto"/>
              <w:right w:val="nil"/>
            </w:tcBorders>
            <w:shd w:val="clear" w:color="auto" w:fill="auto"/>
            <w:noWrap/>
            <w:vAlign w:val="center"/>
            <w:hideMark/>
          </w:tcPr>
          <w:p w14:paraId="567A6515" w14:textId="77777777" w:rsidR="00776AE7" w:rsidRPr="00D04BEE" w:rsidRDefault="00776AE7" w:rsidP="008A6C2A">
            <w:pPr>
              <w:spacing w:after="0" w:line="240" w:lineRule="auto"/>
              <w:rPr>
                <w:b/>
                <w:bCs/>
                <w:sz w:val="18"/>
                <w:szCs w:val="18"/>
                <w:lang w:eastAsia="sk-SK"/>
              </w:rPr>
            </w:pPr>
            <w:r w:rsidRPr="00D04BEE">
              <w:rPr>
                <w:b/>
                <w:bCs/>
                <w:sz w:val="18"/>
                <w:szCs w:val="18"/>
                <w:lang w:eastAsia="sk-SK"/>
              </w:rPr>
              <w:t> </w:t>
            </w:r>
          </w:p>
        </w:tc>
        <w:tc>
          <w:tcPr>
            <w:tcW w:w="1120" w:type="dxa"/>
            <w:tcBorders>
              <w:top w:val="single" w:sz="4" w:space="0" w:color="auto"/>
              <w:left w:val="nil"/>
              <w:bottom w:val="single" w:sz="4" w:space="0" w:color="auto"/>
              <w:right w:val="nil"/>
            </w:tcBorders>
            <w:shd w:val="clear" w:color="auto" w:fill="auto"/>
            <w:vAlign w:val="center"/>
            <w:hideMark/>
          </w:tcPr>
          <w:p w14:paraId="3084B617" w14:textId="77777777" w:rsidR="00776AE7" w:rsidRPr="00D04BEE" w:rsidRDefault="00776AE7" w:rsidP="008A6C2A">
            <w:pPr>
              <w:spacing w:after="0" w:line="240" w:lineRule="auto"/>
              <w:jc w:val="center"/>
              <w:rPr>
                <w:b/>
                <w:bCs/>
                <w:sz w:val="18"/>
                <w:szCs w:val="18"/>
                <w:lang w:eastAsia="sk-SK"/>
              </w:rPr>
            </w:pPr>
            <w:r w:rsidRPr="00D04BEE">
              <w:rPr>
                <w:b/>
                <w:bCs/>
                <w:sz w:val="18"/>
                <w:szCs w:val="18"/>
                <w:lang w:eastAsia="sk-SK"/>
              </w:rPr>
              <w:br/>
              <w:t>2021 S</w:t>
            </w:r>
          </w:p>
        </w:tc>
        <w:tc>
          <w:tcPr>
            <w:tcW w:w="1040" w:type="dxa"/>
            <w:tcBorders>
              <w:top w:val="single" w:sz="4" w:space="0" w:color="auto"/>
              <w:left w:val="nil"/>
              <w:bottom w:val="single" w:sz="4" w:space="0" w:color="auto"/>
              <w:right w:val="nil"/>
            </w:tcBorders>
            <w:shd w:val="clear" w:color="auto" w:fill="auto"/>
            <w:vAlign w:val="center"/>
            <w:hideMark/>
          </w:tcPr>
          <w:p w14:paraId="6E4A5390" w14:textId="77777777" w:rsidR="00776AE7" w:rsidRPr="00D04BEE" w:rsidRDefault="00776AE7" w:rsidP="008A6C2A">
            <w:pPr>
              <w:spacing w:after="0" w:line="240" w:lineRule="auto"/>
              <w:jc w:val="center"/>
              <w:rPr>
                <w:b/>
                <w:bCs/>
                <w:sz w:val="18"/>
                <w:szCs w:val="18"/>
                <w:lang w:eastAsia="sk-SK"/>
              </w:rPr>
            </w:pPr>
            <w:r w:rsidRPr="00D04BEE">
              <w:rPr>
                <w:b/>
                <w:bCs/>
                <w:sz w:val="18"/>
                <w:szCs w:val="18"/>
                <w:lang w:eastAsia="sk-SK"/>
              </w:rPr>
              <w:br/>
              <w:t>2022 S</w:t>
            </w:r>
          </w:p>
        </w:tc>
        <w:tc>
          <w:tcPr>
            <w:tcW w:w="1025" w:type="dxa"/>
            <w:tcBorders>
              <w:top w:val="single" w:sz="4" w:space="0" w:color="auto"/>
              <w:left w:val="nil"/>
              <w:bottom w:val="single" w:sz="4" w:space="0" w:color="auto"/>
              <w:right w:val="nil"/>
            </w:tcBorders>
            <w:shd w:val="clear" w:color="auto" w:fill="auto"/>
            <w:vAlign w:val="center"/>
            <w:hideMark/>
          </w:tcPr>
          <w:p w14:paraId="3474B8E5" w14:textId="77777777" w:rsidR="00776AE7" w:rsidRPr="00D04BEE" w:rsidRDefault="00776AE7" w:rsidP="008A6C2A">
            <w:pPr>
              <w:spacing w:after="0" w:line="240" w:lineRule="auto"/>
              <w:jc w:val="center"/>
              <w:rPr>
                <w:b/>
                <w:bCs/>
                <w:sz w:val="18"/>
                <w:szCs w:val="18"/>
                <w:lang w:eastAsia="sk-SK"/>
              </w:rPr>
            </w:pPr>
            <w:r w:rsidRPr="00D04BEE">
              <w:rPr>
                <w:b/>
                <w:bCs/>
                <w:sz w:val="18"/>
                <w:szCs w:val="18"/>
                <w:lang w:eastAsia="sk-SK"/>
              </w:rPr>
              <w:br/>
              <w:t>2023 S</w:t>
            </w:r>
          </w:p>
        </w:tc>
        <w:tc>
          <w:tcPr>
            <w:tcW w:w="980" w:type="dxa"/>
            <w:tcBorders>
              <w:top w:val="single" w:sz="4" w:space="0" w:color="auto"/>
              <w:left w:val="nil"/>
              <w:bottom w:val="single" w:sz="4" w:space="0" w:color="auto"/>
              <w:right w:val="nil"/>
            </w:tcBorders>
            <w:shd w:val="clear" w:color="auto" w:fill="auto"/>
            <w:vAlign w:val="center"/>
            <w:hideMark/>
          </w:tcPr>
          <w:p w14:paraId="7CE5ED26" w14:textId="77777777" w:rsidR="00776AE7" w:rsidRPr="00D04BEE" w:rsidRDefault="00776AE7" w:rsidP="008A6C2A">
            <w:pPr>
              <w:spacing w:after="0" w:line="240" w:lineRule="auto"/>
              <w:jc w:val="center"/>
              <w:rPr>
                <w:b/>
                <w:bCs/>
                <w:sz w:val="18"/>
                <w:szCs w:val="18"/>
                <w:lang w:eastAsia="sk-SK"/>
              </w:rPr>
            </w:pPr>
            <w:r w:rsidRPr="00D04BEE">
              <w:rPr>
                <w:b/>
                <w:bCs/>
                <w:sz w:val="18"/>
                <w:szCs w:val="18"/>
                <w:lang w:eastAsia="sk-SK"/>
              </w:rPr>
              <w:br/>
              <w:t>2023 R</w:t>
            </w:r>
          </w:p>
        </w:tc>
        <w:tc>
          <w:tcPr>
            <w:tcW w:w="1000" w:type="dxa"/>
            <w:tcBorders>
              <w:top w:val="single" w:sz="4" w:space="0" w:color="auto"/>
              <w:left w:val="nil"/>
              <w:bottom w:val="single" w:sz="4" w:space="0" w:color="auto"/>
              <w:right w:val="nil"/>
            </w:tcBorders>
            <w:shd w:val="clear" w:color="auto" w:fill="auto"/>
            <w:vAlign w:val="center"/>
            <w:hideMark/>
          </w:tcPr>
          <w:p w14:paraId="1BC7C158" w14:textId="77777777" w:rsidR="00776AE7" w:rsidRPr="00D04BEE" w:rsidRDefault="00776AE7" w:rsidP="008A6C2A">
            <w:pPr>
              <w:spacing w:after="0" w:line="240" w:lineRule="auto"/>
              <w:jc w:val="center"/>
              <w:rPr>
                <w:b/>
                <w:bCs/>
                <w:sz w:val="18"/>
                <w:szCs w:val="18"/>
                <w:lang w:eastAsia="sk-SK"/>
              </w:rPr>
            </w:pPr>
            <w:r w:rsidRPr="00D04BEE">
              <w:rPr>
                <w:b/>
                <w:bCs/>
                <w:sz w:val="18"/>
                <w:szCs w:val="18"/>
                <w:lang w:eastAsia="sk-SK"/>
              </w:rPr>
              <w:t>2023/2022</w:t>
            </w:r>
            <w:r w:rsidRPr="00D04BEE">
              <w:rPr>
                <w:b/>
                <w:bCs/>
                <w:sz w:val="18"/>
                <w:szCs w:val="18"/>
                <w:lang w:eastAsia="sk-SK"/>
              </w:rPr>
              <w:br/>
              <w:t>v %</w:t>
            </w:r>
          </w:p>
        </w:tc>
      </w:tr>
      <w:tr w:rsidR="00776AE7" w:rsidRPr="00D04BEE" w14:paraId="1A7278EB" w14:textId="77777777" w:rsidTr="00671DCF">
        <w:trPr>
          <w:trHeight w:val="300"/>
        </w:trPr>
        <w:tc>
          <w:tcPr>
            <w:tcW w:w="4101" w:type="dxa"/>
            <w:tcBorders>
              <w:top w:val="nil"/>
              <w:left w:val="nil"/>
              <w:bottom w:val="nil"/>
              <w:right w:val="nil"/>
            </w:tcBorders>
            <w:shd w:val="clear" w:color="auto" w:fill="auto"/>
            <w:noWrap/>
            <w:vAlign w:val="center"/>
          </w:tcPr>
          <w:p w14:paraId="0295C528" w14:textId="5375F1DD" w:rsidR="00776AE7" w:rsidRPr="00D04BEE" w:rsidRDefault="00776AE7" w:rsidP="00776AE7">
            <w:pPr>
              <w:spacing w:after="0" w:line="240" w:lineRule="auto"/>
              <w:ind w:firstLineChars="100" w:firstLine="181"/>
              <w:rPr>
                <w:color w:val="000000"/>
                <w:sz w:val="18"/>
                <w:szCs w:val="18"/>
                <w:lang w:eastAsia="sk-SK"/>
              </w:rPr>
            </w:pPr>
            <w:r w:rsidRPr="00776AE7">
              <w:rPr>
                <w:b/>
                <w:bCs/>
                <w:sz w:val="18"/>
                <w:szCs w:val="18"/>
                <w:lang w:eastAsia="sk-SK"/>
              </w:rPr>
              <w:t>Kapitálové výdavky</w:t>
            </w:r>
          </w:p>
        </w:tc>
        <w:tc>
          <w:tcPr>
            <w:tcW w:w="1120" w:type="dxa"/>
            <w:tcBorders>
              <w:top w:val="nil"/>
              <w:left w:val="nil"/>
              <w:bottom w:val="nil"/>
              <w:right w:val="nil"/>
            </w:tcBorders>
            <w:shd w:val="clear" w:color="auto" w:fill="auto"/>
            <w:noWrap/>
            <w:vAlign w:val="center"/>
          </w:tcPr>
          <w:p w14:paraId="46B93658" w14:textId="6ECC9A54" w:rsidR="00776AE7" w:rsidRPr="00D04BEE" w:rsidRDefault="00776AE7" w:rsidP="00776AE7">
            <w:pPr>
              <w:spacing w:after="0" w:line="240" w:lineRule="auto"/>
              <w:jc w:val="right"/>
              <w:rPr>
                <w:color w:val="000000"/>
                <w:sz w:val="18"/>
                <w:szCs w:val="18"/>
                <w:lang w:eastAsia="sk-SK"/>
              </w:rPr>
            </w:pPr>
            <w:r w:rsidRPr="00D04BEE">
              <w:rPr>
                <w:b/>
                <w:bCs/>
                <w:sz w:val="18"/>
                <w:szCs w:val="18"/>
                <w:lang w:eastAsia="sk-SK"/>
              </w:rPr>
              <w:t>3 795 848</w:t>
            </w:r>
          </w:p>
        </w:tc>
        <w:tc>
          <w:tcPr>
            <w:tcW w:w="1040" w:type="dxa"/>
            <w:tcBorders>
              <w:top w:val="nil"/>
              <w:left w:val="nil"/>
              <w:bottom w:val="nil"/>
              <w:right w:val="nil"/>
            </w:tcBorders>
            <w:shd w:val="clear" w:color="auto" w:fill="auto"/>
            <w:noWrap/>
            <w:vAlign w:val="center"/>
          </w:tcPr>
          <w:p w14:paraId="4A66AB42" w14:textId="3A4969B3" w:rsidR="00776AE7" w:rsidRPr="00D04BEE" w:rsidRDefault="00776AE7" w:rsidP="00776AE7">
            <w:pPr>
              <w:spacing w:after="0" w:line="240" w:lineRule="auto"/>
              <w:jc w:val="right"/>
              <w:rPr>
                <w:color w:val="000000"/>
                <w:sz w:val="18"/>
                <w:szCs w:val="18"/>
                <w:lang w:eastAsia="sk-SK"/>
              </w:rPr>
            </w:pPr>
            <w:r w:rsidRPr="00D04BEE">
              <w:rPr>
                <w:b/>
                <w:bCs/>
                <w:sz w:val="18"/>
                <w:szCs w:val="18"/>
                <w:lang w:eastAsia="sk-SK"/>
              </w:rPr>
              <w:t>4 290 715</w:t>
            </w:r>
          </w:p>
        </w:tc>
        <w:tc>
          <w:tcPr>
            <w:tcW w:w="1025" w:type="dxa"/>
            <w:tcBorders>
              <w:top w:val="nil"/>
              <w:left w:val="nil"/>
              <w:bottom w:val="nil"/>
              <w:right w:val="nil"/>
            </w:tcBorders>
            <w:shd w:val="clear" w:color="000000" w:fill="auto"/>
            <w:noWrap/>
            <w:vAlign w:val="center"/>
          </w:tcPr>
          <w:p w14:paraId="5FC4D2EC" w14:textId="2D68C222" w:rsidR="00776AE7" w:rsidRPr="00D04BEE" w:rsidRDefault="00776AE7" w:rsidP="00776AE7">
            <w:pPr>
              <w:spacing w:after="0" w:line="240" w:lineRule="auto"/>
              <w:jc w:val="right"/>
              <w:rPr>
                <w:sz w:val="18"/>
                <w:szCs w:val="18"/>
                <w:lang w:eastAsia="sk-SK"/>
              </w:rPr>
            </w:pPr>
            <w:r w:rsidRPr="00D04BEE">
              <w:rPr>
                <w:b/>
                <w:bCs/>
                <w:sz w:val="18"/>
                <w:szCs w:val="18"/>
                <w:lang w:eastAsia="sk-SK"/>
              </w:rPr>
              <w:t>6 660 373</w:t>
            </w:r>
          </w:p>
        </w:tc>
        <w:tc>
          <w:tcPr>
            <w:tcW w:w="980" w:type="dxa"/>
            <w:tcBorders>
              <w:top w:val="nil"/>
              <w:left w:val="nil"/>
              <w:bottom w:val="nil"/>
              <w:right w:val="nil"/>
            </w:tcBorders>
            <w:shd w:val="clear" w:color="auto" w:fill="auto"/>
            <w:noWrap/>
            <w:vAlign w:val="center"/>
          </w:tcPr>
          <w:p w14:paraId="1CDCA0AC" w14:textId="26EC5E7B" w:rsidR="00776AE7" w:rsidRPr="00D04BEE" w:rsidRDefault="00776AE7" w:rsidP="00776AE7">
            <w:pPr>
              <w:spacing w:after="0" w:line="240" w:lineRule="auto"/>
              <w:jc w:val="right"/>
              <w:rPr>
                <w:color w:val="000000"/>
                <w:sz w:val="18"/>
                <w:szCs w:val="18"/>
                <w:lang w:eastAsia="sk-SK"/>
              </w:rPr>
            </w:pPr>
            <w:r w:rsidRPr="00D04BEE">
              <w:rPr>
                <w:b/>
                <w:bCs/>
                <w:sz w:val="18"/>
                <w:szCs w:val="18"/>
                <w:lang w:eastAsia="sk-SK"/>
              </w:rPr>
              <w:t>5 575 404</w:t>
            </w:r>
          </w:p>
        </w:tc>
        <w:tc>
          <w:tcPr>
            <w:tcW w:w="1000" w:type="dxa"/>
            <w:tcBorders>
              <w:top w:val="nil"/>
              <w:left w:val="nil"/>
              <w:bottom w:val="nil"/>
              <w:right w:val="nil"/>
            </w:tcBorders>
            <w:shd w:val="clear" w:color="auto" w:fill="auto"/>
            <w:noWrap/>
            <w:vAlign w:val="center"/>
          </w:tcPr>
          <w:p w14:paraId="570CA067" w14:textId="54F15D23" w:rsidR="00776AE7" w:rsidRPr="00D04BEE" w:rsidRDefault="00776AE7" w:rsidP="00776AE7">
            <w:pPr>
              <w:tabs>
                <w:tab w:val="decimal" w:pos="318"/>
              </w:tabs>
              <w:spacing w:after="0" w:line="240" w:lineRule="auto"/>
              <w:jc w:val="center"/>
              <w:rPr>
                <w:color w:val="000000"/>
                <w:sz w:val="18"/>
                <w:szCs w:val="18"/>
                <w:lang w:eastAsia="sk-SK"/>
              </w:rPr>
            </w:pPr>
            <w:r w:rsidRPr="00D04BEE">
              <w:rPr>
                <w:b/>
                <w:bCs/>
                <w:sz w:val="18"/>
                <w:szCs w:val="18"/>
                <w:lang w:eastAsia="sk-SK"/>
              </w:rPr>
              <w:t>55,2</w:t>
            </w:r>
          </w:p>
        </w:tc>
      </w:tr>
      <w:tr w:rsidR="00776AE7" w:rsidRPr="00D04BEE" w14:paraId="39B34905" w14:textId="77777777" w:rsidTr="0019064B">
        <w:trPr>
          <w:trHeight w:val="300"/>
        </w:trPr>
        <w:tc>
          <w:tcPr>
            <w:tcW w:w="4101" w:type="dxa"/>
            <w:tcBorders>
              <w:top w:val="nil"/>
              <w:left w:val="nil"/>
              <w:bottom w:val="nil"/>
              <w:right w:val="nil"/>
            </w:tcBorders>
            <w:shd w:val="clear" w:color="auto" w:fill="auto"/>
            <w:noWrap/>
            <w:vAlign w:val="center"/>
          </w:tcPr>
          <w:p w14:paraId="492F5AA7" w14:textId="17B9DCCC" w:rsidR="00776AE7" w:rsidRPr="00D04BEE" w:rsidRDefault="00776AE7" w:rsidP="00776AE7">
            <w:pPr>
              <w:spacing w:after="0" w:line="240" w:lineRule="auto"/>
              <w:ind w:firstLineChars="100" w:firstLine="180"/>
              <w:rPr>
                <w:color w:val="000000"/>
                <w:sz w:val="18"/>
                <w:szCs w:val="18"/>
                <w:lang w:eastAsia="sk-SK"/>
              </w:rPr>
            </w:pPr>
            <w:r w:rsidRPr="00D04BEE">
              <w:rPr>
                <w:color w:val="000000"/>
                <w:sz w:val="18"/>
                <w:szCs w:val="18"/>
                <w:lang w:eastAsia="sk-SK"/>
              </w:rPr>
              <w:t>Kapitálové investície</w:t>
            </w:r>
          </w:p>
        </w:tc>
        <w:tc>
          <w:tcPr>
            <w:tcW w:w="1120" w:type="dxa"/>
            <w:tcBorders>
              <w:top w:val="nil"/>
              <w:left w:val="nil"/>
              <w:bottom w:val="nil"/>
              <w:right w:val="nil"/>
            </w:tcBorders>
            <w:shd w:val="clear" w:color="auto" w:fill="auto"/>
            <w:noWrap/>
            <w:vAlign w:val="bottom"/>
          </w:tcPr>
          <w:p w14:paraId="38B5A132" w14:textId="505831F6" w:rsidR="00776AE7" w:rsidRPr="00D04BEE" w:rsidRDefault="00776AE7" w:rsidP="00776AE7">
            <w:pPr>
              <w:spacing w:after="0" w:line="240" w:lineRule="auto"/>
              <w:jc w:val="right"/>
              <w:rPr>
                <w:color w:val="000000"/>
                <w:sz w:val="18"/>
                <w:szCs w:val="18"/>
              </w:rPr>
            </w:pPr>
            <w:r w:rsidRPr="00D04BEE">
              <w:rPr>
                <w:color w:val="000000"/>
                <w:sz w:val="18"/>
                <w:szCs w:val="18"/>
              </w:rPr>
              <w:t>3 150 958</w:t>
            </w:r>
          </w:p>
        </w:tc>
        <w:tc>
          <w:tcPr>
            <w:tcW w:w="1040" w:type="dxa"/>
            <w:tcBorders>
              <w:top w:val="nil"/>
              <w:left w:val="nil"/>
              <w:bottom w:val="nil"/>
              <w:right w:val="nil"/>
            </w:tcBorders>
            <w:shd w:val="clear" w:color="auto" w:fill="auto"/>
            <w:noWrap/>
            <w:vAlign w:val="bottom"/>
          </w:tcPr>
          <w:p w14:paraId="2AF5BD8D" w14:textId="62817884" w:rsidR="00776AE7" w:rsidRPr="00D04BEE" w:rsidRDefault="00776AE7" w:rsidP="00776AE7">
            <w:pPr>
              <w:spacing w:after="0" w:line="240" w:lineRule="auto"/>
              <w:jc w:val="right"/>
              <w:rPr>
                <w:sz w:val="18"/>
                <w:szCs w:val="18"/>
              </w:rPr>
            </w:pPr>
            <w:r w:rsidRPr="00D04BEE">
              <w:rPr>
                <w:sz w:val="18"/>
                <w:szCs w:val="18"/>
              </w:rPr>
              <w:t>3 440 542</w:t>
            </w:r>
          </w:p>
        </w:tc>
        <w:tc>
          <w:tcPr>
            <w:tcW w:w="1025" w:type="dxa"/>
            <w:tcBorders>
              <w:top w:val="nil"/>
              <w:left w:val="nil"/>
              <w:bottom w:val="nil"/>
              <w:right w:val="nil"/>
            </w:tcBorders>
            <w:shd w:val="clear" w:color="000000" w:fill="auto"/>
            <w:noWrap/>
            <w:vAlign w:val="bottom"/>
          </w:tcPr>
          <w:p w14:paraId="3075A184" w14:textId="1BF94B1A" w:rsidR="00776AE7" w:rsidRPr="00D04BEE" w:rsidRDefault="00776AE7" w:rsidP="00776AE7">
            <w:pPr>
              <w:spacing w:after="0" w:line="240" w:lineRule="auto"/>
              <w:jc w:val="right"/>
              <w:rPr>
                <w:sz w:val="18"/>
                <w:szCs w:val="18"/>
              </w:rPr>
            </w:pPr>
            <w:r w:rsidRPr="00D04BEE">
              <w:rPr>
                <w:sz w:val="18"/>
                <w:szCs w:val="18"/>
              </w:rPr>
              <w:t>4 575 574</w:t>
            </w:r>
          </w:p>
        </w:tc>
        <w:tc>
          <w:tcPr>
            <w:tcW w:w="980" w:type="dxa"/>
            <w:tcBorders>
              <w:top w:val="nil"/>
              <w:left w:val="nil"/>
              <w:bottom w:val="nil"/>
              <w:right w:val="nil"/>
            </w:tcBorders>
            <w:shd w:val="clear" w:color="auto" w:fill="auto"/>
            <w:noWrap/>
            <w:vAlign w:val="bottom"/>
          </w:tcPr>
          <w:p w14:paraId="2BC20FE2" w14:textId="45C2F48B" w:rsidR="00776AE7" w:rsidRPr="00D04BEE" w:rsidRDefault="00776AE7" w:rsidP="00776AE7">
            <w:pPr>
              <w:spacing w:after="0" w:line="240" w:lineRule="auto"/>
              <w:jc w:val="right"/>
              <w:rPr>
                <w:color w:val="000000"/>
                <w:sz w:val="18"/>
                <w:szCs w:val="18"/>
              </w:rPr>
            </w:pPr>
            <w:r w:rsidRPr="00D04BEE">
              <w:rPr>
                <w:color w:val="000000"/>
                <w:sz w:val="18"/>
                <w:szCs w:val="18"/>
              </w:rPr>
              <w:t>5 098 566</w:t>
            </w:r>
          </w:p>
        </w:tc>
        <w:tc>
          <w:tcPr>
            <w:tcW w:w="1000" w:type="dxa"/>
            <w:tcBorders>
              <w:top w:val="nil"/>
              <w:left w:val="nil"/>
              <w:bottom w:val="nil"/>
              <w:right w:val="nil"/>
            </w:tcBorders>
            <w:shd w:val="clear" w:color="auto" w:fill="auto"/>
            <w:noWrap/>
            <w:vAlign w:val="bottom"/>
          </w:tcPr>
          <w:p w14:paraId="4EE81D27" w14:textId="632C5900" w:rsidR="00776AE7" w:rsidRPr="00D04BEE" w:rsidRDefault="00776AE7" w:rsidP="00776AE7">
            <w:pPr>
              <w:tabs>
                <w:tab w:val="decimal" w:pos="318"/>
              </w:tabs>
              <w:spacing w:after="0" w:line="240" w:lineRule="auto"/>
              <w:jc w:val="center"/>
              <w:rPr>
                <w:color w:val="000000"/>
                <w:sz w:val="18"/>
                <w:szCs w:val="18"/>
              </w:rPr>
            </w:pPr>
            <w:r w:rsidRPr="00D04BEE">
              <w:rPr>
                <w:color w:val="000000"/>
                <w:sz w:val="18"/>
                <w:szCs w:val="18"/>
              </w:rPr>
              <w:t>33,0</w:t>
            </w:r>
          </w:p>
        </w:tc>
      </w:tr>
      <w:tr w:rsidR="00D04BEE" w:rsidRPr="00D04BEE" w14:paraId="51E6AAF3" w14:textId="77777777" w:rsidTr="0019064B">
        <w:trPr>
          <w:trHeight w:val="300"/>
        </w:trPr>
        <w:tc>
          <w:tcPr>
            <w:tcW w:w="4101" w:type="dxa"/>
            <w:tcBorders>
              <w:top w:val="nil"/>
              <w:left w:val="nil"/>
              <w:bottom w:val="nil"/>
              <w:right w:val="nil"/>
            </w:tcBorders>
            <w:shd w:val="clear" w:color="auto" w:fill="auto"/>
            <w:noWrap/>
            <w:vAlign w:val="center"/>
            <w:hideMark/>
          </w:tcPr>
          <w:p w14:paraId="34959F9F" w14:textId="77777777" w:rsidR="00D04BEE" w:rsidRPr="00D04BEE" w:rsidRDefault="00D04BEE" w:rsidP="00D04BEE">
            <w:pPr>
              <w:spacing w:after="0" w:line="240" w:lineRule="auto"/>
              <w:ind w:firstLineChars="100" w:firstLine="180"/>
              <w:rPr>
                <w:color w:val="000000"/>
                <w:sz w:val="18"/>
                <w:szCs w:val="18"/>
                <w:lang w:eastAsia="sk-SK"/>
              </w:rPr>
            </w:pPr>
            <w:r w:rsidRPr="00D04BEE">
              <w:rPr>
                <w:color w:val="000000"/>
                <w:sz w:val="18"/>
                <w:szCs w:val="18"/>
                <w:lang w:eastAsia="sk-SK"/>
              </w:rPr>
              <w:t xml:space="preserve"> - Tvorba hrubého fixného kapitálu</w:t>
            </w:r>
          </w:p>
        </w:tc>
        <w:tc>
          <w:tcPr>
            <w:tcW w:w="1120" w:type="dxa"/>
            <w:tcBorders>
              <w:top w:val="nil"/>
              <w:left w:val="nil"/>
              <w:bottom w:val="nil"/>
              <w:right w:val="nil"/>
            </w:tcBorders>
            <w:shd w:val="clear" w:color="auto" w:fill="auto"/>
            <w:noWrap/>
            <w:vAlign w:val="bottom"/>
            <w:hideMark/>
          </w:tcPr>
          <w:p w14:paraId="6B195ED7" w14:textId="446EFDBB" w:rsidR="00D04BEE" w:rsidRPr="00D04BEE" w:rsidRDefault="00D04BEE" w:rsidP="00D04BEE">
            <w:pPr>
              <w:spacing w:after="0" w:line="240" w:lineRule="auto"/>
              <w:jc w:val="right"/>
              <w:rPr>
                <w:color w:val="000000"/>
                <w:sz w:val="18"/>
                <w:szCs w:val="18"/>
                <w:lang w:eastAsia="sk-SK"/>
              </w:rPr>
            </w:pPr>
            <w:r w:rsidRPr="00D04BEE">
              <w:rPr>
                <w:color w:val="000000"/>
                <w:sz w:val="18"/>
                <w:szCs w:val="18"/>
              </w:rPr>
              <w:t>3 065 363</w:t>
            </w:r>
          </w:p>
        </w:tc>
        <w:tc>
          <w:tcPr>
            <w:tcW w:w="1040" w:type="dxa"/>
            <w:tcBorders>
              <w:top w:val="nil"/>
              <w:left w:val="nil"/>
              <w:bottom w:val="nil"/>
              <w:right w:val="nil"/>
            </w:tcBorders>
            <w:shd w:val="clear" w:color="auto" w:fill="auto"/>
            <w:noWrap/>
            <w:vAlign w:val="bottom"/>
            <w:hideMark/>
          </w:tcPr>
          <w:p w14:paraId="47585444" w14:textId="79E2BBE6" w:rsidR="00D04BEE" w:rsidRPr="00D04BEE" w:rsidRDefault="00D04BEE" w:rsidP="00D04BEE">
            <w:pPr>
              <w:spacing w:after="0" w:line="240" w:lineRule="auto"/>
              <w:jc w:val="right"/>
              <w:rPr>
                <w:color w:val="000000"/>
                <w:sz w:val="18"/>
                <w:szCs w:val="18"/>
                <w:lang w:eastAsia="sk-SK"/>
              </w:rPr>
            </w:pPr>
            <w:r w:rsidRPr="00D04BEE">
              <w:rPr>
                <w:sz w:val="18"/>
                <w:szCs w:val="18"/>
              </w:rPr>
              <w:t>3 374 658</w:t>
            </w:r>
          </w:p>
        </w:tc>
        <w:tc>
          <w:tcPr>
            <w:tcW w:w="1025" w:type="dxa"/>
            <w:tcBorders>
              <w:top w:val="nil"/>
              <w:left w:val="nil"/>
              <w:bottom w:val="nil"/>
              <w:right w:val="nil"/>
            </w:tcBorders>
            <w:shd w:val="clear" w:color="000000" w:fill="auto"/>
            <w:noWrap/>
            <w:vAlign w:val="bottom"/>
            <w:hideMark/>
          </w:tcPr>
          <w:p w14:paraId="22A59FC7" w14:textId="22C4369F" w:rsidR="00D04BEE" w:rsidRPr="00D04BEE" w:rsidRDefault="00D04BEE" w:rsidP="00D04BEE">
            <w:pPr>
              <w:spacing w:after="0" w:line="240" w:lineRule="auto"/>
              <w:jc w:val="right"/>
              <w:rPr>
                <w:sz w:val="18"/>
                <w:szCs w:val="18"/>
                <w:lang w:eastAsia="sk-SK"/>
              </w:rPr>
            </w:pPr>
            <w:r w:rsidRPr="00D04BEE">
              <w:rPr>
                <w:sz w:val="18"/>
                <w:szCs w:val="18"/>
              </w:rPr>
              <w:t>4 375 182</w:t>
            </w:r>
          </w:p>
        </w:tc>
        <w:tc>
          <w:tcPr>
            <w:tcW w:w="980" w:type="dxa"/>
            <w:tcBorders>
              <w:top w:val="nil"/>
              <w:left w:val="nil"/>
              <w:bottom w:val="nil"/>
              <w:right w:val="nil"/>
            </w:tcBorders>
            <w:shd w:val="clear" w:color="auto" w:fill="auto"/>
            <w:noWrap/>
            <w:vAlign w:val="bottom"/>
            <w:hideMark/>
          </w:tcPr>
          <w:p w14:paraId="46EF5E6C" w14:textId="5A0B9062" w:rsidR="00D04BEE" w:rsidRPr="00D04BEE" w:rsidRDefault="00D04BEE" w:rsidP="00D04BEE">
            <w:pPr>
              <w:spacing w:after="0" w:line="240" w:lineRule="auto"/>
              <w:jc w:val="right"/>
              <w:rPr>
                <w:color w:val="000000"/>
                <w:sz w:val="18"/>
                <w:szCs w:val="18"/>
                <w:lang w:eastAsia="sk-SK"/>
              </w:rPr>
            </w:pPr>
            <w:r w:rsidRPr="00D04BEE">
              <w:rPr>
                <w:color w:val="000000"/>
                <w:sz w:val="18"/>
                <w:szCs w:val="18"/>
              </w:rPr>
              <w:t>4 917 076</w:t>
            </w:r>
          </w:p>
        </w:tc>
        <w:tc>
          <w:tcPr>
            <w:tcW w:w="1000" w:type="dxa"/>
            <w:tcBorders>
              <w:top w:val="nil"/>
              <w:left w:val="nil"/>
              <w:bottom w:val="nil"/>
              <w:right w:val="nil"/>
            </w:tcBorders>
            <w:shd w:val="clear" w:color="auto" w:fill="auto"/>
            <w:noWrap/>
            <w:vAlign w:val="bottom"/>
            <w:hideMark/>
          </w:tcPr>
          <w:p w14:paraId="680639DC" w14:textId="3B3C8328" w:rsidR="00D04BEE" w:rsidRPr="00D04BEE" w:rsidRDefault="00D04BEE" w:rsidP="00D04BEE">
            <w:pPr>
              <w:tabs>
                <w:tab w:val="decimal" w:pos="318"/>
              </w:tabs>
              <w:spacing w:after="0" w:line="240" w:lineRule="auto"/>
              <w:jc w:val="center"/>
              <w:rPr>
                <w:color w:val="000000"/>
                <w:sz w:val="18"/>
                <w:szCs w:val="18"/>
                <w:lang w:eastAsia="sk-SK"/>
              </w:rPr>
            </w:pPr>
            <w:r w:rsidRPr="00D04BEE">
              <w:rPr>
                <w:color w:val="000000"/>
                <w:sz w:val="18"/>
                <w:szCs w:val="18"/>
              </w:rPr>
              <w:t>29,6</w:t>
            </w:r>
          </w:p>
        </w:tc>
      </w:tr>
      <w:tr w:rsidR="00D04BEE" w:rsidRPr="00D04BEE" w14:paraId="4D0F7E0B" w14:textId="77777777" w:rsidTr="0019064B">
        <w:trPr>
          <w:trHeight w:val="300"/>
        </w:trPr>
        <w:tc>
          <w:tcPr>
            <w:tcW w:w="4101" w:type="dxa"/>
            <w:tcBorders>
              <w:top w:val="nil"/>
              <w:left w:val="nil"/>
              <w:bottom w:val="nil"/>
              <w:right w:val="nil"/>
            </w:tcBorders>
            <w:shd w:val="clear" w:color="auto" w:fill="auto"/>
            <w:noWrap/>
            <w:vAlign w:val="center"/>
            <w:hideMark/>
          </w:tcPr>
          <w:p w14:paraId="19391A0D" w14:textId="75F3EFD7" w:rsidR="00D04BEE" w:rsidRPr="00D04BEE" w:rsidRDefault="00D04BEE" w:rsidP="00D04BEE">
            <w:pPr>
              <w:spacing w:after="0" w:line="240" w:lineRule="auto"/>
              <w:ind w:firstLineChars="100" w:firstLine="180"/>
              <w:rPr>
                <w:color w:val="000000"/>
                <w:sz w:val="18"/>
                <w:szCs w:val="18"/>
                <w:lang w:eastAsia="sk-SK"/>
              </w:rPr>
            </w:pPr>
            <w:r w:rsidRPr="00D04BEE">
              <w:rPr>
                <w:color w:val="000000"/>
                <w:sz w:val="18"/>
                <w:szCs w:val="18"/>
                <w:lang w:eastAsia="sk-SK"/>
              </w:rPr>
              <w:t xml:space="preserve"> - Zmena st. zásob + Nadobudnutie - Úbytok cenností</w:t>
            </w:r>
          </w:p>
        </w:tc>
        <w:tc>
          <w:tcPr>
            <w:tcW w:w="1120" w:type="dxa"/>
            <w:tcBorders>
              <w:top w:val="nil"/>
              <w:left w:val="nil"/>
              <w:bottom w:val="nil"/>
              <w:right w:val="nil"/>
            </w:tcBorders>
            <w:shd w:val="clear" w:color="auto" w:fill="auto"/>
            <w:noWrap/>
            <w:vAlign w:val="bottom"/>
            <w:hideMark/>
          </w:tcPr>
          <w:p w14:paraId="3EA91C2C" w14:textId="29294217" w:rsidR="00D04BEE" w:rsidRPr="00D04BEE" w:rsidRDefault="00D04BEE" w:rsidP="00D04BEE">
            <w:pPr>
              <w:spacing w:after="0" w:line="240" w:lineRule="auto"/>
              <w:jc w:val="right"/>
              <w:rPr>
                <w:color w:val="000000"/>
                <w:sz w:val="18"/>
                <w:szCs w:val="18"/>
                <w:lang w:eastAsia="sk-SK"/>
              </w:rPr>
            </w:pPr>
            <w:r w:rsidRPr="00D04BEE">
              <w:rPr>
                <w:color w:val="000000"/>
                <w:sz w:val="18"/>
                <w:szCs w:val="18"/>
              </w:rPr>
              <w:t>99 463</w:t>
            </w:r>
          </w:p>
        </w:tc>
        <w:tc>
          <w:tcPr>
            <w:tcW w:w="1040" w:type="dxa"/>
            <w:tcBorders>
              <w:top w:val="nil"/>
              <w:left w:val="nil"/>
              <w:bottom w:val="nil"/>
              <w:right w:val="nil"/>
            </w:tcBorders>
            <w:shd w:val="clear" w:color="auto" w:fill="auto"/>
            <w:noWrap/>
            <w:vAlign w:val="bottom"/>
            <w:hideMark/>
          </w:tcPr>
          <w:p w14:paraId="78AA8757" w14:textId="5EE86F09" w:rsidR="00D04BEE" w:rsidRPr="00D04BEE" w:rsidRDefault="00D04BEE" w:rsidP="00D04BEE">
            <w:pPr>
              <w:spacing w:after="0" w:line="240" w:lineRule="auto"/>
              <w:jc w:val="right"/>
              <w:rPr>
                <w:color w:val="000000"/>
                <w:sz w:val="18"/>
                <w:szCs w:val="18"/>
                <w:lang w:eastAsia="sk-SK"/>
              </w:rPr>
            </w:pPr>
            <w:r w:rsidRPr="00D04BEE">
              <w:rPr>
                <w:sz w:val="18"/>
                <w:szCs w:val="18"/>
              </w:rPr>
              <w:t>38 840</w:t>
            </w:r>
          </w:p>
        </w:tc>
        <w:tc>
          <w:tcPr>
            <w:tcW w:w="1025" w:type="dxa"/>
            <w:tcBorders>
              <w:top w:val="nil"/>
              <w:left w:val="nil"/>
              <w:bottom w:val="nil"/>
              <w:right w:val="nil"/>
            </w:tcBorders>
            <w:shd w:val="clear" w:color="000000" w:fill="auto"/>
            <w:noWrap/>
            <w:vAlign w:val="bottom"/>
            <w:hideMark/>
          </w:tcPr>
          <w:p w14:paraId="4117201F" w14:textId="7BD2FF9B" w:rsidR="00D04BEE" w:rsidRPr="00D04BEE" w:rsidRDefault="00D04BEE" w:rsidP="00D04BEE">
            <w:pPr>
              <w:spacing w:after="0" w:line="240" w:lineRule="auto"/>
              <w:jc w:val="right"/>
              <w:rPr>
                <w:sz w:val="18"/>
                <w:szCs w:val="18"/>
                <w:lang w:eastAsia="sk-SK"/>
              </w:rPr>
            </w:pPr>
            <w:r w:rsidRPr="00D04BEE">
              <w:rPr>
                <w:sz w:val="18"/>
                <w:szCs w:val="18"/>
              </w:rPr>
              <w:t>149 490</w:t>
            </w:r>
          </w:p>
        </w:tc>
        <w:tc>
          <w:tcPr>
            <w:tcW w:w="980" w:type="dxa"/>
            <w:tcBorders>
              <w:top w:val="nil"/>
              <w:left w:val="nil"/>
              <w:bottom w:val="nil"/>
              <w:right w:val="nil"/>
            </w:tcBorders>
            <w:shd w:val="clear" w:color="auto" w:fill="auto"/>
            <w:noWrap/>
            <w:vAlign w:val="bottom"/>
            <w:hideMark/>
          </w:tcPr>
          <w:p w14:paraId="2F38277E" w14:textId="16E9E6E4" w:rsidR="00D04BEE" w:rsidRPr="00D04BEE" w:rsidRDefault="00D04BEE" w:rsidP="00D04BEE">
            <w:pPr>
              <w:spacing w:after="0" w:line="240" w:lineRule="auto"/>
              <w:jc w:val="right"/>
              <w:rPr>
                <w:color w:val="000000"/>
                <w:sz w:val="18"/>
                <w:szCs w:val="18"/>
                <w:lang w:eastAsia="sk-SK"/>
              </w:rPr>
            </w:pPr>
            <w:r w:rsidRPr="00D04BEE">
              <w:rPr>
                <w:color w:val="000000"/>
                <w:sz w:val="18"/>
                <w:szCs w:val="18"/>
              </w:rPr>
              <w:t>235 715</w:t>
            </w:r>
          </w:p>
        </w:tc>
        <w:tc>
          <w:tcPr>
            <w:tcW w:w="1000" w:type="dxa"/>
            <w:tcBorders>
              <w:top w:val="nil"/>
              <w:left w:val="nil"/>
              <w:bottom w:val="nil"/>
              <w:right w:val="nil"/>
            </w:tcBorders>
            <w:shd w:val="clear" w:color="auto" w:fill="auto"/>
            <w:noWrap/>
            <w:vAlign w:val="bottom"/>
            <w:hideMark/>
          </w:tcPr>
          <w:p w14:paraId="184FEBA3" w14:textId="36D45A84" w:rsidR="00D04BEE" w:rsidRPr="00D04BEE" w:rsidRDefault="00D04BEE" w:rsidP="00D04BEE">
            <w:pPr>
              <w:tabs>
                <w:tab w:val="decimal" w:pos="451"/>
              </w:tabs>
              <w:spacing w:after="0" w:line="240" w:lineRule="auto"/>
              <w:jc w:val="center"/>
              <w:rPr>
                <w:color w:val="000000"/>
                <w:sz w:val="18"/>
                <w:szCs w:val="18"/>
                <w:lang w:eastAsia="sk-SK"/>
              </w:rPr>
            </w:pPr>
            <w:r w:rsidRPr="00D04BEE">
              <w:rPr>
                <w:color w:val="000000"/>
                <w:sz w:val="18"/>
                <w:szCs w:val="18"/>
              </w:rPr>
              <w:t>284,9</w:t>
            </w:r>
          </w:p>
        </w:tc>
      </w:tr>
      <w:tr w:rsidR="00D04BEE" w:rsidRPr="00D04BEE" w14:paraId="32C4699E" w14:textId="77777777" w:rsidTr="0019064B">
        <w:trPr>
          <w:trHeight w:val="300"/>
        </w:trPr>
        <w:tc>
          <w:tcPr>
            <w:tcW w:w="4101" w:type="dxa"/>
            <w:tcBorders>
              <w:top w:val="nil"/>
              <w:left w:val="nil"/>
              <w:bottom w:val="nil"/>
              <w:right w:val="nil"/>
            </w:tcBorders>
            <w:shd w:val="clear" w:color="auto" w:fill="auto"/>
            <w:noWrap/>
            <w:vAlign w:val="center"/>
            <w:hideMark/>
          </w:tcPr>
          <w:p w14:paraId="66633DD1" w14:textId="77777777" w:rsidR="00D04BEE" w:rsidRPr="00D04BEE" w:rsidRDefault="00D04BEE" w:rsidP="00D04BEE">
            <w:pPr>
              <w:spacing w:after="0" w:line="240" w:lineRule="auto"/>
              <w:ind w:firstLineChars="100" w:firstLine="180"/>
              <w:rPr>
                <w:color w:val="000000"/>
                <w:sz w:val="18"/>
                <w:szCs w:val="18"/>
                <w:lang w:eastAsia="sk-SK"/>
              </w:rPr>
            </w:pPr>
            <w:r w:rsidRPr="00D04BEE">
              <w:rPr>
                <w:color w:val="000000"/>
                <w:sz w:val="18"/>
                <w:szCs w:val="18"/>
                <w:lang w:eastAsia="sk-SK"/>
              </w:rPr>
              <w:t xml:space="preserve"> - Nadobud. mínus úbytok nef. neproduk. aktív</w:t>
            </w:r>
          </w:p>
        </w:tc>
        <w:tc>
          <w:tcPr>
            <w:tcW w:w="1120" w:type="dxa"/>
            <w:tcBorders>
              <w:top w:val="nil"/>
              <w:left w:val="nil"/>
              <w:bottom w:val="nil"/>
              <w:right w:val="nil"/>
            </w:tcBorders>
            <w:shd w:val="clear" w:color="auto" w:fill="auto"/>
            <w:noWrap/>
            <w:vAlign w:val="bottom"/>
            <w:hideMark/>
          </w:tcPr>
          <w:p w14:paraId="08476241" w14:textId="4799BE99" w:rsidR="00D04BEE" w:rsidRPr="00D04BEE" w:rsidRDefault="00D04BEE" w:rsidP="00D04BEE">
            <w:pPr>
              <w:spacing w:after="0" w:line="240" w:lineRule="auto"/>
              <w:jc w:val="right"/>
              <w:rPr>
                <w:color w:val="000000"/>
                <w:sz w:val="18"/>
                <w:szCs w:val="18"/>
                <w:lang w:eastAsia="sk-SK"/>
              </w:rPr>
            </w:pPr>
            <w:r w:rsidRPr="00D04BEE">
              <w:rPr>
                <w:color w:val="000000"/>
                <w:sz w:val="18"/>
                <w:szCs w:val="18"/>
              </w:rPr>
              <w:t>-13 868</w:t>
            </w:r>
          </w:p>
        </w:tc>
        <w:tc>
          <w:tcPr>
            <w:tcW w:w="1040" w:type="dxa"/>
            <w:tcBorders>
              <w:top w:val="nil"/>
              <w:left w:val="nil"/>
              <w:bottom w:val="nil"/>
              <w:right w:val="nil"/>
            </w:tcBorders>
            <w:shd w:val="clear" w:color="auto" w:fill="auto"/>
            <w:noWrap/>
            <w:vAlign w:val="bottom"/>
            <w:hideMark/>
          </w:tcPr>
          <w:p w14:paraId="35911D99" w14:textId="42858FB1" w:rsidR="00D04BEE" w:rsidRPr="00D04BEE" w:rsidRDefault="00D04BEE" w:rsidP="00D04BEE">
            <w:pPr>
              <w:spacing w:after="0" w:line="240" w:lineRule="auto"/>
              <w:jc w:val="right"/>
              <w:rPr>
                <w:color w:val="000000"/>
                <w:sz w:val="18"/>
                <w:szCs w:val="18"/>
                <w:lang w:eastAsia="sk-SK"/>
              </w:rPr>
            </w:pPr>
            <w:r w:rsidRPr="00D04BEE">
              <w:rPr>
                <w:sz w:val="18"/>
                <w:szCs w:val="18"/>
              </w:rPr>
              <w:t>27 044</w:t>
            </w:r>
          </w:p>
        </w:tc>
        <w:tc>
          <w:tcPr>
            <w:tcW w:w="1025" w:type="dxa"/>
            <w:tcBorders>
              <w:top w:val="nil"/>
              <w:left w:val="nil"/>
              <w:bottom w:val="nil"/>
              <w:right w:val="nil"/>
            </w:tcBorders>
            <w:shd w:val="clear" w:color="000000" w:fill="auto"/>
            <w:noWrap/>
            <w:vAlign w:val="bottom"/>
            <w:hideMark/>
          </w:tcPr>
          <w:p w14:paraId="1B294316" w14:textId="54363E99" w:rsidR="00D04BEE" w:rsidRPr="00D04BEE" w:rsidRDefault="00D04BEE" w:rsidP="00D04BEE">
            <w:pPr>
              <w:spacing w:after="0" w:line="240" w:lineRule="auto"/>
              <w:jc w:val="right"/>
              <w:rPr>
                <w:sz w:val="18"/>
                <w:szCs w:val="18"/>
                <w:lang w:eastAsia="sk-SK"/>
              </w:rPr>
            </w:pPr>
            <w:r w:rsidRPr="00D04BEE">
              <w:rPr>
                <w:sz w:val="18"/>
                <w:szCs w:val="18"/>
              </w:rPr>
              <w:t>50 902</w:t>
            </w:r>
          </w:p>
        </w:tc>
        <w:tc>
          <w:tcPr>
            <w:tcW w:w="980" w:type="dxa"/>
            <w:tcBorders>
              <w:top w:val="nil"/>
              <w:left w:val="nil"/>
              <w:bottom w:val="nil"/>
              <w:right w:val="nil"/>
            </w:tcBorders>
            <w:shd w:val="clear" w:color="auto" w:fill="auto"/>
            <w:noWrap/>
            <w:vAlign w:val="bottom"/>
            <w:hideMark/>
          </w:tcPr>
          <w:p w14:paraId="18FF67EE" w14:textId="349567CD" w:rsidR="00D04BEE" w:rsidRPr="00D04BEE" w:rsidRDefault="00D04BEE" w:rsidP="00D04BEE">
            <w:pPr>
              <w:spacing w:after="0" w:line="240" w:lineRule="auto"/>
              <w:jc w:val="right"/>
              <w:rPr>
                <w:color w:val="000000"/>
                <w:sz w:val="18"/>
                <w:szCs w:val="18"/>
                <w:lang w:eastAsia="sk-SK"/>
              </w:rPr>
            </w:pPr>
            <w:r w:rsidRPr="00D04BEE">
              <w:rPr>
                <w:color w:val="000000"/>
                <w:sz w:val="18"/>
                <w:szCs w:val="18"/>
              </w:rPr>
              <w:t>-54 225</w:t>
            </w:r>
          </w:p>
        </w:tc>
        <w:tc>
          <w:tcPr>
            <w:tcW w:w="1000" w:type="dxa"/>
            <w:tcBorders>
              <w:top w:val="nil"/>
              <w:left w:val="nil"/>
              <w:bottom w:val="nil"/>
              <w:right w:val="nil"/>
            </w:tcBorders>
            <w:shd w:val="clear" w:color="auto" w:fill="auto"/>
            <w:noWrap/>
            <w:vAlign w:val="bottom"/>
            <w:hideMark/>
          </w:tcPr>
          <w:p w14:paraId="1942CD23" w14:textId="60A6FB18" w:rsidR="00D04BEE" w:rsidRPr="00D04BEE" w:rsidRDefault="00D04BEE" w:rsidP="00D04BEE">
            <w:pPr>
              <w:tabs>
                <w:tab w:val="decimal" w:pos="451"/>
              </w:tabs>
              <w:spacing w:after="0" w:line="240" w:lineRule="auto"/>
              <w:jc w:val="center"/>
              <w:rPr>
                <w:color w:val="000000"/>
                <w:sz w:val="18"/>
                <w:szCs w:val="18"/>
                <w:lang w:eastAsia="sk-SK"/>
              </w:rPr>
            </w:pPr>
            <w:r w:rsidRPr="00D04BEE">
              <w:rPr>
                <w:color w:val="000000"/>
                <w:sz w:val="18"/>
                <w:szCs w:val="18"/>
              </w:rPr>
              <w:t>88,2</w:t>
            </w:r>
          </w:p>
        </w:tc>
      </w:tr>
      <w:tr w:rsidR="00D04BEE" w:rsidRPr="00D04BEE" w14:paraId="6A57E80A" w14:textId="77777777" w:rsidTr="0019064B">
        <w:trPr>
          <w:trHeight w:val="300"/>
        </w:trPr>
        <w:tc>
          <w:tcPr>
            <w:tcW w:w="4101" w:type="dxa"/>
            <w:tcBorders>
              <w:top w:val="nil"/>
              <w:left w:val="nil"/>
              <w:bottom w:val="single" w:sz="4" w:space="0" w:color="auto"/>
              <w:right w:val="nil"/>
            </w:tcBorders>
            <w:shd w:val="clear" w:color="auto" w:fill="auto"/>
            <w:noWrap/>
            <w:vAlign w:val="center"/>
            <w:hideMark/>
          </w:tcPr>
          <w:p w14:paraId="3414AB31" w14:textId="77777777" w:rsidR="00D04BEE" w:rsidRPr="00D04BEE" w:rsidRDefault="00D04BEE" w:rsidP="00D04BEE">
            <w:pPr>
              <w:spacing w:after="0" w:line="240" w:lineRule="auto"/>
              <w:ind w:firstLineChars="100" w:firstLine="180"/>
              <w:rPr>
                <w:color w:val="000000"/>
                <w:sz w:val="18"/>
                <w:szCs w:val="18"/>
                <w:lang w:eastAsia="sk-SK"/>
              </w:rPr>
            </w:pPr>
            <w:r w:rsidRPr="00D04BEE">
              <w:rPr>
                <w:color w:val="000000"/>
                <w:sz w:val="18"/>
                <w:szCs w:val="18"/>
                <w:lang w:eastAsia="sk-SK"/>
              </w:rPr>
              <w:t>Kapitálové transfery</w:t>
            </w:r>
          </w:p>
        </w:tc>
        <w:tc>
          <w:tcPr>
            <w:tcW w:w="1120" w:type="dxa"/>
            <w:tcBorders>
              <w:top w:val="nil"/>
              <w:left w:val="nil"/>
              <w:bottom w:val="single" w:sz="4" w:space="0" w:color="auto"/>
              <w:right w:val="nil"/>
            </w:tcBorders>
            <w:shd w:val="clear" w:color="auto" w:fill="auto"/>
            <w:noWrap/>
            <w:vAlign w:val="bottom"/>
            <w:hideMark/>
          </w:tcPr>
          <w:p w14:paraId="17F833A5" w14:textId="54EF88E4" w:rsidR="00D04BEE" w:rsidRPr="00D04BEE" w:rsidRDefault="00D04BEE" w:rsidP="00D04BEE">
            <w:pPr>
              <w:spacing w:after="0" w:line="240" w:lineRule="auto"/>
              <w:jc w:val="right"/>
              <w:rPr>
                <w:color w:val="000000"/>
                <w:sz w:val="18"/>
                <w:szCs w:val="18"/>
                <w:lang w:eastAsia="sk-SK"/>
              </w:rPr>
            </w:pPr>
            <w:r w:rsidRPr="00D04BEE">
              <w:rPr>
                <w:color w:val="000000"/>
                <w:sz w:val="18"/>
                <w:szCs w:val="18"/>
              </w:rPr>
              <w:t>644 890</w:t>
            </w:r>
          </w:p>
        </w:tc>
        <w:tc>
          <w:tcPr>
            <w:tcW w:w="1040" w:type="dxa"/>
            <w:tcBorders>
              <w:top w:val="nil"/>
              <w:left w:val="nil"/>
              <w:bottom w:val="single" w:sz="4" w:space="0" w:color="auto"/>
              <w:right w:val="nil"/>
            </w:tcBorders>
            <w:shd w:val="clear" w:color="auto" w:fill="auto"/>
            <w:noWrap/>
            <w:vAlign w:val="bottom"/>
            <w:hideMark/>
          </w:tcPr>
          <w:p w14:paraId="27E2074D" w14:textId="756977F6" w:rsidR="00D04BEE" w:rsidRPr="00D04BEE" w:rsidRDefault="00D04BEE" w:rsidP="00D04BEE">
            <w:pPr>
              <w:spacing w:after="0" w:line="240" w:lineRule="auto"/>
              <w:jc w:val="right"/>
              <w:rPr>
                <w:color w:val="000000"/>
                <w:sz w:val="18"/>
                <w:szCs w:val="18"/>
                <w:lang w:eastAsia="sk-SK"/>
              </w:rPr>
            </w:pPr>
            <w:r w:rsidRPr="00D04BEE">
              <w:rPr>
                <w:sz w:val="18"/>
                <w:szCs w:val="18"/>
              </w:rPr>
              <w:t>850 173</w:t>
            </w:r>
          </w:p>
        </w:tc>
        <w:tc>
          <w:tcPr>
            <w:tcW w:w="1025" w:type="dxa"/>
            <w:tcBorders>
              <w:top w:val="nil"/>
              <w:left w:val="nil"/>
              <w:bottom w:val="single" w:sz="4" w:space="0" w:color="auto"/>
              <w:right w:val="nil"/>
            </w:tcBorders>
            <w:shd w:val="clear" w:color="000000" w:fill="auto"/>
            <w:noWrap/>
            <w:vAlign w:val="bottom"/>
            <w:hideMark/>
          </w:tcPr>
          <w:p w14:paraId="253EDDF4" w14:textId="37055E3D" w:rsidR="00D04BEE" w:rsidRPr="00D04BEE" w:rsidRDefault="00D04BEE" w:rsidP="00D04BEE">
            <w:pPr>
              <w:spacing w:after="0" w:line="240" w:lineRule="auto"/>
              <w:jc w:val="right"/>
              <w:rPr>
                <w:sz w:val="18"/>
                <w:szCs w:val="18"/>
                <w:lang w:eastAsia="sk-SK"/>
              </w:rPr>
            </w:pPr>
            <w:r w:rsidRPr="00D04BEE">
              <w:rPr>
                <w:sz w:val="18"/>
                <w:szCs w:val="18"/>
              </w:rPr>
              <w:t>2 084 799</w:t>
            </w:r>
          </w:p>
        </w:tc>
        <w:tc>
          <w:tcPr>
            <w:tcW w:w="980" w:type="dxa"/>
            <w:tcBorders>
              <w:top w:val="nil"/>
              <w:left w:val="nil"/>
              <w:bottom w:val="single" w:sz="4" w:space="0" w:color="auto"/>
              <w:right w:val="nil"/>
            </w:tcBorders>
            <w:shd w:val="clear" w:color="auto" w:fill="auto"/>
            <w:noWrap/>
            <w:vAlign w:val="bottom"/>
            <w:hideMark/>
          </w:tcPr>
          <w:p w14:paraId="77D5B054" w14:textId="028E77D7" w:rsidR="00D04BEE" w:rsidRPr="00D04BEE" w:rsidRDefault="00D04BEE" w:rsidP="00D04BEE">
            <w:pPr>
              <w:spacing w:after="0" w:line="240" w:lineRule="auto"/>
              <w:jc w:val="right"/>
              <w:rPr>
                <w:color w:val="000000"/>
                <w:sz w:val="18"/>
                <w:szCs w:val="18"/>
                <w:lang w:eastAsia="sk-SK"/>
              </w:rPr>
            </w:pPr>
            <w:r w:rsidRPr="00D04BEE">
              <w:rPr>
                <w:color w:val="000000"/>
                <w:sz w:val="18"/>
                <w:szCs w:val="18"/>
              </w:rPr>
              <w:t>476 838</w:t>
            </w:r>
          </w:p>
        </w:tc>
        <w:tc>
          <w:tcPr>
            <w:tcW w:w="1000" w:type="dxa"/>
            <w:tcBorders>
              <w:top w:val="nil"/>
              <w:left w:val="nil"/>
              <w:bottom w:val="single" w:sz="4" w:space="0" w:color="auto"/>
              <w:right w:val="nil"/>
            </w:tcBorders>
            <w:shd w:val="clear" w:color="auto" w:fill="auto"/>
            <w:noWrap/>
            <w:vAlign w:val="bottom"/>
            <w:hideMark/>
          </w:tcPr>
          <w:p w14:paraId="5BDA8CC9" w14:textId="1B24754D" w:rsidR="00D04BEE" w:rsidRPr="00D04BEE" w:rsidRDefault="00D04BEE" w:rsidP="00D04BEE">
            <w:pPr>
              <w:tabs>
                <w:tab w:val="decimal" w:pos="451"/>
              </w:tabs>
              <w:spacing w:after="0" w:line="240" w:lineRule="auto"/>
              <w:jc w:val="center"/>
              <w:rPr>
                <w:color w:val="000000"/>
                <w:sz w:val="18"/>
                <w:szCs w:val="18"/>
                <w:lang w:eastAsia="sk-SK"/>
              </w:rPr>
            </w:pPr>
            <w:r w:rsidRPr="00D04BEE">
              <w:rPr>
                <w:color w:val="000000"/>
                <w:sz w:val="18"/>
                <w:szCs w:val="18"/>
              </w:rPr>
              <w:t>145,2</w:t>
            </w:r>
          </w:p>
        </w:tc>
      </w:tr>
      <w:tr w:rsidR="00D04BEE" w:rsidRPr="00D04BEE" w14:paraId="678173C4" w14:textId="77777777" w:rsidTr="0019064B">
        <w:trPr>
          <w:trHeight w:val="300"/>
        </w:trPr>
        <w:tc>
          <w:tcPr>
            <w:tcW w:w="4101" w:type="dxa"/>
            <w:tcBorders>
              <w:top w:val="single" w:sz="4" w:space="0" w:color="auto"/>
              <w:left w:val="nil"/>
              <w:bottom w:val="nil"/>
              <w:right w:val="nil"/>
            </w:tcBorders>
            <w:shd w:val="clear" w:color="000000" w:fill="auto"/>
            <w:vAlign w:val="center"/>
            <w:hideMark/>
          </w:tcPr>
          <w:p w14:paraId="496DAC7C" w14:textId="77777777" w:rsidR="00D04BEE" w:rsidRPr="00D04BEE" w:rsidRDefault="00D04BEE" w:rsidP="00D04BEE">
            <w:pPr>
              <w:spacing w:after="0" w:line="240" w:lineRule="auto"/>
              <w:jc w:val="both"/>
              <w:rPr>
                <w:b/>
                <w:bCs/>
                <w:sz w:val="18"/>
                <w:szCs w:val="18"/>
                <w:lang w:eastAsia="sk-SK"/>
              </w:rPr>
            </w:pPr>
            <w:r w:rsidRPr="00D04BEE">
              <w:rPr>
                <w:b/>
                <w:bCs/>
                <w:sz w:val="18"/>
                <w:szCs w:val="18"/>
                <w:lang w:eastAsia="sk-SK"/>
              </w:rPr>
              <w:t>Výdavky spolu</w:t>
            </w:r>
          </w:p>
        </w:tc>
        <w:tc>
          <w:tcPr>
            <w:tcW w:w="1120" w:type="dxa"/>
            <w:tcBorders>
              <w:top w:val="single" w:sz="4" w:space="0" w:color="auto"/>
              <w:left w:val="nil"/>
              <w:bottom w:val="nil"/>
              <w:right w:val="nil"/>
            </w:tcBorders>
            <w:shd w:val="clear" w:color="000000" w:fill="auto"/>
            <w:noWrap/>
            <w:vAlign w:val="bottom"/>
            <w:hideMark/>
          </w:tcPr>
          <w:p w14:paraId="0F7EFD9F" w14:textId="1356B84B" w:rsidR="00D04BEE" w:rsidRPr="00D04BEE" w:rsidRDefault="00D04BEE" w:rsidP="00D04BEE">
            <w:pPr>
              <w:spacing w:after="0" w:line="240" w:lineRule="auto"/>
              <w:jc w:val="right"/>
              <w:rPr>
                <w:b/>
                <w:bCs/>
                <w:color w:val="000000"/>
                <w:sz w:val="18"/>
                <w:szCs w:val="18"/>
                <w:lang w:eastAsia="sk-SK"/>
              </w:rPr>
            </w:pPr>
            <w:r w:rsidRPr="00D04BEE">
              <w:rPr>
                <w:b/>
                <w:bCs/>
                <w:color w:val="000000"/>
                <w:sz w:val="18"/>
                <w:szCs w:val="18"/>
              </w:rPr>
              <w:t>45 766 726</w:t>
            </w:r>
          </w:p>
        </w:tc>
        <w:tc>
          <w:tcPr>
            <w:tcW w:w="1040" w:type="dxa"/>
            <w:tcBorders>
              <w:top w:val="single" w:sz="4" w:space="0" w:color="auto"/>
              <w:left w:val="nil"/>
              <w:bottom w:val="nil"/>
              <w:right w:val="nil"/>
            </w:tcBorders>
            <w:shd w:val="clear" w:color="000000" w:fill="auto"/>
            <w:noWrap/>
            <w:vAlign w:val="bottom"/>
            <w:hideMark/>
          </w:tcPr>
          <w:p w14:paraId="15D477CF" w14:textId="7FE1966C" w:rsidR="00D04BEE" w:rsidRPr="00D04BEE" w:rsidRDefault="00D04BEE" w:rsidP="00D04BEE">
            <w:pPr>
              <w:spacing w:after="0" w:line="240" w:lineRule="auto"/>
              <w:jc w:val="right"/>
              <w:rPr>
                <w:b/>
                <w:bCs/>
                <w:color w:val="000000"/>
                <w:sz w:val="18"/>
                <w:szCs w:val="18"/>
                <w:lang w:eastAsia="sk-SK"/>
              </w:rPr>
            </w:pPr>
            <w:r w:rsidRPr="00D04BEE">
              <w:rPr>
                <w:b/>
                <w:bCs/>
                <w:color w:val="000000"/>
                <w:sz w:val="18"/>
                <w:szCs w:val="18"/>
              </w:rPr>
              <w:t>47 332 577</w:t>
            </w:r>
          </w:p>
        </w:tc>
        <w:tc>
          <w:tcPr>
            <w:tcW w:w="1025" w:type="dxa"/>
            <w:tcBorders>
              <w:top w:val="single" w:sz="4" w:space="0" w:color="auto"/>
              <w:left w:val="nil"/>
              <w:bottom w:val="nil"/>
              <w:right w:val="nil"/>
            </w:tcBorders>
            <w:shd w:val="clear" w:color="000000" w:fill="auto"/>
            <w:noWrap/>
            <w:vAlign w:val="bottom"/>
            <w:hideMark/>
          </w:tcPr>
          <w:p w14:paraId="1304F8C6" w14:textId="2999A770" w:rsidR="00D04BEE" w:rsidRPr="00D04BEE" w:rsidRDefault="00D04BEE" w:rsidP="00D04BEE">
            <w:pPr>
              <w:spacing w:after="0" w:line="240" w:lineRule="auto"/>
              <w:jc w:val="right"/>
              <w:rPr>
                <w:b/>
                <w:bCs/>
                <w:color w:val="000000"/>
                <w:sz w:val="18"/>
                <w:szCs w:val="18"/>
                <w:lang w:eastAsia="sk-SK"/>
              </w:rPr>
            </w:pPr>
            <w:r w:rsidRPr="00D04BEE">
              <w:rPr>
                <w:b/>
                <w:bCs/>
                <w:color w:val="000000"/>
                <w:sz w:val="18"/>
                <w:szCs w:val="18"/>
              </w:rPr>
              <w:t>59 571 577</w:t>
            </w:r>
          </w:p>
        </w:tc>
        <w:tc>
          <w:tcPr>
            <w:tcW w:w="980" w:type="dxa"/>
            <w:tcBorders>
              <w:top w:val="single" w:sz="4" w:space="0" w:color="auto"/>
              <w:left w:val="nil"/>
              <w:bottom w:val="nil"/>
              <w:right w:val="nil"/>
            </w:tcBorders>
            <w:shd w:val="clear" w:color="000000" w:fill="auto"/>
            <w:noWrap/>
            <w:vAlign w:val="bottom"/>
            <w:hideMark/>
          </w:tcPr>
          <w:p w14:paraId="40C87CBA" w14:textId="0B8740BF" w:rsidR="00D04BEE" w:rsidRPr="00D04BEE" w:rsidRDefault="00D04BEE" w:rsidP="00D04BEE">
            <w:pPr>
              <w:spacing w:after="0" w:line="240" w:lineRule="auto"/>
              <w:jc w:val="right"/>
              <w:rPr>
                <w:b/>
                <w:bCs/>
                <w:color w:val="000000"/>
                <w:sz w:val="18"/>
                <w:szCs w:val="18"/>
                <w:lang w:eastAsia="sk-SK"/>
              </w:rPr>
            </w:pPr>
            <w:r w:rsidRPr="00D04BEE">
              <w:rPr>
                <w:b/>
                <w:bCs/>
                <w:color w:val="000000"/>
                <w:sz w:val="18"/>
                <w:szCs w:val="18"/>
              </w:rPr>
              <w:t>58 965 689</w:t>
            </w:r>
          </w:p>
        </w:tc>
        <w:tc>
          <w:tcPr>
            <w:tcW w:w="1000" w:type="dxa"/>
            <w:tcBorders>
              <w:top w:val="single" w:sz="4" w:space="0" w:color="auto"/>
              <w:left w:val="nil"/>
              <w:bottom w:val="nil"/>
              <w:right w:val="nil"/>
            </w:tcBorders>
            <w:shd w:val="clear" w:color="000000" w:fill="auto"/>
            <w:noWrap/>
            <w:vAlign w:val="bottom"/>
            <w:hideMark/>
          </w:tcPr>
          <w:p w14:paraId="6665B945" w14:textId="4554BCDC" w:rsidR="00D04BEE" w:rsidRPr="00D04BEE" w:rsidRDefault="00D04BEE" w:rsidP="00D04BEE">
            <w:pPr>
              <w:tabs>
                <w:tab w:val="decimal" w:pos="451"/>
              </w:tabs>
              <w:spacing w:after="0" w:line="240" w:lineRule="auto"/>
              <w:jc w:val="center"/>
              <w:rPr>
                <w:b/>
                <w:bCs/>
                <w:color w:val="000000"/>
                <w:sz w:val="18"/>
                <w:szCs w:val="18"/>
                <w:lang w:eastAsia="sk-SK"/>
              </w:rPr>
            </w:pPr>
            <w:r w:rsidRPr="00D04BEE">
              <w:rPr>
                <w:b/>
                <w:bCs/>
                <w:color w:val="000000"/>
                <w:sz w:val="18"/>
                <w:szCs w:val="18"/>
              </w:rPr>
              <w:t>25,9</w:t>
            </w:r>
          </w:p>
        </w:tc>
      </w:tr>
      <w:tr w:rsidR="00D04BEE" w:rsidRPr="00D04BEE" w14:paraId="2D98A6D2" w14:textId="77777777" w:rsidTr="0019064B">
        <w:trPr>
          <w:trHeight w:val="330"/>
        </w:trPr>
        <w:tc>
          <w:tcPr>
            <w:tcW w:w="4101" w:type="dxa"/>
            <w:tcBorders>
              <w:top w:val="nil"/>
              <w:left w:val="nil"/>
              <w:bottom w:val="single" w:sz="4" w:space="0" w:color="auto"/>
              <w:right w:val="nil"/>
            </w:tcBorders>
            <w:shd w:val="clear" w:color="000000" w:fill="auto"/>
            <w:noWrap/>
            <w:vAlign w:val="center"/>
            <w:hideMark/>
          </w:tcPr>
          <w:p w14:paraId="6C430F07" w14:textId="77777777" w:rsidR="00D04BEE" w:rsidRPr="00D04BEE" w:rsidRDefault="00D04BEE" w:rsidP="00D04BEE">
            <w:pPr>
              <w:spacing w:after="0" w:line="240" w:lineRule="auto"/>
              <w:rPr>
                <w:b/>
                <w:bCs/>
                <w:sz w:val="18"/>
                <w:szCs w:val="18"/>
                <w:lang w:eastAsia="sk-SK"/>
              </w:rPr>
            </w:pPr>
            <w:r w:rsidRPr="00D04BEE">
              <w:rPr>
                <w:b/>
                <w:bCs/>
                <w:sz w:val="18"/>
                <w:szCs w:val="18"/>
                <w:lang w:eastAsia="sk-SK"/>
              </w:rPr>
              <w:t xml:space="preserve">     % z HDP</w:t>
            </w:r>
          </w:p>
        </w:tc>
        <w:tc>
          <w:tcPr>
            <w:tcW w:w="1120" w:type="dxa"/>
            <w:tcBorders>
              <w:top w:val="nil"/>
              <w:left w:val="nil"/>
              <w:bottom w:val="single" w:sz="4" w:space="0" w:color="auto"/>
              <w:right w:val="nil"/>
            </w:tcBorders>
            <w:shd w:val="clear" w:color="000000" w:fill="auto"/>
            <w:noWrap/>
            <w:vAlign w:val="bottom"/>
            <w:hideMark/>
          </w:tcPr>
          <w:p w14:paraId="63A45DCD" w14:textId="091D3F8B" w:rsidR="00D04BEE" w:rsidRPr="00D04BEE" w:rsidRDefault="00D04BEE" w:rsidP="00D04BEE">
            <w:pPr>
              <w:spacing w:after="0" w:line="240" w:lineRule="auto"/>
              <w:jc w:val="right"/>
              <w:rPr>
                <w:b/>
                <w:bCs/>
                <w:color w:val="000000"/>
                <w:sz w:val="18"/>
                <w:szCs w:val="18"/>
                <w:lang w:eastAsia="sk-SK"/>
              </w:rPr>
            </w:pPr>
            <w:r w:rsidRPr="00D04BEE">
              <w:rPr>
                <w:b/>
                <w:bCs/>
                <w:color w:val="000000"/>
                <w:sz w:val="18"/>
                <w:szCs w:val="18"/>
              </w:rPr>
              <w:t>44,9</w:t>
            </w:r>
          </w:p>
        </w:tc>
        <w:tc>
          <w:tcPr>
            <w:tcW w:w="1040" w:type="dxa"/>
            <w:tcBorders>
              <w:top w:val="nil"/>
              <w:left w:val="nil"/>
              <w:bottom w:val="single" w:sz="4" w:space="0" w:color="auto"/>
              <w:right w:val="nil"/>
            </w:tcBorders>
            <w:shd w:val="clear" w:color="000000" w:fill="auto"/>
            <w:noWrap/>
            <w:vAlign w:val="bottom"/>
            <w:hideMark/>
          </w:tcPr>
          <w:p w14:paraId="33AF6ECB" w14:textId="30C4058D" w:rsidR="00D04BEE" w:rsidRPr="00D04BEE" w:rsidRDefault="00D04BEE" w:rsidP="00D04BEE">
            <w:pPr>
              <w:spacing w:after="0" w:line="240" w:lineRule="auto"/>
              <w:jc w:val="right"/>
              <w:rPr>
                <w:b/>
                <w:bCs/>
                <w:color w:val="000000"/>
                <w:sz w:val="18"/>
                <w:szCs w:val="18"/>
                <w:lang w:eastAsia="sk-SK"/>
              </w:rPr>
            </w:pPr>
            <w:r w:rsidRPr="00D04BEE">
              <w:rPr>
                <w:b/>
                <w:bCs/>
                <w:color w:val="000000"/>
                <w:sz w:val="18"/>
                <w:szCs w:val="18"/>
              </w:rPr>
              <w:t>43,0</w:t>
            </w:r>
          </w:p>
        </w:tc>
        <w:tc>
          <w:tcPr>
            <w:tcW w:w="1025" w:type="dxa"/>
            <w:tcBorders>
              <w:top w:val="nil"/>
              <w:left w:val="nil"/>
              <w:bottom w:val="single" w:sz="4" w:space="0" w:color="auto"/>
              <w:right w:val="nil"/>
            </w:tcBorders>
            <w:shd w:val="clear" w:color="000000" w:fill="auto"/>
            <w:noWrap/>
            <w:vAlign w:val="bottom"/>
            <w:hideMark/>
          </w:tcPr>
          <w:p w14:paraId="6C3A3C1B" w14:textId="3F3C683C" w:rsidR="00D04BEE" w:rsidRPr="00D04BEE" w:rsidRDefault="00D04BEE" w:rsidP="00D04BEE">
            <w:pPr>
              <w:spacing w:after="0" w:line="240" w:lineRule="auto"/>
              <w:jc w:val="right"/>
              <w:rPr>
                <w:b/>
                <w:bCs/>
                <w:color w:val="000000"/>
                <w:sz w:val="18"/>
                <w:szCs w:val="18"/>
                <w:lang w:eastAsia="sk-SK"/>
              </w:rPr>
            </w:pPr>
            <w:r w:rsidRPr="00D04BEE">
              <w:rPr>
                <w:b/>
                <w:bCs/>
                <w:color w:val="000000"/>
                <w:sz w:val="18"/>
                <w:szCs w:val="18"/>
              </w:rPr>
              <w:t>48,5</w:t>
            </w:r>
          </w:p>
        </w:tc>
        <w:tc>
          <w:tcPr>
            <w:tcW w:w="980" w:type="dxa"/>
            <w:tcBorders>
              <w:top w:val="nil"/>
              <w:left w:val="nil"/>
              <w:bottom w:val="single" w:sz="4" w:space="0" w:color="auto"/>
              <w:right w:val="nil"/>
            </w:tcBorders>
            <w:shd w:val="clear" w:color="000000" w:fill="auto"/>
            <w:noWrap/>
            <w:vAlign w:val="bottom"/>
            <w:hideMark/>
          </w:tcPr>
          <w:p w14:paraId="1120DA43" w14:textId="0528D96E" w:rsidR="00D04BEE" w:rsidRPr="00D04BEE" w:rsidRDefault="00D04BEE" w:rsidP="00D04BEE">
            <w:pPr>
              <w:spacing w:after="0" w:line="240" w:lineRule="auto"/>
              <w:jc w:val="right"/>
              <w:rPr>
                <w:b/>
                <w:bCs/>
                <w:color w:val="000000"/>
                <w:sz w:val="18"/>
                <w:szCs w:val="18"/>
                <w:lang w:eastAsia="sk-SK"/>
              </w:rPr>
            </w:pPr>
            <w:r w:rsidRPr="00D04BEE">
              <w:rPr>
                <w:b/>
                <w:bCs/>
                <w:color w:val="000000"/>
                <w:sz w:val="18"/>
                <w:szCs w:val="18"/>
              </w:rPr>
              <w:t>48,2</w:t>
            </w:r>
          </w:p>
        </w:tc>
        <w:tc>
          <w:tcPr>
            <w:tcW w:w="1000" w:type="dxa"/>
            <w:tcBorders>
              <w:top w:val="nil"/>
              <w:left w:val="nil"/>
              <w:bottom w:val="single" w:sz="4" w:space="0" w:color="auto"/>
              <w:right w:val="nil"/>
            </w:tcBorders>
            <w:shd w:val="clear" w:color="000000" w:fill="auto"/>
            <w:noWrap/>
            <w:vAlign w:val="bottom"/>
            <w:hideMark/>
          </w:tcPr>
          <w:p w14:paraId="3461F8F5" w14:textId="6352ACE1" w:rsidR="00D04BEE" w:rsidRPr="00D04BEE" w:rsidRDefault="00D04BEE" w:rsidP="00D04BEE">
            <w:pPr>
              <w:tabs>
                <w:tab w:val="decimal" w:pos="451"/>
              </w:tabs>
              <w:spacing w:after="0" w:line="240" w:lineRule="auto"/>
              <w:jc w:val="center"/>
              <w:rPr>
                <w:b/>
                <w:bCs/>
                <w:color w:val="000000"/>
                <w:sz w:val="18"/>
                <w:szCs w:val="18"/>
                <w:lang w:eastAsia="sk-SK"/>
              </w:rPr>
            </w:pPr>
            <w:r w:rsidRPr="00D04BEE">
              <w:rPr>
                <w:b/>
                <w:bCs/>
                <w:color w:val="000000"/>
                <w:sz w:val="18"/>
                <w:szCs w:val="18"/>
              </w:rPr>
              <w:t>5,5</w:t>
            </w:r>
          </w:p>
        </w:tc>
      </w:tr>
    </w:tbl>
    <w:p w14:paraId="54449BA2" w14:textId="6B5C04A8" w:rsidR="00654390" w:rsidRPr="006F5C95" w:rsidRDefault="00654390" w:rsidP="00654390">
      <w:pPr>
        <w:spacing w:after="120" w:line="240" w:lineRule="auto"/>
        <w:rPr>
          <w:sz w:val="16"/>
          <w:szCs w:val="16"/>
        </w:rPr>
      </w:pPr>
      <w:r w:rsidRPr="006F5C95">
        <w:rPr>
          <w:sz w:val="16"/>
          <w:szCs w:val="16"/>
          <w:lang w:eastAsia="sk-SK"/>
        </w:rPr>
        <w:t xml:space="preserve">*Položky vyznačené kurzívou sú vykázané na hotovostnej báze z analytických dôvodov.                                    </w:t>
      </w:r>
      <w:r w:rsidR="001C21A5">
        <w:rPr>
          <w:sz w:val="16"/>
          <w:szCs w:val="16"/>
          <w:lang w:eastAsia="sk-SK"/>
        </w:rPr>
        <w:t xml:space="preserve">     </w:t>
      </w:r>
      <w:r w:rsidRPr="006F5C95">
        <w:rPr>
          <w:sz w:val="16"/>
          <w:szCs w:val="16"/>
          <w:lang w:eastAsia="sk-SK"/>
        </w:rPr>
        <w:t xml:space="preserve">              Zdroj: ŠÚSR, MF SR</w:t>
      </w:r>
    </w:p>
    <w:p w14:paraId="0A86A674" w14:textId="77777777" w:rsidR="002F1D21" w:rsidRPr="00654390" w:rsidRDefault="002F1D21" w:rsidP="002F1D21">
      <w:pPr>
        <w:spacing w:after="120" w:line="240" w:lineRule="auto"/>
        <w:jc w:val="both"/>
        <w:rPr>
          <w:b/>
          <w:color w:val="4F81BD" w:themeColor="accent1"/>
          <w:szCs w:val="22"/>
        </w:rPr>
      </w:pPr>
      <w:r w:rsidRPr="00654390">
        <w:rPr>
          <w:b/>
          <w:color w:val="4F81BD" w:themeColor="accent1"/>
          <w:sz w:val="24"/>
          <w:szCs w:val="24"/>
        </w:rPr>
        <w:t>Kompenzácie zamestnancov</w:t>
      </w:r>
      <w:r w:rsidRPr="00654390">
        <w:rPr>
          <w:b/>
          <w:color w:val="4F81BD" w:themeColor="accent1"/>
          <w:szCs w:val="22"/>
        </w:rPr>
        <w:t xml:space="preserve"> </w:t>
      </w:r>
    </w:p>
    <w:p w14:paraId="1425D9F5" w14:textId="07061999" w:rsidR="009A3759" w:rsidRDefault="009A3759" w:rsidP="009A3759">
      <w:pPr>
        <w:spacing w:after="120" w:line="240" w:lineRule="auto"/>
        <w:jc w:val="both"/>
        <w:rPr>
          <w:lang w:eastAsia="sk-SK"/>
        </w:rPr>
      </w:pPr>
      <w:r w:rsidRPr="00A764A4">
        <w:rPr>
          <w:szCs w:val="22"/>
        </w:rPr>
        <w:t xml:space="preserve">V roku 2023 vzrástli kompenzácie zamestnancov o 14,1 % (nárast o 1 683 151 tis. eur). </w:t>
      </w:r>
      <w:r w:rsidRPr="001C377F">
        <w:rPr>
          <w:lang w:eastAsia="sk-SK"/>
        </w:rPr>
        <w:t xml:space="preserve">Medziročný nárast výdavkov na mzdy, platy, služobné príjmy a ostatné osobné vyrovnania ovplyvnilo predovšetkým zvýšenie platov štátnych zamestnancov (v štátnozamestnaneckom aj služobnom pomere) </w:t>
      </w:r>
      <w:r w:rsidRPr="009F620C">
        <w:rPr>
          <w:lang w:eastAsia="sk-SK"/>
        </w:rPr>
        <w:t>a zamestnancov pri</w:t>
      </w:r>
      <w:r w:rsidR="00C765EA">
        <w:rPr>
          <w:lang w:eastAsia="sk-SK"/>
        </w:rPr>
        <w:t> </w:t>
      </w:r>
      <w:r w:rsidRPr="009F620C">
        <w:rPr>
          <w:lang w:eastAsia="sk-SK"/>
        </w:rPr>
        <w:t>výkone práce vo verejnom záujme o</w:t>
      </w:r>
      <w:r w:rsidR="004D02C1">
        <w:rPr>
          <w:lang w:eastAsia="sk-SK"/>
        </w:rPr>
        <w:t> </w:t>
      </w:r>
      <w:r w:rsidRPr="009F620C">
        <w:rPr>
          <w:lang w:eastAsia="sk-SK"/>
        </w:rPr>
        <w:t>7</w:t>
      </w:r>
      <w:r w:rsidR="004D02C1">
        <w:rPr>
          <w:lang w:eastAsia="sk-SK"/>
        </w:rPr>
        <w:t>,0</w:t>
      </w:r>
      <w:r w:rsidRPr="009F620C">
        <w:rPr>
          <w:lang w:eastAsia="sk-SK"/>
        </w:rPr>
        <w:t xml:space="preserve"> % </w:t>
      </w:r>
      <w:r>
        <w:rPr>
          <w:lang w:eastAsia="sk-SK"/>
        </w:rPr>
        <w:t>s účinnosťou od </w:t>
      </w:r>
      <w:r w:rsidRPr="009F620C">
        <w:rPr>
          <w:lang w:eastAsia="sk-SK"/>
        </w:rPr>
        <w:t>1. januára 202</w:t>
      </w:r>
      <w:r>
        <w:rPr>
          <w:lang w:eastAsia="sk-SK"/>
        </w:rPr>
        <w:t>3 a od 1. </w:t>
      </w:r>
      <w:r w:rsidRPr="009F620C">
        <w:rPr>
          <w:lang w:eastAsia="sk-SK"/>
        </w:rPr>
        <w:t>sep</w:t>
      </w:r>
      <w:r>
        <w:rPr>
          <w:lang w:eastAsia="sk-SK"/>
        </w:rPr>
        <w:t>tembra 2023 o ďalších 10</w:t>
      </w:r>
      <w:r w:rsidR="004D02C1">
        <w:rPr>
          <w:lang w:eastAsia="sk-SK"/>
        </w:rPr>
        <w:t>,0</w:t>
      </w:r>
      <w:r>
        <w:rPr>
          <w:lang w:eastAsia="sk-SK"/>
        </w:rPr>
        <w:t> %. Pedagogickým a odborným</w:t>
      </w:r>
      <w:r w:rsidRPr="009F620C">
        <w:rPr>
          <w:lang w:eastAsia="sk-SK"/>
        </w:rPr>
        <w:t xml:space="preserve"> zamestnan</w:t>
      </w:r>
      <w:r>
        <w:rPr>
          <w:lang w:eastAsia="sk-SK"/>
        </w:rPr>
        <w:t>com</w:t>
      </w:r>
      <w:r w:rsidRPr="009F620C">
        <w:rPr>
          <w:lang w:eastAsia="sk-SK"/>
        </w:rPr>
        <w:t xml:space="preserve"> sa zvýšili platy o</w:t>
      </w:r>
      <w:r w:rsidR="004D02C1">
        <w:rPr>
          <w:lang w:eastAsia="sk-SK"/>
        </w:rPr>
        <w:t> </w:t>
      </w:r>
      <w:r w:rsidRPr="009F620C">
        <w:rPr>
          <w:lang w:eastAsia="sk-SK"/>
        </w:rPr>
        <w:t>10</w:t>
      </w:r>
      <w:r w:rsidR="004D02C1">
        <w:rPr>
          <w:lang w:eastAsia="sk-SK"/>
        </w:rPr>
        <w:t>,0</w:t>
      </w:r>
      <w:r w:rsidRPr="009F620C">
        <w:rPr>
          <w:lang w:eastAsia="sk-SK"/>
        </w:rPr>
        <w:t> % s účinnosťou od</w:t>
      </w:r>
      <w:r>
        <w:rPr>
          <w:lang w:eastAsia="sk-SK"/>
        </w:rPr>
        <w:t> </w:t>
      </w:r>
      <w:r w:rsidRPr="009F620C">
        <w:rPr>
          <w:lang w:eastAsia="sk-SK"/>
        </w:rPr>
        <w:t>1. januára 2023</w:t>
      </w:r>
      <w:r>
        <w:rPr>
          <w:lang w:eastAsia="sk-SK"/>
        </w:rPr>
        <w:t xml:space="preserve"> a od </w:t>
      </w:r>
      <w:r w:rsidRPr="009F620C">
        <w:rPr>
          <w:lang w:eastAsia="sk-SK"/>
        </w:rPr>
        <w:t>1.</w:t>
      </w:r>
      <w:r>
        <w:rPr>
          <w:lang w:eastAsia="sk-SK"/>
        </w:rPr>
        <w:t> </w:t>
      </w:r>
      <w:r w:rsidRPr="009F620C">
        <w:rPr>
          <w:lang w:eastAsia="sk-SK"/>
        </w:rPr>
        <w:t>septembra 2023 o ďalších 12</w:t>
      </w:r>
      <w:r w:rsidR="004D02C1">
        <w:rPr>
          <w:lang w:eastAsia="sk-SK"/>
        </w:rPr>
        <w:t>,0</w:t>
      </w:r>
      <w:r w:rsidRPr="009F620C">
        <w:rPr>
          <w:lang w:eastAsia="sk-SK"/>
        </w:rPr>
        <w:t> %. Išlo o historicky najvyššiu valorizáciu platov zamestnancov štátnej správy v jednom roku.</w:t>
      </w:r>
    </w:p>
    <w:p w14:paraId="0B2743FB" w14:textId="099EEB5F" w:rsidR="009A3759" w:rsidRDefault="009A3759" w:rsidP="009A3759">
      <w:pPr>
        <w:spacing w:after="120" w:line="240" w:lineRule="auto"/>
        <w:jc w:val="both"/>
        <w:rPr>
          <w:lang w:eastAsia="sk-SK"/>
        </w:rPr>
      </w:pPr>
      <w:r>
        <w:rPr>
          <w:lang w:eastAsia="sk-SK"/>
        </w:rPr>
        <w:t>Kompenzácie zamestnancov v roku 2023 ovplyvnili aj poskytnuté tzv. stabilizačné príspevky</w:t>
      </w:r>
      <w:r w:rsidRPr="00B40A41">
        <w:rPr>
          <w:rStyle w:val="Odkaznapoznmkupodiarou"/>
          <w:lang w:eastAsia="sk-SK"/>
        </w:rPr>
        <w:footnoteReference w:id="20"/>
      </w:r>
      <w:r w:rsidRPr="00B40A41">
        <w:rPr>
          <w:lang w:eastAsia="sk-SK"/>
        </w:rPr>
        <w:t xml:space="preserve"> </w:t>
      </w:r>
      <w:r>
        <w:rPr>
          <w:lang w:eastAsia="sk-SK"/>
        </w:rPr>
        <w:t>pre zamestnancov</w:t>
      </w:r>
      <w:r w:rsidR="001B56D0">
        <w:rPr>
          <w:lang w:eastAsia="sk-SK"/>
        </w:rPr>
        <w:t xml:space="preserve"> (t. j. </w:t>
      </w:r>
      <w:r w:rsidR="001B56D0" w:rsidRPr="001B56D0">
        <w:rPr>
          <w:lang w:eastAsia="sk-SK"/>
        </w:rPr>
        <w:t>zdravotníckych pracovníkov v rámci ústavnej zdravotnej starostlivosti a</w:t>
      </w:r>
      <w:r w:rsidR="001C21A5">
        <w:rPr>
          <w:lang w:eastAsia="sk-SK"/>
        </w:rPr>
        <w:t> </w:t>
      </w:r>
      <w:r w:rsidR="001B56D0" w:rsidRPr="001B56D0">
        <w:rPr>
          <w:lang w:eastAsia="sk-SK"/>
        </w:rPr>
        <w:t>ambulancií záchrannej zdravotnej služb</w:t>
      </w:r>
      <w:r w:rsidR="001B56D0">
        <w:rPr>
          <w:lang w:eastAsia="sk-SK"/>
        </w:rPr>
        <w:t>y)</w:t>
      </w:r>
      <w:r>
        <w:rPr>
          <w:lang w:eastAsia="sk-SK"/>
        </w:rPr>
        <w:t xml:space="preserve"> zdravotníckych zariadení v pomernej výške 39 158 tis. eur. Stabilizačné príspevky boli totiž </w:t>
      </w:r>
      <w:r w:rsidRPr="00F37F0C">
        <w:rPr>
          <w:lang w:eastAsia="sk-SK"/>
        </w:rPr>
        <w:t xml:space="preserve">hotovostne vyplatené v roku 2022 z kapitoly Ministerstva zdravotníctva SR </w:t>
      </w:r>
      <w:r w:rsidRPr="00F37F0C">
        <w:rPr>
          <w:szCs w:val="22"/>
        </w:rPr>
        <w:t>vo</w:t>
      </w:r>
      <w:r w:rsidR="001C21A5">
        <w:rPr>
          <w:szCs w:val="22"/>
        </w:rPr>
        <w:t> </w:t>
      </w:r>
      <w:r w:rsidRPr="00F37F0C">
        <w:rPr>
          <w:szCs w:val="22"/>
        </w:rPr>
        <w:t>výške 169 269 tis. eur zamestnancom zdravotníckych zariadení (z toho vo verejnej správe 118 254</w:t>
      </w:r>
      <w:r w:rsidRPr="00F37F0C">
        <w:t> tis. eur</w:t>
      </w:r>
      <w:r w:rsidRPr="00F37F0C">
        <w:rPr>
          <w:szCs w:val="22"/>
        </w:rPr>
        <w:t xml:space="preserve">). Stabilizačný príspevok bol stanovený </w:t>
      </w:r>
      <w:r w:rsidRPr="00F37F0C">
        <w:rPr>
          <w:lang w:eastAsia="sk-SK"/>
        </w:rPr>
        <w:t>vo výške 5 000 eur (resp. v jeho pomernej časti podľa podmienok stanových usmernením Ministerstva zdravotníctva SR). Zdravotnícke zariadenia následne vyplatili do</w:t>
      </w:r>
      <w:r w:rsidR="001C21A5">
        <w:rPr>
          <w:lang w:eastAsia="sk-SK"/>
        </w:rPr>
        <w:t> </w:t>
      </w:r>
      <w:r w:rsidRPr="00F37F0C">
        <w:rPr>
          <w:lang w:eastAsia="sk-SK"/>
        </w:rPr>
        <w:t>konca roka 2022 preddavok zdravotní</w:t>
      </w:r>
      <w:r>
        <w:rPr>
          <w:lang w:eastAsia="sk-SK"/>
        </w:rPr>
        <w:t>ckym pracovníkom</w:t>
      </w:r>
      <w:r w:rsidR="001B56D0">
        <w:rPr>
          <w:lang w:eastAsia="sk-SK"/>
        </w:rPr>
        <w:t xml:space="preserve"> (t. j. </w:t>
      </w:r>
      <w:r w:rsidR="001B56D0" w:rsidRPr="001B56D0">
        <w:rPr>
          <w:lang w:eastAsia="sk-SK"/>
        </w:rPr>
        <w:t>zdravotnícky</w:t>
      </w:r>
      <w:r w:rsidR="001B56D0">
        <w:rPr>
          <w:lang w:eastAsia="sk-SK"/>
        </w:rPr>
        <w:t>m</w:t>
      </w:r>
      <w:r w:rsidR="001B56D0" w:rsidRPr="001B56D0">
        <w:rPr>
          <w:lang w:eastAsia="sk-SK"/>
        </w:rPr>
        <w:t xml:space="preserve"> pracovníkov v</w:t>
      </w:r>
      <w:r w:rsidR="001C21A5">
        <w:rPr>
          <w:lang w:eastAsia="sk-SK"/>
        </w:rPr>
        <w:t> </w:t>
      </w:r>
      <w:r w:rsidR="001B56D0" w:rsidRPr="001B56D0">
        <w:rPr>
          <w:lang w:eastAsia="sk-SK"/>
        </w:rPr>
        <w:t>rámci ústavnej zdravotnej starostlivosti a ambulancií záchrannej zdravotnej služby</w:t>
      </w:r>
      <w:r w:rsidR="003F3DBE">
        <w:rPr>
          <w:lang w:eastAsia="sk-SK"/>
        </w:rPr>
        <w:t>)</w:t>
      </w:r>
      <w:r>
        <w:rPr>
          <w:lang w:eastAsia="sk-SK"/>
        </w:rPr>
        <w:t xml:space="preserve"> vo výške 2 500 </w:t>
      </w:r>
      <w:r w:rsidRPr="00F37F0C">
        <w:rPr>
          <w:lang w:eastAsia="sk-SK"/>
        </w:rPr>
        <w:t>eur (resp. v jeho pomernej časti) a druhá časť stabilizačného príspevku bola vyplatená v decembrových mzdách s výplatným termínom v mesiaci január 2023.</w:t>
      </w:r>
      <w:r w:rsidRPr="00F37F0C">
        <w:rPr>
          <w:szCs w:val="22"/>
        </w:rPr>
        <w:t xml:space="preserve"> </w:t>
      </w:r>
      <w:r>
        <w:rPr>
          <w:lang w:eastAsia="sk-SK"/>
        </w:rPr>
        <w:t xml:space="preserve">V zmysle dohody </w:t>
      </w:r>
      <w:r w:rsidRPr="00E433C3">
        <w:rPr>
          <w:lang w:eastAsia="sk-SK"/>
        </w:rPr>
        <w:t>o poskytnutí stabilizačného príspevku sa za</w:t>
      </w:r>
      <w:r>
        <w:rPr>
          <w:lang w:eastAsia="sk-SK"/>
        </w:rPr>
        <w:t>mestnanec zaviazal, že zotrvá v </w:t>
      </w:r>
      <w:r w:rsidRPr="00E433C3">
        <w:rPr>
          <w:lang w:eastAsia="sk-SK"/>
        </w:rPr>
        <w:t>pracovnom pomere nepretržite počas troch rokov</w:t>
      </w:r>
      <w:r>
        <w:rPr>
          <w:lang w:eastAsia="sk-SK"/>
        </w:rPr>
        <w:t xml:space="preserve">, preto výdavok </w:t>
      </w:r>
      <w:r w:rsidRPr="00E433C3">
        <w:rPr>
          <w:lang w:eastAsia="sk-SK"/>
        </w:rPr>
        <w:t>zdravotníckych zariadení</w:t>
      </w:r>
      <w:r>
        <w:rPr>
          <w:lang w:eastAsia="sk-SK"/>
        </w:rPr>
        <w:t xml:space="preserve"> v </w:t>
      </w:r>
      <w:r w:rsidRPr="00E433C3">
        <w:rPr>
          <w:lang w:eastAsia="sk-SK"/>
        </w:rPr>
        <w:t>sektore verejnej správy bude rozložený na obdobie rokov 2023, 2024 a</w:t>
      </w:r>
      <w:r w:rsidR="00C765EA">
        <w:rPr>
          <w:lang w:eastAsia="sk-SK"/>
        </w:rPr>
        <w:t> </w:t>
      </w:r>
      <w:r w:rsidRPr="00E433C3">
        <w:rPr>
          <w:lang w:eastAsia="sk-SK"/>
        </w:rPr>
        <w:t>2025 v</w:t>
      </w:r>
      <w:r w:rsidR="001C21A5">
        <w:rPr>
          <w:lang w:eastAsia="sk-SK"/>
        </w:rPr>
        <w:t> </w:t>
      </w:r>
      <w:r w:rsidRPr="00E433C3">
        <w:rPr>
          <w:lang w:eastAsia="sk-SK"/>
        </w:rPr>
        <w:t>pomernej časti</w:t>
      </w:r>
      <w:r>
        <w:rPr>
          <w:lang w:eastAsia="sk-SK"/>
        </w:rPr>
        <w:t>.</w:t>
      </w:r>
    </w:p>
    <w:p w14:paraId="7C679B98" w14:textId="77777777" w:rsidR="009A3759" w:rsidRDefault="009A3759" w:rsidP="009A3759">
      <w:pPr>
        <w:spacing w:after="120" w:line="240" w:lineRule="auto"/>
        <w:jc w:val="both"/>
        <w:rPr>
          <w:lang w:eastAsia="sk-SK"/>
        </w:rPr>
      </w:pPr>
      <w:r w:rsidRPr="00A764A4">
        <w:rPr>
          <w:lang w:eastAsia="sk-SK"/>
        </w:rPr>
        <w:t>Celkovo</w:t>
      </w:r>
      <w:r w:rsidRPr="000C037D">
        <w:rPr>
          <w:lang w:eastAsia="sk-SK"/>
        </w:rPr>
        <w:t xml:space="preserve"> mzdy a platy zamestnancov vo verejnej správe vzrástli oproti predchádzajúcemu roku o 1 271 651 tis. eur </w:t>
      </w:r>
      <w:r>
        <w:rPr>
          <w:lang w:eastAsia="sk-SK"/>
        </w:rPr>
        <w:t xml:space="preserve">(o 14,9 %) </w:t>
      </w:r>
      <w:r w:rsidRPr="000C037D">
        <w:rPr>
          <w:lang w:eastAsia="sk-SK"/>
        </w:rPr>
        <w:t>a sociálne príspevky zamestnávateľov vzrástli o 411 500 tis. eur</w:t>
      </w:r>
      <w:r>
        <w:rPr>
          <w:lang w:eastAsia="sk-SK"/>
        </w:rPr>
        <w:t xml:space="preserve"> (o 12,1 %)</w:t>
      </w:r>
      <w:r w:rsidRPr="000C037D">
        <w:rPr>
          <w:lang w:eastAsia="sk-SK"/>
        </w:rPr>
        <w:t>.</w:t>
      </w:r>
      <w:r>
        <w:rPr>
          <w:lang w:eastAsia="sk-SK"/>
        </w:rPr>
        <w:t xml:space="preserve"> Išlo predovšetkým o nárast výdavkov na mzdy a platy na akruálnej báze v týchto zložkách verejnej správy (adekvátne k tomu rástli aj sociálne príspevky):</w:t>
      </w:r>
    </w:p>
    <w:p w14:paraId="2DC904E4" w14:textId="77777777" w:rsidR="009A3759" w:rsidRDefault="009A3759" w:rsidP="009A3759">
      <w:pPr>
        <w:pStyle w:val="Odsekzoznamu"/>
        <w:numPr>
          <w:ilvl w:val="0"/>
          <w:numId w:val="36"/>
        </w:numPr>
        <w:spacing w:after="120"/>
        <w:jc w:val="both"/>
      </w:pPr>
      <w:r>
        <w:t>štátne rozpočtové organizácie o 416 111 tis. eur,</w:t>
      </w:r>
    </w:p>
    <w:p w14:paraId="13CD5D3F" w14:textId="77777777" w:rsidR="009A3759" w:rsidRDefault="009A3759" w:rsidP="009A3759">
      <w:pPr>
        <w:pStyle w:val="Odsekzoznamu"/>
        <w:numPr>
          <w:ilvl w:val="0"/>
          <w:numId w:val="36"/>
        </w:numPr>
        <w:spacing w:after="120"/>
        <w:jc w:val="both"/>
      </w:pPr>
      <w:r>
        <w:t>zdravotnícke zariadenia ústrednej správy o 282 120 tis. eur,</w:t>
      </w:r>
    </w:p>
    <w:p w14:paraId="487EF920" w14:textId="197215B1" w:rsidR="009A3759" w:rsidRDefault="009A3759" w:rsidP="009A3759">
      <w:pPr>
        <w:pStyle w:val="Odsekzoznamu"/>
        <w:numPr>
          <w:ilvl w:val="0"/>
          <w:numId w:val="36"/>
        </w:numPr>
        <w:spacing w:after="120"/>
        <w:jc w:val="both"/>
      </w:pPr>
      <w:r>
        <w:t>obce</w:t>
      </w:r>
      <w:r w:rsidR="00A94716">
        <w:t xml:space="preserve"> a ich RO</w:t>
      </w:r>
      <w:r>
        <w:t xml:space="preserve"> o 272 088 tis. eur,</w:t>
      </w:r>
    </w:p>
    <w:p w14:paraId="4A282627" w14:textId="4B3F8EA5" w:rsidR="009A3759" w:rsidRDefault="009A3759" w:rsidP="009A3759">
      <w:pPr>
        <w:pStyle w:val="Odsekzoznamu"/>
        <w:numPr>
          <w:ilvl w:val="0"/>
          <w:numId w:val="36"/>
        </w:numPr>
        <w:spacing w:after="120"/>
        <w:jc w:val="both"/>
      </w:pPr>
      <w:r>
        <w:t>VÚC</w:t>
      </w:r>
      <w:r w:rsidR="000177FD">
        <w:t xml:space="preserve"> a ich RO</w:t>
      </w:r>
      <w:r>
        <w:t xml:space="preserve"> o 58 719 tis. eur,</w:t>
      </w:r>
    </w:p>
    <w:p w14:paraId="014C84BB" w14:textId="77777777" w:rsidR="009A3759" w:rsidRDefault="009A3759" w:rsidP="009A3759">
      <w:pPr>
        <w:pStyle w:val="Odsekzoznamu"/>
        <w:numPr>
          <w:ilvl w:val="0"/>
          <w:numId w:val="36"/>
        </w:numPr>
        <w:spacing w:after="120"/>
        <w:jc w:val="both"/>
      </w:pPr>
      <w:r>
        <w:t>zdravotnícke zariadenia územnej samosprávy o 37 891 tis. eur,</w:t>
      </w:r>
    </w:p>
    <w:p w14:paraId="6F8CB640" w14:textId="77777777" w:rsidR="009A3759" w:rsidRDefault="009A3759" w:rsidP="009A3759">
      <w:pPr>
        <w:pStyle w:val="Odsekzoznamu"/>
        <w:numPr>
          <w:ilvl w:val="0"/>
          <w:numId w:val="36"/>
        </w:numPr>
        <w:spacing w:after="120"/>
        <w:jc w:val="both"/>
      </w:pPr>
      <w:r>
        <w:t>verejné vysoké školy o 34 097 tis. eur,</w:t>
      </w:r>
    </w:p>
    <w:p w14:paraId="04389790" w14:textId="77777777" w:rsidR="009A3759" w:rsidRDefault="009A3759" w:rsidP="009A3759">
      <w:pPr>
        <w:pStyle w:val="Odsekzoznamu"/>
        <w:numPr>
          <w:ilvl w:val="0"/>
          <w:numId w:val="36"/>
        </w:numPr>
        <w:spacing w:after="120"/>
        <w:jc w:val="both"/>
      </w:pPr>
      <w:r>
        <w:t>príspevkové organizácie VÚC o 25 744 tis. eur.</w:t>
      </w:r>
    </w:p>
    <w:p w14:paraId="4A039AF6" w14:textId="77777777" w:rsidR="00863EE3" w:rsidRDefault="00863EE3">
      <w:r>
        <w:br w:type="page"/>
      </w:r>
    </w:p>
    <w:p w14:paraId="32DFF53F" w14:textId="56710CC4" w:rsidR="00EE0039" w:rsidRPr="002746C4" w:rsidRDefault="009A3759" w:rsidP="009A3759">
      <w:pPr>
        <w:spacing w:after="120" w:line="240" w:lineRule="auto"/>
        <w:jc w:val="both"/>
        <w:rPr>
          <w:szCs w:val="22"/>
          <w:highlight w:val="yellow"/>
        </w:rPr>
      </w:pPr>
      <w:r w:rsidRPr="00D2617D">
        <w:t xml:space="preserve">K nárastu kompenzácii zamestnancov </w:t>
      </w:r>
      <w:r>
        <w:t xml:space="preserve">za štátne rozpočtové organizácie </w:t>
      </w:r>
      <w:r w:rsidRPr="00D2617D">
        <w:t xml:space="preserve">prispel aj nárast naturálnych miezd vo výške </w:t>
      </w:r>
      <w:r>
        <w:t>72</w:t>
      </w:r>
      <w:r w:rsidRPr="00D2617D">
        <w:t> </w:t>
      </w:r>
      <w:r>
        <w:t>614</w:t>
      </w:r>
      <w:r w:rsidRPr="00D2617D">
        <w:t> tis. eur. Ide o výdavky na ošatenie, potraviny,  ktoré poskytuje zamestnávateľ zamestnancovi vo forme  naturálnej</w:t>
      </w:r>
      <w:r>
        <w:t xml:space="preserve"> mzdy</w:t>
      </w:r>
      <w:r w:rsidRPr="00D2617D">
        <w:t>, príspevok na stravovanie, cestovné náhrady, ubytovanie</w:t>
      </w:r>
      <w:r>
        <w:t>,</w:t>
      </w:r>
      <w:r w:rsidRPr="00D2617D">
        <w:t xml:space="preserve"> používanie vlastného ošatenia, rekondičné pobyty, disciplinárne od</w:t>
      </w:r>
      <w:r w:rsidR="001C21A5">
        <w:t>meny profesionálnym vojakom (vo </w:t>
      </w:r>
      <w:r w:rsidRPr="00D2617D">
        <w:t>forme vecného daru) a pod.</w:t>
      </w:r>
    </w:p>
    <w:p w14:paraId="2B59BB29" w14:textId="77777777" w:rsidR="000D5363" w:rsidRPr="00654390" w:rsidRDefault="000D5363" w:rsidP="000D5363">
      <w:pPr>
        <w:keepNext/>
        <w:spacing w:after="120" w:line="240" w:lineRule="auto"/>
        <w:jc w:val="both"/>
        <w:rPr>
          <w:b/>
          <w:color w:val="4F81BD" w:themeColor="accent1"/>
          <w:szCs w:val="22"/>
        </w:rPr>
      </w:pPr>
      <w:r w:rsidRPr="00654390">
        <w:rPr>
          <w:b/>
          <w:color w:val="4F81BD" w:themeColor="accent1"/>
          <w:sz w:val="24"/>
          <w:szCs w:val="24"/>
        </w:rPr>
        <w:lastRenderedPageBreak/>
        <w:t>Medzispotreba</w:t>
      </w:r>
    </w:p>
    <w:p w14:paraId="627B8FC0" w14:textId="1FE08287" w:rsidR="009A3759" w:rsidRDefault="009A3759" w:rsidP="009A3759">
      <w:pPr>
        <w:spacing w:after="120" w:line="240" w:lineRule="auto"/>
        <w:jc w:val="both"/>
        <w:rPr>
          <w:szCs w:val="22"/>
        </w:rPr>
      </w:pPr>
      <w:r w:rsidRPr="000C037D">
        <w:rPr>
          <w:szCs w:val="22"/>
        </w:rPr>
        <w:t xml:space="preserve">Spotreba tovarov a služieb v rámci verejnej správy sa </w:t>
      </w:r>
      <w:r>
        <w:rPr>
          <w:szCs w:val="22"/>
        </w:rPr>
        <w:t xml:space="preserve">medziročne </w:t>
      </w:r>
      <w:r w:rsidRPr="000C037D">
        <w:rPr>
          <w:szCs w:val="22"/>
        </w:rPr>
        <w:t>zvýšila</w:t>
      </w:r>
      <w:r>
        <w:rPr>
          <w:szCs w:val="22"/>
        </w:rPr>
        <w:t xml:space="preserve"> len nepatrne</w:t>
      </w:r>
      <w:r w:rsidRPr="000C037D">
        <w:rPr>
          <w:szCs w:val="22"/>
        </w:rPr>
        <w:t xml:space="preserve"> o 0,7 % (nárast o 49 106 tis. eur), </w:t>
      </w:r>
      <w:r w:rsidRPr="00FA7341">
        <w:rPr>
          <w:szCs w:val="22"/>
        </w:rPr>
        <w:t xml:space="preserve">čo bolo spôsobené predovšetkým nárastom čerpania </w:t>
      </w:r>
      <w:r w:rsidRPr="00E070F0">
        <w:rPr>
          <w:szCs w:val="22"/>
          <w:u w:val="single"/>
        </w:rPr>
        <w:t>výdavkov na</w:t>
      </w:r>
      <w:r w:rsidR="001C21A5">
        <w:rPr>
          <w:szCs w:val="22"/>
          <w:u w:val="single"/>
        </w:rPr>
        <w:t> </w:t>
      </w:r>
      <w:r w:rsidRPr="00E070F0">
        <w:rPr>
          <w:szCs w:val="22"/>
          <w:u w:val="single"/>
        </w:rPr>
        <w:t>energie</w:t>
      </w:r>
      <w:r w:rsidRPr="00FA7341">
        <w:rPr>
          <w:szCs w:val="22"/>
        </w:rPr>
        <w:t xml:space="preserve"> o</w:t>
      </w:r>
      <w:r>
        <w:rPr>
          <w:szCs w:val="22"/>
        </w:rPr>
        <w:t> </w:t>
      </w:r>
      <w:r w:rsidRPr="00FA7341">
        <w:rPr>
          <w:szCs w:val="22"/>
        </w:rPr>
        <w:t>214</w:t>
      </w:r>
      <w:r>
        <w:rPr>
          <w:szCs w:val="22"/>
        </w:rPr>
        <w:t> </w:t>
      </w:r>
      <w:r w:rsidRPr="00FA7341">
        <w:rPr>
          <w:szCs w:val="22"/>
        </w:rPr>
        <w:t>456</w:t>
      </w:r>
      <w:r>
        <w:rPr>
          <w:szCs w:val="22"/>
        </w:rPr>
        <w:t> </w:t>
      </w:r>
      <w:r w:rsidRPr="00FA7341">
        <w:rPr>
          <w:szCs w:val="22"/>
        </w:rPr>
        <w:t>tis</w:t>
      </w:r>
      <w:r w:rsidRPr="005434FA">
        <w:rPr>
          <w:szCs w:val="22"/>
        </w:rPr>
        <w:t>.</w:t>
      </w:r>
      <w:r>
        <w:rPr>
          <w:szCs w:val="22"/>
        </w:rPr>
        <w:t> </w:t>
      </w:r>
      <w:r w:rsidRPr="005434FA">
        <w:rPr>
          <w:szCs w:val="22"/>
        </w:rPr>
        <w:t>eur (najvýraznejšie zvýšenie výdavkov na energie zaznamenali obce</w:t>
      </w:r>
      <w:r w:rsidR="00A94716">
        <w:rPr>
          <w:szCs w:val="22"/>
        </w:rPr>
        <w:t xml:space="preserve"> a ich RO</w:t>
      </w:r>
      <w:r w:rsidRPr="005434FA">
        <w:rPr>
          <w:szCs w:val="22"/>
        </w:rPr>
        <w:t>, verejné vysoké školy, VÚC</w:t>
      </w:r>
      <w:r w:rsidR="000177FD">
        <w:rPr>
          <w:szCs w:val="22"/>
        </w:rPr>
        <w:t xml:space="preserve"> a ich RO</w:t>
      </w:r>
      <w:r w:rsidRPr="005434FA">
        <w:rPr>
          <w:szCs w:val="22"/>
        </w:rPr>
        <w:t>, príspevkové organizácie VÚC a</w:t>
      </w:r>
      <w:r w:rsidR="00C765EA">
        <w:rPr>
          <w:szCs w:val="22"/>
        </w:rPr>
        <w:t xml:space="preserve"> samozrejme kapitoly náročné na </w:t>
      </w:r>
      <w:r w:rsidRPr="005434FA">
        <w:rPr>
          <w:szCs w:val="22"/>
        </w:rPr>
        <w:t xml:space="preserve">energie z pohľadu počtu organizácií a počtu budov, napríklad </w:t>
      </w:r>
      <w:r w:rsidRPr="00D2617D">
        <w:rPr>
          <w:szCs w:val="22"/>
        </w:rPr>
        <w:t>Ministerstvo vnútra SR, Ministerstvo spravodlivosti SR a Ministerstvo obrany SR)</w:t>
      </w:r>
      <w:r>
        <w:rPr>
          <w:szCs w:val="22"/>
        </w:rPr>
        <w:t>. Rástli aj</w:t>
      </w:r>
      <w:r w:rsidRPr="00D2617D">
        <w:rPr>
          <w:szCs w:val="22"/>
        </w:rPr>
        <w:t xml:space="preserve"> </w:t>
      </w:r>
      <w:r w:rsidRPr="00E070F0">
        <w:rPr>
          <w:szCs w:val="22"/>
          <w:u w:val="single"/>
        </w:rPr>
        <w:t>výdavky na potraviny</w:t>
      </w:r>
      <w:r w:rsidRPr="00322BA5">
        <w:rPr>
          <w:szCs w:val="22"/>
        </w:rPr>
        <w:t xml:space="preserve"> o 101</w:t>
      </w:r>
      <w:r>
        <w:rPr>
          <w:szCs w:val="22"/>
        </w:rPr>
        <w:t> </w:t>
      </w:r>
      <w:r w:rsidR="002D7CC1">
        <w:rPr>
          <w:szCs w:val="22"/>
        </w:rPr>
        <w:t>43</w:t>
      </w:r>
      <w:r w:rsidR="004926D2">
        <w:rPr>
          <w:szCs w:val="22"/>
        </w:rPr>
        <w:t>3</w:t>
      </w:r>
      <w:r>
        <w:rPr>
          <w:szCs w:val="22"/>
        </w:rPr>
        <w:t> </w:t>
      </w:r>
      <w:r w:rsidRPr="00322BA5">
        <w:rPr>
          <w:szCs w:val="22"/>
        </w:rPr>
        <w:t>tis.</w:t>
      </w:r>
      <w:r>
        <w:rPr>
          <w:szCs w:val="22"/>
        </w:rPr>
        <w:t> </w:t>
      </w:r>
      <w:r w:rsidRPr="00322BA5">
        <w:rPr>
          <w:szCs w:val="22"/>
        </w:rPr>
        <w:t>eur (</w:t>
      </w:r>
      <w:r>
        <w:rPr>
          <w:szCs w:val="22"/>
        </w:rPr>
        <w:t>predovšetkým v</w:t>
      </w:r>
      <w:r w:rsidR="000177FD">
        <w:rPr>
          <w:szCs w:val="22"/>
        </w:rPr>
        <w:t> </w:t>
      </w:r>
      <w:r>
        <w:rPr>
          <w:szCs w:val="22"/>
        </w:rPr>
        <w:t>obciach</w:t>
      </w:r>
      <w:r w:rsidR="000177FD">
        <w:rPr>
          <w:szCs w:val="22"/>
        </w:rPr>
        <w:t xml:space="preserve"> a ich RO</w:t>
      </w:r>
      <w:r>
        <w:rPr>
          <w:szCs w:val="22"/>
        </w:rPr>
        <w:t xml:space="preserve">, štátnych rozpočtových organizáciách, </w:t>
      </w:r>
      <w:r w:rsidR="000177FD">
        <w:rPr>
          <w:szCs w:val="22"/>
        </w:rPr>
        <w:t xml:space="preserve">rozpočtových </w:t>
      </w:r>
      <w:r>
        <w:rPr>
          <w:szCs w:val="22"/>
        </w:rPr>
        <w:t xml:space="preserve">a príspevkových organizáciách VÚC a zdravotníckych zariadeniach ústredných). Zvýšenie výdavkov na medzispotrebu bolo ovplyvnené aj </w:t>
      </w:r>
      <w:r w:rsidR="000851F9">
        <w:rPr>
          <w:szCs w:val="22"/>
        </w:rPr>
        <w:t>preradením hodnoty</w:t>
      </w:r>
      <w:r w:rsidRPr="005A3159">
        <w:rPr>
          <w:szCs w:val="22"/>
        </w:rPr>
        <w:t xml:space="preserve"> DPH v roku 2</w:t>
      </w:r>
      <w:r>
        <w:rPr>
          <w:szCs w:val="22"/>
        </w:rPr>
        <w:t>023 z položky platených daní o 118 670 tis. eur</w:t>
      </w:r>
      <w:r w:rsidR="000851F9">
        <w:rPr>
          <w:szCs w:val="22"/>
        </w:rPr>
        <w:t xml:space="preserve"> na samostatnú podpoložku výdavkov.</w:t>
      </w:r>
      <w:r w:rsidR="000851F9">
        <w:rPr>
          <w:rStyle w:val="Odkaznapoznmkupodiarou"/>
          <w:szCs w:val="22"/>
        </w:rPr>
        <w:footnoteReference w:id="21"/>
      </w:r>
      <w:r w:rsidR="000851F9">
        <w:rPr>
          <w:szCs w:val="22"/>
        </w:rPr>
        <w:t xml:space="preserve"> </w:t>
      </w:r>
      <w:r w:rsidR="001C21A5">
        <w:rPr>
          <w:szCs w:val="22"/>
        </w:rPr>
        <w:t>Ďalej vzrástli výdavky na </w:t>
      </w:r>
      <w:r w:rsidRPr="00E070F0">
        <w:rPr>
          <w:szCs w:val="22"/>
          <w:u w:val="single"/>
        </w:rPr>
        <w:t>štandardnú a rutinnú údržbu budov</w:t>
      </w:r>
      <w:r>
        <w:rPr>
          <w:szCs w:val="22"/>
        </w:rPr>
        <w:t xml:space="preserve">, objektov alebo ich častí o 62 053 tis. eur (najmä v Národnej diaľničnej spoločnosti, ŽSR, štátnych rozpočtových organizáciách), </w:t>
      </w:r>
      <w:r w:rsidRPr="00E070F0">
        <w:rPr>
          <w:szCs w:val="22"/>
          <w:u w:val="single"/>
        </w:rPr>
        <w:t>výdavky na všeobecné služby</w:t>
      </w:r>
      <w:r>
        <w:rPr>
          <w:szCs w:val="22"/>
        </w:rPr>
        <w:t xml:space="preserve"> </w:t>
      </w:r>
      <w:r w:rsidRPr="00D2617D">
        <w:rPr>
          <w:szCs w:val="22"/>
        </w:rPr>
        <w:t>o 94</w:t>
      </w:r>
      <w:r>
        <w:rPr>
          <w:szCs w:val="22"/>
        </w:rPr>
        <w:t> </w:t>
      </w:r>
      <w:r w:rsidRPr="00D2617D">
        <w:rPr>
          <w:szCs w:val="22"/>
        </w:rPr>
        <w:t>696</w:t>
      </w:r>
      <w:r>
        <w:rPr>
          <w:szCs w:val="22"/>
        </w:rPr>
        <w:t> </w:t>
      </w:r>
      <w:r w:rsidRPr="00D2617D">
        <w:rPr>
          <w:szCs w:val="22"/>
        </w:rPr>
        <w:t>tis.</w:t>
      </w:r>
      <w:r>
        <w:rPr>
          <w:szCs w:val="22"/>
        </w:rPr>
        <w:t> </w:t>
      </w:r>
      <w:r w:rsidRPr="00D2617D">
        <w:rPr>
          <w:szCs w:val="22"/>
        </w:rPr>
        <w:t>eur (najmä v obciach, ŽSR, zdravotníckych zariadeniach ústredných a štátnych rozpočtových organizáciách) a</w:t>
      </w:r>
      <w:r w:rsidR="001C21A5">
        <w:rPr>
          <w:szCs w:val="22"/>
        </w:rPr>
        <w:t> </w:t>
      </w:r>
      <w:r w:rsidRPr="00D2617D">
        <w:rPr>
          <w:szCs w:val="22"/>
        </w:rPr>
        <w:t>výdavky na špeciálne služby o 24</w:t>
      </w:r>
      <w:r>
        <w:rPr>
          <w:szCs w:val="22"/>
        </w:rPr>
        <w:t> </w:t>
      </w:r>
      <w:r w:rsidRPr="00D2617D">
        <w:rPr>
          <w:szCs w:val="22"/>
        </w:rPr>
        <w:t>773</w:t>
      </w:r>
      <w:r>
        <w:rPr>
          <w:szCs w:val="22"/>
        </w:rPr>
        <w:t> </w:t>
      </w:r>
      <w:r w:rsidRPr="00D2617D">
        <w:rPr>
          <w:szCs w:val="22"/>
        </w:rPr>
        <w:t>tis.</w:t>
      </w:r>
      <w:r>
        <w:rPr>
          <w:szCs w:val="22"/>
        </w:rPr>
        <w:t> </w:t>
      </w:r>
      <w:r w:rsidRPr="00D2617D">
        <w:rPr>
          <w:szCs w:val="22"/>
        </w:rPr>
        <w:t>eur (najmä v obciach a</w:t>
      </w:r>
      <w:r>
        <w:rPr>
          <w:szCs w:val="22"/>
        </w:rPr>
        <w:t> v </w:t>
      </w:r>
      <w:r w:rsidRPr="00D2617D">
        <w:rPr>
          <w:szCs w:val="22"/>
        </w:rPr>
        <w:t>ZSSK).</w:t>
      </w:r>
    </w:p>
    <w:p w14:paraId="3946A2D9" w14:textId="308D362A" w:rsidR="009A3759" w:rsidRPr="00A515C4" w:rsidRDefault="009A3759" w:rsidP="009A3759">
      <w:pPr>
        <w:spacing w:line="240" w:lineRule="auto"/>
        <w:jc w:val="both"/>
      </w:pPr>
      <w:r>
        <w:t xml:space="preserve">Najvyšší nárast </w:t>
      </w:r>
      <w:r w:rsidRPr="00A515C4">
        <w:t>výdavkov na</w:t>
      </w:r>
      <w:r>
        <w:t xml:space="preserve"> medzispotrebu </w:t>
      </w:r>
      <w:r w:rsidRPr="00A515C4">
        <w:t xml:space="preserve">vykázali tieto </w:t>
      </w:r>
      <w:r w:rsidR="000F1AF0">
        <w:t>subjekty/</w:t>
      </w:r>
      <w:r w:rsidRPr="00A515C4">
        <w:t>zložky verejnej správy:</w:t>
      </w:r>
    </w:p>
    <w:p w14:paraId="65E24076" w14:textId="7EF53761" w:rsidR="009A3759" w:rsidRPr="00D0666A" w:rsidRDefault="009A3759" w:rsidP="009A3759">
      <w:pPr>
        <w:pStyle w:val="Odsekzoznamu"/>
        <w:numPr>
          <w:ilvl w:val="0"/>
          <w:numId w:val="38"/>
        </w:numPr>
        <w:spacing w:before="120" w:after="120"/>
        <w:ind w:left="425" w:hanging="357"/>
        <w:contextualSpacing w:val="0"/>
        <w:jc w:val="both"/>
      </w:pPr>
      <w:r w:rsidRPr="006E638D">
        <w:rPr>
          <w:b/>
          <w:i/>
        </w:rPr>
        <w:t>Obce</w:t>
      </w:r>
      <w:r w:rsidR="00A94716">
        <w:rPr>
          <w:b/>
          <w:i/>
        </w:rPr>
        <w:t xml:space="preserve"> a ich RO</w:t>
      </w:r>
      <w:r w:rsidRPr="006E638D">
        <w:rPr>
          <w:b/>
          <w:i/>
        </w:rPr>
        <w:t xml:space="preserve"> o</w:t>
      </w:r>
      <w:r>
        <w:rPr>
          <w:b/>
          <w:i/>
        </w:rPr>
        <w:t> </w:t>
      </w:r>
      <w:r w:rsidRPr="006E638D">
        <w:rPr>
          <w:b/>
          <w:i/>
        </w:rPr>
        <w:t>173</w:t>
      </w:r>
      <w:r>
        <w:rPr>
          <w:b/>
          <w:i/>
        </w:rPr>
        <w:t> </w:t>
      </w:r>
      <w:r w:rsidRPr="006E638D">
        <w:rPr>
          <w:b/>
          <w:i/>
        </w:rPr>
        <w:t>063</w:t>
      </w:r>
      <w:r>
        <w:rPr>
          <w:b/>
          <w:i/>
        </w:rPr>
        <w:t> </w:t>
      </w:r>
      <w:r w:rsidRPr="006E638D">
        <w:rPr>
          <w:b/>
          <w:i/>
        </w:rPr>
        <w:t>tis.</w:t>
      </w:r>
      <w:r>
        <w:rPr>
          <w:b/>
          <w:i/>
        </w:rPr>
        <w:t xml:space="preserve"> eur – </w:t>
      </w:r>
      <w:r w:rsidRPr="00B32542">
        <w:t>najvyšší nárast bol spôsobený najmä medziročným nárastom výdavkov na energie o 106 293 tis. e</w:t>
      </w:r>
      <w:r>
        <w:t xml:space="preserve">ur z dôvodu zvýšenia cien elektrickej energie a ukončenia zazmluvnených cien plynu mnohých miest a obcí. </w:t>
      </w:r>
      <w:r w:rsidRPr="00362FE9">
        <w:t xml:space="preserve">Vyššie náklady na elektrinu či plyn sa </w:t>
      </w:r>
      <w:r>
        <w:t xml:space="preserve">samospráva </w:t>
      </w:r>
      <w:r w:rsidRPr="00362FE9">
        <w:t>snaži</w:t>
      </w:r>
      <w:r>
        <w:t>la</w:t>
      </w:r>
      <w:r w:rsidRPr="00362FE9">
        <w:t xml:space="preserve"> kompenzovať obmedzením vedľajších výdavkov</w:t>
      </w:r>
      <w:r>
        <w:t>. Medziročne narástli aj výdavky na</w:t>
      </w:r>
      <w:r w:rsidR="00C765EA">
        <w:t> </w:t>
      </w:r>
      <w:r>
        <w:t>potraviny o 58 091 tis. eur. Zvýšil sa </w:t>
      </w:r>
      <w:r w:rsidRPr="00362FE9">
        <w:t>nákup potravín z dôvodu mimoriadnej situácie - hromadn</w:t>
      </w:r>
      <w:r>
        <w:t>ý prílev cudzincov súvisiaci s </w:t>
      </w:r>
      <w:r w:rsidRPr="00362FE9">
        <w:t>vojnovým konfliktom na Ukrajine, v</w:t>
      </w:r>
      <w:r>
        <w:t> </w:t>
      </w:r>
      <w:r w:rsidRPr="00362FE9">
        <w:t>MŠ a ZŠ  došlo</w:t>
      </w:r>
      <w:r>
        <w:t xml:space="preserve"> k nárastu počtu stravníkov, do </w:t>
      </w:r>
      <w:r w:rsidRPr="00362FE9">
        <w:t>30.4.2023 bolo zrušené celoplošné poskytovanie dotácie na podporu stravovacích návykov pre</w:t>
      </w:r>
      <w:r w:rsidR="00C765EA">
        <w:t> </w:t>
      </w:r>
      <w:r w:rsidRPr="00362FE9">
        <w:t>žiakov I. a II. stupňa základných škôl a žiakov materských škôl</w:t>
      </w:r>
      <w:r>
        <w:t>. Oproti roku 2022 sa zvýšili všeobecné služby o 41 769 tis. eur a špeciálne služby o 13 310 tis. eur</w:t>
      </w:r>
      <w:r w:rsidR="000F1AF0">
        <w:t>.</w:t>
      </w:r>
    </w:p>
    <w:p w14:paraId="33CFE2B5" w14:textId="393F76EC" w:rsidR="009A3759" w:rsidRDefault="009A3759" w:rsidP="009A3759">
      <w:pPr>
        <w:pStyle w:val="Odsekzoznamu"/>
        <w:numPr>
          <w:ilvl w:val="0"/>
          <w:numId w:val="37"/>
        </w:numPr>
        <w:spacing w:before="120" w:after="120"/>
        <w:ind w:left="425" w:hanging="357"/>
        <w:contextualSpacing w:val="0"/>
        <w:jc w:val="both"/>
      </w:pPr>
      <w:r>
        <w:rPr>
          <w:b/>
          <w:i/>
        </w:rPr>
        <w:t>JAVYS o 35 150 tis</w:t>
      </w:r>
      <w:r w:rsidRPr="0025465A">
        <w:t>.</w:t>
      </w:r>
      <w:r>
        <w:t xml:space="preserve"> eur – medziročný nárast medzispotreby bol spôsoben</w:t>
      </w:r>
      <w:r w:rsidR="008B1569">
        <w:t>ý hlavne preradením hodnoty DPH</w:t>
      </w:r>
      <w:r w:rsidR="00DE7E19">
        <w:t xml:space="preserve"> </w:t>
      </w:r>
      <w:r>
        <w:t>do medzispotreby a vyššími výdavkami na energie, všeobecné a špeciálne služby</w:t>
      </w:r>
      <w:r w:rsidR="000F1AF0">
        <w:t>.</w:t>
      </w:r>
    </w:p>
    <w:p w14:paraId="49390C8D" w14:textId="7BEFD5C7" w:rsidR="009A3759" w:rsidRDefault="009A3759" w:rsidP="009A3759">
      <w:pPr>
        <w:pStyle w:val="Odsekzoznamu"/>
        <w:numPr>
          <w:ilvl w:val="0"/>
          <w:numId w:val="37"/>
        </w:numPr>
        <w:spacing w:before="120" w:after="120"/>
        <w:ind w:left="425" w:hanging="357"/>
        <w:contextualSpacing w:val="0"/>
        <w:jc w:val="both"/>
      </w:pPr>
      <w:r>
        <w:rPr>
          <w:b/>
          <w:i/>
        </w:rPr>
        <w:t>Zdravotnícke zariadenia ústrednej správy o 29 182 tis</w:t>
      </w:r>
      <w:r w:rsidRPr="0025465A">
        <w:t>.</w:t>
      </w:r>
      <w:r>
        <w:t> </w:t>
      </w:r>
      <w:r w:rsidRPr="006A3BD4">
        <w:rPr>
          <w:b/>
          <w:i/>
        </w:rPr>
        <w:t>eur</w:t>
      </w:r>
      <w:r>
        <w:rPr>
          <w:b/>
          <w:i/>
        </w:rPr>
        <w:t xml:space="preserve"> –</w:t>
      </w:r>
      <w:r>
        <w:t xml:space="preserve"> zaznamenali </w:t>
      </w:r>
      <w:r w:rsidRPr="00A26C87">
        <w:t xml:space="preserve">nárast výdavkov </w:t>
      </w:r>
      <w:r>
        <w:t xml:space="preserve">najmä na obstaranie všeobecného materiálu (predovšetkým na </w:t>
      </w:r>
      <w:r w:rsidRPr="00A26C87">
        <w:t>zdravotnícky materiál</w:t>
      </w:r>
      <w:r>
        <w:t>) a špeciálneho materiálu, potravín a výdavky na všeobecné služby. Najviac vzrástli výdavky v univerzitných a fakultných nemocniciach.</w:t>
      </w:r>
    </w:p>
    <w:p w14:paraId="2CA34C0C" w14:textId="7D8B7F6C" w:rsidR="009A3759" w:rsidRDefault="009A3759" w:rsidP="009A3759">
      <w:pPr>
        <w:pStyle w:val="Odsekzoznamu"/>
        <w:numPr>
          <w:ilvl w:val="0"/>
          <w:numId w:val="37"/>
        </w:numPr>
        <w:spacing w:before="120" w:after="120"/>
        <w:ind w:left="425" w:hanging="357"/>
        <w:contextualSpacing w:val="0"/>
        <w:jc w:val="both"/>
      </w:pPr>
      <w:r>
        <w:rPr>
          <w:b/>
          <w:i/>
        </w:rPr>
        <w:t>Verejné vysoké školy o 25 107 tis</w:t>
      </w:r>
      <w:r w:rsidRPr="0025465A">
        <w:t>.</w:t>
      </w:r>
      <w:r>
        <w:t> </w:t>
      </w:r>
      <w:r w:rsidRPr="006A3BD4">
        <w:rPr>
          <w:b/>
          <w:i/>
        </w:rPr>
        <w:t>eur</w:t>
      </w:r>
      <w:r>
        <w:t xml:space="preserve"> – </w:t>
      </w:r>
      <w:r w:rsidRPr="00157BC3">
        <w:t>medziročný nárast prevažne súvisí s vyšším čerpaním finančných prostriedkov na energie a všeobecný materiál</w:t>
      </w:r>
      <w:r w:rsidR="000F1AF0">
        <w:t>.</w:t>
      </w:r>
    </w:p>
    <w:p w14:paraId="0FA94580" w14:textId="79A2F175" w:rsidR="009A3759" w:rsidRPr="00D2617D" w:rsidRDefault="009A3759" w:rsidP="009A3759">
      <w:pPr>
        <w:pStyle w:val="Odsekzoznamu"/>
        <w:numPr>
          <w:ilvl w:val="0"/>
          <w:numId w:val="37"/>
        </w:numPr>
        <w:spacing w:before="120" w:after="120"/>
        <w:ind w:left="425" w:hanging="357"/>
        <w:contextualSpacing w:val="0"/>
        <w:jc w:val="both"/>
      </w:pPr>
      <w:r w:rsidRPr="00D2617D">
        <w:rPr>
          <w:b/>
          <w:i/>
        </w:rPr>
        <w:t>Príspevkové organizácie štátne o 19</w:t>
      </w:r>
      <w:r>
        <w:rPr>
          <w:b/>
          <w:i/>
        </w:rPr>
        <w:t> </w:t>
      </w:r>
      <w:r w:rsidRPr="00D2617D">
        <w:rPr>
          <w:b/>
          <w:i/>
        </w:rPr>
        <w:t>253</w:t>
      </w:r>
      <w:r>
        <w:rPr>
          <w:b/>
          <w:i/>
        </w:rPr>
        <w:t> </w:t>
      </w:r>
      <w:r w:rsidRPr="00D2617D">
        <w:rPr>
          <w:b/>
          <w:i/>
        </w:rPr>
        <w:t>tis</w:t>
      </w:r>
      <w:r w:rsidRPr="00D2617D">
        <w:t>.</w:t>
      </w:r>
      <w:r>
        <w:t> </w:t>
      </w:r>
      <w:r w:rsidRPr="00D2617D">
        <w:rPr>
          <w:b/>
          <w:i/>
        </w:rPr>
        <w:t>eur</w:t>
      </w:r>
      <w:r w:rsidRPr="00D2617D">
        <w:t xml:space="preserve"> - nárast výdavkov na energie (elektrická energia, plyn, tepelná energia) 4</w:t>
      </w:r>
      <w:r>
        <w:t> </w:t>
      </w:r>
      <w:r w:rsidRPr="00D2617D">
        <w:t>429</w:t>
      </w:r>
      <w:r>
        <w:t> </w:t>
      </w:r>
      <w:r w:rsidRPr="00D2617D">
        <w:t>tis.</w:t>
      </w:r>
      <w:r>
        <w:t> </w:t>
      </w:r>
      <w:r w:rsidRPr="00D2617D">
        <w:t>eur, na služby realizované dodávateľs</w:t>
      </w:r>
      <w:r>
        <w:t>kým spôsobom 3 537 tis. eur, na </w:t>
      </w:r>
      <w:r w:rsidRPr="00D2617D">
        <w:t>poštové a kuriérske služby 3</w:t>
      </w:r>
      <w:r>
        <w:t> </w:t>
      </w:r>
      <w:r w:rsidRPr="00D2617D">
        <w:t>110</w:t>
      </w:r>
      <w:r>
        <w:t> </w:t>
      </w:r>
      <w:r w:rsidRPr="00D2617D">
        <w:t>tis.</w:t>
      </w:r>
      <w:r>
        <w:t> </w:t>
      </w:r>
      <w:r w:rsidRPr="00D2617D">
        <w:t>eur</w:t>
      </w:r>
      <w:r w:rsidR="000F1AF0">
        <w:t>.</w:t>
      </w:r>
    </w:p>
    <w:p w14:paraId="6BDBEA82" w14:textId="77777777" w:rsidR="009A3759" w:rsidRDefault="009A3759" w:rsidP="009A3759">
      <w:pPr>
        <w:pStyle w:val="Odsekzoznamu"/>
        <w:numPr>
          <w:ilvl w:val="0"/>
          <w:numId w:val="37"/>
        </w:numPr>
        <w:spacing w:before="120" w:after="120"/>
        <w:ind w:left="425" w:hanging="357"/>
        <w:contextualSpacing w:val="0"/>
        <w:jc w:val="both"/>
      </w:pPr>
      <w:r>
        <w:rPr>
          <w:b/>
          <w:i/>
        </w:rPr>
        <w:t>EOSA o 17 483 tis</w:t>
      </w:r>
      <w:r w:rsidRPr="006A3BD4">
        <w:rPr>
          <w:b/>
          <w:i/>
        </w:rPr>
        <w:t>.</w:t>
      </w:r>
      <w:r>
        <w:rPr>
          <w:b/>
          <w:i/>
        </w:rPr>
        <w:t> </w:t>
      </w:r>
      <w:r w:rsidRPr="006A3BD4">
        <w:rPr>
          <w:b/>
          <w:i/>
        </w:rPr>
        <w:t>eur</w:t>
      </w:r>
      <w:r>
        <w:rPr>
          <w:b/>
          <w:i/>
        </w:rPr>
        <w:t xml:space="preserve"> </w:t>
      </w:r>
      <w:r w:rsidRPr="00D80515">
        <w:t>– najviac medziročne vzrástli výdavky na</w:t>
      </w:r>
      <w:r>
        <w:t xml:space="preserve"> obmenu núdzových zásob ropy, ktoré boli čiastočne eliminované poklesom DPH (preradenie položky DPH do medzispotreby),</w:t>
      </w:r>
    </w:p>
    <w:p w14:paraId="6EC0611A" w14:textId="77777777" w:rsidR="009A3759" w:rsidRPr="009E3DC7" w:rsidRDefault="009A3759" w:rsidP="009A3759">
      <w:pPr>
        <w:spacing w:after="120" w:line="240" w:lineRule="auto"/>
        <w:jc w:val="both"/>
        <w:rPr>
          <w:szCs w:val="22"/>
        </w:rPr>
      </w:pPr>
      <w:r w:rsidRPr="009E3DC7">
        <w:rPr>
          <w:szCs w:val="22"/>
        </w:rPr>
        <w:t>Medziročný nárast výdavkov na medzispotrebu bol eliminovaný poklesom výdavkov predovšetkým v týchto dvoch zložkách:</w:t>
      </w:r>
    </w:p>
    <w:p w14:paraId="655A2797" w14:textId="59A5C120" w:rsidR="009A3759" w:rsidRPr="009E3DC7" w:rsidRDefault="009A3759" w:rsidP="009A3759">
      <w:pPr>
        <w:pStyle w:val="Odsekzoznamu"/>
        <w:numPr>
          <w:ilvl w:val="0"/>
          <w:numId w:val="37"/>
        </w:numPr>
        <w:spacing w:before="120" w:after="120"/>
        <w:ind w:left="425" w:hanging="357"/>
        <w:contextualSpacing w:val="0"/>
        <w:jc w:val="both"/>
      </w:pPr>
      <w:r w:rsidRPr="009E3DC7">
        <w:rPr>
          <w:b/>
          <w:i/>
        </w:rPr>
        <w:t>Štátne rozpočtové organizácie o</w:t>
      </w:r>
      <w:r>
        <w:rPr>
          <w:b/>
          <w:i/>
        </w:rPr>
        <w:t> </w:t>
      </w:r>
      <w:r w:rsidRPr="009E3DC7">
        <w:rPr>
          <w:b/>
          <w:i/>
        </w:rPr>
        <w:t>383</w:t>
      </w:r>
      <w:r>
        <w:rPr>
          <w:b/>
          <w:i/>
        </w:rPr>
        <w:t> </w:t>
      </w:r>
      <w:r w:rsidRPr="009E3DC7">
        <w:rPr>
          <w:b/>
          <w:i/>
        </w:rPr>
        <w:t>656</w:t>
      </w:r>
      <w:r>
        <w:rPr>
          <w:b/>
          <w:i/>
        </w:rPr>
        <w:t> </w:t>
      </w:r>
      <w:r w:rsidRPr="009E3DC7">
        <w:rPr>
          <w:b/>
          <w:i/>
        </w:rPr>
        <w:t>tis.</w:t>
      </w:r>
      <w:r>
        <w:rPr>
          <w:b/>
          <w:i/>
        </w:rPr>
        <w:t> </w:t>
      </w:r>
      <w:r w:rsidRPr="009E3DC7">
        <w:rPr>
          <w:b/>
          <w:i/>
        </w:rPr>
        <w:t>eur</w:t>
      </w:r>
      <w:r w:rsidRPr="009E3DC7">
        <w:t xml:space="preserve"> – pokles výdavkov na medzispotrebu zaznamenal štátny rozpočet najmä </w:t>
      </w:r>
      <w:r w:rsidR="00AA56C6">
        <w:t xml:space="preserve">na položke všeobecný materiál </w:t>
      </w:r>
      <w:r w:rsidR="000F1AF0">
        <w:t xml:space="preserve">u </w:t>
      </w:r>
      <w:r w:rsidRPr="009E3DC7">
        <w:t>Ministerstva zdravotníctva SR</w:t>
      </w:r>
      <w:r w:rsidR="00AA56C6">
        <w:t xml:space="preserve"> </w:t>
      </w:r>
      <w:r w:rsidR="00106A87">
        <w:t>o 201 475 tis. eur</w:t>
      </w:r>
      <w:r w:rsidR="00AA56C6">
        <w:t xml:space="preserve">. </w:t>
      </w:r>
      <w:r w:rsidRPr="009E3DC7">
        <w:t xml:space="preserve">Pokles bol spôsobený </w:t>
      </w:r>
      <w:r w:rsidR="00AA56C6">
        <w:t xml:space="preserve">najmä </w:t>
      </w:r>
      <w:r w:rsidRPr="009E3DC7">
        <w:t>nižším čerpaním výdavkov na</w:t>
      </w:r>
      <w:r>
        <w:t> </w:t>
      </w:r>
      <w:r w:rsidR="00AA56C6">
        <w:t xml:space="preserve">centrálny </w:t>
      </w:r>
      <w:r w:rsidRPr="009E3DC7">
        <w:t>nákup vakcín a liekov a</w:t>
      </w:r>
      <w:r>
        <w:t> ostatné výdavky súvisiace s </w:t>
      </w:r>
      <w:r w:rsidRPr="009E3DC7">
        <w:t>COVID-19</w:t>
      </w:r>
      <w:r w:rsidR="000F1AF0">
        <w:t>.</w:t>
      </w:r>
    </w:p>
    <w:p w14:paraId="4EADC384" w14:textId="77777777" w:rsidR="009A3759" w:rsidRPr="009E3DC7" w:rsidRDefault="009A3759" w:rsidP="009A3759">
      <w:pPr>
        <w:pStyle w:val="Odsekzoznamu"/>
        <w:numPr>
          <w:ilvl w:val="0"/>
          <w:numId w:val="37"/>
        </w:numPr>
        <w:spacing w:before="120" w:after="120"/>
        <w:ind w:left="425" w:hanging="357"/>
        <w:contextualSpacing w:val="0"/>
        <w:jc w:val="both"/>
        <w:rPr>
          <w:szCs w:val="36"/>
        </w:rPr>
      </w:pPr>
      <w:r w:rsidRPr="009E3DC7">
        <w:rPr>
          <w:b/>
          <w:i/>
        </w:rPr>
        <w:t>Národná diaľničná spoločnosť,</w:t>
      </w:r>
      <w:r>
        <w:rPr>
          <w:b/>
          <w:i/>
        </w:rPr>
        <w:t> </w:t>
      </w:r>
      <w:r w:rsidRPr="009E3DC7">
        <w:rPr>
          <w:b/>
          <w:i/>
        </w:rPr>
        <w:t>a.</w:t>
      </w:r>
      <w:r>
        <w:rPr>
          <w:b/>
          <w:i/>
        </w:rPr>
        <w:t> </w:t>
      </w:r>
      <w:r w:rsidRPr="009E3DC7">
        <w:rPr>
          <w:b/>
          <w:i/>
        </w:rPr>
        <w:t>s.</w:t>
      </w:r>
      <w:r>
        <w:rPr>
          <w:b/>
          <w:i/>
        </w:rPr>
        <w:t> </w:t>
      </w:r>
      <w:r w:rsidRPr="009E3DC7">
        <w:rPr>
          <w:b/>
          <w:i/>
        </w:rPr>
        <w:t>o 37</w:t>
      </w:r>
      <w:r>
        <w:rPr>
          <w:b/>
          <w:i/>
        </w:rPr>
        <w:t> </w:t>
      </w:r>
      <w:r w:rsidRPr="009E3DC7">
        <w:rPr>
          <w:b/>
          <w:i/>
        </w:rPr>
        <w:t>142</w:t>
      </w:r>
      <w:r>
        <w:rPr>
          <w:b/>
          <w:i/>
        </w:rPr>
        <w:t> </w:t>
      </w:r>
      <w:r w:rsidRPr="009E3DC7">
        <w:rPr>
          <w:b/>
          <w:i/>
        </w:rPr>
        <w:t>tis.</w:t>
      </w:r>
      <w:r>
        <w:rPr>
          <w:b/>
          <w:i/>
        </w:rPr>
        <w:t> </w:t>
      </w:r>
      <w:r w:rsidRPr="009E3DC7">
        <w:rPr>
          <w:b/>
          <w:i/>
        </w:rPr>
        <w:t xml:space="preserve">eur </w:t>
      </w:r>
      <w:r w:rsidRPr="009E3DC7">
        <w:t>– nižšie výdavky na položke oprava a údržba z dôvodu absencie zazmluvnených servisných činností s dodávateľmi (opravy sa</w:t>
      </w:r>
      <w:r>
        <w:t> </w:t>
      </w:r>
      <w:r w:rsidRPr="009E3DC7">
        <w:t xml:space="preserve">objednávali </w:t>
      </w:r>
      <w:r w:rsidRPr="009E3DC7">
        <w:lastRenderedPageBreak/>
        <w:t>len</w:t>
      </w:r>
      <w:r>
        <w:t> </w:t>
      </w:r>
      <w:r w:rsidRPr="009E3DC7">
        <w:t>na</w:t>
      </w:r>
      <w:r>
        <w:t> </w:t>
      </w:r>
      <w:r w:rsidRPr="009E3DC7">
        <w:t xml:space="preserve">aktuálne platné zmluvy), a tiež z objektívnych príčin ako sú nepriaznivé klimatické podmienky, dlhé dodacie lehoty náhradných dielov. </w:t>
      </w:r>
    </w:p>
    <w:p w14:paraId="67D6D343" w14:textId="77777777" w:rsidR="006D2B7A" w:rsidRPr="000C037D" w:rsidRDefault="006D2B7A" w:rsidP="006D2B7A">
      <w:pPr>
        <w:spacing w:after="120" w:line="240" w:lineRule="auto"/>
        <w:jc w:val="both"/>
        <w:rPr>
          <w:b/>
          <w:color w:val="4F81BD" w:themeColor="accent1"/>
          <w:szCs w:val="22"/>
        </w:rPr>
      </w:pPr>
      <w:r>
        <w:rPr>
          <w:b/>
          <w:color w:val="4F81BD" w:themeColor="accent1"/>
          <w:sz w:val="24"/>
          <w:szCs w:val="24"/>
        </w:rPr>
        <w:t>Dane</w:t>
      </w:r>
    </w:p>
    <w:p w14:paraId="3507CFCE" w14:textId="7E377DDE" w:rsidR="009A3759" w:rsidRDefault="009A3759" w:rsidP="009A3759">
      <w:pPr>
        <w:spacing w:after="120" w:line="240" w:lineRule="auto"/>
        <w:jc w:val="both"/>
        <w:rPr>
          <w:lang w:eastAsia="sk-SK"/>
        </w:rPr>
      </w:pPr>
      <w:r w:rsidRPr="00A764A4">
        <w:rPr>
          <w:szCs w:val="22"/>
        </w:rPr>
        <w:t xml:space="preserve">V roku 2023 </w:t>
      </w:r>
      <w:r>
        <w:rPr>
          <w:szCs w:val="22"/>
        </w:rPr>
        <w:t xml:space="preserve">poklesli </w:t>
      </w:r>
      <w:r w:rsidRPr="00E070F0">
        <w:rPr>
          <w:szCs w:val="22"/>
          <w:u w:val="single"/>
        </w:rPr>
        <w:t>platené dane</w:t>
      </w:r>
      <w:r>
        <w:rPr>
          <w:szCs w:val="22"/>
        </w:rPr>
        <w:t xml:space="preserve"> o 22,8 % (pokles o 30</w:t>
      </w:r>
      <w:r w:rsidRPr="00A764A4">
        <w:rPr>
          <w:szCs w:val="22"/>
        </w:rPr>
        <w:t> </w:t>
      </w:r>
      <w:r>
        <w:rPr>
          <w:szCs w:val="22"/>
        </w:rPr>
        <w:t>331</w:t>
      </w:r>
      <w:r w:rsidRPr="00A764A4">
        <w:rPr>
          <w:szCs w:val="22"/>
        </w:rPr>
        <w:t xml:space="preserve"> tis. eur). </w:t>
      </w:r>
      <w:r>
        <w:rPr>
          <w:lang w:eastAsia="sk-SK"/>
        </w:rPr>
        <w:t xml:space="preserve">Zníženie daní bolo spôsobené predovšetkým preradením položky DPH v roku 2023 z platených daní do výdavkov </w:t>
      </w:r>
      <w:r w:rsidRPr="006D2B7A">
        <w:t>na</w:t>
      </w:r>
      <w:r>
        <w:t> </w:t>
      </w:r>
      <w:r w:rsidRPr="006D2B7A">
        <w:t>medzispotrebu</w:t>
      </w:r>
      <w:r>
        <w:rPr>
          <w:lang w:eastAsia="sk-SK"/>
        </w:rPr>
        <w:t xml:space="preserve">. </w:t>
      </w:r>
      <w:r w:rsidRPr="00FC6951">
        <w:rPr>
          <w:lang w:eastAsia="sk-SK"/>
        </w:rPr>
        <w:t xml:space="preserve">Najväčší pokles bol zaznamenaný v zdravotníckych zariadeniach ústredných, </w:t>
      </w:r>
      <w:r>
        <w:rPr>
          <w:lang w:eastAsia="sk-SK"/>
        </w:rPr>
        <w:t xml:space="preserve">v spoločnosti </w:t>
      </w:r>
      <w:r w:rsidRPr="00FC6951">
        <w:rPr>
          <w:lang w:eastAsia="sk-SK"/>
        </w:rPr>
        <w:t>J</w:t>
      </w:r>
      <w:r w:rsidR="00DD1FFC">
        <w:rPr>
          <w:lang w:eastAsia="sk-SK"/>
        </w:rPr>
        <w:t>AVYS</w:t>
      </w:r>
      <w:r w:rsidRPr="00FC6951">
        <w:rPr>
          <w:lang w:eastAsia="sk-SK"/>
        </w:rPr>
        <w:t xml:space="preserve"> a</w:t>
      </w:r>
      <w:r>
        <w:rPr>
          <w:lang w:eastAsia="sk-SK"/>
        </w:rPr>
        <w:t> </w:t>
      </w:r>
      <w:r w:rsidRPr="00FC6951">
        <w:rPr>
          <w:lang w:eastAsia="sk-SK"/>
        </w:rPr>
        <w:t>zdravotníckych zariadeniach územnej samosprávy.</w:t>
      </w:r>
    </w:p>
    <w:p w14:paraId="0058015C" w14:textId="6F567FBC" w:rsidR="002F1D21" w:rsidRPr="00654390" w:rsidRDefault="002F1D21" w:rsidP="00971516">
      <w:pPr>
        <w:spacing w:after="120" w:line="240" w:lineRule="auto"/>
        <w:jc w:val="both"/>
        <w:rPr>
          <w:b/>
          <w:color w:val="0070C0"/>
          <w:sz w:val="24"/>
          <w:szCs w:val="24"/>
        </w:rPr>
      </w:pPr>
      <w:r w:rsidRPr="00654390">
        <w:rPr>
          <w:b/>
          <w:color w:val="4F81BD" w:themeColor="accent1"/>
          <w:sz w:val="24"/>
          <w:szCs w:val="24"/>
        </w:rPr>
        <w:t>Subvencie</w:t>
      </w:r>
    </w:p>
    <w:p w14:paraId="6CECBEEE" w14:textId="24F4FE72" w:rsidR="009A3759" w:rsidRPr="00924AEC" w:rsidRDefault="009A3759" w:rsidP="009A3759">
      <w:pPr>
        <w:spacing w:after="120" w:line="240" w:lineRule="auto"/>
        <w:jc w:val="both"/>
        <w:rPr>
          <w:highlight w:val="yellow"/>
          <w:lang w:eastAsia="sk-SK"/>
        </w:rPr>
      </w:pPr>
      <w:r w:rsidRPr="005D1121">
        <w:rPr>
          <w:szCs w:val="22"/>
        </w:rPr>
        <w:t>Celkové subvencie</w:t>
      </w:r>
      <w:r w:rsidRPr="005D1121">
        <w:rPr>
          <w:rStyle w:val="Odkaznapoznmkupodiarou"/>
          <w:szCs w:val="22"/>
        </w:rPr>
        <w:footnoteReference w:id="22"/>
      </w:r>
      <w:r w:rsidRPr="005D1121">
        <w:rPr>
          <w:szCs w:val="22"/>
        </w:rPr>
        <w:t xml:space="preserve"> vzrástli o 246,7 %, čo predstavovalo nárast o 2 950 964 tis. eur. </w:t>
      </w:r>
      <w:r w:rsidRPr="000E026B">
        <w:rPr>
          <w:szCs w:val="22"/>
        </w:rPr>
        <w:t xml:space="preserve">Najvýznamnejší nárast v roku 2023 </w:t>
      </w:r>
      <w:r w:rsidRPr="000E026B">
        <w:rPr>
          <w:lang w:eastAsia="sk-SK"/>
        </w:rPr>
        <w:t xml:space="preserve">zaznamenali </w:t>
      </w:r>
      <w:r w:rsidRPr="00E31CCE">
        <w:rPr>
          <w:u w:val="single"/>
          <w:lang w:eastAsia="sk-SK"/>
        </w:rPr>
        <w:t>ostatné subvencie</w:t>
      </w:r>
      <w:r w:rsidRPr="000E026B">
        <w:rPr>
          <w:lang w:eastAsia="sk-SK"/>
        </w:rPr>
        <w:t xml:space="preserve"> o 2 970</w:t>
      </w:r>
      <w:r>
        <w:rPr>
          <w:lang w:eastAsia="sk-SK"/>
        </w:rPr>
        <w:t> 126 tis. </w:t>
      </w:r>
      <w:r w:rsidR="00771BB3">
        <w:rPr>
          <w:lang w:eastAsia="sk-SK"/>
        </w:rPr>
        <w:t>eur</w:t>
      </w:r>
      <w:r>
        <w:rPr>
          <w:lang w:eastAsia="sk-SK"/>
        </w:rPr>
        <w:t xml:space="preserve"> v rámci ktorých zaznamenali nárast subvencie na energopomoc</w:t>
      </w:r>
      <w:r w:rsidRPr="00156ED6">
        <w:rPr>
          <w:lang w:eastAsia="sk-SK"/>
        </w:rPr>
        <w:t xml:space="preserve"> a subvencie na dotácie na výrobu</w:t>
      </w:r>
      <w:r>
        <w:rPr>
          <w:lang w:eastAsia="sk-SK"/>
        </w:rPr>
        <w:t xml:space="preserve"> </w:t>
      </w:r>
      <w:r w:rsidRPr="00156ED6">
        <w:rPr>
          <w:lang w:eastAsia="sk-SK"/>
        </w:rPr>
        <w:t>zelenej energie.</w:t>
      </w:r>
    </w:p>
    <w:p w14:paraId="5165965D" w14:textId="77777777" w:rsidR="009A3759" w:rsidRDefault="009A3759" w:rsidP="009A3759">
      <w:pPr>
        <w:spacing w:before="120" w:after="0" w:line="240" w:lineRule="auto"/>
        <w:jc w:val="both"/>
        <w:rPr>
          <w:lang w:eastAsia="sk-SK"/>
        </w:rPr>
      </w:pPr>
      <w:r w:rsidRPr="007B3995">
        <w:rPr>
          <w:szCs w:val="22"/>
        </w:rPr>
        <w:t>V roku 2023 MH SR spolu s vládou pokračovali v riešení pomoci s vysokými cenami energií pre domácnosti, verejný sektor a podnikateľské subjekty.</w:t>
      </w:r>
      <w:r w:rsidRPr="00723B19">
        <w:rPr>
          <w:sz w:val="24"/>
          <w:szCs w:val="24"/>
        </w:rPr>
        <w:t xml:space="preserve"> </w:t>
      </w:r>
      <w:r w:rsidRPr="008E2BD8">
        <w:rPr>
          <w:lang w:eastAsia="sk-SK"/>
        </w:rPr>
        <w:t>Finančné prost</w:t>
      </w:r>
      <w:r>
        <w:rPr>
          <w:lang w:eastAsia="sk-SK"/>
        </w:rPr>
        <w:t xml:space="preserve">riedky </w:t>
      </w:r>
      <w:r w:rsidRPr="008E2BD8">
        <w:rPr>
          <w:lang w:eastAsia="sk-SK"/>
        </w:rPr>
        <w:t>boli v roku 2023 pos</w:t>
      </w:r>
      <w:r>
        <w:rPr>
          <w:lang w:eastAsia="sk-SK"/>
        </w:rPr>
        <w:t>kytnuté podľa zákona č. 71/2013 </w:t>
      </w:r>
      <w:r w:rsidRPr="008E2BD8">
        <w:rPr>
          <w:lang w:eastAsia="sk-SK"/>
        </w:rPr>
        <w:t>Z.</w:t>
      </w:r>
      <w:r>
        <w:rPr>
          <w:lang w:eastAsia="sk-SK"/>
        </w:rPr>
        <w:t> </w:t>
      </w:r>
      <w:r w:rsidRPr="008E2BD8">
        <w:rPr>
          <w:lang w:eastAsia="sk-SK"/>
        </w:rPr>
        <w:t>z. o poskytovaní dotácií v pôsobnosti MH SR v</w:t>
      </w:r>
      <w:r>
        <w:rPr>
          <w:lang w:eastAsia="sk-SK"/>
        </w:rPr>
        <w:t> </w:t>
      </w:r>
      <w:r w:rsidRPr="008E2BD8">
        <w:rPr>
          <w:lang w:eastAsia="sk-SK"/>
        </w:rPr>
        <w:t>znení neskorších predpisov a Schémy pomoci podľa oddielu 2.1 Dočasného krízového rámca pre opatrenia štátnej pomoci na</w:t>
      </w:r>
      <w:r>
        <w:rPr>
          <w:lang w:eastAsia="sk-SK"/>
        </w:rPr>
        <w:t> </w:t>
      </w:r>
      <w:r w:rsidRPr="008E2BD8">
        <w:rPr>
          <w:lang w:eastAsia="sk-SK"/>
        </w:rPr>
        <w:t>podporu hospodárstva v dôsledku agresie Ruska proti Ukrajine, ako aj v zmysle nariadení vlády SR.</w:t>
      </w:r>
    </w:p>
    <w:p w14:paraId="414648D3" w14:textId="77777777" w:rsidR="009A3759" w:rsidRDefault="009A3759" w:rsidP="009A3759">
      <w:pPr>
        <w:pStyle w:val="Odsekzoznamu"/>
        <w:numPr>
          <w:ilvl w:val="0"/>
          <w:numId w:val="30"/>
        </w:numPr>
        <w:spacing w:before="120"/>
        <w:ind w:left="425" w:hanging="357"/>
        <w:jc w:val="both"/>
      </w:pPr>
      <w:r w:rsidRPr="008E2BD8">
        <w:t>č. 19/2023</w:t>
      </w:r>
      <w:r>
        <w:t> </w:t>
      </w:r>
      <w:r w:rsidRPr="008E2BD8">
        <w:t>Z.</w:t>
      </w:r>
      <w:r>
        <w:t> </w:t>
      </w:r>
      <w:r w:rsidRPr="008E2BD8">
        <w:t>z. na kompenzáciu dodávateľom plynu, ktorí dodávajú plyn odberateľom plynu v domácnosti, ako  aj dodávateľom elektriny/plynu, ktorí dodávajú elektrinu/plyn v súvislosti s dodávkou elektriny/plynu pre malých odberateľov a pre vybraných zraniteľných odberateľov elektriny/</w:t>
      </w:r>
      <w:r>
        <w:t>plynu realizovanou v roku 2023,</w:t>
      </w:r>
    </w:p>
    <w:p w14:paraId="406494BA" w14:textId="77777777" w:rsidR="009A3759" w:rsidRDefault="009A3759" w:rsidP="009A3759">
      <w:pPr>
        <w:pStyle w:val="Odsekzoznamu"/>
        <w:numPr>
          <w:ilvl w:val="0"/>
          <w:numId w:val="30"/>
        </w:numPr>
        <w:ind w:left="426"/>
        <w:jc w:val="both"/>
      </w:pPr>
      <w:r w:rsidRPr="008E2BD8">
        <w:t>č. 464/2022</w:t>
      </w:r>
      <w:r>
        <w:t> </w:t>
      </w:r>
      <w:r w:rsidRPr="008E2BD8">
        <w:t>Z.</w:t>
      </w:r>
      <w:r>
        <w:t> </w:t>
      </w:r>
      <w:r w:rsidRPr="008E2BD8">
        <w:t xml:space="preserve">z. na kompenzáciu príjmov pre dodávateľov tepla, </w:t>
      </w:r>
    </w:p>
    <w:p w14:paraId="6DAA87BF" w14:textId="77777777" w:rsidR="009A3759" w:rsidRDefault="009A3759" w:rsidP="009A3759">
      <w:pPr>
        <w:pStyle w:val="Odsekzoznamu"/>
        <w:numPr>
          <w:ilvl w:val="0"/>
          <w:numId w:val="30"/>
        </w:numPr>
        <w:ind w:left="426"/>
        <w:jc w:val="both"/>
      </w:pPr>
      <w:r w:rsidRPr="008E2BD8">
        <w:t>č. 465/2022</w:t>
      </w:r>
      <w:r>
        <w:t> </w:t>
      </w:r>
      <w:r w:rsidRPr="008E2BD8">
        <w:t>Z.</w:t>
      </w:r>
      <w:r>
        <w:t> </w:t>
      </w:r>
      <w:r w:rsidRPr="008E2BD8">
        <w:t>z. na kompenzáciu vybraných taríf vybraným účastníkom trhu s elektrinou.</w:t>
      </w:r>
    </w:p>
    <w:p w14:paraId="4226A4F8" w14:textId="77777777" w:rsidR="009A3759" w:rsidRPr="006F014E" w:rsidRDefault="009A3759" w:rsidP="009A3759">
      <w:pPr>
        <w:spacing w:before="120" w:after="120" w:line="240" w:lineRule="auto"/>
        <w:jc w:val="both"/>
        <w:rPr>
          <w:szCs w:val="22"/>
        </w:rPr>
      </w:pPr>
      <w:r w:rsidRPr="006F014E">
        <w:rPr>
          <w:szCs w:val="22"/>
        </w:rPr>
        <w:t xml:space="preserve">Pomoc vo forme tzv. energodotácií ministerstvo vyplácalo priamo odberateľom energií. O kompenzácie žiadali podniky, ale i verejný sektor, ako sú samosprávy, domovy sociálnych </w:t>
      </w:r>
      <w:r>
        <w:rPr>
          <w:szCs w:val="22"/>
        </w:rPr>
        <w:t>služieb či občianske združenia.</w:t>
      </w:r>
    </w:p>
    <w:p w14:paraId="1ADC40A3" w14:textId="21C0B75E" w:rsidR="00A2425F" w:rsidRDefault="009A3759" w:rsidP="00A2425F">
      <w:pPr>
        <w:spacing w:after="120" w:line="240" w:lineRule="auto"/>
        <w:jc w:val="both"/>
        <w:rPr>
          <w:szCs w:val="22"/>
        </w:rPr>
      </w:pPr>
      <w:r w:rsidRPr="00535CC4">
        <w:rPr>
          <w:szCs w:val="22"/>
        </w:rPr>
        <w:t xml:space="preserve">Štatistický úrad SR zaznamenal energopomoc na základe </w:t>
      </w:r>
      <w:r w:rsidR="00535CC4">
        <w:rPr>
          <w:szCs w:val="22"/>
        </w:rPr>
        <w:t xml:space="preserve">záverov </w:t>
      </w:r>
      <w:r w:rsidR="00EB2C31" w:rsidRPr="00535CC4">
        <w:rPr>
          <w:szCs w:val="22"/>
        </w:rPr>
        <w:t xml:space="preserve">z </w:t>
      </w:r>
      <w:r w:rsidR="0037206F" w:rsidRPr="00535CC4">
        <w:rPr>
          <w:szCs w:val="22"/>
        </w:rPr>
        <w:t>diskusie</w:t>
      </w:r>
      <w:r w:rsidR="0037206F">
        <w:rPr>
          <w:szCs w:val="22"/>
        </w:rPr>
        <w:t xml:space="preserve"> s</w:t>
      </w:r>
      <w:r w:rsidRPr="00605CAE">
        <w:rPr>
          <w:szCs w:val="22"/>
        </w:rPr>
        <w:t xml:space="preserve"> Eurostat</w:t>
      </w:r>
      <w:r w:rsidR="0037206F">
        <w:rPr>
          <w:szCs w:val="22"/>
        </w:rPr>
        <w:t>om</w:t>
      </w:r>
      <w:r w:rsidRPr="00605CAE">
        <w:rPr>
          <w:szCs w:val="22"/>
        </w:rPr>
        <w:t>, podľa kto</w:t>
      </w:r>
      <w:r w:rsidR="003964A1">
        <w:rPr>
          <w:szCs w:val="22"/>
        </w:rPr>
        <w:t>rej</w:t>
      </w:r>
      <w:r w:rsidRPr="00605CAE">
        <w:rPr>
          <w:szCs w:val="22"/>
        </w:rPr>
        <w:t xml:space="preserve"> energopomoc fina</w:t>
      </w:r>
      <w:r w:rsidR="00535CC4">
        <w:rPr>
          <w:szCs w:val="22"/>
        </w:rPr>
        <w:t>ncovaná z prostriedkov EÚ má</w:t>
      </w:r>
      <w:r w:rsidRPr="00605CAE">
        <w:rPr>
          <w:szCs w:val="22"/>
        </w:rPr>
        <w:t xml:space="preserve"> byť akruálne zaznamenaná do roku 2023. Celkové</w:t>
      </w:r>
      <w:r>
        <w:rPr>
          <w:szCs w:val="22"/>
        </w:rPr>
        <w:t xml:space="preserve"> ESA</w:t>
      </w:r>
      <w:r w:rsidRPr="00605CAE">
        <w:rPr>
          <w:szCs w:val="22"/>
        </w:rPr>
        <w:t xml:space="preserve"> výdavky na</w:t>
      </w:r>
      <w:r>
        <w:rPr>
          <w:szCs w:val="22"/>
        </w:rPr>
        <w:t> </w:t>
      </w:r>
      <w:r w:rsidRPr="00605CAE">
        <w:rPr>
          <w:szCs w:val="22"/>
        </w:rPr>
        <w:t xml:space="preserve">schémy pomoci súvisiace s nárastom cien energií v roku 2023 predstavovali objem </w:t>
      </w:r>
      <w:r>
        <w:rPr>
          <w:szCs w:val="22"/>
        </w:rPr>
        <w:t>3 064 203 tis. </w:t>
      </w:r>
      <w:r w:rsidRPr="00605CAE">
        <w:rPr>
          <w:szCs w:val="22"/>
        </w:rPr>
        <w:t>eur</w:t>
      </w:r>
      <w:r w:rsidR="003964A1">
        <w:rPr>
          <w:szCs w:val="22"/>
        </w:rPr>
        <w:t>, t. j. h</w:t>
      </w:r>
      <w:r w:rsidR="003964A1" w:rsidRPr="00122C6D">
        <w:rPr>
          <w:szCs w:val="22"/>
        </w:rPr>
        <w:t>otovostné čerpanie vypl</w:t>
      </w:r>
      <w:r w:rsidR="003964A1">
        <w:rPr>
          <w:szCs w:val="22"/>
        </w:rPr>
        <w:t>atené v roku 2023 bolo v</w:t>
      </w:r>
      <w:r w:rsidR="001C21A5">
        <w:rPr>
          <w:szCs w:val="22"/>
        </w:rPr>
        <w:t> </w:t>
      </w:r>
      <w:r w:rsidR="003964A1">
        <w:rPr>
          <w:szCs w:val="22"/>
        </w:rPr>
        <w:t>sume 2 995 076 tis. eur a</w:t>
      </w:r>
      <w:r w:rsidR="00C765EA">
        <w:rPr>
          <w:szCs w:val="22"/>
        </w:rPr>
        <w:t> </w:t>
      </w:r>
      <w:r w:rsidR="003964A1">
        <w:rPr>
          <w:szCs w:val="22"/>
        </w:rPr>
        <w:t>v</w:t>
      </w:r>
      <w:r w:rsidR="00C765EA">
        <w:rPr>
          <w:szCs w:val="22"/>
        </w:rPr>
        <w:t> </w:t>
      </w:r>
      <w:r w:rsidR="003964A1" w:rsidRPr="00122C6D">
        <w:rPr>
          <w:szCs w:val="22"/>
        </w:rPr>
        <w:t>zmysle metodiky ESA</w:t>
      </w:r>
      <w:r w:rsidR="003964A1">
        <w:rPr>
          <w:szCs w:val="22"/>
        </w:rPr>
        <w:t> </w:t>
      </w:r>
      <w:r w:rsidR="003964A1" w:rsidRPr="00122C6D">
        <w:rPr>
          <w:szCs w:val="22"/>
        </w:rPr>
        <w:t>2010 navyše do roka 2023 patria aj pomoci vyplatené v</w:t>
      </w:r>
      <w:r w:rsidR="001C21A5">
        <w:rPr>
          <w:szCs w:val="22"/>
        </w:rPr>
        <w:t> </w:t>
      </w:r>
      <w:r w:rsidR="003964A1" w:rsidRPr="00122C6D">
        <w:rPr>
          <w:szCs w:val="22"/>
        </w:rPr>
        <w:t>roku 2024, ktor</w:t>
      </w:r>
      <w:r w:rsidR="003964A1">
        <w:rPr>
          <w:szCs w:val="22"/>
        </w:rPr>
        <w:t>é sa vecne vzťahujú na schémy z </w:t>
      </w:r>
      <w:r w:rsidR="003964A1" w:rsidRPr="00122C6D">
        <w:rPr>
          <w:szCs w:val="22"/>
        </w:rPr>
        <w:t>roku 2023 (</w:t>
      </w:r>
      <w:r w:rsidR="003964A1" w:rsidRPr="00B06B59">
        <w:rPr>
          <w:szCs w:val="22"/>
        </w:rPr>
        <w:t>69</w:t>
      </w:r>
      <w:r w:rsidR="003964A1">
        <w:rPr>
          <w:szCs w:val="22"/>
        </w:rPr>
        <w:t> </w:t>
      </w:r>
      <w:r w:rsidR="003964A1" w:rsidRPr="00B06B59">
        <w:rPr>
          <w:szCs w:val="22"/>
        </w:rPr>
        <w:t>127</w:t>
      </w:r>
      <w:r w:rsidR="003964A1">
        <w:rPr>
          <w:szCs w:val="22"/>
        </w:rPr>
        <w:t> </w:t>
      </w:r>
      <w:r w:rsidR="003964A1" w:rsidRPr="00B06B59">
        <w:rPr>
          <w:szCs w:val="22"/>
        </w:rPr>
        <w:t>tis. eur).</w:t>
      </w:r>
      <w:r w:rsidR="00A2425F">
        <w:rPr>
          <w:szCs w:val="22"/>
        </w:rPr>
        <w:t xml:space="preserve"> </w:t>
      </w:r>
      <w:r>
        <w:rPr>
          <w:szCs w:val="22"/>
        </w:rPr>
        <w:t>Výdavky na </w:t>
      </w:r>
      <w:r w:rsidRPr="00605CAE">
        <w:rPr>
          <w:szCs w:val="22"/>
        </w:rPr>
        <w:t>energopomo</w:t>
      </w:r>
      <w:r w:rsidR="00C765EA">
        <w:rPr>
          <w:szCs w:val="22"/>
        </w:rPr>
        <w:t>c boli čiastočne financované zo </w:t>
      </w:r>
      <w:r w:rsidRPr="00605CAE">
        <w:rPr>
          <w:szCs w:val="22"/>
        </w:rPr>
        <w:t>zdrojov EÚ, t.</w:t>
      </w:r>
      <w:r>
        <w:rPr>
          <w:szCs w:val="22"/>
        </w:rPr>
        <w:t> </w:t>
      </w:r>
      <w:r w:rsidRPr="00605CAE">
        <w:rPr>
          <w:szCs w:val="22"/>
        </w:rPr>
        <w:t>j. z</w:t>
      </w:r>
      <w:r>
        <w:rPr>
          <w:szCs w:val="22"/>
        </w:rPr>
        <w:t> </w:t>
      </w:r>
      <w:r w:rsidRPr="00605CAE">
        <w:rPr>
          <w:szCs w:val="22"/>
        </w:rPr>
        <w:t>iniciatívy SAFE boli zaznamenané prostriedky v roku 2023 v celkovej sume 937</w:t>
      </w:r>
      <w:r w:rsidR="00C765EA">
        <w:rPr>
          <w:szCs w:val="22"/>
        </w:rPr>
        <w:t> </w:t>
      </w:r>
      <w:r w:rsidR="002B3430">
        <w:rPr>
          <w:szCs w:val="22"/>
        </w:rPr>
        <w:t>000</w:t>
      </w:r>
      <w:r w:rsidR="00C765EA">
        <w:rPr>
          <w:szCs w:val="22"/>
        </w:rPr>
        <w:t> </w:t>
      </w:r>
      <w:r w:rsidR="002B3430">
        <w:rPr>
          <w:szCs w:val="22"/>
        </w:rPr>
        <w:t>tis</w:t>
      </w:r>
      <w:r>
        <w:rPr>
          <w:szCs w:val="22"/>
        </w:rPr>
        <w:t>. eur.</w:t>
      </w:r>
    </w:p>
    <w:p w14:paraId="0D4E0958" w14:textId="77777777" w:rsidR="009A3759" w:rsidRDefault="009A3759" w:rsidP="00A2425F">
      <w:pPr>
        <w:spacing w:before="120" w:after="120" w:line="240" w:lineRule="auto"/>
        <w:jc w:val="both"/>
        <w:rPr>
          <w:highlight w:val="yellow"/>
          <w:lang w:eastAsia="sk-SK"/>
        </w:rPr>
      </w:pPr>
      <w:r>
        <w:rPr>
          <w:lang w:eastAsia="sk-SK"/>
        </w:rPr>
        <w:t>Subvencie ovplyvnili aj výdavkové subvencie štátu na zelenú energiu, ktoré sa medziročne zvýšili o </w:t>
      </w:r>
      <w:r w:rsidRPr="00CC7ACF">
        <w:rPr>
          <w:lang w:eastAsia="sk-SK"/>
        </w:rPr>
        <w:t>64</w:t>
      </w:r>
      <w:r>
        <w:rPr>
          <w:lang w:eastAsia="sk-SK"/>
        </w:rPr>
        <w:t> 856 tis. eur.</w:t>
      </w:r>
      <w:r w:rsidRPr="00CC7ACF">
        <w:t xml:space="preserve"> </w:t>
      </w:r>
      <w:r>
        <w:rPr>
          <w:lang w:eastAsia="sk-SK"/>
        </w:rPr>
        <w:t>Ide o</w:t>
      </w:r>
      <w:r w:rsidRPr="00CC7ACF">
        <w:rPr>
          <w:lang w:eastAsia="sk-SK"/>
        </w:rPr>
        <w:t xml:space="preserve"> podporu obnoviteľných zdrojov energie a vysoko účinnej kombinovanej výroby elektriny a</w:t>
      </w:r>
      <w:r>
        <w:rPr>
          <w:lang w:eastAsia="sk-SK"/>
        </w:rPr>
        <w:t> </w:t>
      </w:r>
      <w:r w:rsidRPr="00CC7ACF">
        <w:rPr>
          <w:lang w:eastAsia="sk-SK"/>
        </w:rPr>
        <w:t>tepla</w:t>
      </w:r>
      <w:r>
        <w:rPr>
          <w:lang w:eastAsia="sk-SK"/>
        </w:rPr>
        <w:t>.</w:t>
      </w:r>
    </w:p>
    <w:p w14:paraId="05C93C4E" w14:textId="6EA6EEB2" w:rsidR="009A3759" w:rsidRPr="002746C4" w:rsidRDefault="009A3759" w:rsidP="009A3759">
      <w:pPr>
        <w:spacing w:after="120" w:line="240" w:lineRule="auto"/>
        <w:jc w:val="both"/>
        <w:rPr>
          <w:szCs w:val="22"/>
          <w:highlight w:val="yellow"/>
        </w:rPr>
      </w:pPr>
      <w:r>
        <w:rPr>
          <w:lang w:eastAsia="sk-SK"/>
        </w:rPr>
        <w:t>S</w:t>
      </w:r>
      <w:r w:rsidRPr="003D66E1">
        <w:rPr>
          <w:lang w:eastAsia="sk-SK"/>
        </w:rPr>
        <w:t xml:space="preserve">ubvencie </w:t>
      </w:r>
      <w:r w:rsidRPr="00645EF3">
        <w:rPr>
          <w:u w:val="single"/>
          <w:lang w:eastAsia="sk-SK"/>
        </w:rPr>
        <w:t>do poľnohospodárstva</w:t>
      </w:r>
      <w:r w:rsidRPr="003D66E1">
        <w:rPr>
          <w:lang w:eastAsia="sk-SK"/>
        </w:rPr>
        <w:t xml:space="preserve"> medziročne poklesli o 15,2 % (o 25 689 tis. eur)</w:t>
      </w:r>
      <w:r w:rsidRPr="00A53076">
        <w:rPr>
          <w:lang w:eastAsia="sk-SK"/>
        </w:rPr>
        <w:t>, išlo predovšetkým o pokles platieb z Pôdohospodárskej platobnej agentúry nakoľko rozpočtové limity stanovené Mi</w:t>
      </w:r>
      <w:r>
        <w:rPr>
          <w:lang w:eastAsia="sk-SK"/>
        </w:rPr>
        <w:t xml:space="preserve">nisterstvom pôdohospodárstva a </w:t>
      </w:r>
      <w:r w:rsidRPr="00A53076">
        <w:rPr>
          <w:lang w:eastAsia="sk-SK"/>
        </w:rPr>
        <w:t>rozvoja vidieka SR boli nižšie ako v</w:t>
      </w:r>
      <w:r>
        <w:rPr>
          <w:lang w:eastAsia="sk-SK"/>
        </w:rPr>
        <w:t> </w:t>
      </w:r>
      <w:r w:rsidRPr="00A53076">
        <w:rPr>
          <w:lang w:eastAsia="sk-SK"/>
        </w:rPr>
        <w:t>roku 2022. Skokový rozdiel je zapríčinený</w:t>
      </w:r>
      <w:r>
        <w:rPr>
          <w:lang w:eastAsia="sk-SK"/>
        </w:rPr>
        <w:t xml:space="preserve"> tým, že v roku 2023 nedošlo k </w:t>
      </w:r>
      <w:r w:rsidRPr="00A53076">
        <w:rPr>
          <w:lang w:eastAsia="sk-SK"/>
        </w:rPr>
        <w:t>rapídnemu zhoršen</w:t>
      </w:r>
      <w:r>
        <w:rPr>
          <w:lang w:eastAsia="sk-SK"/>
        </w:rPr>
        <w:t>iu pestovateľských podmienok v</w:t>
      </w:r>
      <w:r w:rsidR="001C21A5">
        <w:rPr>
          <w:lang w:eastAsia="sk-SK"/>
        </w:rPr>
        <w:t> </w:t>
      </w:r>
      <w:r w:rsidRPr="00A53076">
        <w:rPr>
          <w:lang w:eastAsia="sk-SK"/>
        </w:rPr>
        <w:t xml:space="preserve">segmente prvovýroby, ako tomu bolo v </w:t>
      </w:r>
      <w:r>
        <w:rPr>
          <w:lang w:eastAsia="sk-SK"/>
        </w:rPr>
        <w:t>roku 2022, z</w:t>
      </w:r>
      <w:r w:rsidRPr="00A53076">
        <w:rPr>
          <w:lang w:eastAsia="sk-SK"/>
        </w:rPr>
        <w:t xml:space="preserve"> tohto dôvodu nebolo administrované krízové opatrenie na</w:t>
      </w:r>
      <w:r>
        <w:rPr>
          <w:lang w:eastAsia="sk-SK"/>
        </w:rPr>
        <w:t> </w:t>
      </w:r>
      <w:r w:rsidRPr="00A53076">
        <w:rPr>
          <w:lang w:eastAsia="sk-SK"/>
        </w:rPr>
        <w:t>nápravu škôd spôsobených nepriaznivou poveternostnou uda</w:t>
      </w:r>
      <w:r w:rsidR="001C21A5">
        <w:rPr>
          <w:lang w:eastAsia="sk-SK"/>
        </w:rPr>
        <w:t>losťou, ktorú možno prirovnať k </w:t>
      </w:r>
      <w:r w:rsidRPr="00A53076">
        <w:rPr>
          <w:lang w:eastAsia="sk-SK"/>
        </w:rPr>
        <w:t>prírodnej katastrofe (SUCHO 2022).</w:t>
      </w:r>
    </w:p>
    <w:p w14:paraId="064EA0C2" w14:textId="0B04E52C" w:rsidR="002E5268" w:rsidRDefault="009A3759" w:rsidP="002E5268">
      <w:pPr>
        <w:spacing w:after="120" w:line="240" w:lineRule="auto"/>
        <w:jc w:val="both"/>
        <w:rPr>
          <w:lang w:eastAsia="sk-SK"/>
        </w:rPr>
      </w:pPr>
      <w:r w:rsidRPr="0078225B">
        <w:rPr>
          <w:szCs w:val="22"/>
        </w:rPr>
        <w:t xml:space="preserve">Mierny nárast zaznamenali subvencie </w:t>
      </w:r>
      <w:r w:rsidRPr="004F4311">
        <w:rPr>
          <w:szCs w:val="22"/>
          <w:u w:val="single"/>
        </w:rPr>
        <w:t>do dopravy</w:t>
      </w:r>
      <w:r w:rsidRPr="0078225B">
        <w:rPr>
          <w:szCs w:val="22"/>
        </w:rPr>
        <w:t xml:space="preserve"> t. j. o 2,0 %</w:t>
      </w:r>
      <w:r w:rsidRPr="0078225B">
        <w:rPr>
          <w:lang w:eastAsia="sk-SK"/>
        </w:rPr>
        <w:t xml:space="preserve"> (nárast o 6 527</w:t>
      </w:r>
      <w:r>
        <w:rPr>
          <w:lang w:eastAsia="sk-SK"/>
        </w:rPr>
        <w:t> tis. eur), z </w:t>
      </w:r>
      <w:r w:rsidRPr="0078225B">
        <w:rPr>
          <w:lang w:eastAsia="sk-SK"/>
        </w:rPr>
        <w:t>čoho najväčšiu polož</w:t>
      </w:r>
      <w:r>
        <w:rPr>
          <w:lang w:eastAsia="sk-SK"/>
        </w:rPr>
        <w:t>ku tvorila cestná doprava o 3,8 </w:t>
      </w:r>
      <w:r w:rsidRPr="0078225B">
        <w:rPr>
          <w:lang w:eastAsia="sk-SK"/>
        </w:rPr>
        <w:t>% (o 11</w:t>
      </w:r>
      <w:r>
        <w:rPr>
          <w:lang w:eastAsia="sk-SK"/>
        </w:rPr>
        <w:t> </w:t>
      </w:r>
      <w:r w:rsidRPr="0078225B">
        <w:rPr>
          <w:lang w:eastAsia="sk-SK"/>
        </w:rPr>
        <w:t>835</w:t>
      </w:r>
      <w:r>
        <w:rPr>
          <w:lang w:eastAsia="sk-SK"/>
        </w:rPr>
        <w:t> tis. </w:t>
      </w:r>
      <w:r w:rsidRPr="0078225B">
        <w:rPr>
          <w:lang w:eastAsia="sk-SK"/>
        </w:rPr>
        <w:t xml:space="preserve">eur). </w:t>
      </w:r>
      <w:r w:rsidRPr="00B732A8">
        <w:rPr>
          <w:lang w:eastAsia="sk-SK"/>
        </w:rPr>
        <w:t>Nárast subv</w:t>
      </w:r>
      <w:r>
        <w:rPr>
          <w:lang w:eastAsia="sk-SK"/>
        </w:rPr>
        <w:t>encií zaznamenali najmä VÚC o 25 372</w:t>
      </w:r>
      <w:r w:rsidR="002E5268">
        <w:rPr>
          <w:lang w:eastAsia="sk-SK"/>
        </w:rPr>
        <w:t> tis. eur, z toho</w:t>
      </w:r>
      <w:r w:rsidR="002E5268" w:rsidRPr="002E5268">
        <w:rPr>
          <w:lang w:eastAsia="sk-SK"/>
        </w:rPr>
        <w:t xml:space="preserve"> </w:t>
      </w:r>
      <w:r w:rsidR="002E5268">
        <w:rPr>
          <w:lang w:eastAsia="sk-SK"/>
        </w:rPr>
        <w:t>najmä</w:t>
      </w:r>
      <w:r w:rsidR="002E5268" w:rsidRPr="002E5268">
        <w:rPr>
          <w:lang w:eastAsia="sk-SK"/>
        </w:rPr>
        <w:t xml:space="preserve"> </w:t>
      </w:r>
      <w:r w:rsidR="002E5268">
        <w:rPr>
          <w:lang w:eastAsia="sk-SK"/>
        </w:rPr>
        <w:t>banskobystrick</w:t>
      </w:r>
      <w:r w:rsidR="002E5268" w:rsidRPr="002E5268">
        <w:rPr>
          <w:lang w:eastAsia="sk-SK"/>
        </w:rPr>
        <w:t xml:space="preserve">ý </w:t>
      </w:r>
      <w:r w:rsidR="002E5268" w:rsidRPr="002E5268">
        <w:t xml:space="preserve">o 16 410 tis. eur, </w:t>
      </w:r>
      <w:r w:rsidR="002E5268" w:rsidRPr="002E5268">
        <w:rPr>
          <w:lang w:eastAsia="sk-SK"/>
        </w:rPr>
        <w:t xml:space="preserve">nitriansky </w:t>
      </w:r>
      <w:r w:rsidR="002E5268" w:rsidRPr="002E5268">
        <w:t>o 5 895 tis. eur</w:t>
      </w:r>
      <w:r w:rsidR="002E5268" w:rsidRPr="002E5268">
        <w:rPr>
          <w:lang w:eastAsia="sk-SK"/>
        </w:rPr>
        <w:t xml:space="preserve">, a košický samosprávny kraj </w:t>
      </w:r>
      <w:r w:rsidR="002E5268" w:rsidRPr="002E5268">
        <w:t>o 4 812 tis. eur</w:t>
      </w:r>
      <w:r w:rsidR="002E5268">
        <w:rPr>
          <w:lang w:eastAsia="sk-SK"/>
        </w:rPr>
        <w:t>. I</w:t>
      </w:r>
      <w:r w:rsidR="002E5268" w:rsidRPr="002E5268">
        <w:rPr>
          <w:lang w:eastAsia="sk-SK"/>
        </w:rPr>
        <w:t xml:space="preserve">šlo najmä o transfery verejným dopravcom na vykrytie strát výkonov </w:t>
      </w:r>
      <w:r w:rsidR="002E5268" w:rsidRPr="002E5268">
        <w:rPr>
          <w:lang w:eastAsia="sk-SK"/>
        </w:rPr>
        <w:lastRenderedPageBreak/>
        <w:t>vo verejnom záujme pri zabezpečovaní prímestskej autobusovej dopravy</w:t>
      </w:r>
      <w:r w:rsidR="002E5268">
        <w:rPr>
          <w:lang w:eastAsia="sk-SK"/>
        </w:rPr>
        <w:t xml:space="preserve"> </w:t>
      </w:r>
      <w:r w:rsidR="002E5268">
        <w:t>a </w:t>
      </w:r>
      <w:r w:rsidR="001C21A5">
        <w:t>výdavky na </w:t>
      </w:r>
      <w:r w:rsidR="002E5268" w:rsidRPr="007449EB">
        <w:t>integrovaný dopravný systém</w:t>
      </w:r>
      <w:r w:rsidR="002E5268" w:rsidRPr="002E5268">
        <w:rPr>
          <w:lang w:eastAsia="sk-SK"/>
        </w:rPr>
        <w:t xml:space="preserve">. </w:t>
      </w:r>
    </w:p>
    <w:p w14:paraId="743B1959" w14:textId="62C67155" w:rsidR="00654390" w:rsidRPr="00A024AB" w:rsidRDefault="00654390" w:rsidP="00C41C45">
      <w:pPr>
        <w:spacing w:after="120" w:line="240" w:lineRule="auto"/>
        <w:jc w:val="both"/>
        <w:rPr>
          <w:b/>
          <w:color w:val="4F81BD" w:themeColor="accent1"/>
          <w:sz w:val="24"/>
          <w:szCs w:val="24"/>
        </w:rPr>
      </w:pPr>
      <w:r w:rsidRPr="00A024AB">
        <w:rPr>
          <w:b/>
          <w:color w:val="4F81BD" w:themeColor="accent1"/>
          <w:sz w:val="24"/>
          <w:szCs w:val="24"/>
        </w:rPr>
        <w:t>Úrokové náklady</w:t>
      </w:r>
    </w:p>
    <w:p w14:paraId="15339AD9" w14:textId="1AAFB78F" w:rsidR="009A3759" w:rsidRDefault="009A3759" w:rsidP="009A3759">
      <w:pPr>
        <w:spacing w:after="120" w:line="240" w:lineRule="auto"/>
        <w:jc w:val="both"/>
        <w:rPr>
          <w:szCs w:val="22"/>
        </w:rPr>
      </w:pPr>
      <w:r w:rsidRPr="00FF6943">
        <w:rPr>
          <w:szCs w:val="22"/>
        </w:rPr>
        <w:t>V roku 2023 úrokové nákl</w:t>
      </w:r>
      <w:r>
        <w:rPr>
          <w:szCs w:val="22"/>
        </w:rPr>
        <w:t>ady verejného dlhu vzrástli o 25,4 %, čo predstavovalo nárast o </w:t>
      </w:r>
      <w:r w:rsidRPr="00FF6943">
        <w:rPr>
          <w:szCs w:val="22"/>
        </w:rPr>
        <w:t>28</w:t>
      </w:r>
      <w:r>
        <w:rPr>
          <w:szCs w:val="22"/>
        </w:rPr>
        <w:t>9 074 tis. </w:t>
      </w:r>
      <w:r w:rsidRPr="00FF6943">
        <w:rPr>
          <w:szCs w:val="22"/>
        </w:rPr>
        <w:t xml:space="preserve">eur oproti roku 2022. Hlavnou príčinou bol </w:t>
      </w:r>
      <w:r w:rsidR="00DC748D">
        <w:rPr>
          <w:szCs w:val="22"/>
        </w:rPr>
        <w:t>nárast krátkodobých úrokových sadzieb</w:t>
      </w:r>
      <w:r w:rsidRPr="00FF6943">
        <w:rPr>
          <w:szCs w:val="22"/>
        </w:rPr>
        <w:t xml:space="preserve"> </w:t>
      </w:r>
      <w:r w:rsidR="00DC748D">
        <w:rPr>
          <w:szCs w:val="22"/>
        </w:rPr>
        <w:t xml:space="preserve">a nárast objemu </w:t>
      </w:r>
      <w:r w:rsidRPr="00FF6943">
        <w:rPr>
          <w:szCs w:val="22"/>
        </w:rPr>
        <w:t>vyemitovaných štátnych dlh</w:t>
      </w:r>
      <w:r>
        <w:rPr>
          <w:szCs w:val="22"/>
        </w:rPr>
        <w:t>opisov v roku 2023 o</w:t>
      </w:r>
      <w:r w:rsidR="00DC748D">
        <w:rPr>
          <w:szCs w:val="22"/>
        </w:rPr>
        <w:t> </w:t>
      </w:r>
      <w:r>
        <w:rPr>
          <w:szCs w:val="22"/>
        </w:rPr>
        <w:t>5</w:t>
      </w:r>
      <w:r w:rsidR="00DC748D" w:rsidRPr="00DC748D">
        <w:rPr>
          <w:szCs w:val="22"/>
        </w:rPr>
        <w:t> </w:t>
      </w:r>
      <w:r>
        <w:rPr>
          <w:szCs w:val="22"/>
        </w:rPr>
        <w:t>2</w:t>
      </w:r>
      <w:r w:rsidR="00DC748D">
        <w:rPr>
          <w:szCs w:val="22"/>
        </w:rPr>
        <w:t>26</w:t>
      </w:r>
      <w:r w:rsidR="00DC748D" w:rsidRPr="00DC748D">
        <w:rPr>
          <w:szCs w:val="22"/>
        </w:rPr>
        <w:t> 900</w:t>
      </w:r>
      <w:r>
        <w:rPr>
          <w:szCs w:val="22"/>
        </w:rPr>
        <w:t> </w:t>
      </w:r>
      <w:r w:rsidR="00DC748D">
        <w:rPr>
          <w:szCs w:val="22"/>
        </w:rPr>
        <w:t>tis</w:t>
      </w:r>
      <w:r>
        <w:rPr>
          <w:szCs w:val="22"/>
        </w:rPr>
        <w:t>. </w:t>
      </w:r>
      <w:r w:rsidRPr="00FF6943">
        <w:rPr>
          <w:szCs w:val="22"/>
        </w:rPr>
        <w:t>eur v nominálnej hodnote oproti roku 2022</w:t>
      </w:r>
      <w:r w:rsidR="00DC748D">
        <w:rPr>
          <w:szCs w:val="22"/>
        </w:rPr>
        <w:t>,</w:t>
      </w:r>
      <w:r w:rsidRPr="00FF6943">
        <w:rPr>
          <w:szCs w:val="22"/>
        </w:rPr>
        <w:t xml:space="preserve"> </w:t>
      </w:r>
      <w:r w:rsidR="00DC748D">
        <w:rPr>
          <w:szCs w:val="22"/>
        </w:rPr>
        <w:t xml:space="preserve">pričom </w:t>
      </w:r>
      <w:r w:rsidRPr="00FF6943">
        <w:rPr>
          <w:szCs w:val="22"/>
        </w:rPr>
        <w:t>ich priemerný výnos do splatnosti (náklad) bol vyšší o približne 1,3</w:t>
      </w:r>
      <w:r>
        <w:rPr>
          <w:szCs w:val="22"/>
        </w:rPr>
        <w:t> </w:t>
      </w:r>
      <w:r w:rsidRPr="00FF6943">
        <w:rPr>
          <w:szCs w:val="22"/>
        </w:rPr>
        <w:t>%.</w:t>
      </w:r>
    </w:p>
    <w:p w14:paraId="16F23432" w14:textId="77777777" w:rsidR="00654390" w:rsidRPr="00B327DE" w:rsidRDefault="00654390" w:rsidP="00654390">
      <w:pPr>
        <w:spacing w:after="120" w:line="240" w:lineRule="auto"/>
        <w:jc w:val="both"/>
        <w:rPr>
          <w:b/>
          <w:color w:val="4F81BD" w:themeColor="accent1"/>
          <w:sz w:val="24"/>
          <w:szCs w:val="24"/>
        </w:rPr>
      </w:pPr>
      <w:r w:rsidRPr="00B327DE">
        <w:rPr>
          <w:b/>
          <w:color w:val="4F81BD" w:themeColor="accent1"/>
          <w:sz w:val="24"/>
          <w:szCs w:val="24"/>
        </w:rPr>
        <w:t>Sociálne transfery</w:t>
      </w:r>
    </w:p>
    <w:p w14:paraId="2C97E024" w14:textId="321C22E7" w:rsidR="009A3759" w:rsidRPr="00E763F8" w:rsidRDefault="009A3759" w:rsidP="009A3759">
      <w:pPr>
        <w:spacing w:after="120" w:line="240" w:lineRule="auto"/>
        <w:jc w:val="both"/>
        <w:rPr>
          <w:szCs w:val="22"/>
        </w:rPr>
      </w:pPr>
      <w:r w:rsidRPr="00E763F8">
        <w:rPr>
          <w:szCs w:val="22"/>
        </w:rPr>
        <w:t>Sociálne transfery vzrástli o 24,0 %, čo predstavovalo nárast o 4 </w:t>
      </w:r>
      <w:r w:rsidR="0066335F">
        <w:rPr>
          <w:szCs w:val="22"/>
        </w:rPr>
        <w:t>720 9</w:t>
      </w:r>
      <w:r w:rsidRPr="00E763F8">
        <w:rPr>
          <w:szCs w:val="22"/>
        </w:rPr>
        <w:t>7</w:t>
      </w:r>
      <w:r w:rsidR="0066335F">
        <w:rPr>
          <w:szCs w:val="22"/>
        </w:rPr>
        <w:t>5</w:t>
      </w:r>
      <w:r w:rsidRPr="00E763F8">
        <w:rPr>
          <w:szCs w:val="22"/>
        </w:rPr>
        <w:t xml:space="preserve"> tis. eur. Nárast </w:t>
      </w:r>
      <w:r w:rsidRPr="00E763F8">
        <w:rPr>
          <w:szCs w:val="22"/>
          <w:u w:val="single"/>
        </w:rPr>
        <w:t>bežných transferov</w:t>
      </w:r>
      <w:r w:rsidRPr="00E763F8">
        <w:rPr>
          <w:szCs w:val="22"/>
        </w:rPr>
        <w:t xml:space="preserve"> v Sociálnej poisťovni bol v hotovostných platbách z poistenia o 2 082 819 tis. eur</w:t>
      </w:r>
      <w:r>
        <w:rPr>
          <w:szCs w:val="22"/>
        </w:rPr>
        <w:t xml:space="preserve"> vyšší</w:t>
      </w:r>
      <w:r w:rsidRPr="00E763F8">
        <w:rPr>
          <w:szCs w:val="22"/>
        </w:rPr>
        <w:t>, z toho:</w:t>
      </w:r>
    </w:p>
    <w:p w14:paraId="597E9566" w14:textId="77777777" w:rsidR="009A3759" w:rsidRDefault="009A3759" w:rsidP="009A3759">
      <w:pPr>
        <w:pStyle w:val="Odsekzoznamu"/>
        <w:numPr>
          <w:ilvl w:val="0"/>
          <w:numId w:val="39"/>
        </w:numPr>
        <w:spacing w:after="120"/>
        <w:jc w:val="both"/>
      </w:pPr>
      <w:r w:rsidRPr="00E763F8">
        <w:t>dôchodkové dávky zo starobného poistenia a z invalidného poistenia vzrástli o 2 049</w:t>
      </w:r>
      <w:r>
        <w:t> 096 tis. </w:t>
      </w:r>
      <w:r w:rsidRPr="00E763F8">
        <w:t>eur</w:t>
      </w:r>
    </w:p>
    <w:p w14:paraId="68365F77" w14:textId="77777777" w:rsidR="009A3759" w:rsidRPr="00E763F8" w:rsidRDefault="009A3759" w:rsidP="009A3759">
      <w:pPr>
        <w:pStyle w:val="Odsekzoznamu"/>
        <w:numPr>
          <w:ilvl w:val="0"/>
          <w:numId w:val="39"/>
        </w:numPr>
        <w:spacing w:after="120"/>
        <w:jc w:val="both"/>
      </w:pPr>
      <w:r w:rsidRPr="00E763F8">
        <w:t>dávky v nezamestnanosti vzrástli o 28</w:t>
      </w:r>
      <w:r>
        <w:t> </w:t>
      </w:r>
      <w:r w:rsidRPr="00E763F8">
        <w:t>280</w:t>
      </w:r>
      <w:r>
        <w:t> tis. eur.</w:t>
      </w:r>
    </w:p>
    <w:p w14:paraId="08F94A46" w14:textId="77777777" w:rsidR="009A3759" w:rsidRPr="00E763F8" w:rsidRDefault="009A3759" w:rsidP="000F1AF0">
      <w:pPr>
        <w:pStyle w:val="Odsekzoznamu"/>
        <w:numPr>
          <w:ilvl w:val="0"/>
          <w:numId w:val="39"/>
        </w:numPr>
        <w:spacing w:after="120"/>
        <w:ind w:left="771" w:hanging="357"/>
        <w:contextualSpacing w:val="0"/>
        <w:jc w:val="both"/>
      </w:pPr>
      <w:r w:rsidRPr="00E763F8">
        <w:t>nemocenské dávky vzrástli o 5</w:t>
      </w:r>
      <w:r>
        <w:t> </w:t>
      </w:r>
      <w:r w:rsidRPr="00E763F8">
        <w:t>443</w:t>
      </w:r>
      <w:r>
        <w:t> tis. eur.</w:t>
      </w:r>
    </w:p>
    <w:p w14:paraId="33B9C1B1" w14:textId="77777777" w:rsidR="009A3759" w:rsidRPr="00E763F8" w:rsidRDefault="009A3759" w:rsidP="009A3759">
      <w:pPr>
        <w:pStyle w:val="Odsekzoznamu"/>
        <w:spacing w:after="120"/>
        <w:ind w:left="0"/>
        <w:jc w:val="both"/>
      </w:pPr>
      <w:r w:rsidRPr="00E763F8">
        <w:t>Zo samostatných účtov silových zložiek bol nárast vyplatených dávok o 55 699 tis. eur, z toho:</w:t>
      </w:r>
    </w:p>
    <w:p w14:paraId="78487771" w14:textId="77777777" w:rsidR="009A3759" w:rsidRPr="00E763F8" w:rsidRDefault="009A3759" w:rsidP="009A3759">
      <w:pPr>
        <w:pStyle w:val="Odsekzoznamu"/>
        <w:numPr>
          <w:ilvl w:val="0"/>
          <w:numId w:val="40"/>
        </w:numPr>
        <w:spacing w:after="120"/>
        <w:jc w:val="both"/>
      </w:pPr>
      <w:r w:rsidRPr="00E763F8">
        <w:t>dôchodkové dávky zo starobného a z invalidného poistenia vzrástli o 56</w:t>
      </w:r>
      <w:r>
        <w:t> </w:t>
      </w:r>
      <w:r w:rsidRPr="00E763F8">
        <w:t>481</w:t>
      </w:r>
      <w:r>
        <w:t> tis. </w:t>
      </w:r>
      <w:r w:rsidRPr="00E763F8">
        <w:t>eur</w:t>
      </w:r>
      <w:r>
        <w:t>,</w:t>
      </w:r>
    </w:p>
    <w:p w14:paraId="0F1B2995" w14:textId="77777777" w:rsidR="009A3759" w:rsidRPr="00E763F8" w:rsidRDefault="009A3759" w:rsidP="009A3759">
      <w:pPr>
        <w:pStyle w:val="Odsekzoznamu"/>
        <w:numPr>
          <w:ilvl w:val="0"/>
          <w:numId w:val="40"/>
        </w:numPr>
        <w:spacing w:after="120"/>
        <w:jc w:val="both"/>
      </w:pPr>
      <w:r w:rsidRPr="00E763F8">
        <w:t>nemocenské dávky poklesli o</w:t>
      </w:r>
      <w:r>
        <w:t> 782 tis. </w:t>
      </w:r>
      <w:r w:rsidRPr="00E763F8">
        <w:t>eur.</w:t>
      </w:r>
    </w:p>
    <w:p w14:paraId="2016F29A" w14:textId="1CF73B03" w:rsidR="009A3759" w:rsidRPr="00742C7D" w:rsidRDefault="009A3759" w:rsidP="009A3759">
      <w:pPr>
        <w:spacing w:after="120" w:line="240" w:lineRule="auto"/>
        <w:jc w:val="both"/>
        <w:rPr>
          <w:szCs w:val="22"/>
        </w:rPr>
      </w:pPr>
      <w:r w:rsidRPr="00742C7D">
        <w:rPr>
          <w:szCs w:val="22"/>
        </w:rPr>
        <w:t>Celkovo</w:t>
      </w:r>
      <w:r>
        <w:rPr>
          <w:szCs w:val="22"/>
        </w:rPr>
        <w:t> dôchodkové dávky zo </w:t>
      </w:r>
      <w:r w:rsidRPr="00742C7D">
        <w:rPr>
          <w:szCs w:val="22"/>
        </w:rPr>
        <w:t>starobného a invalidného poistenia sa zvýšili o 24,1 % (nárast o 2 105 577 tis. eur</w:t>
      </w:r>
      <w:r w:rsidR="00395EAC">
        <w:rPr>
          <w:szCs w:val="22"/>
        </w:rPr>
        <w:t xml:space="preserve">), </w:t>
      </w:r>
      <w:r w:rsidRPr="00742C7D">
        <w:rPr>
          <w:szCs w:val="22"/>
        </w:rPr>
        <w:t>dávky v nezamestnanosti vzrástli o 11,8 % (nárast o 28 280 tis. eur)</w:t>
      </w:r>
      <w:r w:rsidR="00395EAC">
        <w:rPr>
          <w:szCs w:val="22"/>
        </w:rPr>
        <w:t xml:space="preserve"> </w:t>
      </w:r>
      <w:r w:rsidR="00395EAC" w:rsidRPr="00742C7D">
        <w:rPr>
          <w:szCs w:val="22"/>
        </w:rPr>
        <w:t>nemocenské dávky v roku 2023 vzrástli o 0,5 % (nárast o 4 661</w:t>
      </w:r>
      <w:r w:rsidR="00395EAC">
        <w:rPr>
          <w:szCs w:val="22"/>
        </w:rPr>
        <w:t> tis. eur)</w:t>
      </w:r>
      <w:r w:rsidRPr="00742C7D">
        <w:rPr>
          <w:szCs w:val="22"/>
        </w:rPr>
        <w:t>.</w:t>
      </w:r>
      <w:r>
        <w:rPr>
          <w:szCs w:val="22"/>
        </w:rPr>
        <w:t xml:space="preserve"> Významný nárast dôchodkový dávok bol spôsobený mimoriadnou valorizáciou</w:t>
      </w:r>
      <w:r>
        <w:rPr>
          <w:rStyle w:val="Odkaznapoznmkupodiarou"/>
          <w:szCs w:val="22"/>
        </w:rPr>
        <w:footnoteReference w:id="23"/>
      </w:r>
      <w:r>
        <w:rPr>
          <w:szCs w:val="22"/>
        </w:rPr>
        <w:t>, kedy sa od 1. júla 2023 zvýšili všetky dôchodkové dávky o 10,6 % a zároveň došlo aj k zvýšeniu minimálnych dôchodkov.</w:t>
      </w:r>
    </w:p>
    <w:p w14:paraId="2B65BDA3" w14:textId="77777777" w:rsidR="009A3759" w:rsidRPr="0072318B" w:rsidRDefault="009A3759" w:rsidP="009A3759">
      <w:pPr>
        <w:spacing w:after="120" w:line="240" w:lineRule="auto"/>
        <w:jc w:val="both"/>
        <w:rPr>
          <w:szCs w:val="22"/>
        </w:rPr>
      </w:pPr>
      <w:r w:rsidRPr="0072318B">
        <w:rPr>
          <w:szCs w:val="22"/>
        </w:rPr>
        <w:t xml:space="preserve">Vyplácané </w:t>
      </w:r>
      <w:r w:rsidRPr="0072318B">
        <w:rPr>
          <w:szCs w:val="22"/>
          <w:u w:val="single"/>
        </w:rPr>
        <w:t>štátne sociálne dávky</w:t>
      </w:r>
      <w:r w:rsidRPr="0072318B">
        <w:rPr>
          <w:szCs w:val="22"/>
        </w:rPr>
        <w:t xml:space="preserve"> medziročne vzrástli o 15,1 % (nárast o 416 222 tis. eur), </w:t>
      </w:r>
      <w:r>
        <w:rPr>
          <w:szCs w:val="22"/>
        </w:rPr>
        <w:t>z toho najvýraznejší vplyv mali dávky:</w:t>
      </w:r>
    </w:p>
    <w:p w14:paraId="7928D8D3" w14:textId="77777777" w:rsidR="009A3759" w:rsidRPr="008051D0" w:rsidRDefault="009A3759" w:rsidP="009A3759">
      <w:pPr>
        <w:pStyle w:val="Odsekzoznamu"/>
        <w:numPr>
          <w:ilvl w:val="0"/>
          <w:numId w:val="42"/>
        </w:numPr>
        <w:spacing w:after="120"/>
        <w:jc w:val="both"/>
      </w:pPr>
      <w:r w:rsidRPr="00A86616">
        <w:t>suma prídavkov na dieťa sa zvýšila o 109,0 % (nárast o 405 997 tis. eur) predovšetkým z dôvodu zvýše</w:t>
      </w:r>
      <w:r>
        <w:t>nia mesačného prídavku od </w:t>
      </w:r>
      <w:r w:rsidRPr="00A86616">
        <w:t xml:space="preserve">1. januára 2023 </w:t>
      </w:r>
      <w:r>
        <w:t xml:space="preserve">zo sumy 30 eur na sumu 60 eur. A zároveň sa vyplácal aj jednorazový príspevok pre dieťa vo výške </w:t>
      </w:r>
      <w:r w:rsidRPr="00CA6ED6">
        <w:t>110</w:t>
      </w:r>
      <w:r>
        <w:t> </w:t>
      </w:r>
      <w:r w:rsidRPr="00CA6ED6">
        <w:t xml:space="preserve">eur </w:t>
      </w:r>
      <w:r>
        <w:t>(vyplatil sa za kalendárny mesiac, v </w:t>
      </w:r>
      <w:r w:rsidRPr="00CA6ED6">
        <w:t>ktorom nezaopatrené dieťa prvýkrát nastúpilo do prvého ročníka základnej školy</w:t>
      </w:r>
      <w:r>
        <w:t>),</w:t>
      </w:r>
    </w:p>
    <w:p w14:paraId="2F1302DA" w14:textId="77777777" w:rsidR="009A3759" w:rsidRPr="000B0030" w:rsidRDefault="009A3759" w:rsidP="009A3759">
      <w:pPr>
        <w:pStyle w:val="Odsekzoznamu"/>
        <w:numPr>
          <w:ilvl w:val="0"/>
          <w:numId w:val="42"/>
        </w:numPr>
        <w:spacing w:after="120"/>
        <w:jc w:val="both"/>
      </w:pPr>
      <w:r w:rsidRPr="008051D0">
        <w:t>Suma vyplatených rodičovských príspevkov sa medziročne zvýšila o 8,5 % (nárast o 51 548 tis. eur), išlo predovšetkým o zvýšenie mesačného prída</w:t>
      </w:r>
      <w:r>
        <w:t>vku od 1. augusta 2023, a to zo </w:t>
      </w:r>
      <w:r w:rsidRPr="008051D0">
        <w:t>sumy 301,00</w:t>
      </w:r>
      <w:r>
        <w:t> </w:t>
      </w:r>
      <w:r w:rsidRPr="008051D0">
        <w:t>eur na sumu 345,20</w:t>
      </w:r>
      <w:r>
        <w:t> </w:t>
      </w:r>
      <w:r w:rsidRPr="008051D0">
        <w:t>eur (ak oprávnená osoba nemala nárok na</w:t>
      </w:r>
      <w:r>
        <w:t> </w:t>
      </w:r>
      <w:r w:rsidRPr="008051D0">
        <w:t>materské na</w:t>
      </w:r>
      <w:r>
        <w:t> </w:t>
      </w:r>
      <w:r w:rsidRPr="008051D0">
        <w:t xml:space="preserve">dieťa, na </w:t>
      </w:r>
      <w:r w:rsidRPr="000B0030">
        <w:t>ktoré si uplatnila nárok na rodičovský príspevok) a zo sumy 412,60</w:t>
      </w:r>
      <w:r>
        <w:t> </w:t>
      </w:r>
      <w:r w:rsidRPr="000B0030">
        <w:t>eur na</w:t>
      </w:r>
      <w:r>
        <w:t> </w:t>
      </w:r>
      <w:r w:rsidRPr="000B0030">
        <w:t>sumu 473,30</w:t>
      </w:r>
      <w:r>
        <w:t> </w:t>
      </w:r>
      <w:r w:rsidRPr="000B0030">
        <w:t>eur (ak oprávnená osoba mala nárok na materské na dieťa, na ktoré si uplatnila nárok na</w:t>
      </w:r>
      <w:r>
        <w:t> rodičovský príspevok),</w:t>
      </w:r>
    </w:p>
    <w:p w14:paraId="076123C4" w14:textId="1D17DB19" w:rsidR="009A3759" w:rsidRPr="000B0030" w:rsidRDefault="009A3759" w:rsidP="0010434D">
      <w:pPr>
        <w:pStyle w:val="Odsekzoznamu"/>
        <w:numPr>
          <w:ilvl w:val="0"/>
          <w:numId w:val="42"/>
        </w:numPr>
        <w:spacing w:after="120"/>
        <w:jc w:val="both"/>
      </w:pPr>
      <w:r w:rsidRPr="000B0030">
        <w:t>peňažné príspevky na kompenzáciu zaznamenali medziročný pokles o 24,8 % (pokles o 200 962 tis. eur). Prostriedky sa realizovali najmä v kapitole Ministerstva práce, sociálnych vecí a rodiny SR na podporu aktívnej politiky na trhu práce a podporu udržania zamestnanosti. Aj</w:t>
      </w:r>
      <w:r>
        <w:t> </w:t>
      </w:r>
      <w:r w:rsidRPr="000B0030">
        <w:t>napriek zvýšeniu niektorých druhov príspevkov na kompenzáciu ŤZP od</w:t>
      </w:r>
      <w:r>
        <w:t> </w:t>
      </w:r>
      <w:r w:rsidRPr="000B0030">
        <w:t>1.</w:t>
      </w:r>
      <w:r>
        <w:t> </w:t>
      </w:r>
      <w:r w:rsidRPr="000B0030">
        <w:t>augusta 2023</w:t>
      </w:r>
      <w:r w:rsidR="00DC7050">
        <w:rPr>
          <w:rStyle w:val="Odkaznapoznmkupodiarou"/>
        </w:rPr>
        <w:footnoteReference w:id="24"/>
      </w:r>
      <w:r w:rsidRPr="000B0030">
        <w:t xml:space="preserve"> (napr. určenie maximálnej výšky príspevku na kúpu osobného motorového vozidla zo</w:t>
      </w:r>
      <w:r w:rsidR="001C21A5">
        <w:t> </w:t>
      </w:r>
      <w:r w:rsidRPr="000B0030">
        <w:t>sumy 6</w:t>
      </w:r>
      <w:r>
        <w:t> </w:t>
      </w:r>
      <w:r w:rsidRPr="000B0030">
        <w:t>638,79 eur na</w:t>
      </w:r>
      <w:r>
        <w:t> </w:t>
      </w:r>
      <w:r w:rsidRPr="000B0030">
        <w:t>13 277,58</w:t>
      </w:r>
      <w:r>
        <w:t> </w:t>
      </w:r>
      <w:r w:rsidRPr="000B0030">
        <w:t>eur, príspevku na kúpu osobného motorového vozidla s automatickou prevodovkou zo sumy 8 298,48 </w:t>
      </w:r>
      <w:r>
        <w:t>eur na </w:t>
      </w:r>
      <w:r w:rsidRPr="000B0030">
        <w:t>16 596,96</w:t>
      </w:r>
      <w:r>
        <w:t> </w:t>
      </w:r>
      <w:r w:rsidRPr="000B0030">
        <w:t>eur a príspevku na úpravu bytu a rodinného domu zo sumy 6 638,79</w:t>
      </w:r>
      <w:r>
        <w:t> </w:t>
      </w:r>
      <w:r w:rsidRPr="000B0030">
        <w:t>eur na</w:t>
      </w:r>
      <w:r>
        <w:t> </w:t>
      </w:r>
      <w:r w:rsidRPr="000B0030">
        <w:t>13 277,58</w:t>
      </w:r>
      <w:r>
        <w:t> </w:t>
      </w:r>
      <w:r w:rsidRPr="000B0030">
        <w:t>eur a pod.) došlo medziročne k</w:t>
      </w:r>
      <w:r>
        <w:t> poklesu vyplatených príspevkov</w:t>
      </w:r>
      <w:r w:rsidR="0010434D">
        <w:t>. Išlo o ukončenie</w:t>
      </w:r>
      <w:r w:rsidR="0010434D" w:rsidRPr="0010434D">
        <w:t xml:space="preserve"> čerpania národného projektu „Prvá pomoc“</w:t>
      </w:r>
      <w:r w:rsidR="0010434D">
        <w:t xml:space="preserve"> (</w:t>
      </w:r>
      <w:r w:rsidR="0010434D" w:rsidRPr="0010434D">
        <w:t>v rámci podprogramu 06G04: čerpaná suma sa týkala vyplatenia výdavkov kapitoly MPSVR SR na národný pr</w:t>
      </w:r>
      <w:r w:rsidR="0010434D">
        <w:t xml:space="preserve">ojekt </w:t>
      </w:r>
      <w:r w:rsidR="0010434D">
        <w:lastRenderedPageBreak/>
        <w:t>„Prvá pomoc“, ktorý súvisel</w:t>
      </w:r>
      <w:r w:rsidR="0010434D" w:rsidRPr="0010434D">
        <w:t xml:space="preserve"> s opatreniami prijatými na zmiernenie negatívnych následkov ochorenia COVID-1</w:t>
      </w:r>
      <w:r w:rsidR="00472ACD">
        <w:t>9)</w:t>
      </w:r>
      <w:r>
        <w:t>,</w:t>
      </w:r>
    </w:p>
    <w:p w14:paraId="34A5BD04" w14:textId="77777777" w:rsidR="009A3759" w:rsidRPr="000B0030" w:rsidRDefault="009A3759" w:rsidP="009A3759">
      <w:pPr>
        <w:pStyle w:val="Odsekzoznamu"/>
        <w:numPr>
          <w:ilvl w:val="0"/>
          <w:numId w:val="42"/>
        </w:numPr>
        <w:jc w:val="both"/>
      </w:pPr>
      <w:r w:rsidRPr="000B0030">
        <w:t>suma dávok v hmotnej núdzi sa zvýšila o 10,6 % (nárast o 11 292 tis. eur) predovšetkým z dôvodu, že od</w:t>
      </w:r>
      <w:r>
        <w:t> 1. </w:t>
      </w:r>
      <w:r w:rsidRPr="000B0030">
        <w:t>januára 2023 došlo k zvýšeniu súm dávky v hmotnej núdzi. Zároveň z kapitoly Ministerstva práce, sociálnych vecí a rodiny SR boli poskytnuté prostriedky na</w:t>
      </w:r>
      <w:r>
        <w:t> </w:t>
      </w:r>
      <w:r w:rsidRPr="000B0030">
        <w:t>dofinancovanie dávky v hmotnej núdzi, dotácie na stravu dieť</w:t>
      </w:r>
      <w:r>
        <w:t>aťa v hmotnej núdzi, dotácie na </w:t>
      </w:r>
      <w:r w:rsidRPr="000B0030">
        <w:t>školské potreby pre</w:t>
      </w:r>
      <w:r>
        <w:t> </w:t>
      </w:r>
      <w:r w:rsidRPr="000B0030">
        <w:t>dieťa v hmotnej núdzi, príspevku na starostlivosť o dieťa a príspevkov na</w:t>
      </w:r>
      <w:r>
        <w:t> </w:t>
      </w:r>
      <w:r w:rsidRPr="000B0030">
        <w:t>náhradnú starostlivosť pre odídencov z Ukrajiny,</w:t>
      </w:r>
    </w:p>
    <w:p w14:paraId="55511FBD" w14:textId="577AE94A" w:rsidR="009A3759" w:rsidRPr="000B0030" w:rsidRDefault="009A3759" w:rsidP="00C44990">
      <w:pPr>
        <w:pStyle w:val="Odsekzoznamu"/>
        <w:numPr>
          <w:ilvl w:val="0"/>
          <w:numId w:val="42"/>
        </w:numPr>
        <w:spacing w:after="120"/>
        <w:jc w:val="both"/>
      </w:pPr>
      <w:r w:rsidRPr="000B0030">
        <w:t>ostatné štátne sociálne dávky sa medziročné zvýšili o 19,2</w:t>
      </w:r>
      <w:r>
        <w:t> </w:t>
      </w:r>
      <w:r w:rsidRPr="000B0030">
        <w:t>% (nárast o 155</w:t>
      </w:r>
      <w:r>
        <w:t> </w:t>
      </w:r>
      <w:r w:rsidRPr="000B0030">
        <w:t>415</w:t>
      </w:r>
      <w:r>
        <w:t> </w:t>
      </w:r>
      <w:r w:rsidRPr="000B0030">
        <w:t>tis.</w:t>
      </w:r>
      <w:r>
        <w:t> </w:t>
      </w:r>
      <w:r w:rsidRPr="000B0030">
        <w:t>eur) – išlo najmä o ostatn</w:t>
      </w:r>
      <w:r w:rsidR="00C44990">
        <w:t xml:space="preserve">é dávky poskytnuté štátom, išlo predovšetkým o dávky z kapitoly </w:t>
      </w:r>
      <w:r w:rsidR="00C44990" w:rsidRPr="00C44990">
        <w:t xml:space="preserve">Ministerstva práce, sociálnych vecí a rodiny SR </w:t>
      </w:r>
      <w:r w:rsidR="00C44990">
        <w:t xml:space="preserve">a najväčší nárast zaznamenalo vyplatenie </w:t>
      </w:r>
      <w:r w:rsidR="00C44990" w:rsidRPr="00C44990">
        <w:t>13.</w:t>
      </w:r>
      <w:r w:rsidR="00C44990">
        <w:t> </w:t>
      </w:r>
      <w:r w:rsidR="00CC0053">
        <w:t>dôchodkov, ktoré</w:t>
      </w:r>
      <w:r w:rsidR="00C44990" w:rsidRPr="00C44990">
        <w:t xml:space="preserve"> sa vypláca</w:t>
      </w:r>
      <w:r w:rsidR="00CC0053">
        <w:t>jú</w:t>
      </w:r>
      <w:r w:rsidR="00C44990" w:rsidRPr="00C44990">
        <w:t xml:space="preserve"> </w:t>
      </w:r>
      <w:r w:rsidR="00C44990" w:rsidRPr="00E40128">
        <w:t>v zmysle zákona č. 296/2020 Z. z. o 13. dôchodku a</w:t>
      </w:r>
      <w:r w:rsidR="001C21A5" w:rsidRPr="00E40128">
        <w:t> </w:t>
      </w:r>
      <w:r w:rsidR="00C44990" w:rsidRPr="00E40128">
        <w:t>o</w:t>
      </w:r>
      <w:r w:rsidR="001C21A5" w:rsidRPr="00E40128">
        <w:t> </w:t>
      </w:r>
      <w:r w:rsidR="00C44990" w:rsidRPr="00E40128">
        <w:t>zmene a</w:t>
      </w:r>
      <w:r w:rsidR="001C21A5" w:rsidRPr="00E40128">
        <w:t> </w:t>
      </w:r>
      <w:r w:rsidR="00C44990" w:rsidRPr="00E40128">
        <w:t>doplnení niektorých zákonov</w:t>
      </w:r>
      <w:r w:rsidR="00C44990" w:rsidRPr="00C44990">
        <w:t xml:space="preserve"> (v roku 2023 bol 13. dôchodok vyplatený dvakrát</w:t>
      </w:r>
      <w:r w:rsidR="00C44990">
        <w:t>,</w:t>
      </w:r>
      <w:r w:rsidR="00C44990" w:rsidRPr="00C44990">
        <w:t xml:space="preserve"> napr. poberateľ dôchodku mal nárok na 13. dôchodok v roku 2023 druhýkrát v mesiaci de</w:t>
      </w:r>
      <w:r w:rsidR="00C44990">
        <w:t>cember v jednotnej sume 300 eur</w:t>
      </w:r>
      <w:r w:rsidRPr="000B0030">
        <w:t>)</w:t>
      </w:r>
      <w:r>
        <w:t>.</w:t>
      </w:r>
    </w:p>
    <w:p w14:paraId="243B74F9" w14:textId="77777777" w:rsidR="009A3759" w:rsidRDefault="009A3759" w:rsidP="009A3759">
      <w:pPr>
        <w:spacing w:after="120" w:line="240" w:lineRule="auto"/>
        <w:jc w:val="both"/>
        <w:rPr>
          <w:szCs w:val="22"/>
        </w:rPr>
      </w:pPr>
      <w:r w:rsidRPr="000B0030">
        <w:rPr>
          <w:szCs w:val="22"/>
          <w:u w:val="single"/>
        </w:rPr>
        <w:t>Platené poistné za skupiny osôb ustanovené zákonom</w:t>
      </w:r>
      <w:r w:rsidRPr="000B0030">
        <w:rPr>
          <w:szCs w:val="22"/>
        </w:rPr>
        <w:t xml:space="preserve"> (napr. dôchodca, evidovaný uchádzač o</w:t>
      </w:r>
      <w:r>
        <w:rPr>
          <w:szCs w:val="22"/>
        </w:rPr>
        <w:t> </w:t>
      </w:r>
      <w:r w:rsidRPr="000B0030">
        <w:rPr>
          <w:szCs w:val="22"/>
        </w:rPr>
        <w:t>zamestnanie, matka na materskej dovolenke, študent alebo nezaopatrené dieťa) vzrástli o 46,3 % (nárast o 826 975 tis</w:t>
      </w:r>
      <w:r w:rsidRPr="00EB76BC">
        <w:rPr>
          <w:szCs w:val="22"/>
        </w:rPr>
        <w:t>. eur)</w:t>
      </w:r>
      <w:r>
        <w:rPr>
          <w:szCs w:val="22"/>
        </w:rPr>
        <w:t>, z toho:</w:t>
      </w:r>
    </w:p>
    <w:p w14:paraId="180329BC" w14:textId="2AAE8E4B" w:rsidR="009A3759" w:rsidRDefault="009A3759" w:rsidP="009A3759">
      <w:pPr>
        <w:pStyle w:val="Odsekzoznamu"/>
        <w:numPr>
          <w:ilvl w:val="0"/>
          <w:numId w:val="41"/>
        </w:numPr>
        <w:spacing w:before="120" w:after="120"/>
        <w:contextualSpacing w:val="0"/>
        <w:jc w:val="both"/>
      </w:pPr>
      <w:r>
        <w:t>v</w:t>
      </w:r>
      <w:r w:rsidRPr="00E763F8">
        <w:t>ýrazný medziročný nárast zaznamenala kapitola Ministerstva</w:t>
      </w:r>
      <w:r>
        <w:t xml:space="preserve"> zdravotníctva SR </w:t>
      </w:r>
      <w:r w:rsidRPr="00E763F8">
        <w:t>o</w:t>
      </w:r>
      <w:r>
        <w:t> </w:t>
      </w:r>
      <w:r w:rsidRPr="00E763F8">
        <w:t> 792 431</w:t>
      </w:r>
      <w:r>
        <w:t> tis. eur</w:t>
      </w:r>
      <w:r w:rsidRPr="00E763F8">
        <w:t>, išlo predovšetkým o dofinancovanie prostredníctvom poistného plateného štátom vyplývajúce z reálnych výdavkov zdravotnej starostlivosti a zároveň sa zabezpečila stabilizácia finančnej situácie Všeobecnej zdravotnej poisťovne,</w:t>
      </w:r>
      <w:r>
        <w:t> a. s. pre </w:t>
      </w:r>
      <w:r w:rsidRPr="00E763F8">
        <w:t>rok 2023</w:t>
      </w:r>
      <w:r>
        <w:t xml:space="preserve"> (</w:t>
      </w:r>
      <w:r w:rsidR="0017573C">
        <w:t xml:space="preserve">z toho bolo </w:t>
      </w:r>
      <w:r>
        <w:t>z kapitoly Všeobecná pokladničná správa povolené prekročenie limitu výdavkov v sume 316 331 tis. eur)</w:t>
      </w:r>
      <w:r w:rsidR="007F7C18">
        <w:t>,</w:t>
      </w:r>
    </w:p>
    <w:p w14:paraId="4C64CA64" w14:textId="29705769" w:rsidR="009A3759" w:rsidRDefault="009A3759" w:rsidP="009A3759">
      <w:pPr>
        <w:pStyle w:val="Odsekzoznamu"/>
        <w:numPr>
          <w:ilvl w:val="0"/>
          <w:numId w:val="41"/>
        </w:numPr>
        <w:spacing w:before="120" w:after="120"/>
        <w:contextualSpacing w:val="0"/>
        <w:jc w:val="both"/>
      </w:pPr>
      <w:r>
        <w:t>v</w:t>
      </w:r>
      <w:r w:rsidRPr="00E763F8">
        <w:t xml:space="preserve"> kapitole Ministerstva práce, s</w:t>
      </w:r>
      <w:r>
        <w:t>ociálnych vecí a rodiny SR o 22 563 tis. eur</w:t>
      </w:r>
      <w:r w:rsidRPr="00E763F8">
        <w:t xml:space="preserve"> a</w:t>
      </w:r>
      <w:r>
        <w:t xml:space="preserve"> kapitole </w:t>
      </w:r>
      <w:r w:rsidRPr="00E763F8">
        <w:t>Ministerstva obrany SR o</w:t>
      </w:r>
      <w:r>
        <w:t> </w:t>
      </w:r>
      <w:r w:rsidRPr="00E763F8">
        <w:t>11 338 tis. eur</w:t>
      </w:r>
      <w:r w:rsidR="007F7C18">
        <w:t>.</w:t>
      </w:r>
    </w:p>
    <w:p w14:paraId="51B547E7" w14:textId="3CBAA8CA" w:rsidR="009A3759" w:rsidRDefault="009A3759" w:rsidP="009A3759">
      <w:pPr>
        <w:spacing w:after="120" w:line="240" w:lineRule="auto"/>
        <w:jc w:val="both"/>
        <w:rPr>
          <w:szCs w:val="22"/>
        </w:rPr>
      </w:pPr>
      <w:r>
        <w:rPr>
          <w:szCs w:val="22"/>
          <w:u w:val="single"/>
        </w:rPr>
        <w:t>Naturálne sociálne transfery</w:t>
      </w:r>
      <w:r w:rsidRPr="00CA38C2">
        <w:rPr>
          <w:szCs w:val="22"/>
        </w:rPr>
        <w:t xml:space="preserve"> </w:t>
      </w:r>
      <w:r w:rsidRPr="00EB76BC">
        <w:rPr>
          <w:szCs w:val="22"/>
        </w:rPr>
        <w:t>vzrástli o</w:t>
      </w:r>
      <w:r>
        <w:rPr>
          <w:szCs w:val="22"/>
        </w:rPr>
        <w:t> 12,5 % (nárast o 475</w:t>
      </w:r>
      <w:r w:rsidRPr="00EB76BC">
        <w:rPr>
          <w:szCs w:val="22"/>
        </w:rPr>
        <w:t> </w:t>
      </w:r>
      <w:r>
        <w:rPr>
          <w:szCs w:val="22"/>
        </w:rPr>
        <w:t>058</w:t>
      </w:r>
      <w:r w:rsidRPr="00EB76BC">
        <w:rPr>
          <w:szCs w:val="22"/>
        </w:rPr>
        <w:t> tis. eur</w:t>
      </w:r>
      <w:r w:rsidRPr="00CF7D79">
        <w:rPr>
          <w:szCs w:val="22"/>
        </w:rPr>
        <w:t xml:space="preserve">), </w:t>
      </w:r>
      <w:r w:rsidR="00CF7D79" w:rsidRPr="00CF7D79">
        <w:rPr>
          <w:szCs w:val="22"/>
        </w:rPr>
        <w:t>ide o platby poskytovateľom zdravotnej starostlivosti, lekárňam a</w:t>
      </w:r>
      <w:r w:rsidR="00CF7D79" w:rsidRPr="00CF7D79">
        <w:t xml:space="preserve"> </w:t>
      </w:r>
      <w:r w:rsidR="00CF7D79" w:rsidRPr="00CF7D79">
        <w:rPr>
          <w:szCs w:val="22"/>
        </w:rPr>
        <w:t>voči optikám a výdajniam liekov a zdravotníckych potrieb vrátane úhrad poistencom</w:t>
      </w:r>
      <w:r w:rsidR="00CF7D79" w:rsidRPr="00CF7D79">
        <w:rPr>
          <w:rStyle w:val="Odkaznapoznmkupodiarou"/>
          <w:szCs w:val="22"/>
        </w:rPr>
        <w:footnoteReference w:id="25"/>
      </w:r>
      <w:r w:rsidR="00CF7D79" w:rsidRPr="00CF7D79">
        <w:rPr>
          <w:szCs w:val="22"/>
        </w:rPr>
        <w:t xml:space="preserve"> za lieky, zdravotnícke pomôcky, dietetické potraviny a taktiež úhrada nákladov pre</w:t>
      </w:r>
      <w:r w:rsidR="00C765EA">
        <w:rPr>
          <w:szCs w:val="22"/>
        </w:rPr>
        <w:t> </w:t>
      </w:r>
      <w:r w:rsidR="00CF7D79" w:rsidRPr="00CF7D79">
        <w:rPr>
          <w:szCs w:val="22"/>
        </w:rPr>
        <w:t>Úrad pre dohľad nad zdravotnou starostlivosťou za poskytnutú zdravotnú starostlivosť poistencovi verejného zdravotného poistenia v iných členských štátoch Európskej únie.</w:t>
      </w:r>
    </w:p>
    <w:p w14:paraId="7A9FECF6" w14:textId="77777777" w:rsidR="000D5363" w:rsidRPr="00AA13FB" w:rsidRDefault="000D5363" w:rsidP="000D5363">
      <w:pPr>
        <w:spacing w:after="120" w:line="240" w:lineRule="auto"/>
        <w:jc w:val="both"/>
        <w:rPr>
          <w:color w:val="4F81BD" w:themeColor="accent1"/>
          <w:sz w:val="24"/>
          <w:szCs w:val="24"/>
        </w:rPr>
      </w:pPr>
      <w:r w:rsidRPr="00AA13FB">
        <w:rPr>
          <w:b/>
          <w:color w:val="4F81BD" w:themeColor="accent1"/>
          <w:sz w:val="24"/>
          <w:szCs w:val="24"/>
        </w:rPr>
        <w:t>Ostatné bežné transfery</w:t>
      </w:r>
    </w:p>
    <w:p w14:paraId="64528AE2" w14:textId="1AF42517" w:rsidR="000D5363" w:rsidRPr="008F5B20" w:rsidRDefault="000D5363" w:rsidP="000D5363">
      <w:pPr>
        <w:keepNext/>
        <w:spacing w:after="120" w:line="240" w:lineRule="auto"/>
        <w:jc w:val="both"/>
        <w:rPr>
          <w:bCs/>
        </w:rPr>
      </w:pPr>
      <w:r>
        <w:rPr>
          <w:bCs/>
        </w:rPr>
        <w:t>O</w:t>
      </w:r>
      <w:r w:rsidRPr="008F5B20">
        <w:rPr>
          <w:bCs/>
        </w:rPr>
        <w:t>statné bežné transfery</w:t>
      </w:r>
      <w:r w:rsidRPr="002D75BA">
        <w:rPr>
          <w:b/>
          <w:bCs/>
        </w:rPr>
        <w:t xml:space="preserve"> </w:t>
      </w:r>
      <w:r w:rsidRPr="008F5B20">
        <w:rPr>
          <w:bCs/>
        </w:rPr>
        <w:t>zaznamenali medziročný nárast</w:t>
      </w:r>
      <w:r>
        <w:rPr>
          <w:b/>
          <w:bCs/>
        </w:rPr>
        <w:t xml:space="preserve"> </w:t>
      </w:r>
      <w:r>
        <w:t>o 8,8</w:t>
      </w:r>
      <w:r w:rsidRPr="002D75BA">
        <w:t xml:space="preserve"> % </w:t>
      </w:r>
      <w:r w:rsidRPr="002D75BA">
        <w:rPr>
          <w:bCs/>
        </w:rPr>
        <w:t>(nárast o</w:t>
      </w:r>
      <w:r>
        <w:rPr>
          <w:bCs/>
        </w:rPr>
        <w:t> 206</w:t>
      </w:r>
      <w:r w:rsidRPr="002D75BA">
        <w:rPr>
          <w:bCs/>
        </w:rPr>
        <w:t> </w:t>
      </w:r>
      <w:r>
        <w:rPr>
          <w:bCs/>
        </w:rPr>
        <w:t>403</w:t>
      </w:r>
      <w:r w:rsidRPr="002D75BA">
        <w:rPr>
          <w:bCs/>
        </w:rPr>
        <w:t xml:space="preserve"> tis. eur). </w:t>
      </w:r>
      <w:r w:rsidRPr="008F5B20">
        <w:rPr>
          <w:bCs/>
        </w:rPr>
        <w:t>Rovnako ako v prípade príjmov, transfery, ktoré sa realizujú v rámci verejnej správy sa v sektore navzájom konsolidujú a rov</w:t>
      </w:r>
      <w:r w:rsidR="000D157E">
        <w:rPr>
          <w:bCs/>
        </w:rPr>
        <w:t>nako sa vylučujú aj výdavky z EÚ</w:t>
      </w:r>
      <w:r w:rsidRPr="008F5B20">
        <w:rPr>
          <w:bCs/>
        </w:rPr>
        <w:t xml:space="preserve"> zdrojov, kde konečný príjemca je mimo sektora verejnej správy.</w:t>
      </w:r>
    </w:p>
    <w:p w14:paraId="4DA6E122" w14:textId="77777777" w:rsidR="000D5363" w:rsidRPr="00A515C4" w:rsidRDefault="000D5363" w:rsidP="000D5363">
      <w:pPr>
        <w:spacing w:line="240" w:lineRule="auto"/>
        <w:jc w:val="both"/>
      </w:pPr>
      <w:r w:rsidRPr="00A515C4">
        <w:t xml:space="preserve">Najvyšší nárast hotovostných výdavkov na </w:t>
      </w:r>
      <w:r>
        <w:t>bežné transfery</w:t>
      </w:r>
      <w:r w:rsidRPr="00A515C4">
        <w:t xml:space="preserve"> </w:t>
      </w:r>
      <w:r>
        <w:t xml:space="preserve">v rámci verejnej správy </w:t>
      </w:r>
      <w:r w:rsidRPr="00A515C4">
        <w:t>vykázali tieto zložky verejnej správy:</w:t>
      </w:r>
    </w:p>
    <w:p w14:paraId="1617B7CF" w14:textId="77777777" w:rsidR="000D5363" w:rsidRPr="007B0D96" w:rsidRDefault="000D5363" w:rsidP="000D5363">
      <w:pPr>
        <w:pStyle w:val="Odsekzoznamu"/>
        <w:numPr>
          <w:ilvl w:val="0"/>
          <w:numId w:val="37"/>
        </w:numPr>
        <w:spacing w:before="120" w:after="120"/>
        <w:ind w:left="425"/>
        <w:contextualSpacing w:val="0"/>
        <w:jc w:val="both"/>
      </w:pPr>
      <w:r w:rsidRPr="00D2617D">
        <w:rPr>
          <w:b/>
          <w:i/>
        </w:rPr>
        <w:t xml:space="preserve">Štátne rozpočtové organizácie </w:t>
      </w:r>
      <w:r w:rsidRPr="00ED1706">
        <w:rPr>
          <w:b/>
          <w:i/>
        </w:rPr>
        <w:t>o 592</w:t>
      </w:r>
      <w:r>
        <w:rPr>
          <w:b/>
          <w:i/>
        </w:rPr>
        <w:t> </w:t>
      </w:r>
      <w:r w:rsidRPr="00ED1706">
        <w:rPr>
          <w:b/>
          <w:i/>
        </w:rPr>
        <w:t>964</w:t>
      </w:r>
      <w:r>
        <w:rPr>
          <w:b/>
          <w:i/>
        </w:rPr>
        <w:t> </w:t>
      </w:r>
      <w:r w:rsidRPr="00ED1706">
        <w:rPr>
          <w:b/>
          <w:i/>
        </w:rPr>
        <w:t>tis.</w:t>
      </w:r>
      <w:r>
        <w:rPr>
          <w:b/>
          <w:i/>
        </w:rPr>
        <w:t> </w:t>
      </w:r>
      <w:r w:rsidRPr="00ED1706">
        <w:rPr>
          <w:b/>
          <w:i/>
        </w:rPr>
        <w:t>eur</w:t>
      </w:r>
      <w:r w:rsidRPr="00ED1706">
        <w:t xml:space="preserve"> – najvyšší</w:t>
      </w:r>
      <w:r>
        <w:t xml:space="preserve"> nárast hotovostných výdavkov bol na </w:t>
      </w:r>
      <w:r w:rsidRPr="007B0D96">
        <w:t>položke transfery Sociálnej poisťovni a zdravotným poisťovniam v objeme 1 064</w:t>
      </w:r>
      <w:r>
        <w:t> </w:t>
      </w:r>
      <w:r w:rsidRPr="007B0D96">
        <w:t>774</w:t>
      </w:r>
      <w:r>
        <w:t> </w:t>
      </w:r>
      <w:r w:rsidRPr="007B0D96">
        <w:t>tis.</w:t>
      </w:r>
      <w:r>
        <w:t> </w:t>
      </w:r>
      <w:r w:rsidRPr="007B0D96">
        <w:t>eur, druhý najväčší nárast bol pri transferoch obciam v sume 560</w:t>
      </w:r>
      <w:r>
        <w:t> </w:t>
      </w:r>
      <w:r w:rsidRPr="007B0D96">
        <w:t>641</w:t>
      </w:r>
      <w:r>
        <w:t> </w:t>
      </w:r>
      <w:r w:rsidRPr="007B0D96">
        <w:t>tis.</w:t>
      </w:r>
      <w:r>
        <w:t> </w:t>
      </w:r>
      <w:r w:rsidRPr="007B0D96">
        <w:t>eur, tieto nárasty boli kompenzované medziročným poklesom transferu rozpočtovým organizáciám v objeme 866</w:t>
      </w:r>
      <w:r>
        <w:t> </w:t>
      </w:r>
      <w:r w:rsidRPr="007B0D96">
        <w:t>648</w:t>
      </w:r>
      <w:r>
        <w:t> </w:t>
      </w:r>
      <w:r w:rsidRPr="007B0D96">
        <w:t>tis.</w:t>
      </w:r>
      <w:r>
        <w:t> </w:t>
      </w:r>
      <w:r w:rsidRPr="007B0D96">
        <w:t>eur.</w:t>
      </w:r>
    </w:p>
    <w:p w14:paraId="128DD97F" w14:textId="6D33F242" w:rsidR="00C47C5F" w:rsidRPr="007B0D96" w:rsidRDefault="000D5363" w:rsidP="004D02C1">
      <w:pPr>
        <w:pStyle w:val="Odsekzoznamu"/>
        <w:numPr>
          <w:ilvl w:val="0"/>
          <w:numId w:val="37"/>
        </w:numPr>
        <w:spacing w:before="120" w:after="120"/>
        <w:ind w:left="426"/>
        <w:contextualSpacing w:val="0"/>
        <w:jc w:val="both"/>
      </w:pPr>
      <w:r w:rsidRPr="00A15B38">
        <w:rPr>
          <w:b/>
          <w:i/>
        </w:rPr>
        <w:t>Obce</w:t>
      </w:r>
      <w:r w:rsidR="00A94716">
        <w:rPr>
          <w:b/>
          <w:i/>
        </w:rPr>
        <w:t xml:space="preserve"> a ich RO</w:t>
      </w:r>
      <w:r w:rsidRPr="00A15B38">
        <w:rPr>
          <w:b/>
          <w:i/>
        </w:rPr>
        <w:t xml:space="preserve"> o 87 818 tis. eur</w:t>
      </w:r>
      <w:r w:rsidRPr="007B0D96">
        <w:t xml:space="preserve"> – najvyšší nárast zaznamenali transf</w:t>
      </w:r>
      <w:r>
        <w:t>ery dopravným podnikom o 32 848 </w:t>
      </w:r>
      <w:r w:rsidRPr="007B0D96">
        <w:t>tis.</w:t>
      </w:r>
      <w:r>
        <w:t> </w:t>
      </w:r>
      <w:r w:rsidRPr="007B0D96">
        <w:t>eur, príspevkovým organizáciám o 29</w:t>
      </w:r>
      <w:r>
        <w:t> </w:t>
      </w:r>
      <w:r w:rsidRPr="007B0D96">
        <w:t>803</w:t>
      </w:r>
      <w:r>
        <w:t> </w:t>
      </w:r>
      <w:r w:rsidRPr="007B0D96">
        <w:t>tis.</w:t>
      </w:r>
      <w:r>
        <w:t> </w:t>
      </w:r>
      <w:r w:rsidRPr="007B0D96">
        <w:t>eur a obciam na úhradu nákladov preneseného výkonu štátnej správy o 16 </w:t>
      </w:r>
      <w:r w:rsidRPr="00A41BB5">
        <w:t>337tis</w:t>
      </w:r>
      <w:r w:rsidRPr="007B0D96">
        <w:t>.</w:t>
      </w:r>
      <w:r>
        <w:t> </w:t>
      </w:r>
      <w:r w:rsidRPr="007B0D96">
        <w:t>eur.</w:t>
      </w:r>
    </w:p>
    <w:p w14:paraId="5EF4D8C5" w14:textId="2BF3C4EB" w:rsidR="000D5363" w:rsidRPr="007B0D96" w:rsidRDefault="000D5363" w:rsidP="000D5363">
      <w:pPr>
        <w:pStyle w:val="Odsekzoznamu"/>
        <w:numPr>
          <w:ilvl w:val="0"/>
          <w:numId w:val="37"/>
        </w:numPr>
        <w:spacing w:before="120" w:after="120"/>
        <w:ind w:left="426"/>
        <w:contextualSpacing w:val="0"/>
        <w:jc w:val="both"/>
      </w:pPr>
      <w:r w:rsidRPr="007B0D96">
        <w:rPr>
          <w:b/>
          <w:i/>
        </w:rPr>
        <w:lastRenderedPageBreak/>
        <w:t xml:space="preserve">Sociálna poisťovňa </w:t>
      </w:r>
      <w:r w:rsidRPr="007B0D96">
        <w:t>– však zaznamenala medziročný pokles v poskytnutých bežných transferoch o 18 621 tis. eur, išlo o poskytovanie podpory a vrátenie časti podpory/podpory v</w:t>
      </w:r>
      <w:r>
        <w:t> </w:t>
      </w:r>
      <w:r w:rsidRPr="007B0D96">
        <w:t>čase skrátenej práce (tzv. trvalý kurzarbeit</w:t>
      </w:r>
      <w:r w:rsidR="00C47C5F">
        <w:rPr>
          <w:rStyle w:val="Odkaznapoznmkupodiarou"/>
        </w:rPr>
        <w:footnoteReference w:id="26"/>
      </w:r>
      <w:r w:rsidRPr="007B0D96">
        <w:t>).</w:t>
      </w:r>
    </w:p>
    <w:p w14:paraId="722CF6DF" w14:textId="682A86BB" w:rsidR="000D5363" w:rsidRDefault="000D5363" w:rsidP="000D5363">
      <w:pPr>
        <w:pStyle w:val="Odsekzoznamu"/>
        <w:numPr>
          <w:ilvl w:val="0"/>
          <w:numId w:val="37"/>
        </w:numPr>
        <w:spacing w:before="120" w:after="120"/>
        <w:ind w:left="426"/>
        <w:contextualSpacing w:val="0"/>
        <w:jc w:val="both"/>
      </w:pPr>
      <w:r>
        <w:rPr>
          <w:b/>
          <w:i/>
        </w:rPr>
        <w:t>Vš</w:t>
      </w:r>
      <w:r w:rsidR="0017573C">
        <w:rPr>
          <w:b/>
          <w:i/>
        </w:rPr>
        <w:t>eobecná zdravotná poisťovňa</w:t>
      </w:r>
      <w:r>
        <w:rPr>
          <w:b/>
          <w:i/>
        </w:rPr>
        <w:t>, a</w:t>
      </w:r>
      <w:r w:rsidRPr="00976156">
        <w:rPr>
          <w:b/>
        </w:rPr>
        <w:t>.</w:t>
      </w:r>
      <w:r>
        <w:rPr>
          <w:b/>
        </w:rPr>
        <w:t> </w:t>
      </w:r>
      <w:r w:rsidRPr="00976156">
        <w:rPr>
          <w:b/>
          <w:i/>
        </w:rPr>
        <w:t>s.)</w:t>
      </w:r>
      <w:r>
        <w:t xml:space="preserve"> – vykázala taktiež pokles o 42 117 tis. eur, išlo predovšetkým o transfery, resp. príspevky poskytované na činnosť týchto úradov - Úrad pre dohľad nad zdravotnou starostlivosťou, </w:t>
      </w:r>
      <w:r w:rsidRPr="00893DDF">
        <w:t>Národné centrum zdravotníckych informácií</w:t>
      </w:r>
      <w:r>
        <w:t xml:space="preserve">, </w:t>
      </w:r>
      <w:r w:rsidRPr="00893DDF">
        <w:t>Národný inštitút pre</w:t>
      </w:r>
      <w:r>
        <w:t> </w:t>
      </w:r>
      <w:r w:rsidRPr="00893DDF">
        <w:t>hodnotu a</w:t>
      </w:r>
      <w:r>
        <w:t> </w:t>
      </w:r>
      <w:r w:rsidRPr="00893DDF">
        <w:t>technológie v</w:t>
      </w:r>
      <w:r>
        <w:t> </w:t>
      </w:r>
      <w:r w:rsidRPr="00893DDF">
        <w:t>zdravotníctve</w:t>
      </w:r>
      <w:r>
        <w:t xml:space="preserve"> a pre Operačné stredisko záchrannej</w:t>
      </w:r>
      <w:r w:rsidRPr="00893DDF">
        <w:t xml:space="preserve"> </w:t>
      </w:r>
      <w:r>
        <w:t xml:space="preserve">zdravotnej služby SR. Z dôvodu </w:t>
      </w:r>
      <w:r w:rsidRPr="00DE321D">
        <w:t>legislatívnej zmeny, ktorou došlo k zmene termínu vyplácania každoročného príspevku na</w:t>
      </w:r>
      <w:r>
        <w:t> </w:t>
      </w:r>
      <w:r w:rsidRPr="00DE321D">
        <w:t>činnosť úradu od zdravotných poisťovní. Príspevok poukazovaný na účet úradu do 20.</w:t>
      </w:r>
      <w:r>
        <w:t> </w:t>
      </w:r>
      <w:r w:rsidRPr="00DE321D">
        <w:t>decembra kalendárneho roka na nasledujúci kalendárny rok sa zmenil na platbu do 20.</w:t>
      </w:r>
      <w:r>
        <w:t> </w:t>
      </w:r>
      <w:r w:rsidRPr="00DE321D">
        <w:t>januára daného roka počnúc rokom 2024.</w:t>
      </w:r>
    </w:p>
    <w:p w14:paraId="4207CC23" w14:textId="5A773455" w:rsidR="000D5363" w:rsidRPr="002746C4" w:rsidRDefault="000D5363" w:rsidP="000D5363">
      <w:pPr>
        <w:keepNext/>
        <w:spacing w:after="120" w:line="240" w:lineRule="auto"/>
        <w:jc w:val="both"/>
        <w:rPr>
          <w:szCs w:val="22"/>
          <w:highlight w:val="yellow"/>
        </w:rPr>
      </w:pPr>
      <w:r>
        <w:t xml:space="preserve">Na bežných transferoch sa podľa metodiky ESA zaznamenávajú </w:t>
      </w:r>
      <w:r w:rsidRPr="0005782F">
        <w:t>aj platby zdravotných poisťovní zdravotníckym zariadeniam</w:t>
      </w:r>
      <w:r w:rsidR="0017573C">
        <w:t xml:space="preserve"> za poskytovanie zdravotnej starostlivosti a lekárske výkony</w:t>
      </w:r>
      <w:r w:rsidRPr="0005782F">
        <w:t>, ktoré medziročne vzrástli o 500</w:t>
      </w:r>
      <w:r>
        <w:t> </w:t>
      </w:r>
      <w:r w:rsidRPr="0005782F">
        <w:t>691</w:t>
      </w:r>
      <w:r>
        <w:t> </w:t>
      </w:r>
      <w:r w:rsidRPr="0005782F">
        <w:t>tis.</w:t>
      </w:r>
      <w:r>
        <w:t> </w:t>
      </w:r>
      <w:r w:rsidRPr="0005782F">
        <w:t>eur.</w:t>
      </w:r>
    </w:p>
    <w:p w14:paraId="3DB8648A" w14:textId="77777777" w:rsidR="002F1D21" w:rsidRPr="00A41BB5" w:rsidRDefault="002F1D21" w:rsidP="002F1D21">
      <w:pPr>
        <w:spacing w:after="120" w:line="240" w:lineRule="auto"/>
        <w:jc w:val="both"/>
        <w:rPr>
          <w:b/>
          <w:color w:val="4F81BD" w:themeColor="accent1"/>
          <w:sz w:val="24"/>
          <w:szCs w:val="24"/>
        </w:rPr>
      </w:pPr>
      <w:r w:rsidRPr="00A41BB5">
        <w:rPr>
          <w:b/>
          <w:color w:val="4F81BD" w:themeColor="accent1"/>
          <w:sz w:val="24"/>
          <w:szCs w:val="24"/>
        </w:rPr>
        <w:t>Kapitálové výdavky</w:t>
      </w:r>
    </w:p>
    <w:p w14:paraId="6E30CE1D" w14:textId="4656EDDC" w:rsidR="009A3759" w:rsidRDefault="009A3759" w:rsidP="009A3759">
      <w:pPr>
        <w:spacing w:after="120" w:line="240" w:lineRule="auto"/>
        <w:jc w:val="both"/>
        <w:rPr>
          <w:szCs w:val="22"/>
        </w:rPr>
      </w:pPr>
      <w:r w:rsidRPr="0051348C">
        <w:rPr>
          <w:szCs w:val="22"/>
        </w:rPr>
        <w:t>Oproti pre</w:t>
      </w:r>
      <w:r w:rsidR="00CF7D79">
        <w:rPr>
          <w:szCs w:val="22"/>
        </w:rPr>
        <w:t>dchádzajúcemu roku vzrástli o 55,2 % (nárast o 2 369</w:t>
      </w:r>
      <w:r w:rsidRPr="0051348C">
        <w:rPr>
          <w:szCs w:val="22"/>
        </w:rPr>
        <w:t> </w:t>
      </w:r>
      <w:r w:rsidR="00CF7D79">
        <w:rPr>
          <w:szCs w:val="22"/>
        </w:rPr>
        <w:t>658</w:t>
      </w:r>
      <w:r w:rsidRPr="0051348C">
        <w:rPr>
          <w:szCs w:val="22"/>
        </w:rPr>
        <w:t> tis. eur)</w:t>
      </w:r>
      <w:r>
        <w:rPr>
          <w:szCs w:val="22"/>
        </w:rPr>
        <w:t xml:space="preserve"> najmä</w:t>
      </w:r>
      <w:r w:rsidRPr="0051348C">
        <w:rPr>
          <w:szCs w:val="22"/>
        </w:rPr>
        <w:t xml:space="preserve"> z dôvodu nárastu </w:t>
      </w:r>
      <w:r w:rsidRPr="0051348C">
        <w:rPr>
          <w:szCs w:val="22"/>
          <w:u w:val="single"/>
        </w:rPr>
        <w:t>kapitálových transferov</w:t>
      </w:r>
      <w:r w:rsidR="00CF7D79">
        <w:rPr>
          <w:szCs w:val="22"/>
        </w:rPr>
        <w:t xml:space="preserve"> o 1 234 626</w:t>
      </w:r>
      <w:r>
        <w:rPr>
          <w:szCs w:val="22"/>
        </w:rPr>
        <w:t> tis. eur. Za kapitálový transfer sa považuje aj darovanie vojenskej techniky OS SR</w:t>
      </w:r>
      <w:r w:rsidRPr="00FD1CDD">
        <w:rPr>
          <w:szCs w:val="22"/>
        </w:rPr>
        <w:t xml:space="preserve"> na</w:t>
      </w:r>
      <w:r>
        <w:rPr>
          <w:szCs w:val="22"/>
        </w:rPr>
        <w:t xml:space="preserve"> Ukrajinu v celkovej sume 1 084 </w:t>
      </w:r>
      <w:r w:rsidRPr="00FD1CDD">
        <w:rPr>
          <w:szCs w:val="22"/>
        </w:rPr>
        <w:t>434 tis.</w:t>
      </w:r>
      <w:r>
        <w:rPr>
          <w:szCs w:val="22"/>
        </w:rPr>
        <w:t> </w:t>
      </w:r>
      <w:r w:rsidRPr="00FD1CDD">
        <w:rPr>
          <w:szCs w:val="22"/>
        </w:rPr>
        <w:t>eur</w:t>
      </w:r>
      <w:r>
        <w:rPr>
          <w:szCs w:val="22"/>
        </w:rPr>
        <w:t xml:space="preserve">, pričom </w:t>
      </w:r>
      <w:r w:rsidR="00C765EA">
        <w:rPr>
          <w:szCs w:val="22"/>
        </w:rPr>
        <w:t>vplyv tohto výdavku na </w:t>
      </w:r>
      <w:r w:rsidR="00BE5C62">
        <w:rPr>
          <w:szCs w:val="22"/>
        </w:rPr>
        <w:t>saldo verejnej správy</w:t>
      </w:r>
      <w:r>
        <w:rPr>
          <w:szCs w:val="22"/>
        </w:rPr>
        <w:t xml:space="preserve"> bol eliminovaný </w:t>
      </w:r>
      <w:r w:rsidRPr="00FD1CDD">
        <w:rPr>
          <w:szCs w:val="22"/>
        </w:rPr>
        <w:t xml:space="preserve">pozitívnym vplyvom </w:t>
      </w:r>
      <w:r>
        <w:rPr>
          <w:szCs w:val="22"/>
        </w:rPr>
        <w:t>príjmu</w:t>
      </w:r>
      <w:r w:rsidRPr="00FD1CDD">
        <w:rPr>
          <w:szCs w:val="22"/>
        </w:rPr>
        <w:t xml:space="preserve"> z </w:t>
      </w:r>
      <w:r>
        <w:rPr>
          <w:szCs w:val="22"/>
        </w:rPr>
        <w:t>„</w:t>
      </w:r>
      <w:r w:rsidRPr="00FD1CDD">
        <w:rPr>
          <w:szCs w:val="22"/>
        </w:rPr>
        <w:t>predaja kapitálových aktív</w:t>
      </w:r>
      <w:r>
        <w:rPr>
          <w:szCs w:val="22"/>
        </w:rPr>
        <w:t>“ v rovnakej výške</w:t>
      </w:r>
      <w:r w:rsidRPr="00FD1CDD">
        <w:rPr>
          <w:szCs w:val="22"/>
        </w:rPr>
        <w:t>, t.</w:t>
      </w:r>
      <w:r>
        <w:rPr>
          <w:szCs w:val="22"/>
        </w:rPr>
        <w:t> </w:t>
      </w:r>
      <w:r w:rsidRPr="00FD1CDD">
        <w:rPr>
          <w:szCs w:val="22"/>
        </w:rPr>
        <w:t>j. vplyv darovania vojenskej techniky mal neutrálny vplyv na saldo verejnej správy</w:t>
      </w:r>
      <w:r>
        <w:rPr>
          <w:szCs w:val="22"/>
        </w:rPr>
        <w:t xml:space="preserve"> v metodike ESA</w:t>
      </w:r>
      <w:r w:rsidRPr="00FD1CDD">
        <w:rPr>
          <w:szCs w:val="22"/>
        </w:rPr>
        <w:t>.</w:t>
      </w:r>
    </w:p>
    <w:p w14:paraId="61602405" w14:textId="66FE4994" w:rsidR="009A3759" w:rsidRPr="004A39AB" w:rsidRDefault="00BE5C62" w:rsidP="009A3759">
      <w:pPr>
        <w:spacing w:after="120" w:line="240" w:lineRule="auto"/>
        <w:jc w:val="both"/>
        <w:rPr>
          <w:szCs w:val="22"/>
        </w:rPr>
      </w:pPr>
      <w:r>
        <w:rPr>
          <w:szCs w:val="22"/>
        </w:rPr>
        <w:t>Nárast kapitálových transferov bol čiastočne eliminovaný poklesom preklasifikovaných vkladov do</w:t>
      </w:r>
      <w:r w:rsidR="001C21A5">
        <w:rPr>
          <w:szCs w:val="22"/>
        </w:rPr>
        <w:t> </w:t>
      </w:r>
      <w:r w:rsidR="00404E76">
        <w:rPr>
          <w:szCs w:val="22"/>
        </w:rPr>
        <w:t xml:space="preserve">základného imania. </w:t>
      </w:r>
      <w:r w:rsidR="009A3759" w:rsidRPr="004A39AB">
        <w:rPr>
          <w:szCs w:val="22"/>
        </w:rPr>
        <w:t xml:space="preserve">Zo štátnych finančných aktív sa v roku 2023 preklasifikovali </w:t>
      </w:r>
      <w:r>
        <w:rPr>
          <w:szCs w:val="22"/>
        </w:rPr>
        <w:t xml:space="preserve">výdavkové </w:t>
      </w:r>
      <w:r w:rsidR="00106A87">
        <w:rPr>
          <w:szCs w:val="22"/>
        </w:rPr>
        <w:t xml:space="preserve">vklady </w:t>
      </w:r>
      <w:r w:rsidR="00106A87" w:rsidRPr="00106A87">
        <w:t>do</w:t>
      </w:r>
      <w:r w:rsidR="00106A87">
        <w:t> </w:t>
      </w:r>
      <w:r w:rsidR="009A3759" w:rsidRPr="00106A87">
        <w:t>základného</w:t>
      </w:r>
      <w:r w:rsidR="009A3759" w:rsidRPr="004A39AB">
        <w:rPr>
          <w:szCs w:val="22"/>
        </w:rPr>
        <w:t xml:space="preserve"> imania spolu vo</w:t>
      </w:r>
      <w:r w:rsidR="009A3759">
        <w:rPr>
          <w:szCs w:val="22"/>
        </w:rPr>
        <w:t> </w:t>
      </w:r>
      <w:r w:rsidR="009A3759" w:rsidRPr="004A39AB">
        <w:rPr>
          <w:szCs w:val="22"/>
        </w:rPr>
        <w:t>výške 204</w:t>
      </w:r>
      <w:r>
        <w:rPr>
          <w:szCs w:val="22"/>
        </w:rPr>
        <w:t> </w:t>
      </w:r>
      <w:r w:rsidR="009A3759" w:rsidRPr="00A41BB5">
        <w:t>319</w:t>
      </w:r>
      <w:r>
        <w:t> </w:t>
      </w:r>
      <w:r w:rsidR="009A3759" w:rsidRPr="00A41BB5">
        <w:t>tis</w:t>
      </w:r>
      <w:r w:rsidR="009A3759" w:rsidRPr="004A39AB">
        <w:rPr>
          <w:szCs w:val="22"/>
        </w:rPr>
        <w:t>.</w:t>
      </w:r>
      <w:r w:rsidR="009A3759">
        <w:rPr>
          <w:szCs w:val="22"/>
        </w:rPr>
        <w:t> </w:t>
      </w:r>
      <w:r w:rsidR="009A3759" w:rsidRPr="004A39AB">
        <w:rPr>
          <w:szCs w:val="22"/>
        </w:rPr>
        <w:t>eur, čo v porovnaní s predchádzajúcim rokom predstavovalo pokles o 205</w:t>
      </w:r>
      <w:r w:rsidR="009A3759">
        <w:rPr>
          <w:szCs w:val="22"/>
        </w:rPr>
        <w:t> </w:t>
      </w:r>
      <w:r w:rsidR="009A3759" w:rsidRPr="004A39AB">
        <w:rPr>
          <w:szCs w:val="22"/>
        </w:rPr>
        <w:t>594</w:t>
      </w:r>
      <w:r w:rsidR="009A3759">
        <w:rPr>
          <w:szCs w:val="22"/>
        </w:rPr>
        <w:t> </w:t>
      </w:r>
      <w:r w:rsidR="009A3759" w:rsidRPr="004A39AB">
        <w:rPr>
          <w:szCs w:val="22"/>
        </w:rPr>
        <w:t>tis.</w:t>
      </w:r>
      <w:r w:rsidR="009A3759">
        <w:rPr>
          <w:szCs w:val="22"/>
        </w:rPr>
        <w:t> </w:t>
      </w:r>
      <w:r w:rsidR="009A3759" w:rsidRPr="004A39AB">
        <w:rPr>
          <w:szCs w:val="22"/>
        </w:rPr>
        <w:t>eur, z toho najvýznamnejšie</w:t>
      </w:r>
      <w:r w:rsidR="009A3759">
        <w:rPr>
          <w:szCs w:val="22"/>
        </w:rPr>
        <w:t xml:space="preserve"> vklady predstavovali</w:t>
      </w:r>
      <w:r w:rsidR="009A3759" w:rsidRPr="004A39AB">
        <w:rPr>
          <w:szCs w:val="22"/>
        </w:rPr>
        <w:t>:</w:t>
      </w:r>
    </w:p>
    <w:p w14:paraId="4052CCD3" w14:textId="77777777" w:rsidR="009A3759" w:rsidRPr="004A39AB" w:rsidRDefault="009A3759" w:rsidP="009A3759">
      <w:pPr>
        <w:pStyle w:val="Odsekzoznamu"/>
        <w:numPr>
          <w:ilvl w:val="0"/>
          <w:numId w:val="37"/>
        </w:numPr>
        <w:spacing w:after="120"/>
        <w:jc w:val="both"/>
      </w:pPr>
      <w:r w:rsidRPr="004A39AB">
        <w:t>pokles vkladu do Všeobecnej zdravotnej poisťovne o 160</w:t>
      </w:r>
      <w:r>
        <w:t> 000 tis</w:t>
      </w:r>
      <w:r w:rsidRPr="004A39AB">
        <w:t>.</w:t>
      </w:r>
      <w:r>
        <w:t> </w:t>
      </w:r>
      <w:r w:rsidRPr="004A39AB">
        <w:t>eur,</w:t>
      </w:r>
    </w:p>
    <w:p w14:paraId="4388A1E7" w14:textId="322BC578" w:rsidR="009A3759" w:rsidRPr="004A39AB" w:rsidRDefault="009A3759" w:rsidP="009A3759">
      <w:pPr>
        <w:pStyle w:val="Odsekzoznamu"/>
        <w:numPr>
          <w:ilvl w:val="0"/>
          <w:numId w:val="37"/>
        </w:numPr>
        <w:spacing w:after="120"/>
        <w:jc w:val="both"/>
      </w:pPr>
      <w:r w:rsidRPr="004A39AB">
        <w:t>pokles vkladu do spoločnosti Valaliky Industrial Park,</w:t>
      </w:r>
      <w:r>
        <w:t> </w:t>
      </w:r>
      <w:r w:rsidR="00584786">
        <w:t>s</w:t>
      </w:r>
      <w:r w:rsidRPr="004A39AB">
        <w:t>.</w:t>
      </w:r>
      <w:r>
        <w:t> </w:t>
      </w:r>
      <w:r w:rsidR="00584786">
        <w:t>r</w:t>
      </w:r>
      <w:r w:rsidRPr="004A39AB">
        <w:t>.</w:t>
      </w:r>
      <w:r w:rsidR="00584786">
        <w:t> </w:t>
      </w:r>
      <w:r w:rsidRPr="004A39AB">
        <w:t>o</w:t>
      </w:r>
      <w:r>
        <w:t> 125 488 </w:t>
      </w:r>
      <w:r w:rsidRPr="004A39AB">
        <w:t>tis.</w:t>
      </w:r>
      <w:r>
        <w:t> </w:t>
      </w:r>
      <w:r w:rsidRPr="004A39AB">
        <w:t>eur,</w:t>
      </w:r>
    </w:p>
    <w:p w14:paraId="6BB8004B" w14:textId="56D682FE" w:rsidR="009A3759" w:rsidRPr="00F873F2" w:rsidRDefault="009A3759" w:rsidP="009A3759">
      <w:pPr>
        <w:pStyle w:val="Odsekzoznamu"/>
        <w:numPr>
          <w:ilvl w:val="0"/>
          <w:numId w:val="37"/>
        </w:numPr>
        <w:spacing w:after="120"/>
        <w:jc w:val="both"/>
      </w:pPr>
      <w:r>
        <w:t>nárast vkladu o 83</w:t>
      </w:r>
      <w:r w:rsidR="00614135">
        <w:t> 000 tis.</w:t>
      </w:r>
      <w:r>
        <w:t> eur do spoločnosti DMD Group, a. s.</w:t>
      </w:r>
    </w:p>
    <w:p w14:paraId="0CF0343C" w14:textId="77777777" w:rsidR="009A3759" w:rsidRDefault="009A3759" w:rsidP="009A3759">
      <w:pPr>
        <w:pStyle w:val="Odsekzoznamu"/>
        <w:spacing w:after="120"/>
        <w:ind w:left="0"/>
        <w:jc w:val="both"/>
      </w:pPr>
    </w:p>
    <w:p w14:paraId="7610A65A" w14:textId="723BE5AF" w:rsidR="009A3759" w:rsidRDefault="00BE5C62" w:rsidP="009A3759">
      <w:pPr>
        <w:pStyle w:val="Odsekzoznamu"/>
        <w:spacing w:after="120"/>
        <w:ind w:left="0"/>
        <w:contextualSpacing w:val="0"/>
        <w:jc w:val="both"/>
      </w:pPr>
      <w:r>
        <w:t xml:space="preserve">Na zníženie kapitálových transferov vplývala aj nižšia hodnota oddlžovania ako bola v roku 2022. </w:t>
      </w:r>
      <w:r w:rsidR="009A3759" w:rsidRPr="00787A3B">
        <w:t>Zo</w:t>
      </w:r>
      <w:r w:rsidR="00106A87">
        <w:t> </w:t>
      </w:r>
      <w:r w:rsidR="009A3759" w:rsidRPr="00787A3B">
        <w:t xml:space="preserve">štátnych finančných aktív sa poskytlo spolu </w:t>
      </w:r>
      <w:r w:rsidR="009A3759" w:rsidRPr="00BE5C62">
        <w:t>o 235 524 tis. eur</w:t>
      </w:r>
      <w:r w:rsidR="009A3759">
        <w:t xml:space="preserve"> menej na </w:t>
      </w:r>
      <w:r w:rsidR="009A3759" w:rsidRPr="00787A3B">
        <w:t>oddlžovanie záväzkov zdravotníckych zariadení voči Sociálnej poisťovni a záväzkov voči ostatným veriteľov</w:t>
      </w:r>
      <w:r w:rsidR="009A3759">
        <w:t xml:space="preserve"> ako</w:t>
      </w:r>
      <w:r w:rsidR="009A3759" w:rsidRPr="00787A3B">
        <w:t xml:space="preserve"> v roku 2022 (nakoľko v roku 2023 došlo iba k oddlženiu ostatných veriteľov v sume 83</w:t>
      </w:r>
      <w:r w:rsidR="009A3759">
        <w:t> </w:t>
      </w:r>
      <w:r w:rsidR="009A3759" w:rsidRPr="00787A3B">
        <w:t>389</w:t>
      </w:r>
      <w:r w:rsidR="009A3759">
        <w:t> </w:t>
      </w:r>
      <w:r w:rsidR="009A3759" w:rsidRPr="00787A3B">
        <w:t>tis.</w:t>
      </w:r>
      <w:r w:rsidR="009A3759">
        <w:t> </w:t>
      </w:r>
      <w:r w:rsidR="009A3759" w:rsidRPr="00787A3B">
        <w:t>eur).</w:t>
      </w:r>
    </w:p>
    <w:p w14:paraId="77CAD29D" w14:textId="0929F960" w:rsidR="009A3759" w:rsidRDefault="009A3759" w:rsidP="009A3759">
      <w:pPr>
        <w:pStyle w:val="Odsekzoznamu"/>
        <w:spacing w:after="120"/>
        <w:ind w:left="0"/>
        <w:jc w:val="both"/>
      </w:pPr>
      <w:r w:rsidRPr="00F44FAD">
        <w:rPr>
          <w:bCs/>
        </w:rPr>
        <w:t>V</w:t>
      </w:r>
      <w:r w:rsidRPr="00F44FAD">
        <w:t> roku 2023 sa obciam a VÚC odpustila poskytnutá návratná finančná výpomoc spolu vo</w:t>
      </w:r>
      <w:r>
        <w:t> </w:t>
      </w:r>
      <w:r w:rsidRPr="00F44FAD">
        <w:t xml:space="preserve">výške </w:t>
      </w:r>
      <w:r w:rsidRPr="00F44FAD">
        <w:rPr>
          <w:bCs/>
        </w:rPr>
        <w:t>151 823 tis. eur</w:t>
      </w:r>
      <w:r w:rsidRPr="00F44FAD">
        <w:t>, ktorou sa kompenzoval výpadok DPFO v roku 2020 v dôsledku pandémie COVID-19. Toto odpustenie sa v zmysle metodike ESA</w:t>
      </w:r>
      <w:r>
        <w:t> </w:t>
      </w:r>
      <w:r w:rsidRPr="00F44FAD">
        <w:t xml:space="preserve">2010 zaznamenalo </w:t>
      </w:r>
      <w:r>
        <w:t xml:space="preserve">v štátnych finančných aktívach </w:t>
      </w:r>
      <w:r w:rsidRPr="00F44FAD">
        <w:t>ako imputácia p</w:t>
      </w:r>
      <w:r>
        <w:t>oskytnutého</w:t>
      </w:r>
      <w:r w:rsidRPr="00F44FAD">
        <w:t xml:space="preserve"> kapitálového transferu </w:t>
      </w:r>
      <w:r>
        <w:t>(obciam vo výške 99 749 tis. eur a VÚ</w:t>
      </w:r>
      <w:r w:rsidRPr="00F44FAD">
        <w:t>C vo</w:t>
      </w:r>
      <w:r>
        <w:t> </w:t>
      </w:r>
      <w:r w:rsidRPr="00F44FAD">
        <w:t>výške 52 074 tis. eur</w:t>
      </w:r>
      <w:r>
        <w:t>)</w:t>
      </w:r>
      <w:r w:rsidRPr="00F44FAD">
        <w:t xml:space="preserve">, čo výrazne </w:t>
      </w:r>
      <w:r>
        <w:t>negatívne</w:t>
      </w:r>
      <w:r w:rsidRPr="00F44FAD">
        <w:t xml:space="preserve"> ovplyvnilo ESA </w:t>
      </w:r>
      <w:r>
        <w:t>saldo</w:t>
      </w:r>
      <w:r w:rsidR="0003540B">
        <w:t xml:space="preserve"> v štátnych finančných aktívach</w:t>
      </w:r>
      <w:r w:rsidRPr="00F44FAD">
        <w:t>.</w:t>
      </w:r>
      <w:r w:rsidR="004C1CF6">
        <w:t xml:space="preserve"> Tento negatívny vplyv bol eliminovaný v rovnakej výške zaznamenaním prijatého kapitálového transfer</w:t>
      </w:r>
      <w:r w:rsidR="000A42E5">
        <w:t>u</w:t>
      </w:r>
      <w:r w:rsidR="004C1CF6">
        <w:t xml:space="preserve"> v územnej samospráve.</w:t>
      </w:r>
    </w:p>
    <w:p w14:paraId="3AFEBE0E" w14:textId="77777777" w:rsidR="009A3759" w:rsidRPr="00A515C4" w:rsidRDefault="009A3759" w:rsidP="009A3759">
      <w:pPr>
        <w:spacing w:line="240" w:lineRule="auto"/>
        <w:jc w:val="both"/>
      </w:pPr>
      <w:r w:rsidRPr="00A515C4">
        <w:t xml:space="preserve">Najvyšší nárast hotovostných výdavkov na </w:t>
      </w:r>
      <w:r>
        <w:t>kapitálové transfery</w:t>
      </w:r>
      <w:r w:rsidRPr="00A515C4">
        <w:t xml:space="preserve"> vykázali tieto zložky verejnej správy:</w:t>
      </w:r>
    </w:p>
    <w:p w14:paraId="59CE0403" w14:textId="3BEE3572" w:rsidR="009A3759" w:rsidRDefault="009A3759" w:rsidP="009A3759">
      <w:pPr>
        <w:pStyle w:val="Odsekzoznamu"/>
        <w:numPr>
          <w:ilvl w:val="0"/>
          <w:numId w:val="37"/>
        </w:numPr>
        <w:spacing w:before="120" w:after="120"/>
        <w:ind w:left="425"/>
        <w:contextualSpacing w:val="0"/>
        <w:jc w:val="both"/>
      </w:pPr>
      <w:r w:rsidRPr="00D2617D">
        <w:rPr>
          <w:b/>
          <w:i/>
        </w:rPr>
        <w:t xml:space="preserve">Štátne rozpočtové organizácie </w:t>
      </w:r>
      <w:r w:rsidRPr="00ED1706">
        <w:rPr>
          <w:b/>
          <w:i/>
        </w:rPr>
        <w:t>o</w:t>
      </w:r>
      <w:r>
        <w:rPr>
          <w:b/>
          <w:i/>
        </w:rPr>
        <w:t> 1 533 904 </w:t>
      </w:r>
      <w:r w:rsidRPr="00ED1706">
        <w:rPr>
          <w:b/>
          <w:i/>
        </w:rPr>
        <w:t>tis.</w:t>
      </w:r>
      <w:r>
        <w:rPr>
          <w:b/>
          <w:i/>
        </w:rPr>
        <w:t> </w:t>
      </w:r>
      <w:r w:rsidRPr="00ED1706">
        <w:rPr>
          <w:b/>
          <w:i/>
        </w:rPr>
        <w:t>eur</w:t>
      </w:r>
      <w:r w:rsidRPr="00ED1706">
        <w:t xml:space="preserve"> – najvyšší</w:t>
      </w:r>
      <w:r>
        <w:t xml:space="preserve"> nárast hotovostných výdavkov zaznamenali transfery obciam v objeme 360 470 tis. eur, príspevkovým organizáciám 303 157 tis. eur, VUC 271 981 tis. eur, dopravným podnikom 170 637 tis. eur a ŽSSK, a. s. 168 11</w:t>
      </w:r>
      <w:r w:rsidR="00B339E5">
        <w:t>6 tis. eur.</w:t>
      </w:r>
    </w:p>
    <w:p w14:paraId="605048BB" w14:textId="3C04AFB9" w:rsidR="00DA727E" w:rsidRDefault="009A3759" w:rsidP="009A3759">
      <w:pPr>
        <w:pStyle w:val="Odsekzoznamu"/>
        <w:numPr>
          <w:ilvl w:val="0"/>
          <w:numId w:val="37"/>
        </w:numPr>
        <w:spacing w:before="120" w:after="120"/>
        <w:ind w:left="426"/>
        <w:contextualSpacing w:val="0"/>
        <w:jc w:val="both"/>
      </w:pPr>
      <w:r w:rsidRPr="008A7416">
        <w:rPr>
          <w:b/>
          <w:i/>
        </w:rPr>
        <w:lastRenderedPageBreak/>
        <w:t>Verejné vysoké školy – o</w:t>
      </w:r>
      <w:r>
        <w:rPr>
          <w:b/>
          <w:i/>
        </w:rPr>
        <w:t> </w:t>
      </w:r>
      <w:r w:rsidRPr="008A7416">
        <w:rPr>
          <w:b/>
          <w:i/>
        </w:rPr>
        <w:t>46</w:t>
      </w:r>
      <w:r>
        <w:rPr>
          <w:b/>
          <w:i/>
        </w:rPr>
        <w:t> </w:t>
      </w:r>
      <w:r w:rsidRPr="008A7416">
        <w:rPr>
          <w:b/>
          <w:i/>
        </w:rPr>
        <w:t>754</w:t>
      </w:r>
      <w:r>
        <w:rPr>
          <w:b/>
          <w:i/>
        </w:rPr>
        <w:t> </w:t>
      </w:r>
      <w:r w:rsidRPr="008A7416">
        <w:rPr>
          <w:b/>
          <w:i/>
        </w:rPr>
        <w:t>tis.</w:t>
      </w:r>
      <w:r>
        <w:rPr>
          <w:b/>
          <w:i/>
        </w:rPr>
        <w:t> </w:t>
      </w:r>
      <w:r w:rsidRPr="008A7416">
        <w:rPr>
          <w:b/>
          <w:i/>
        </w:rPr>
        <w:t>eur</w:t>
      </w:r>
      <w:r w:rsidRPr="008A7416">
        <w:t xml:space="preserve">- </w:t>
      </w:r>
      <w:r w:rsidR="00DA727E" w:rsidRPr="00DA727E">
        <w:t xml:space="preserve"> </w:t>
      </w:r>
      <w:r w:rsidR="00DA727E" w:rsidRPr="008A7416">
        <w:t>medziročný nárast je spôsobený najmä transferom Slovenskej technickej univerzity Univerzite Komenského z dôvodu prerozde</w:t>
      </w:r>
      <w:r w:rsidR="00DA727E">
        <w:t>lenia finančných prostriedkov z </w:t>
      </w:r>
      <w:r w:rsidR="00DA727E" w:rsidRPr="008A7416">
        <w:t>projektu ACCORD, kde STU j</w:t>
      </w:r>
      <w:r w:rsidR="00DA727E">
        <w:t>e hlavným riešiteľom projektu a </w:t>
      </w:r>
      <w:r w:rsidR="00DA727E" w:rsidRPr="008A7416">
        <w:t>Univer</w:t>
      </w:r>
      <w:r w:rsidR="00B339E5">
        <w:t>zita Komenského spoluriešiteľom.</w:t>
      </w:r>
    </w:p>
    <w:p w14:paraId="03DC2FC7" w14:textId="35BC8ECA" w:rsidR="009A3759" w:rsidRPr="008A7416" w:rsidRDefault="009A3759" w:rsidP="00DA727E">
      <w:pPr>
        <w:pStyle w:val="Odsekzoznamu"/>
        <w:numPr>
          <w:ilvl w:val="0"/>
          <w:numId w:val="37"/>
        </w:numPr>
        <w:spacing w:before="120" w:after="120"/>
        <w:ind w:left="426"/>
        <w:contextualSpacing w:val="0"/>
        <w:jc w:val="both"/>
      </w:pPr>
      <w:r>
        <w:rPr>
          <w:b/>
          <w:i/>
        </w:rPr>
        <w:t>Štátne fondy o 30 </w:t>
      </w:r>
      <w:r w:rsidRPr="008A7416">
        <w:rPr>
          <w:b/>
          <w:i/>
        </w:rPr>
        <w:t>564</w:t>
      </w:r>
      <w:r>
        <w:rPr>
          <w:b/>
          <w:i/>
        </w:rPr>
        <w:t> </w:t>
      </w:r>
      <w:r w:rsidRPr="008A7416">
        <w:rPr>
          <w:b/>
          <w:i/>
        </w:rPr>
        <w:t>tis.</w:t>
      </w:r>
      <w:r>
        <w:rPr>
          <w:b/>
          <w:i/>
        </w:rPr>
        <w:t> </w:t>
      </w:r>
      <w:r w:rsidRPr="008A7416">
        <w:rPr>
          <w:b/>
          <w:i/>
        </w:rPr>
        <w:t>eur</w:t>
      </w:r>
      <w:r w:rsidRPr="008A7416">
        <w:t xml:space="preserve"> – </w:t>
      </w:r>
      <w:r w:rsidR="00DA727E" w:rsidRPr="008A7416">
        <w:t>medziročný nárast je spôsobený predovšetkým vyšším transferom Environmentálneho fondu obciam určeným na</w:t>
      </w:r>
      <w:r w:rsidR="00DA727E">
        <w:t> </w:t>
      </w:r>
      <w:r w:rsidR="00DA727E" w:rsidRPr="008A7416">
        <w:t>financovanie budovania verejných vodovodov, kanalizácií, čističiek odpadových vôd a zatepľovanie verejných budov. Taktiež došlo k</w:t>
      </w:r>
      <w:r w:rsidR="00DA727E">
        <w:t> </w:t>
      </w:r>
      <w:r w:rsidR="00DA727E" w:rsidRPr="008A7416">
        <w:t>vyššiemu transferu Národného jadr</w:t>
      </w:r>
      <w:r w:rsidR="00DA727E">
        <w:t>ového fondu J</w:t>
      </w:r>
      <w:r w:rsidR="00DD1FFC">
        <w:t>AVYS-u</w:t>
      </w:r>
      <w:r w:rsidR="00DA727E">
        <w:t xml:space="preserve"> v </w:t>
      </w:r>
      <w:r w:rsidR="00DA727E" w:rsidRPr="008A7416">
        <w:t>súvislosti s</w:t>
      </w:r>
      <w:r w:rsidR="00DA727E">
        <w:t> </w:t>
      </w:r>
      <w:r w:rsidR="00DA727E" w:rsidRPr="008A7416">
        <w:t>vyraďovaním jadrovej elektrárne JE A1</w:t>
      </w:r>
      <w:r w:rsidR="00DA727E">
        <w:t xml:space="preserve"> </w:t>
      </w:r>
      <w:r w:rsidR="00DA727E" w:rsidRPr="008A7416">
        <w:t>a</w:t>
      </w:r>
      <w:r w:rsidR="00DA727E">
        <w:t> s nakladaním s rádioaktívnym odpadom.</w:t>
      </w:r>
    </w:p>
    <w:p w14:paraId="31219E3D" w14:textId="50823B7F" w:rsidR="009A3759" w:rsidRPr="00A515C4" w:rsidRDefault="009A3759" w:rsidP="009A3759">
      <w:pPr>
        <w:spacing w:line="240" w:lineRule="auto"/>
        <w:jc w:val="both"/>
      </w:pPr>
      <w:r w:rsidRPr="008A7416">
        <w:rPr>
          <w:u w:val="single"/>
        </w:rPr>
        <w:t>Výdavky na obstaranie kapitálových aktív</w:t>
      </w:r>
      <w:r w:rsidRPr="008A7416">
        <w:t xml:space="preserve"> vzrástli oproti roku 2022 o 33,0 % (nárast o 1 135 032 tis. eur). Najvyšší nárast hotovostných výdavkov na nové investície vykázali tieto </w:t>
      </w:r>
      <w:r w:rsidR="000D1D1F">
        <w:t>subjekty/</w:t>
      </w:r>
      <w:r w:rsidRPr="008A7416">
        <w:t>zložky verejnej správy:</w:t>
      </w:r>
    </w:p>
    <w:p w14:paraId="71C065CB" w14:textId="3C0E9416" w:rsidR="009A3759" w:rsidRDefault="009A3759" w:rsidP="009A3759">
      <w:pPr>
        <w:pStyle w:val="Odsekzoznamu"/>
        <w:numPr>
          <w:ilvl w:val="0"/>
          <w:numId w:val="37"/>
        </w:numPr>
        <w:spacing w:before="120" w:after="120"/>
        <w:ind w:left="425"/>
        <w:contextualSpacing w:val="0"/>
        <w:jc w:val="both"/>
      </w:pPr>
      <w:r w:rsidRPr="00C43471">
        <w:rPr>
          <w:b/>
          <w:i/>
        </w:rPr>
        <w:t>Obce</w:t>
      </w:r>
      <w:r w:rsidR="00A94716">
        <w:rPr>
          <w:b/>
          <w:i/>
        </w:rPr>
        <w:t xml:space="preserve"> a ich RO</w:t>
      </w:r>
      <w:r w:rsidRPr="00C43471">
        <w:rPr>
          <w:b/>
          <w:i/>
        </w:rPr>
        <w:t xml:space="preserve"> o 387</w:t>
      </w:r>
      <w:r>
        <w:rPr>
          <w:b/>
          <w:i/>
        </w:rPr>
        <w:t> </w:t>
      </w:r>
      <w:r w:rsidRPr="00C43471">
        <w:rPr>
          <w:b/>
          <w:i/>
        </w:rPr>
        <w:t>068</w:t>
      </w:r>
      <w:r>
        <w:rPr>
          <w:b/>
          <w:i/>
        </w:rPr>
        <w:t> </w:t>
      </w:r>
      <w:r w:rsidRPr="00C43471">
        <w:rPr>
          <w:b/>
          <w:i/>
        </w:rPr>
        <w:t>tis.</w:t>
      </w:r>
      <w:r>
        <w:rPr>
          <w:b/>
          <w:i/>
        </w:rPr>
        <w:t> </w:t>
      </w:r>
      <w:r w:rsidRPr="00C43471">
        <w:rPr>
          <w:b/>
          <w:i/>
        </w:rPr>
        <w:t>eur</w:t>
      </w:r>
      <w:r>
        <w:t xml:space="preserve"> – najviac investičných výdavkov bolo alokovaných do realizácie nových stavieb, do rekonštrukcie a modernizácie, do obstarania prevádzkových strojov, prístrojov, nákladných vozidiel </w:t>
      </w:r>
      <w:r w:rsidR="00B339E5">
        <w:t>a dopravných pracovných strojov.</w:t>
      </w:r>
    </w:p>
    <w:p w14:paraId="7D0E2291" w14:textId="779835C6" w:rsidR="009A3759" w:rsidRPr="00E400BE" w:rsidRDefault="009A3759" w:rsidP="009A3759">
      <w:pPr>
        <w:pStyle w:val="Odsekzoznamu"/>
        <w:numPr>
          <w:ilvl w:val="0"/>
          <w:numId w:val="37"/>
        </w:numPr>
        <w:spacing w:before="120" w:after="120"/>
        <w:ind w:left="425"/>
        <w:contextualSpacing w:val="0"/>
        <w:jc w:val="both"/>
      </w:pPr>
      <w:r w:rsidRPr="00E400BE">
        <w:rPr>
          <w:b/>
          <w:i/>
        </w:rPr>
        <w:t>VÚC</w:t>
      </w:r>
      <w:r w:rsidR="000177FD">
        <w:rPr>
          <w:b/>
          <w:i/>
        </w:rPr>
        <w:t xml:space="preserve"> a ich RO</w:t>
      </w:r>
      <w:r w:rsidRPr="00E400BE">
        <w:rPr>
          <w:b/>
          <w:i/>
        </w:rPr>
        <w:t xml:space="preserve"> o</w:t>
      </w:r>
      <w:r>
        <w:rPr>
          <w:b/>
          <w:i/>
        </w:rPr>
        <w:t> </w:t>
      </w:r>
      <w:r w:rsidRPr="00E400BE">
        <w:rPr>
          <w:b/>
          <w:i/>
        </w:rPr>
        <w:t>372</w:t>
      </w:r>
      <w:r>
        <w:rPr>
          <w:b/>
          <w:i/>
        </w:rPr>
        <w:t> </w:t>
      </w:r>
      <w:r w:rsidRPr="00E400BE">
        <w:rPr>
          <w:b/>
          <w:i/>
        </w:rPr>
        <w:t>738</w:t>
      </w:r>
      <w:r>
        <w:rPr>
          <w:b/>
          <w:i/>
        </w:rPr>
        <w:t> </w:t>
      </w:r>
      <w:r w:rsidRPr="00E400BE">
        <w:rPr>
          <w:b/>
          <w:i/>
        </w:rPr>
        <w:t>tis.</w:t>
      </w:r>
      <w:r>
        <w:rPr>
          <w:b/>
          <w:i/>
        </w:rPr>
        <w:t> </w:t>
      </w:r>
      <w:r w:rsidRPr="00E400BE">
        <w:rPr>
          <w:b/>
          <w:i/>
        </w:rPr>
        <w:t>eur</w:t>
      </w:r>
      <w:r w:rsidRPr="00E400BE">
        <w:t xml:space="preserve"> – zvýšený objem kapitálových výdavkov smeroval najviac do</w:t>
      </w:r>
      <w:r w:rsidR="00C765EA">
        <w:t> </w:t>
      </w:r>
      <w:r w:rsidRPr="00E400BE">
        <w:t>rekonštrukcie mostov a ciest na</w:t>
      </w:r>
      <w:r>
        <w:t> </w:t>
      </w:r>
      <w:r w:rsidR="00EF64D6">
        <w:t>cestách II. a III. t</w:t>
      </w:r>
      <w:r w:rsidRPr="00E400BE">
        <w:t>riedy, rekonštrukcie stavebných objektov, škôl a školských zariadení, zariadení DSS, internátov, do výstavby cyklistických</w:t>
      </w:r>
      <w:r>
        <w:t xml:space="preserve"> prístreškov a v menšom objeme do </w:t>
      </w:r>
      <w:r w:rsidRPr="00E400BE">
        <w:t xml:space="preserve"> rekonštrukcie interiérov a exteriérov, debarierizáci</w:t>
      </w:r>
      <w:r w:rsidR="000D1D1F">
        <w:t>i</w:t>
      </w:r>
      <w:r w:rsidRPr="00E400BE">
        <w:t xml:space="preserve"> priestorov, st</w:t>
      </w:r>
      <w:r>
        <w:t>avebných úpravy vyplývajúcich z </w:t>
      </w:r>
      <w:r w:rsidRPr="00E400BE">
        <w:t>legislatívy, na odstraňovanie havarijných situác</w:t>
      </w:r>
      <w:r w:rsidR="00C765EA">
        <w:t>ií, nákup softvéru a hardvéru a </w:t>
      </w:r>
      <w:r w:rsidRPr="00E400BE">
        <w:t>iné operatívne akcie</w:t>
      </w:r>
      <w:r w:rsidR="00B339E5">
        <w:t>.</w:t>
      </w:r>
    </w:p>
    <w:p w14:paraId="2250FE67" w14:textId="3F5DA79D" w:rsidR="009A3759" w:rsidRPr="009451FD" w:rsidRDefault="009A3759" w:rsidP="009A3759">
      <w:pPr>
        <w:pStyle w:val="Odsekzoznamu"/>
        <w:numPr>
          <w:ilvl w:val="0"/>
          <w:numId w:val="37"/>
        </w:numPr>
        <w:spacing w:before="120" w:after="120"/>
        <w:ind w:left="425"/>
        <w:contextualSpacing w:val="0"/>
        <w:jc w:val="both"/>
      </w:pPr>
      <w:r w:rsidRPr="009451FD">
        <w:rPr>
          <w:b/>
          <w:i/>
        </w:rPr>
        <w:t>Štátne rozpočtové organizácie o 250 139 tis. eur</w:t>
      </w:r>
      <w:r w:rsidRPr="009451FD">
        <w:t xml:space="preserve"> – najväčší nárast bol zaznamenaný vo výdavkoch kapitoly Ministerstva obrany</w:t>
      </w:r>
      <w:r w:rsidR="009451FD" w:rsidRPr="009451FD">
        <w:t xml:space="preserve"> SR</w:t>
      </w:r>
      <w:r w:rsidRPr="009451FD">
        <w:t xml:space="preserve"> na špeciálne stroje – vojenské zariadenia a Ministerstva vnútra</w:t>
      </w:r>
      <w:r w:rsidR="009451FD" w:rsidRPr="009451FD">
        <w:t xml:space="preserve"> SR</w:t>
      </w:r>
      <w:r w:rsidRPr="009451FD">
        <w:t xml:space="preserve"> na špeciálne zariadenia. Medziročne narástli aj výdavky kapitoly Ministerstva dopravy</w:t>
      </w:r>
      <w:r w:rsidR="009451FD" w:rsidRPr="009451FD">
        <w:t xml:space="preserve"> SR</w:t>
      </w:r>
      <w:r w:rsidRPr="009451FD">
        <w:t xml:space="preserve"> o 123 877 tis. eur na rekonštrukciu a modernizáciu stavieb</w:t>
      </w:r>
      <w:r w:rsidR="00B339E5" w:rsidRPr="009451FD">
        <w:t>.</w:t>
      </w:r>
    </w:p>
    <w:p w14:paraId="183C7449" w14:textId="4373D1FB" w:rsidR="009A3759" w:rsidRDefault="00B6008D" w:rsidP="009A3759">
      <w:pPr>
        <w:pStyle w:val="Odsekzoznamu"/>
        <w:numPr>
          <w:ilvl w:val="0"/>
          <w:numId w:val="37"/>
        </w:numPr>
        <w:spacing w:before="120" w:after="120"/>
        <w:ind w:left="425"/>
        <w:contextualSpacing w:val="0"/>
        <w:jc w:val="both"/>
      </w:pPr>
      <w:r>
        <w:rPr>
          <w:b/>
          <w:i/>
        </w:rPr>
        <w:t>ZSSK</w:t>
      </w:r>
      <w:r w:rsidR="009A3759" w:rsidRPr="009451FD">
        <w:rPr>
          <w:b/>
          <w:i/>
        </w:rPr>
        <w:t xml:space="preserve"> o 213 824 tis. eur</w:t>
      </w:r>
      <w:r w:rsidR="009A3759" w:rsidRPr="009451FD">
        <w:t xml:space="preserve"> – </w:t>
      </w:r>
      <w:r w:rsidR="00244749" w:rsidRPr="00D136EF">
        <w:t>na medziročný nárast investícií mali výdavky na</w:t>
      </w:r>
      <w:r w:rsidR="00244749">
        <w:t> </w:t>
      </w:r>
      <w:r w:rsidR="00244749" w:rsidRPr="00D136EF">
        <w:t>projekty modernizácie vozového parku - zmodernizované električky na</w:t>
      </w:r>
      <w:r w:rsidR="00244749">
        <w:t> </w:t>
      </w:r>
      <w:r w:rsidR="00244749" w:rsidRPr="00D136EF">
        <w:t>TEŽ,</w:t>
      </w:r>
      <w:r w:rsidR="00244749" w:rsidRPr="00D136EF" w:rsidDel="00056D33">
        <w:t xml:space="preserve"> </w:t>
      </w:r>
      <w:r w:rsidR="00244749" w:rsidRPr="00D136EF">
        <w:t>ukončená dodávka sedemnástich nových a 35-</w:t>
      </w:r>
      <w:r w:rsidR="008A1278">
        <w:t> </w:t>
      </w:r>
      <w:r w:rsidR="00244749" w:rsidRPr="00D136EF">
        <w:t>ich modernizovaných vozňov pre</w:t>
      </w:r>
      <w:r w:rsidR="00244749">
        <w:t> </w:t>
      </w:r>
      <w:r w:rsidR="00244749" w:rsidRPr="00D136EF">
        <w:t>stredné a</w:t>
      </w:r>
      <w:r w:rsidR="00244749">
        <w:t> </w:t>
      </w:r>
      <w:r w:rsidR="00244749" w:rsidRPr="00D136EF">
        <w:t>východné Slovensko, obstaranie a dodanie deväť k</w:t>
      </w:r>
      <w:r w:rsidR="008A1278">
        <w:t>usov</w:t>
      </w:r>
      <w:r w:rsidR="00244749" w:rsidRPr="00D136EF">
        <w:t xml:space="preserve"> elektrických jednotiek</w:t>
      </w:r>
      <w:r w:rsidR="00244749">
        <w:t xml:space="preserve"> </w:t>
      </w:r>
      <w:r w:rsidR="00244749" w:rsidRPr="00D136EF">
        <w:t>a</w:t>
      </w:r>
      <w:r w:rsidR="00244749">
        <w:t> </w:t>
      </w:r>
      <w:r w:rsidR="00244749" w:rsidRPr="00D136EF">
        <w:t>troch nových poschodových elektrických jednotiek pre frekventované trate západného Slovenska a obstaranie pätnástich kusov HV v rámci projektu modernizácia železničných koľajových vozidiel. Ďalšie investície smerovali do ukončených projektov výstavby stredísk Technicko-hygienická údržba ŽKV Nové Zámky, Zvolen a Humenné a na rekonštrukciu koľajísk a trakčného vedenia</w:t>
      </w:r>
      <w:r w:rsidR="00244749">
        <w:t>.</w:t>
      </w:r>
    </w:p>
    <w:p w14:paraId="6245D734" w14:textId="160BD5B2" w:rsidR="009A3759" w:rsidRDefault="00B6008D" w:rsidP="009A3759">
      <w:pPr>
        <w:pStyle w:val="Odsekzoznamu"/>
        <w:numPr>
          <w:ilvl w:val="0"/>
          <w:numId w:val="37"/>
        </w:numPr>
        <w:spacing w:before="120" w:after="120"/>
        <w:ind w:left="425"/>
        <w:contextualSpacing w:val="0"/>
        <w:jc w:val="both"/>
      </w:pPr>
      <w:r>
        <w:rPr>
          <w:b/>
          <w:i/>
        </w:rPr>
        <w:t>ŽSR</w:t>
      </w:r>
      <w:r w:rsidR="009A3759" w:rsidRPr="00D136EF">
        <w:rPr>
          <w:b/>
          <w:i/>
        </w:rPr>
        <w:t xml:space="preserve"> o 144</w:t>
      </w:r>
      <w:r w:rsidR="009A3759">
        <w:rPr>
          <w:b/>
          <w:i/>
        </w:rPr>
        <w:t> </w:t>
      </w:r>
      <w:r w:rsidR="009A3759" w:rsidRPr="00D136EF">
        <w:rPr>
          <w:b/>
          <w:i/>
        </w:rPr>
        <w:t>660</w:t>
      </w:r>
      <w:r w:rsidR="009A3759">
        <w:rPr>
          <w:b/>
          <w:i/>
        </w:rPr>
        <w:t> </w:t>
      </w:r>
      <w:r w:rsidR="009A3759" w:rsidRPr="00D136EF">
        <w:rPr>
          <w:b/>
          <w:i/>
        </w:rPr>
        <w:t>tis.</w:t>
      </w:r>
      <w:r w:rsidR="009A3759">
        <w:rPr>
          <w:b/>
          <w:i/>
        </w:rPr>
        <w:t> </w:t>
      </w:r>
      <w:r w:rsidR="009A3759" w:rsidRPr="00D136EF">
        <w:rPr>
          <w:b/>
          <w:i/>
        </w:rPr>
        <w:t>eur</w:t>
      </w:r>
      <w:r w:rsidR="009A3759">
        <w:t xml:space="preserve"> –</w:t>
      </w:r>
      <w:r w:rsidR="00244749">
        <w:t xml:space="preserve"> </w:t>
      </w:r>
      <w:r w:rsidR="00244749" w:rsidRPr="009451FD">
        <w:t>vyššími</w:t>
      </w:r>
      <w:r w:rsidR="00244749">
        <w:t xml:space="preserve"> i</w:t>
      </w:r>
      <w:r w:rsidR="00244749" w:rsidRPr="00D136EF">
        <w:t>nvestíciami boli modernizované komponenty železničnej infraštruktúry – železničné stanice, železničný spodok, železničný zvršok, trakčné vedenie, zabezpečovacie zariadenia, oporné múry a</w:t>
      </w:r>
      <w:r w:rsidR="00244749">
        <w:t xml:space="preserve"> výstavba železničných mostov v rámci </w:t>
      </w:r>
      <w:r w:rsidR="00244749" w:rsidRPr="00D136EF">
        <w:t>projekt</w:t>
      </w:r>
      <w:r w:rsidR="00244749">
        <w:t>ov</w:t>
      </w:r>
      <w:r w:rsidR="00244749" w:rsidRPr="00D136EF">
        <w:t xml:space="preserve"> modernizácie železničných tratí</w:t>
      </w:r>
      <w:r w:rsidR="00244749">
        <w:t>.</w:t>
      </w:r>
    </w:p>
    <w:p w14:paraId="2C5DD90F" w14:textId="7A0883C7" w:rsidR="009A3759" w:rsidRDefault="009A3759" w:rsidP="009A3759">
      <w:pPr>
        <w:pStyle w:val="Odsekzoznamu"/>
        <w:numPr>
          <w:ilvl w:val="0"/>
          <w:numId w:val="37"/>
        </w:numPr>
        <w:spacing w:before="120" w:after="120"/>
        <w:ind w:left="425"/>
        <w:contextualSpacing w:val="0"/>
        <w:jc w:val="both"/>
      </w:pPr>
      <w:r w:rsidRPr="00191765">
        <w:rPr>
          <w:b/>
          <w:i/>
        </w:rPr>
        <w:t>Dopravné podniky o 139</w:t>
      </w:r>
      <w:r>
        <w:rPr>
          <w:b/>
          <w:i/>
        </w:rPr>
        <w:t> </w:t>
      </w:r>
      <w:r w:rsidRPr="00191765">
        <w:rPr>
          <w:b/>
          <w:i/>
        </w:rPr>
        <w:t>058</w:t>
      </w:r>
      <w:r>
        <w:rPr>
          <w:b/>
          <w:i/>
        </w:rPr>
        <w:t> tis. </w:t>
      </w:r>
      <w:r w:rsidRPr="00191765">
        <w:rPr>
          <w:b/>
          <w:i/>
        </w:rPr>
        <w:t>eur</w:t>
      </w:r>
      <w:r w:rsidRPr="00191765">
        <w:t xml:space="preserve"> – investície v zvýšenej miere smerovali do</w:t>
      </w:r>
      <w:r>
        <w:t> </w:t>
      </w:r>
      <w:r w:rsidRPr="00191765">
        <w:t>rekonštrukcie,</w:t>
      </w:r>
      <w:r>
        <w:t xml:space="preserve"> modernizácie a výstavby</w:t>
      </w:r>
      <w:r w:rsidRPr="007937B8">
        <w:t xml:space="preserve"> prístreškov verejnej osobnej dopravy, modernizáci</w:t>
      </w:r>
      <w:r>
        <w:t>e údržbových základní (Krasňany a Jurajov dvor), m</w:t>
      </w:r>
      <w:r w:rsidRPr="007937B8">
        <w:t>odernizáci</w:t>
      </w:r>
      <w:r>
        <w:t>e a výstavby</w:t>
      </w:r>
      <w:r w:rsidRPr="007937B8">
        <w:t xml:space="preserve"> trolejbusových tratí, </w:t>
      </w:r>
      <w:r>
        <w:t>modernizácia označníkov na </w:t>
      </w:r>
      <w:r w:rsidRPr="007937B8">
        <w:t xml:space="preserve">zastávkach, </w:t>
      </w:r>
      <w:r>
        <w:t xml:space="preserve">stavebných prác na </w:t>
      </w:r>
      <w:r w:rsidRPr="007937B8">
        <w:t>Vajnorsk</w:t>
      </w:r>
      <w:r>
        <w:t>ej</w:t>
      </w:r>
      <w:r w:rsidRPr="007937B8">
        <w:t xml:space="preserve"> radiál</w:t>
      </w:r>
      <w:r>
        <w:t>e</w:t>
      </w:r>
      <w:r w:rsidRPr="007937B8">
        <w:t xml:space="preserve">, </w:t>
      </w:r>
      <w:r>
        <w:t>m</w:t>
      </w:r>
      <w:r w:rsidRPr="007937B8">
        <w:t>odernizáci</w:t>
      </w:r>
      <w:r>
        <w:t>e</w:t>
      </w:r>
      <w:r w:rsidRPr="007937B8">
        <w:t xml:space="preserve"> informačných, komunikačných, tarifných a dispečerských systémov v rámci projektu "Informatizácia MHD Žilina"</w:t>
      </w:r>
      <w:r>
        <w:t xml:space="preserve"> a do </w:t>
      </w:r>
      <w:r w:rsidRPr="007937B8">
        <w:t>modernizáci</w:t>
      </w:r>
      <w:r>
        <w:t>e</w:t>
      </w:r>
      <w:r w:rsidRPr="007937B8">
        <w:t xml:space="preserve"> a dobudovania  existujúcej údržbovej základne trolejbusov (projekt DEPO)</w:t>
      </w:r>
      <w:r>
        <w:t xml:space="preserve">. K nárastu výdavkov na obstaranie kapitálových aktív prispel aj nákup vodíkových a CNG autobusov, elektrobusov, trolejbusov a obstaranie </w:t>
      </w:r>
      <w:r w:rsidR="00B339E5">
        <w:t>dráhových vozidiel (električky).</w:t>
      </w:r>
    </w:p>
    <w:p w14:paraId="33EB93B9" w14:textId="747E5672" w:rsidR="006F5687" w:rsidRPr="00325B48" w:rsidRDefault="009A3759" w:rsidP="004D02C1">
      <w:pPr>
        <w:pStyle w:val="Odsekzoznamu"/>
        <w:numPr>
          <w:ilvl w:val="0"/>
          <w:numId w:val="37"/>
        </w:numPr>
        <w:spacing w:before="120" w:after="120"/>
        <w:ind w:left="425"/>
        <w:contextualSpacing w:val="0"/>
        <w:jc w:val="both"/>
        <w:rPr>
          <w:b/>
          <w:i/>
        </w:rPr>
      </w:pPr>
      <w:r w:rsidRPr="00325B48">
        <w:rPr>
          <w:b/>
          <w:i/>
        </w:rPr>
        <w:t>Národná diaľničná spoločnosť o 136 699 tis. eur</w:t>
      </w:r>
      <w:r>
        <w:t xml:space="preserve"> – zaznamenala m</w:t>
      </w:r>
      <w:r w:rsidRPr="00572A54">
        <w:t>e</w:t>
      </w:r>
      <w:r>
        <w:t>dziročný nárast o 136 659 tis. eur. Z toho nárast 71 290 tis. eur</w:t>
      </w:r>
      <w:r w:rsidRPr="00572A54">
        <w:t xml:space="preserve"> na projekte D1/0920 Hubová - Ivachno</w:t>
      </w:r>
      <w:r>
        <w:t>vá, nárast 39 431 tis. eur</w:t>
      </w:r>
      <w:r w:rsidRPr="00572A54">
        <w:t xml:space="preserve"> na projekte R2/1665 Šaca - Košické Oľšany</w:t>
      </w:r>
      <w:r>
        <w:t>, II. úsek, nárast 24 813 tis. eur</w:t>
      </w:r>
      <w:r w:rsidRPr="00572A54">
        <w:t xml:space="preserve"> na</w:t>
      </w:r>
      <w:r>
        <w:t> </w:t>
      </w:r>
      <w:r w:rsidRPr="00572A54">
        <w:t>projekte R2/1979 Kriváň - Lovinobaňa (Kriv</w:t>
      </w:r>
      <w:r>
        <w:t>áň - Mýtna), nárast 9 070 tis. eur na </w:t>
      </w:r>
      <w:r w:rsidRPr="00572A54">
        <w:t>projekte D3/1997 Žilina Brodno - Kysucké Nové Mesto, privádzač a naopak pokl</w:t>
      </w:r>
      <w:r>
        <w:t>es 16 197 tis. eur na </w:t>
      </w:r>
      <w:r w:rsidRPr="00572A54">
        <w:t>projekte D1/0166 Hričovské Podhradie - Lietavská Lúčka</w:t>
      </w:r>
      <w:r w:rsidR="006F5687">
        <w:t>.</w:t>
      </w:r>
    </w:p>
    <w:p w14:paraId="7EDBE89D" w14:textId="30E06604" w:rsidR="0035366F" w:rsidRPr="000A29A1" w:rsidRDefault="005F0AF6" w:rsidP="00AA46C8">
      <w:pPr>
        <w:pStyle w:val="Nadpis2"/>
        <w:numPr>
          <w:ilvl w:val="1"/>
          <w:numId w:val="3"/>
        </w:numPr>
      </w:pPr>
      <w:bookmarkStart w:id="34" w:name="_Toc399324366"/>
      <w:bookmarkStart w:id="35" w:name="_Toc401920020"/>
      <w:bookmarkStart w:id="36" w:name="_Toc465255021"/>
      <w:bookmarkStart w:id="37" w:name="_Toc495990490"/>
      <w:bookmarkStart w:id="38" w:name="_Toc181095969"/>
      <w:bookmarkEnd w:id="7"/>
      <w:bookmarkEnd w:id="8"/>
      <w:bookmarkEnd w:id="13"/>
      <w:bookmarkEnd w:id="14"/>
      <w:r w:rsidRPr="000A29A1">
        <w:lastRenderedPageBreak/>
        <w:t xml:space="preserve">Štrukturálne saldo, </w:t>
      </w:r>
      <w:r w:rsidR="00EF3DE1" w:rsidRPr="000A29A1">
        <w:t>cyklická zložka a</w:t>
      </w:r>
      <w:r w:rsidRPr="000A29A1">
        <w:t xml:space="preserve"> jednorazové vplyvy</w:t>
      </w:r>
      <w:bookmarkEnd w:id="34"/>
      <w:bookmarkEnd w:id="35"/>
      <w:bookmarkEnd w:id="36"/>
      <w:bookmarkEnd w:id="37"/>
      <w:bookmarkEnd w:id="38"/>
    </w:p>
    <w:p w14:paraId="43EEF332" w14:textId="1C465ED8" w:rsidR="003C5653" w:rsidRPr="000A29A1" w:rsidRDefault="003C5653" w:rsidP="005406D6">
      <w:pPr>
        <w:pStyle w:val="NormalList"/>
        <w:rPr>
          <w:rFonts w:cs="Times New Roman"/>
          <w:lang w:eastAsia="sk-SK"/>
        </w:rPr>
      </w:pPr>
      <w:r w:rsidRPr="000A29A1">
        <w:rPr>
          <w:rFonts w:cs="Times New Roman"/>
          <w:b/>
          <w:lang w:eastAsia="sk-SK"/>
        </w:rPr>
        <w:t xml:space="preserve">Štrukturálne saldo predstavuje analytický ukazovateľ, ktorým sa hodnotí fiškálna politika krajiny. </w:t>
      </w:r>
      <w:r w:rsidRPr="000A29A1">
        <w:rPr>
          <w:rFonts w:cs="Times New Roman"/>
          <w:lang w:eastAsia="sk-SK"/>
        </w:rPr>
        <w:t>Štrukturálne saldo analyticky očisťuje nominálne saldo o vplyv ekonomického cyklu a jednorazové a</w:t>
      </w:r>
      <w:r w:rsidR="00A33D7C">
        <w:rPr>
          <w:rFonts w:cs="Times New Roman"/>
          <w:lang w:eastAsia="sk-SK"/>
        </w:rPr>
        <w:t> </w:t>
      </w:r>
      <w:r w:rsidRPr="000A29A1">
        <w:rPr>
          <w:rFonts w:cs="Times New Roman"/>
          <w:lang w:eastAsia="sk-SK"/>
        </w:rPr>
        <w:t>dočasné efekty. Vývoj štrukturálneho salda predstavuje jed</w:t>
      </w:r>
      <w:r w:rsidR="00A33D7C">
        <w:rPr>
          <w:rFonts w:cs="Times New Roman"/>
          <w:lang w:eastAsia="sk-SK"/>
        </w:rPr>
        <w:t>en z kľúčových ukazovateľov pri </w:t>
      </w:r>
      <w:r w:rsidRPr="000A29A1">
        <w:rPr>
          <w:rFonts w:cs="Times New Roman"/>
          <w:lang w:eastAsia="sk-SK"/>
        </w:rPr>
        <w:t>hodnotení súladu s európskymi a národnými fiškálnymi pravidlami.</w:t>
      </w:r>
      <w:r w:rsidRPr="000A29A1">
        <w:rPr>
          <w:rStyle w:val="Odkaznapoznmkupodiarou"/>
          <w:rFonts w:eastAsiaTheme="majorEastAsia"/>
        </w:rPr>
        <w:footnoteReference w:id="27"/>
      </w:r>
    </w:p>
    <w:p w14:paraId="79C4DBCB" w14:textId="77777777" w:rsidR="00863EE3" w:rsidRDefault="00863EE3" w:rsidP="00863EE3">
      <w:pPr>
        <w:pStyle w:val="Popis"/>
        <w:framePr w:wrap="around" w:x="1725" w:y="1708"/>
      </w:pPr>
      <w:r>
        <w:t xml:space="preserve">Tabuľka </w:t>
      </w:r>
      <w:r>
        <w:fldChar w:fldCharType="begin"/>
      </w:r>
      <w:r>
        <w:instrText xml:space="preserve"> SEQ Tabuľka \* ARABIC </w:instrText>
      </w:r>
      <w:r>
        <w:fldChar w:fldCharType="separate"/>
      </w:r>
      <w:r>
        <w:rPr>
          <w:noProof/>
        </w:rPr>
        <w:t>14</w:t>
      </w:r>
      <w:r>
        <w:rPr>
          <w:noProof/>
        </w:rPr>
        <w:fldChar w:fldCharType="end"/>
      </w:r>
      <w:r>
        <w:t xml:space="preserve"> - </w:t>
      </w:r>
      <w:r w:rsidRPr="006B5437">
        <w:t>Výpočet štrukturálneho salda a konsolidačného úsilia ( ESA 2010)</w:t>
      </w:r>
      <w:r>
        <w:t xml:space="preserve"> </w:t>
      </w:r>
      <w:r>
        <w:tab/>
      </w:r>
      <w:r>
        <w:tab/>
      </w:r>
      <w:r>
        <w:tab/>
        <w:t>v % HDP</w:t>
      </w:r>
    </w:p>
    <w:p w14:paraId="04AFAD97" w14:textId="1B1EE723" w:rsidR="003C5653" w:rsidRPr="002746C4" w:rsidRDefault="003C5653" w:rsidP="000D1D1F">
      <w:pPr>
        <w:pStyle w:val="NormalList"/>
        <w:spacing w:before="120"/>
        <w:rPr>
          <w:rFonts w:cs="Times New Roman"/>
          <w:highlight w:val="yellow"/>
        </w:rPr>
      </w:pPr>
      <w:r w:rsidRPr="000A29A1">
        <w:rPr>
          <w:rFonts w:cs="Times New Roman"/>
          <w:lang w:eastAsia="sk-SK"/>
        </w:rPr>
        <w:t xml:space="preserve"> </w:t>
      </w:r>
      <w:r w:rsidRPr="000A29A1">
        <w:rPr>
          <w:rFonts w:cs="Times New Roman"/>
          <w:b/>
        </w:rPr>
        <w:t>Štruktu</w:t>
      </w:r>
      <w:r w:rsidR="000A29A1" w:rsidRPr="000A29A1">
        <w:rPr>
          <w:rFonts w:cs="Times New Roman"/>
          <w:b/>
        </w:rPr>
        <w:t>rálne saldo dosiahlo v roku 2023</w:t>
      </w:r>
      <w:r w:rsidRPr="000A29A1">
        <w:rPr>
          <w:rFonts w:cs="Times New Roman"/>
          <w:b/>
        </w:rPr>
        <w:t xml:space="preserve"> hodnotu -</w:t>
      </w:r>
      <w:r w:rsidR="00354922">
        <w:rPr>
          <w:rFonts w:cs="Times New Roman"/>
          <w:b/>
        </w:rPr>
        <w:t>3,1</w:t>
      </w:r>
      <w:r w:rsidR="00A33D7C">
        <w:rPr>
          <w:rFonts w:cs="Times New Roman"/>
          <w:b/>
        </w:rPr>
        <w:t> </w:t>
      </w:r>
      <w:r w:rsidRPr="000A29A1">
        <w:rPr>
          <w:rFonts w:cs="Times New Roman"/>
          <w:b/>
        </w:rPr>
        <w:t>% HDP</w:t>
      </w:r>
      <w:r w:rsidRPr="000A29A1">
        <w:rPr>
          <w:rFonts w:cs="Times New Roman"/>
        </w:rPr>
        <w:t xml:space="preserve">. </w:t>
      </w:r>
      <w:r w:rsidR="000A29A1" w:rsidRPr="000A29A1">
        <w:rPr>
          <w:rFonts w:cs="Times New Roman"/>
        </w:rPr>
        <w:t xml:space="preserve">Medziročná zmena štrukturálneho salda oproti úrovni z roku 2022 zodpovedá výraznej expanzii na úrovni </w:t>
      </w:r>
      <w:r w:rsidR="00354922">
        <w:rPr>
          <w:rFonts w:cs="Times New Roman"/>
        </w:rPr>
        <w:t>1,9</w:t>
      </w:r>
      <w:r w:rsidR="00A33D7C">
        <w:rPr>
          <w:rFonts w:cs="Times New Roman"/>
        </w:rPr>
        <w:t> </w:t>
      </w:r>
      <w:r w:rsidR="000A29A1" w:rsidRPr="000A29A1">
        <w:rPr>
          <w:rFonts w:cs="Times New Roman"/>
        </w:rPr>
        <w:t>p.</w:t>
      </w:r>
      <w:r w:rsidR="00A33D7C">
        <w:rPr>
          <w:rFonts w:cs="Times New Roman"/>
        </w:rPr>
        <w:t> </w:t>
      </w:r>
      <w:r w:rsidR="000A29A1" w:rsidRPr="000A29A1">
        <w:rPr>
          <w:rFonts w:cs="Times New Roman"/>
        </w:rPr>
        <w:t>b. HDP. Do tejto expanzie nevstupujú výrazné komp</w:t>
      </w:r>
      <w:r w:rsidR="00107F2E">
        <w:rPr>
          <w:rFonts w:cs="Times New Roman"/>
        </w:rPr>
        <w:t>enzačné schémy spojené s energo</w:t>
      </w:r>
      <w:r w:rsidR="000A29A1" w:rsidRPr="000A29A1">
        <w:rPr>
          <w:rFonts w:cs="Times New Roman"/>
        </w:rPr>
        <w:t>pomocou, keďže tie sa v rámci jednorazových a dočasných opatrení očisťujú</w:t>
      </w:r>
      <w:r w:rsidR="000A29A1" w:rsidRPr="00E650BD">
        <w:rPr>
          <w:rFonts w:cs="Times New Roman"/>
        </w:rPr>
        <w:t>.</w:t>
      </w:r>
      <w:r w:rsidR="000A29A1">
        <w:rPr>
          <w:rFonts w:cs="Times New Roman"/>
        </w:rPr>
        <w:t xml:space="preserve"> Rast štrukturálneho </w:t>
      </w:r>
      <w:r w:rsidR="00136934">
        <w:rPr>
          <w:rFonts w:cs="Times New Roman"/>
        </w:rPr>
        <w:t xml:space="preserve">salda </w:t>
      </w:r>
      <w:r w:rsidR="000A29A1">
        <w:rPr>
          <w:rFonts w:cs="Times New Roman"/>
        </w:rPr>
        <w:t>spôsobili rôzne opatrenia trvalého charakteru ako n</w:t>
      </w:r>
      <w:r w:rsidR="000A29A1" w:rsidRPr="00481FA7">
        <w:rPr>
          <w:rFonts w:cs="Times New Roman"/>
        </w:rPr>
        <w:t>apríklad dvojitá valorizácia miezd zamestnancov verejnej správy, navýšenie dôchodkov, podpora rodinnej politiky, či skokový rast miezd v</w:t>
      </w:r>
      <w:r w:rsidR="000A29A1">
        <w:rPr>
          <w:rFonts w:cs="Times New Roman"/>
        </w:rPr>
        <w:t> </w:t>
      </w:r>
      <w:r w:rsidR="000A29A1" w:rsidRPr="00481FA7">
        <w:rPr>
          <w:rFonts w:cs="Times New Roman"/>
        </w:rPr>
        <w:t>zdravotníctve</w:t>
      </w:r>
      <w:r w:rsidR="000A29A1">
        <w:rPr>
          <w:rFonts w:cs="Times New Roman"/>
        </w:rPr>
        <w:t>.</w:t>
      </w:r>
    </w:p>
    <w:tbl>
      <w:tblPr>
        <w:tblW w:w="9298" w:type="dxa"/>
        <w:tblLook w:val="04A0" w:firstRow="1" w:lastRow="0" w:firstColumn="1" w:lastColumn="0" w:noHBand="0" w:noVBand="1"/>
      </w:tblPr>
      <w:tblGrid>
        <w:gridCol w:w="5915"/>
        <w:gridCol w:w="453"/>
        <w:gridCol w:w="1046"/>
        <w:gridCol w:w="966"/>
        <w:gridCol w:w="918"/>
      </w:tblGrid>
      <w:tr w:rsidR="003C5653" w:rsidRPr="00863EE3" w14:paraId="7AEFA44A" w14:textId="77777777" w:rsidTr="00863EE3">
        <w:trPr>
          <w:trHeight w:val="217"/>
          <w:tblHeader/>
        </w:trPr>
        <w:tc>
          <w:tcPr>
            <w:tcW w:w="5915" w:type="dxa"/>
            <w:tcBorders>
              <w:top w:val="single" w:sz="4" w:space="0" w:color="auto"/>
              <w:left w:val="nil"/>
              <w:bottom w:val="single" w:sz="4" w:space="0" w:color="auto"/>
              <w:right w:val="nil"/>
            </w:tcBorders>
            <w:shd w:val="clear" w:color="auto" w:fill="auto"/>
            <w:vAlign w:val="center"/>
            <w:hideMark/>
          </w:tcPr>
          <w:p w14:paraId="7A21F706" w14:textId="77777777" w:rsidR="003C5653" w:rsidRPr="00863EE3" w:rsidRDefault="003C5653" w:rsidP="003C5653">
            <w:pPr>
              <w:spacing w:after="0" w:line="240" w:lineRule="auto"/>
              <w:rPr>
                <w:color w:val="000000"/>
                <w:sz w:val="16"/>
                <w:szCs w:val="16"/>
                <w:lang w:eastAsia="en-GB"/>
              </w:rPr>
            </w:pPr>
          </w:p>
        </w:tc>
        <w:tc>
          <w:tcPr>
            <w:tcW w:w="453" w:type="dxa"/>
            <w:tcBorders>
              <w:top w:val="single" w:sz="4" w:space="0" w:color="auto"/>
              <w:left w:val="nil"/>
              <w:bottom w:val="single" w:sz="4" w:space="0" w:color="auto"/>
              <w:right w:val="single" w:sz="8" w:space="0" w:color="auto"/>
            </w:tcBorders>
            <w:shd w:val="clear" w:color="auto" w:fill="auto"/>
            <w:vAlign w:val="center"/>
          </w:tcPr>
          <w:p w14:paraId="040EA19C" w14:textId="77777777" w:rsidR="003C5653" w:rsidRPr="00863EE3" w:rsidRDefault="003C5653" w:rsidP="003C5653">
            <w:pPr>
              <w:spacing w:after="0" w:line="240" w:lineRule="auto"/>
              <w:jc w:val="center"/>
              <w:rPr>
                <w:b/>
                <w:bCs/>
                <w:color w:val="000000"/>
                <w:sz w:val="16"/>
                <w:szCs w:val="16"/>
                <w:lang w:eastAsia="en-GB"/>
              </w:rPr>
            </w:pPr>
          </w:p>
        </w:tc>
        <w:tc>
          <w:tcPr>
            <w:tcW w:w="1046" w:type="dxa"/>
            <w:tcBorders>
              <w:top w:val="single" w:sz="4" w:space="0" w:color="auto"/>
              <w:left w:val="nil"/>
              <w:bottom w:val="single" w:sz="4" w:space="0" w:color="auto"/>
              <w:right w:val="nil"/>
            </w:tcBorders>
            <w:shd w:val="clear" w:color="auto" w:fill="auto"/>
            <w:vAlign w:val="center"/>
            <w:hideMark/>
          </w:tcPr>
          <w:p w14:paraId="405A9E09" w14:textId="735C53C4" w:rsidR="003C5653" w:rsidRPr="00863EE3" w:rsidRDefault="000A29A1" w:rsidP="00D462C1">
            <w:pPr>
              <w:spacing w:after="0" w:line="240" w:lineRule="auto"/>
              <w:jc w:val="center"/>
              <w:rPr>
                <w:b/>
                <w:bCs/>
                <w:color w:val="000000"/>
                <w:sz w:val="16"/>
                <w:szCs w:val="16"/>
                <w:lang w:eastAsia="en-GB"/>
              </w:rPr>
            </w:pPr>
            <w:r w:rsidRPr="00863EE3">
              <w:rPr>
                <w:b/>
                <w:bCs/>
                <w:color w:val="000000"/>
                <w:sz w:val="16"/>
                <w:szCs w:val="16"/>
                <w:lang w:eastAsia="en-GB"/>
              </w:rPr>
              <w:t>2021</w:t>
            </w:r>
          </w:p>
        </w:tc>
        <w:tc>
          <w:tcPr>
            <w:tcW w:w="966" w:type="dxa"/>
            <w:tcBorders>
              <w:top w:val="single" w:sz="4" w:space="0" w:color="auto"/>
              <w:left w:val="nil"/>
              <w:bottom w:val="single" w:sz="4" w:space="0" w:color="auto"/>
              <w:right w:val="nil"/>
            </w:tcBorders>
            <w:shd w:val="clear" w:color="auto" w:fill="auto"/>
            <w:vAlign w:val="center"/>
            <w:hideMark/>
          </w:tcPr>
          <w:p w14:paraId="6F6D9A3B" w14:textId="0999752A" w:rsidR="003C5653" w:rsidRPr="00863EE3" w:rsidRDefault="000A29A1" w:rsidP="00D462C1">
            <w:pPr>
              <w:spacing w:after="0" w:line="240" w:lineRule="auto"/>
              <w:jc w:val="center"/>
              <w:rPr>
                <w:b/>
                <w:bCs/>
                <w:color w:val="000000"/>
                <w:sz w:val="16"/>
                <w:szCs w:val="16"/>
                <w:lang w:eastAsia="en-GB"/>
              </w:rPr>
            </w:pPr>
            <w:r w:rsidRPr="00863EE3">
              <w:rPr>
                <w:b/>
                <w:bCs/>
                <w:color w:val="000000"/>
                <w:sz w:val="16"/>
                <w:szCs w:val="16"/>
                <w:lang w:eastAsia="en-GB"/>
              </w:rPr>
              <w:t>2022</w:t>
            </w:r>
          </w:p>
        </w:tc>
        <w:tc>
          <w:tcPr>
            <w:tcW w:w="918" w:type="dxa"/>
            <w:tcBorders>
              <w:top w:val="single" w:sz="4" w:space="0" w:color="auto"/>
              <w:left w:val="nil"/>
              <w:bottom w:val="single" w:sz="4" w:space="0" w:color="auto"/>
              <w:right w:val="nil"/>
            </w:tcBorders>
            <w:shd w:val="clear" w:color="auto" w:fill="auto"/>
            <w:vAlign w:val="center"/>
            <w:hideMark/>
          </w:tcPr>
          <w:p w14:paraId="5AC2B6E7" w14:textId="24F2EEBE" w:rsidR="003C5653" w:rsidRPr="00863EE3" w:rsidRDefault="000A29A1" w:rsidP="00D462C1">
            <w:pPr>
              <w:spacing w:after="0" w:line="240" w:lineRule="auto"/>
              <w:jc w:val="center"/>
              <w:rPr>
                <w:b/>
                <w:bCs/>
                <w:color w:val="000000"/>
                <w:sz w:val="16"/>
                <w:szCs w:val="16"/>
                <w:lang w:eastAsia="en-GB"/>
              </w:rPr>
            </w:pPr>
            <w:r w:rsidRPr="00863EE3">
              <w:rPr>
                <w:b/>
                <w:bCs/>
                <w:color w:val="000000"/>
                <w:sz w:val="16"/>
                <w:szCs w:val="16"/>
                <w:lang w:eastAsia="en-GB"/>
              </w:rPr>
              <w:t>2023</w:t>
            </w:r>
          </w:p>
        </w:tc>
      </w:tr>
      <w:tr w:rsidR="000A29A1" w:rsidRPr="00863EE3" w14:paraId="087EC589" w14:textId="77777777" w:rsidTr="000A29A1">
        <w:trPr>
          <w:trHeight w:val="269"/>
        </w:trPr>
        <w:tc>
          <w:tcPr>
            <w:tcW w:w="6368" w:type="dxa"/>
            <w:gridSpan w:val="2"/>
            <w:tcBorders>
              <w:top w:val="single" w:sz="4" w:space="0" w:color="auto"/>
              <w:left w:val="nil"/>
              <w:bottom w:val="nil"/>
              <w:right w:val="single" w:sz="8" w:space="0" w:color="auto"/>
            </w:tcBorders>
            <w:shd w:val="clear" w:color="auto" w:fill="auto"/>
            <w:noWrap/>
            <w:vAlign w:val="center"/>
            <w:hideMark/>
          </w:tcPr>
          <w:p w14:paraId="567EAC0F" w14:textId="77777777" w:rsidR="000A29A1" w:rsidRPr="00863EE3" w:rsidRDefault="000A29A1" w:rsidP="000A29A1">
            <w:pPr>
              <w:spacing w:after="0" w:line="240" w:lineRule="auto"/>
              <w:rPr>
                <w:b/>
                <w:color w:val="000000"/>
                <w:sz w:val="16"/>
                <w:szCs w:val="16"/>
                <w:lang w:eastAsia="en-GB"/>
              </w:rPr>
            </w:pPr>
            <w:r w:rsidRPr="00863EE3">
              <w:rPr>
                <w:b/>
                <w:color w:val="000000"/>
                <w:sz w:val="16"/>
                <w:szCs w:val="16"/>
                <w:lang w:eastAsia="en-GB"/>
              </w:rPr>
              <w:t>1. Saldo verejnej správy podľa ESA 2010*</w:t>
            </w:r>
          </w:p>
        </w:tc>
        <w:tc>
          <w:tcPr>
            <w:tcW w:w="1046" w:type="dxa"/>
            <w:tcBorders>
              <w:top w:val="single" w:sz="4" w:space="0" w:color="auto"/>
              <w:left w:val="nil"/>
              <w:bottom w:val="nil"/>
              <w:right w:val="nil"/>
            </w:tcBorders>
            <w:shd w:val="clear" w:color="auto" w:fill="auto"/>
            <w:noWrap/>
            <w:vAlign w:val="bottom"/>
          </w:tcPr>
          <w:p w14:paraId="549B9AFB" w14:textId="10A638C0" w:rsidR="000A29A1" w:rsidRPr="00863EE3" w:rsidRDefault="00354922" w:rsidP="00D462C1">
            <w:pPr>
              <w:spacing w:after="0" w:line="240" w:lineRule="auto"/>
              <w:jc w:val="right"/>
              <w:rPr>
                <w:b/>
                <w:color w:val="000000" w:themeColor="text1"/>
                <w:sz w:val="16"/>
                <w:szCs w:val="16"/>
                <w:lang w:eastAsia="en-GB"/>
              </w:rPr>
            </w:pPr>
            <w:r w:rsidRPr="00863EE3">
              <w:rPr>
                <w:rFonts w:cs="Calibri"/>
                <w:b/>
                <w:bCs/>
                <w:color w:val="000000" w:themeColor="text1"/>
                <w:sz w:val="16"/>
                <w:szCs w:val="16"/>
              </w:rPr>
              <w:t>-5,1</w:t>
            </w:r>
          </w:p>
        </w:tc>
        <w:tc>
          <w:tcPr>
            <w:tcW w:w="966" w:type="dxa"/>
            <w:tcBorders>
              <w:top w:val="single" w:sz="4" w:space="0" w:color="auto"/>
              <w:left w:val="nil"/>
              <w:bottom w:val="nil"/>
              <w:right w:val="nil"/>
            </w:tcBorders>
            <w:shd w:val="clear" w:color="auto" w:fill="auto"/>
            <w:noWrap/>
            <w:vAlign w:val="bottom"/>
          </w:tcPr>
          <w:p w14:paraId="70957FB9" w14:textId="2D993689" w:rsidR="000A29A1" w:rsidRPr="00863EE3" w:rsidRDefault="000A29A1" w:rsidP="00D462C1">
            <w:pPr>
              <w:spacing w:after="0" w:line="240" w:lineRule="auto"/>
              <w:jc w:val="right"/>
              <w:rPr>
                <w:b/>
                <w:color w:val="000000" w:themeColor="text1"/>
                <w:sz w:val="16"/>
                <w:szCs w:val="16"/>
                <w:lang w:eastAsia="en-GB"/>
              </w:rPr>
            </w:pPr>
            <w:r w:rsidRPr="00863EE3">
              <w:rPr>
                <w:rFonts w:cs="Calibri"/>
                <w:b/>
                <w:bCs/>
                <w:color w:val="000000" w:themeColor="text1"/>
                <w:sz w:val="16"/>
                <w:szCs w:val="16"/>
              </w:rPr>
              <w:t>-1,7</w:t>
            </w:r>
          </w:p>
        </w:tc>
        <w:tc>
          <w:tcPr>
            <w:tcW w:w="918" w:type="dxa"/>
            <w:tcBorders>
              <w:top w:val="single" w:sz="4" w:space="0" w:color="auto"/>
              <w:left w:val="nil"/>
              <w:bottom w:val="nil"/>
              <w:right w:val="nil"/>
            </w:tcBorders>
            <w:shd w:val="clear" w:color="auto" w:fill="auto"/>
            <w:noWrap/>
            <w:vAlign w:val="bottom"/>
          </w:tcPr>
          <w:p w14:paraId="3251D5AB" w14:textId="1EFEF368" w:rsidR="000A29A1" w:rsidRPr="00863EE3" w:rsidRDefault="000A29A1" w:rsidP="00D462C1">
            <w:pPr>
              <w:spacing w:after="0" w:line="240" w:lineRule="auto"/>
              <w:jc w:val="right"/>
              <w:rPr>
                <w:b/>
                <w:color w:val="000000" w:themeColor="text1"/>
                <w:sz w:val="16"/>
                <w:szCs w:val="16"/>
                <w:lang w:eastAsia="en-GB"/>
              </w:rPr>
            </w:pPr>
            <w:r w:rsidRPr="00863EE3">
              <w:rPr>
                <w:rFonts w:cs="Calibri"/>
                <w:b/>
                <w:bCs/>
                <w:color w:val="000000" w:themeColor="text1"/>
                <w:sz w:val="16"/>
                <w:szCs w:val="16"/>
              </w:rPr>
              <w:t>-5,2</w:t>
            </w:r>
          </w:p>
        </w:tc>
      </w:tr>
      <w:tr w:rsidR="000A29A1" w:rsidRPr="00863EE3" w14:paraId="4E010BCD" w14:textId="77777777" w:rsidTr="000A29A1">
        <w:trPr>
          <w:trHeight w:val="269"/>
        </w:trPr>
        <w:tc>
          <w:tcPr>
            <w:tcW w:w="6368" w:type="dxa"/>
            <w:gridSpan w:val="2"/>
            <w:tcBorders>
              <w:top w:val="nil"/>
              <w:left w:val="nil"/>
              <w:bottom w:val="nil"/>
              <w:right w:val="single" w:sz="8" w:space="0" w:color="auto"/>
            </w:tcBorders>
            <w:shd w:val="clear" w:color="auto" w:fill="auto"/>
            <w:noWrap/>
            <w:vAlign w:val="center"/>
            <w:hideMark/>
          </w:tcPr>
          <w:p w14:paraId="026CC608" w14:textId="77777777" w:rsidR="000A29A1" w:rsidRPr="00863EE3" w:rsidRDefault="000A29A1" w:rsidP="000A29A1">
            <w:pPr>
              <w:spacing w:after="0" w:line="240" w:lineRule="auto"/>
              <w:rPr>
                <w:color w:val="000000"/>
                <w:sz w:val="16"/>
                <w:szCs w:val="16"/>
                <w:lang w:eastAsia="en-GB"/>
              </w:rPr>
            </w:pPr>
            <w:r w:rsidRPr="00863EE3">
              <w:rPr>
                <w:color w:val="000000"/>
                <w:sz w:val="16"/>
                <w:szCs w:val="16"/>
                <w:lang w:eastAsia="en-GB"/>
              </w:rPr>
              <w:t>2. Cyklická zložka</w:t>
            </w:r>
          </w:p>
        </w:tc>
        <w:tc>
          <w:tcPr>
            <w:tcW w:w="1046" w:type="dxa"/>
            <w:tcBorders>
              <w:top w:val="nil"/>
              <w:left w:val="nil"/>
              <w:bottom w:val="nil"/>
              <w:right w:val="nil"/>
            </w:tcBorders>
            <w:shd w:val="clear" w:color="auto" w:fill="auto"/>
            <w:vAlign w:val="bottom"/>
          </w:tcPr>
          <w:p w14:paraId="21F5C94B" w14:textId="05F1CCB1" w:rsidR="000A29A1" w:rsidRPr="00863EE3" w:rsidRDefault="000A29A1" w:rsidP="00D462C1">
            <w:pPr>
              <w:spacing w:after="0" w:line="240" w:lineRule="auto"/>
              <w:jc w:val="right"/>
              <w:rPr>
                <w:color w:val="000000" w:themeColor="text1"/>
                <w:sz w:val="16"/>
                <w:szCs w:val="16"/>
                <w:lang w:eastAsia="en-GB"/>
              </w:rPr>
            </w:pPr>
            <w:r w:rsidRPr="00863EE3">
              <w:rPr>
                <w:rFonts w:cs="Calibri"/>
                <w:color w:val="000000" w:themeColor="text1"/>
                <w:sz w:val="16"/>
                <w:szCs w:val="16"/>
              </w:rPr>
              <w:t>0,1</w:t>
            </w:r>
          </w:p>
        </w:tc>
        <w:tc>
          <w:tcPr>
            <w:tcW w:w="966" w:type="dxa"/>
            <w:tcBorders>
              <w:top w:val="nil"/>
              <w:left w:val="nil"/>
              <w:bottom w:val="nil"/>
              <w:right w:val="nil"/>
            </w:tcBorders>
            <w:shd w:val="clear" w:color="auto" w:fill="auto"/>
            <w:vAlign w:val="bottom"/>
          </w:tcPr>
          <w:p w14:paraId="6D38186A" w14:textId="2ECE1406" w:rsidR="000A29A1" w:rsidRPr="00863EE3" w:rsidRDefault="000A29A1" w:rsidP="00D462C1">
            <w:pPr>
              <w:spacing w:after="0" w:line="240" w:lineRule="auto"/>
              <w:jc w:val="right"/>
              <w:rPr>
                <w:color w:val="000000" w:themeColor="text1"/>
                <w:sz w:val="16"/>
                <w:szCs w:val="16"/>
                <w:lang w:eastAsia="en-GB"/>
              </w:rPr>
            </w:pPr>
            <w:r w:rsidRPr="00863EE3">
              <w:rPr>
                <w:rFonts w:cs="Calibri"/>
                <w:color w:val="000000" w:themeColor="text1"/>
                <w:sz w:val="16"/>
                <w:szCs w:val="16"/>
              </w:rPr>
              <w:t>0,1</w:t>
            </w:r>
          </w:p>
        </w:tc>
        <w:tc>
          <w:tcPr>
            <w:tcW w:w="918" w:type="dxa"/>
            <w:tcBorders>
              <w:top w:val="nil"/>
              <w:left w:val="nil"/>
              <w:bottom w:val="nil"/>
              <w:right w:val="nil"/>
            </w:tcBorders>
            <w:shd w:val="clear" w:color="auto" w:fill="auto"/>
            <w:vAlign w:val="bottom"/>
          </w:tcPr>
          <w:p w14:paraId="1C0D8702" w14:textId="49A26B0D" w:rsidR="000A29A1" w:rsidRPr="00863EE3" w:rsidRDefault="000A29A1" w:rsidP="00D462C1">
            <w:pPr>
              <w:spacing w:after="0" w:line="240" w:lineRule="auto"/>
              <w:jc w:val="right"/>
              <w:rPr>
                <w:color w:val="000000" w:themeColor="text1"/>
                <w:sz w:val="16"/>
                <w:szCs w:val="16"/>
                <w:lang w:eastAsia="en-GB"/>
              </w:rPr>
            </w:pPr>
            <w:r w:rsidRPr="00863EE3">
              <w:rPr>
                <w:rFonts w:cs="Calibri"/>
                <w:color w:val="000000" w:themeColor="text1"/>
                <w:sz w:val="16"/>
                <w:szCs w:val="16"/>
              </w:rPr>
              <w:t>-0,2</w:t>
            </w:r>
          </w:p>
        </w:tc>
      </w:tr>
      <w:tr w:rsidR="000A29A1" w:rsidRPr="00863EE3" w14:paraId="6D179B78" w14:textId="77777777" w:rsidTr="000A29A1">
        <w:trPr>
          <w:trHeight w:val="269"/>
        </w:trPr>
        <w:tc>
          <w:tcPr>
            <w:tcW w:w="6368" w:type="dxa"/>
            <w:gridSpan w:val="2"/>
            <w:tcBorders>
              <w:top w:val="nil"/>
              <w:left w:val="nil"/>
              <w:bottom w:val="nil"/>
              <w:right w:val="single" w:sz="8" w:space="0" w:color="auto"/>
            </w:tcBorders>
            <w:shd w:val="clear" w:color="auto" w:fill="auto"/>
            <w:noWrap/>
            <w:vAlign w:val="center"/>
            <w:hideMark/>
          </w:tcPr>
          <w:p w14:paraId="192E9A88" w14:textId="77777777" w:rsidR="000A29A1" w:rsidRPr="00863EE3" w:rsidRDefault="000A29A1" w:rsidP="000A29A1">
            <w:pPr>
              <w:spacing w:after="0" w:line="240" w:lineRule="auto"/>
              <w:rPr>
                <w:color w:val="000000"/>
                <w:sz w:val="16"/>
                <w:szCs w:val="16"/>
                <w:lang w:eastAsia="en-GB"/>
              </w:rPr>
            </w:pPr>
            <w:r w:rsidRPr="00863EE3">
              <w:rPr>
                <w:color w:val="000000"/>
                <w:sz w:val="16"/>
                <w:szCs w:val="16"/>
                <w:lang w:eastAsia="en-GB"/>
              </w:rPr>
              <w:t xml:space="preserve">3. Jednorazové a dočasné vplyvy </w:t>
            </w:r>
          </w:p>
        </w:tc>
        <w:tc>
          <w:tcPr>
            <w:tcW w:w="1046" w:type="dxa"/>
            <w:tcBorders>
              <w:top w:val="nil"/>
              <w:left w:val="nil"/>
              <w:bottom w:val="nil"/>
              <w:right w:val="nil"/>
            </w:tcBorders>
            <w:shd w:val="clear" w:color="auto" w:fill="auto"/>
            <w:noWrap/>
            <w:vAlign w:val="bottom"/>
          </w:tcPr>
          <w:p w14:paraId="2BEB0BD4" w14:textId="0BDCC9E8" w:rsidR="000A29A1" w:rsidRPr="00863EE3" w:rsidRDefault="00354922" w:rsidP="00D462C1">
            <w:pPr>
              <w:spacing w:after="0" w:line="240" w:lineRule="auto"/>
              <w:jc w:val="right"/>
              <w:rPr>
                <w:color w:val="000000" w:themeColor="text1"/>
                <w:sz w:val="16"/>
                <w:szCs w:val="16"/>
                <w:lang w:eastAsia="en-GB"/>
              </w:rPr>
            </w:pPr>
            <w:r w:rsidRPr="00863EE3">
              <w:rPr>
                <w:rFonts w:cs="Calibri"/>
                <w:color w:val="000000" w:themeColor="text1"/>
                <w:sz w:val="16"/>
                <w:szCs w:val="16"/>
              </w:rPr>
              <w:t>-3,1</w:t>
            </w:r>
          </w:p>
        </w:tc>
        <w:tc>
          <w:tcPr>
            <w:tcW w:w="966" w:type="dxa"/>
            <w:tcBorders>
              <w:top w:val="nil"/>
              <w:left w:val="nil"/>
              <w:bottom w:val="nil"/>
              <w:right w:val="nil"/>
            </w:tcBorders>
            <w:shd w:val="clear" w:color="auto" w:fill="auto"/>
            <w:noWrap/>
            <w:vAlign w:val="bottom"/>
          </w:tcPr>
          <w:p w14:paraId="7331953C" w14:textId="07B5FC88" w:rsidR="000A29A1" w:rsidRPr="00863EE3" w:rsidRDefault="000A29A1" w:rsidP="00D462C1">
            <w:pPr>
              <w:spacing w:after="0" w:line="240" w:lineRule="auto"/>
              <w:jc w:val="right"/>
              <w:rPr>
                <w:color w:val="000000" w:themeColor="text1"/>
                <w:sz w:val="16"/>
                <w:szCs w:val="16"/>
                <w:lang w:eastAsia="en-GB"/>
              </w:rPr>
            </w:pPr>
            <w:r w:rsidRPr="00863EE3">
              <w:rPr>
                <w:rFonts w:cs="Calibri"/>
                <w:color w:val="000000" w:themeColor="text1"/>
                <w:sz w:val="16"/>
                <w:szCs w:val="16"/>
              </w:rPr>
              <w:t>-0,6</w:t>
            </w:r>
          </w:p>
        </w:tc>
        <w:tc>
          <w:tcPr>
            <w:tcW w:w="918" w:type="dxa"/>
            <w:tcBorders>
              <w:top w:val="nil"/>
              <w:left w:val="nil"/>
              <w:bottom w:val="nil"/>
              <w:right w:val="nil"/>
            </w:tcBorders>
            <w:shd w:val="clear" w:color="auto" w:fill="auto"/>
            <w:noWrap/>
            <w:vAlign w:val="bottom"/>
          </w:tcPr>
          <w:p w14:paraId="50371B1A" w14:textId="3C730477" w:rsidR="000A29A1" w:rsidRPr="00863EE3" w:rsidRDefault="00354922" w:rsidP="00D462C1">
            <w:pPr>
              <w:spacing w:after="0" w:line="240" w:lineRule="auto"/>
              <w:jc w:val="right"/>
              <w:rPr>
                <w:color w:val="000000" w:themeColor="text1"/>
                <w:sz w:val="16"/>
                <w:szCs w:val="16"/>
                <w:lang w:eastAsia="en-GB"/>
              </w:rPr>
            </w:pPr>
            <w:r w:rsidRPr="00863EE3">
              <w:rPr>
                <w:rFonts w:cs="Calibri"/>
                <w:color w:val="000000" w:themeColor="text1"/>
                <w:sz w:val="16"/>
                <w:szCs w:val="16"/>
              </w:rPr>
              <w:t>-1,9</w:t>
            </w:r>
          </w:p>
        </w:tc>
      </w:tr>
      <w:tr w:rsidR="000A29A1" w:rsidRPr="00863EE3" w14:paraId="342CEA87" w14:textId="77777777" w:rsidTr="000A29A1">
        <w:trPr>
          <w:trHeight w:val="269"/>
        </w:trPr>
        <w:tc>
          <w:tcPr>
            <w:tcW w:w="6368" w:type="dxa"/>
            <w:gridSpan w:val="2"/>
            <w:tcBorders>
              <w:top w:val="nil"/>
              <w:left w:val="nil"/>
              <w:right w:val="single" w:sz="8" w:space="0" w:color="auto"/>
            </w:tcBorders>
            <w:shd w:val="clear" w:color="auto" w:fill="auto"/>
            <w:noWrap/>
            <w:vAlign w:val="center"/>
            <w:hideMark/>
          </w:tcPr>
          <w:p w14:paraId="3DB4416E" w14:textId="77777777" w:rsidR="000A29A1" w:rsidRPr="00863EE3" w:rsidRDefault="000A29A1" w:rsidP="000A29A1">
            <w:pPr>
              <w:spacing w:after="0" w:line="240" w:lineRule="auto"/>
              <w:rPr>
                <w:b/>
                <w:color w:val="000000"/>
                <w:sz w:val="16"/>
                <w:szCs w:val="16"/>
                <w:lang w:eastAsia="en-GB"/>
              </w:rPr>
            </w:pPr>
            <w:r w:rsidRPr="00863EE3">
              <w:rPr>
                <w:b/>
                <w:bCs/>
                <w:color w:val="000000"/>
                <w:sz w:val="16"/>
                <w:szCs w:val="16"/>
                <w:lang w:eastAsia="en-GB"/>
              </w:rPr>
              <w:t>4. Štrukturálne saldo verejnej správy (1-2-3)</w:t>
            </w:r>
          </w:p>
        </w:tc>
        <w:tc>
          <w:tcPr>
            <w:tcW w:w="1046" w:type="dxa"/>
            <w:tcBorders>
              <w:top w:val="nil"/>
              <w:left w:val="nil"/>
              <w:right w:val="nil"/>
            </w:tcBorders>
            <w:shd w:val="clear" w:color="auto" w:fill="auto"/>
            <w:noWrap/>
            <w:vAlign w:val="bottom"/>
            <w:hideMark/>
          </w:tcPr>
          <w:p w14:paraId="473EF619" w14:textId="100E5B3B" w:rsidR="000A29A1" w:rsidRPr="00863EE3" w:rsidRDefault="00354922" w:rsidP="00D462C1">
            <w:pPr>
              <w:spacing w:after="0" w:line="240" w:lineRule="auto"/>
              <w:jc w:val="right"/>
              <w:rPr>
                <w:b/>
                <w:color w:val="000000" w:themeColor="text1"/>
                <w:sz w:val="16"/>
                <w:szCs w:val="16"/>
                <w:lang w:eastAsia="en-GB"/>
              </w:rPr>
            </w:pPr>
            <w:r w:rsidRPr="00863EE3">
              <w:rPr>
                <w:rFonts w:cs="Calibri"/>
                <w:b/>
                <w:bCs/>
                <w:color w:val="000000" w:themeColor="text1"/>
                <w:sz w:val="16"/>
                <w:szCs w:val="16"/>
              </w:rPr>
              <w:t>-1,5</w:t>
            </w:r>
          </w:p>
        </w:tc>
        <w:tc>
          <w:tcPr>
            <w:tcW w:w="966" w:type="dxa"/>
            <w:tcBorders>
              <w:top w:val="nil"/>
              <w:left w:val="nil"/>
              <w:right w:val="nil"/>
            </w:tcBorders>
            <w:shd w:val="clear" w:color="auto" w:fill="auto"/>
            <w:noWrap/>
            <w:vAlign w:val="bottom"/>
          </w:tcPr>
          <w:p w14:paraId="5573EE74" w14:textId="05415BC3" w:rsidR="000A29A1" w:rsidRPr="00863EE3" w:rsidRDefault="000A29A1" w:rsidP="00D462C1">
            <w:pPr>
              <w:spacing w:after="0" w:line="240" w:lineRule="auto"/>
              <w:jc w:val="right"/>
              <w:rPr>
                <w:b/>
                <w:color w:val="000000" w:themeColor="text1"/>
                <w:sz w:val="16"/>
                <w:szCs w:val="16"/>
                <w:lang w:eastAsia="en-GB"/>
              </w:rPr>
            </w:pPr>
            <w:r w:rsidRPr="00863EE3">
              <w:rPr>
                <w:rFonts w:cs="Calibri"/>
                <w:b/>
                <w:bCs/>
                <w:color w:val="000000" w:themeColor="text1"/>
                <w:sz w:val="16"/>
                <w:szCs w:val="16"/>
              </w:rPr>
              <w:t>-1,2</w:t>
            </w:r>
          </w:p>
        </w:tc>
        <w:tc>
          <w:tcPr>
            <w:tcW w:w="918" w:type="dxa"/>
            <w:tcBorders>
              <w:top w:val="nil"/>
              <w:left w:val="nil"/>
              <w:right w:val="nil"/>
            </w:tcBorders>
            <w:shd w:val="clear" w:color="auto" w:fill="auto"/>
            <w:noWrap/>
            <w:vAlign w:val="bottom"/>
          </w:tcPr>
          <w:p w14:paraId="5B8FBC05" w14:textId="7613926E" w:rsidR="000A29A1" w:rsidRPr="00863EE3" w:rsidRDefault="000A29A1" w:rsidP="00354922">
            <w:pPr>
              <w:spacing w:after="0" w:line="240" w:lineRule="auto"/>
              <w:jc w:val="right"/>
              <w:rPr>
                <w:b/>
                <w:color w:val="000000" w:themeColor="text1"/>
                <w:sz w:val="16"/>
                <w:szCs w:val="16"/>
                <w:lang w:eastAsia="en-GB"/>
              </w:rPr>
            </w:pPr>
            <w:r w:rsidRPr="00863EE3">
              <w:rPr>
                <w:rFonts w:cs="Calibri"/>
                <w:b/>
                <w:bCs/>
                <w:color w:val="000000" w:themeColor="text1"/>
                <w:sz w:val="16"/>
                <w:szCs w:val="16"/>
              </w:rPr>
              <w:t>-3,</w:t>
            </w:r>
            <w:r w:rsidR="00354922" w:rsidRPr="00863EE3">
              <w:rPr>
                <w:rFonts w:cs="Calibri"/>
                <w:b/>
                <w:bCs/>
                <w:color w:val="000000" w:themeColor="text1"/>
                <w:sz w:val="16"/>
                <w:szCs w:val="16"/>
              </w:rPr>
              <w:t>1</w:t>
            </w:r>
          </w:p>
        </w:tc>
      </w:tr>
      <w:tr w:rsidR="000A29A1" w:rsidRPr="00863EE3" w14:paraId="2F5ABFB1" w14:textId="77777777" w:rsidTr="00863EE3">
        <w:trPr>
          <w:trHeight w:val="189"/>
        </w:trPr>
        <w:tc>
          <w:tcPr>
            <w:tcW w:w="5915" w:type="dxa"/>
            <w:tcBorders>
              <w:top w:val="nil"/>
              <w:left w:val="nil"/>
              <w:bottom w:val="single" w:sz="4" w:space="0" w:color="auto"/>
              <w:right w:val="nil"/>
            </w:tcBorders>
            <w:shd w:val="clear" w:color="auto" w:fill="auto"/>
            <w:noWrap/>
            <w:vAlign w:val="center"/>
            <w:hideMark/>
          </w:tcPr>
          <w:p w14:paraId="3A2E074C" w14:textId="77777777" w:rsidR="000A29A1" w:rsidRPr="00863EE3" w:rsidRDefault="000A29A1" w:rsidP="000A29A1">
            <w:pPr>
              <w:spacing w:after="0" w:line="240" w:lineRule="auto"/>
              <w:rPr>
                <w:bCs/>
                <w:color w:val="000000"/>
                <w:sz w:val="16"/>
                <w:szCs w:val="16"/>
                <w:lang w:eastAsia="en-GB"/>
              </w:rPr>
            </w:pPr>
            <w:r w:rsidRPr="00863EE3">
              <w:rPr>
                <w:bCs/>
                <w:color w:val="000000"/>
                <w:sz w:val="16"/>
                <w:szCs w:val="16"/>
                <w:lang w:eastAsia="en-GB"/>
              </w:rPr>
              <w:t>5. Konsolidačné úsilie (medziročná zmena 4)</w:t>
            </w:r>
          </w:p>
        </w:tc>
        <w:tc>
          <w:tcPr>
            <w:tcW w:w="453" w:type="dxa"/>
            <w:tcBorders>
              <w:top w:val="nil"/>
              <w:left w:val="nil"/>
              <w:bottom w:val="single" w:sz="4" w:space="0" w:color="auto"/>
              <w:right w:val="single" w:sz="8" w:space="0" w:color="auto"/>
            </w:tcBorders>
            <w:shd w:val="clear" w:color="auto" w:fill="auto"/>
            <w:noWrap/>
            <w:vAlign w:val="bottom"/>
          </w:tcPr>
          <w:p w14:paraId="12DAC8AD" w14:textId="77777777" w:rsidR="000A29A1" w:rsidRPr="00863EE3" w:rsidRDefault="000A29A1" w:rsidP="000A29A1">
            <w:pPr>
              <w:spacing w:after="0" w:line="240" w:lineRule="auto"/>
              <w:rPr>
                <w:bCs/>
                <w:color w:val="000000"/>
                <w:sz w:val="16"/>
                <w:szCs w:val="16"/>
                <w:lang w:eastAsia="en-GB"/>
              </w:rPr>
            </w:pPr>
          </w:p>
        </w:tc>
        <w:tc>
          <w:tcPr>
            <w:tcW w:w="1046" w:type="dxa"/>
            <w:tcBorders>
              <w:top w:val="nil"/>
              <w:left w:val="nil"/>
              <w:bottom w:val="single" w:sz="4" w:space="0" w:color="auto"/>
              <w:right w:val="nil"/>
            </w:tcBorders>
            <w:shd w:val="clear" w:color="auto" w:fill="auto"/>
            <w:noWrap/>
            <w:vAlign w:val="bottom"/>
            <w:hideMark/>
          </w:tcPr>
          <w:p w14:paraId="6E51550F" w14:textId="6ABC5E6A" w:rsidR="000A29A1" w:rsidRPr="00863EE3" w:rsidRDefault="00354922" w:rsidP="00D462C1">
            <w:pPr>
              <w:spacing w:after="0" w:line="240" w:lineRule="auto"/>
              <w:jc w:val="right"/>
              <w:rPr>
                <w:bCs/>
                <w:color w:val="000000" w:themeColor="text1"/>
                <w:sz w:val="16"/>
                <w:szCs w:val="16"/>
                <w:lang w:eastAsia="en-GB"/>
              </w:rPr>
            </w:pPr>
            <w:r w:rsidRPr="00863EE3">
              <w:rPr>
                <w:rFonts w:cs="Calibri"/>
                <w:bCs/>
                <w:color w:val="000000" w:themeColor="text1"/>
                <w:sz w:val="16"/>
                <w:szCs w:val="16"/>
              </w:rPr>
              <w:t>1</w:t>
            </w:r>
            <w:r w:rsidR="000A29A1" w:rsidRPr="00863EE3">
              <w:rPr>
                <w:rFonts w:cs="Calibri"/>
                <w:bCs/>
                <w:color w:val="000000" w:themeColor="text1"/>
                <w:sz w:val="16"/>
                <w:szCs w:val="16"/>
              </w:rPr>
              <w:t>,</w:t>
            </w:r>
            <w:r w:rsidRPr="00863EE3">
              <w:rPr>
                <w:rFonts w:cs="Calibri"/>
                <w:bCs/>
                <w:color w:val="000000" w:themeColor="text1"/>
                <w:sz w:val="16"/>
                <w:szCs w:val="16"/>
              </w:rPr>
              <w:t>0</w:t>
            </w:r>
          </w:p>
        </w:tc>
        <w:tc>
          <w:tcPr>
            <w:tcW w:w="966" w:type="dxa"/>
            <w:tcBorders>
              <w:top w:val="nil"/>
              <w:left w:val="nil"/>
              <w:bottom w:val="single" w:sz="4" w:space="0" w:color="auto"/>
              <w:right w:val="nil"/>
            </w:tcBorders>
            <w:shd w:val="clear" w:color="auto" w:fill="auto"/>
            <w:noWrap/>
            <w:vAlign w:val="bottom"/>
          </w:tcPr>
          <w:p w14:paraId="413913D7" w14:textId="5D316366" w:rsidR="000A29A1" w:rsidRPr="00863EE3" w:rsidRDefault="00354922" w:rsidP="00D462C1">
            <w:pPr>
              <w:spacing w:after="0" w:line="240" w:lineRule="auto"/>
              <w:jc w:val="right"/>
              <w:rPr>
                <w:bCs/>
                <w:color w:val="000000" w:themeColor="text1"/>
                <w:sz w:val="16"/>
                <w:szCs w:val="16"/>
                <w:lang w:eastAsia="en-GB"/>
              </w:rPr>
            </w:pPr>
            <w:r w:rsidRPr="00863EE3">
              <w:rPr>
                <w:rFonts w:cs="Calibri"/>
                <w:bCs/>
                <w:color w:val="000000" w:themeColor="text1"/>
                <w:sz w:val="16"/>
                <w:szCs w:val="16"/>
              </w:rPr>
              <w:t>0,3</w:t>
            </w:r>
          </w:p>
        </w:tc>
        <w:tc>
          <w:tcPr>
            <w:tcW w:w="918" w:type="dxa"/>
            <w:tcBorders>
              <w:top w:val="nil"/>
              <w:left w:val="nil"/>
              <w:bottom w:val="single" w:sz="4" w:space="0" w:color="auto"/>
              <w:right w:val="nil"/>
            </w:tcBorders>
            <w:shd w:val="clear" w:color="auto" w:fill="auto"/>
            <w:noWrap/>
            <w:vAlign w:val="bottom"/>
          </w:tcPr>
          <w:p w14:paraId="45BAEE74" w14:textId="099C4145" w:rsidR="000A29A1" w:rsidRPr="00863EE3" w:rsidRDefault="00354922" w:rsidP="00354922">
            <w:pPr>
              <w:spacing w:after="0" w:line="240" w:lineRule="auto"/>
              <w:jc w:val="right"/>
              <w:rPr>
                <w:bCs/>
                <w:color w:val="000000" w:themeColor="text1"/>
                <w:sz w:val="16"/>
                <w:szCs w:val="16"/>
                <w:lang w:eastAsia="en-GB"/>
              </w:rPr>
            </w:pPr>
            <w:r w:rsidRPr="00863EE3">
              <w:rPr>
                <w:rFonts w:cs="Calibri"/>
                <w:bCs/>
                <w:color w:val="000000" w:themeColor="text1"/>
                <w:sz w:val="16"/>
                <w:szCs w:val="16"/>
              </w:rPr>
              <w:t>-1</w:t>
            </w:r>
            <w:r w:rsidR="000A29A1" w:rsidRPr="00863EE3">
              <w:rPr>
                <w:rFonts w:cs="Calibri"/>
                <w:bCs/>
                <w:color w:val="000000" w:themeColor="text1"/>
                <w:sz w:val="16"/>
                <w:szCs w:val="16"/>
              </w:rPr>
              <w:t>,</w:t>
            </w:r>
            <w:r w:rsidRPr="00863EE3">
              <w:rPr>
                <w:rFonts w:cs="Calibri"/>
                <w:bCs/>
                <w:color w:val="000000" w:themeColor="text1"/>
                <w:sz w:val="16"/>
                <w:szCs w:val="16"/>
              </w:rPr>
              <w:t>9</w:t>
            </w:r>
          </w:p>
        </w:tc>
      </w:tr>
    </w:tbl>
    <w:p w14:paraId="4778C430" w14:textId="0A878BB1" w:rsidR="003C5653" w:rsidRPr="00863EE3" w:rsidRDefault="003C5653" w:rsidP="00863EE3">
      <w:pPr>
        <w:pStyle w:val="NormalList"/>
        <w:jc w:val="left"/>
        <w:rPr>
          <w:rFonts w:cs="Times New Roman"/>
          <w:color w:val="000000"/>
          <w:sz w:val="16"/>
          <w:szCs w:val="16"/>
          <w:lang w:eastAsia="en-GB"/>
        </w:rPr>
      </w:pPr>
      <w:r w:rsidRPr="00863EE3">
        <w:rPr>
          <w:rFonts w:cs="Times New Roman"/>
          <w:color w:val="000000"/>
          <w:sz w:val="16"/>
          <w:szCs w:val="16"/>
          <w:lang w:eastAsia="en-GB"/>
        </w:rPr>
        <w:t>* V súlade s údajmi pre jesennú notifikáciu Eurostatu z októbra 202</w:t>
      </w:r>
      <w:r w:rsidR="000A29A1" w:rsidRPr="00863EE3">
        <w:rPr>
          <w:rFonts w:cs="Times New Roman"/>
          <w:color w:val="000000"/>
          <w:sz w:val="16"/>
          <w:szCs w:val="16"/>
          <w:lang w:eastAsia="en-GB"/>
        </w:rPr>
        <w:t>4</w:t>
      </w:r>
      <w:r w:rsidRPr="00863EE3">
        <w:rPr>
          <w:rFonts w:cs="Times New Roman"/>
          <w:color w:val="000000"/>
          <w:sz w:val="16"/>
          <w:szCs w:val="16"/>
          <w:lang w:eastAsia="en-GB"/>
        </w:rPr>
        <w:t>.                                                                                                Zdroj: MF SR</w:t>
      </w:r>
    </w:p>
    <w:p w14:paraId="7F0B4BF0" w14:textId="2838E7B5" w:rsidR="003C5653" w:rsidRPr="000A29A1" w:rsidRDefault="003C5653" w:rsidP="003C5653">
      <w:pPr>
        <w:pStyle w:val="NormalList"/>
        <w:spacing w:line="276" w:lineRule="auto"/>
        <w:jc w:val="left"/>
        <w:rPr>
          <w:rFonts w:cs="Times New Roman"/>
          <w:color w:val="000000"/>
          <w:sz w:val="14"/>
          <w:szCs w:val="18"/>
          <w:lang w:eastAsia="en-GB"/>
        </w:rPr>
      </w:pPr>
      <w:r w:rsidRPr="000A29A1">
        <w:rPr>
          <w:rFonts w:cs="Times New Roman"/>
          <w:color w:val="000000"/>
          <w:sz w:val="14"/>
          <w:szCs w:val="18"/>
          <w:lang w:eastAsia="en-GB"/>
        </w:rPr>
        <w:t xml:space="preserve">                                                                                                                                                                                                                                            </w:t>
      </w:r>
    </w:p>
    <w:p w14:paraId="7A45E291" w14:textId="163B03F5" w:rsidR="008D65FD" w:rsidRPr="004D5A67" w:rsidRDefault="008D65FD" w:rsidP="00863EE3">
      <w:pPr>
        <w:spacing w:after="120" w:line="240" w:lineRule="auto"/>
        <w:jc w:val="both"/>
        <w:rPr>
          <w:b/>
          <w:szCs w:val="22"/>
          <w:highlight w:val="yellow"/>
        </w:rPr>
      </w:pPr>
      <w:r w:rsidRPr="00785005">
        <w:rPr>
          <w:b/>
          <w:szCs w:val="22"/>
        </w:rPr>
        <w:t xml:space="preserve">Výpočet štrukturálneho salda predpokladá očistenie nominálneho salda o dva základné komponenty – cyklickú zložku a jednorazové vplyvy. </w:t>
      </w:r>
      <w:r w:rsidRPr="00785005">
        <w:rPr>
          <w:szCs w:val="22"/>
        </w:rPr>
        <w:t>Cyklická zložka predstavuje vplyv ekonomického cyklu na</w:t>
      </w:r>
      <w:r w:rsidR="00A33D7C">
        <w:rPr>
          <w:szCs w:val="22"/>
        </w:rPr>
        <w:t> </w:t>
      </w:r>
      <w:r w:rsidRPr="00785005">
        <w:rPr>
          <w:szCs w:val="22"/>
        </w:rPr>
        <w:t>štrukturálne saldo. Cieľom úpravy nominálneho salda je vyjadriť reakciu príjmov a výdavkov verejných financií na zmeny v produkčnej medzere. Veľkosť cyklickej zložky závisí od veľkosti produkčnej medzery a od elasticít vybraných príjmových a výdavkových kategórií, ktoré reagujú na výkyvy v ekonomickej aktivite.</w:t>
      </w:r>
      <w:r w:rsidRPr="00785005">
        <w:rPr>
          <w:b/>
          <w:szCs w:val="22"/>
        </w:rPr>
        <w:t xml:space="preserve"> </w:t>
      </w:r>
      <w:r w:rsidRPr="00785005">
        <w:rPr>
          <w:szCs w:val="22"/>
        </w:rPr>
        <w:t>Prípadné prehrievanie alebo podchladenie ekonomiky tak môže zásadne vplývať na</w:t>
      </w:r>
      <w:r w:rsidR="00A33D7C">
        <w:rPr>
          <w:szCs w:val="22"/>
        </w:rPr>
        <w:t> </w:t>
      </w:r>
      <w:r w:rsidRPr="00785005">
        <w:rPr>
          <w:szCs w:val="22"/>
        </w:rPr>
        <w:t>výsledné štrukturálne saldo verejnej správy</w:t>
      </w:r>
      <w:r w:rsidRPr="00481FA7">
        <w:rPr>
          <w:szCs w:val="22"/>
        </w:rPr>
        <w:t>.</w:t>
      </w:r>
      <w:r w:rsidRPr="00481FA7">
        <w:rPr>
          <w:b/>
          <w:szCs w:val="22"/>
        </w:rPr>
        <w:t xml:space="preserve"> </w:t>
      </w:r>
      <w:r w:rsidR="00A33D7C">
        <w:rPr>
          <w:szCs w:val="22"/>
        </w:rPr>
        <w:t xml:space="preserve">V roku 2023 </w:t>
      </w:r>
      <w:r w:rsidRPr="00481FA7">
        <w:rPr>
          <w:szCs w:val="22"/>
        </w:rPr>
        <w:t>ekonomika oproti predoš</w:t>
      </w:r>
      <w:r w:rsidR="00A33D7C">
        <w:rPr>
          <w:szCs w:val="22"/>
        </w:rPr>
        <w:t>lému roku sa dostala mierne pod </w:t>
      </w:r>
      <w:r w:rsidRPr="00481FA7">
        <w:rPr>
          <w:szCs w:val="22"/>
        </w:rPr>
        <w:t>svoj potenciál. Cyklický vývoj tak v roku 202</w:t>
      </w:r>
      <w:r w:rsidR="002132BD">
        <w:rPr>
          <w:szCs w:val="22"/>
        </w:rPr>
        <w:t>3</w:t>
      </w:r>
      <w:r w:rsidRPr="00481FA7">
        <w:rPr>
          <w:szCs w:val="22"/>
        </w:rPr>
        <w:t xml:space="preserve"> mal mierne pozitívny vplyv na štrukturálne saldo verejnej správy vo výške 0,2</w:t>
      </w:r>
      <w:r w:rsidR="00A33D7C">
        <w:rPr>
          <w:szCs w:val="22"/>
        </w:rPr>
        <w:t> % </w:t>
      </w:r>
      <w:r w:rsidRPr="00481FA7">
        <w:rPr>
          <w:szCs w:val="22"/>
        </w:rPr>
        <w:t>HDP.</w:t>
      </w:r>
    </w:p>
    <w:p w14:paraId="3D78B34D" w14:textId="77777777" w:rsidR="004F6353" w:rsidRDefault="004F6353" w:rsidP="004F6353">
      <w:pPr>
        <w:pStyle w:val="Popis"/>
        <w:framePr w:wrap="around" w:y="1896"/>
      </w:pPr>
      <w:r>
        <w:t xml:space="preserve">Tabuľka </w:t>
      </w:r>
      <w:r w:rsidR="001F05DE">
        <w:fldChar w:fldCharType="begin"/>
      </w:r>
      <w:r w:rsidR="001F05DE">
        <w:instrText xml:space="preserve"> SEQ Tabuľka \* ARABIC </w:instrText>
      </w:r>
      <w:r w:rsidR="001F05DE">
        <w:fldChar w:fldCharType="separate"/>
      </w:r>
      <w:r>
        <w:rPr>
          <w:noProof/>
        </w:rPr>
        <w:t>15</w:t>
      </w:r>
      <w:r w:rsidR="001F05DE">
        <w:rPr>
          <w:noProof/>
        </w:rPr>
        <w:fldChar w:fldCharType="end"/>
      </w:r>
      <w:r>
        <w:t xml:space="preserve"> - </w:t>
      </w:r>
      <w:r w:rsidRPr="006D7C8D">
        <w:t>Jednorazové opatrenia (ESA 2010)</w:t>
      </w:r>
      <w:r>
        <w:t xml:space="preserve"> </w:t>
      </w:r>
      <w:r>
        <w:tab/>
      </w:r>
      <w:r>
        <w:tab/>
      </w:r>
      <w:r>
        <w:tab/>
      </w:r>
      <w:r>
        <w:tab/>
      </w:r>
      <w:r>
        <w:tab/>
      </w:r>
      <w:r>
        <w:tab/>
      </w:r>
      <w:r>
        <w:tab/>
        <w:t>v mil. eur</w:t>
      </w:r>
    </w:p>
    <w:p w14:paraId="3154FCAB" w14:textId="6611BB1A" w:rsidR="005406D6" w:rsidRPr="008D65FD" w:rsidRDefault="008D65FD" w:rsidP="000D1D1F">
      <w:pPr>
        <w:pStyle w:val="NormalList"/>
      </w:pPr>
      <w:r w:rsidRPr="00753B4E">
        <w:rPr>
          <w:rFonts w:cs="Times New Roman"/>
          <w:b/>
        </w:rPr>
        <w:t>Druhý komponent, o ktorý sa očisťuje nominálne saldo, sú jednorazové</w:t>
      </w:r>
      <w:r>
        <w:rPr>
          <w:rFonts w:cs="Times New Roman"/>
          <w:b/>
        </w:rPr>
        <w:t xml:space="preserve"> a dočasné</w:t>
      </w:r>
      <w:r w:rsidRPr="00753B4E">
        <w:rPr>
          <w:rFonts w:cs="Times New Roman"/>
          <w:b/>
        </w:rPr>
        <w:t xml:space="preserve"> vplyvy. </w:t>
      </w:r>
      <w:r w:rsidRPr="00753B4E">
        <w:rPr>
          <w:rFonts w:cs="Times New Roman"/>
        </w:rPr>
        <w:t>Táto položka predstavuje príjmy alebo výdavky verejnej správy bez trvalého alebo opakujúceho sa charakteru.</w:t>
      </w:r>
      <w:r w:rsidRPr="00753B4E">
        <w:rPr>
          <w:rFonts w:cs="Times New Roman"/>
          <w:b/>
        </w:rPr>
        <w:t xml:space="preserve"> </w:t>
      </w:r>
      <w:r w:rsidRPr="00753B4E">
        <w:rPr>
          <w:rFonts w:cs="Times New Roman"/>
        </w:rPr>
        <w:t xml:space="preserve">Sledujú sa vzniknuté okolnosti s časovo obmedzeným vplyvom na saldo verejnej správy. </w:t>
      </w:r>
      <w:r>
        <w:rPr>
          <w:rFonts w:cs="Times New Roman"/>
        </w:rPr>
        <w:t>P</w:t>
      </w:r>
      <w:r w:rsidRPr="00753B4E">
        <w:rPr>
          <w:rFonts w:cs="Times New Roman"/>
        </w:rPr>
        <w:t>re účely s</w:t>
      </w:r>
      <w:r>
        <w:rPr>
          <w:rFonts w:cs="Times New Roman"/>
        </w:rPr>
        <w:t>úhrnnej výročnej správy používa</w:t>
      </w:r>
      <w:r w:rsidRPr="00753B4E">
        <w:rPr>
          <w:rFonts w:cs="Times New Roman"/>
        </w:rPr>
        <w:t xml:space="preserve"> Min</w:t>
      </w:r>
      <w:r>
        <w:rPr>
          <w:rFonts w:cs="Times New Roman"/>
        </w:rPr>
        <w:t>isterstvo financií SR princípy vychádzajúce predovšetkým z národnej metodiky MF SR</w:t>
      </w:r>
      <w:r w:rsidRPr="00753B4E">
        <w:rPr>
          <w:rFonts w:cs="Times New Roman"/>
        </w:rPr>
        <w:t>.</w:t>
      </w:r>
      <w:r w:rsidRPr="00753B4E">
        <w:rPr>
          <w:rStyle w:val="Odkaznapoznmkupodiarou"/>
          <w:rFonts w:eastAsiaTheme="majorEastAsia"/>
        </w:rPr>
        <w:footnoteReference w:id="28"/>
      </w:r>
      <w:r w:rsidRPr="00753B4E">
        <w:rPr>
          <w:rFonts w:cs="Times New Roman"/>
        </w:rPr>
        <w:t xml:space="preserve"> Jednorazové opatrenia boli zaznamená za rok 202</w:t>
      </w:r>
      <w:r>
        <w:rPr>
          <w:rFonts w:cs="Times New Roman"/>
        </w:rPr>
        <w:t>1</w:t>
      </w:r>
      <w:r w:rsidRPr="00753B4E">
        <w:rPr>
          <w:rFonts w:cs="Times New Roman"/>
        </w:rPr>
        <w:t xml:space="preserve"> a</w:t>
      </w:r>
      <w:r>
        <w:rPr>
          <w:rFonts w:cs="Times New Roman"/>
        </w:rPr>
        <w:t>ž 2023</w:t>
      </w:r>
      <w:r w:rsidRPr="00753B4E">
        <w:rPr>
          <w:rFonts w:cs="Times New Roman"/>
        </w:rPr>
        <w:t xml:space="preserve">. </w:t>
      </w:r>
      <w:r>
        <w:rPr>
          <w:rFonts w:cs="Times New Roman"/>
        </w:rPr>
        <w:t>Najväčšia</w:t>
      </w:r>
      <w:r w:rsidRPr="00753B4E">
        <w:rPr>
          <w:rFonts w:cs="Times New Roman"/>
        </w:rPr>
        <w:t xml:space="preserve"> časť bola vyvolaná pandémiou COVID-19</w:t>
      </w:r>
      <w:r>
        <w:rPr>
          <w:rFonts w:cs="Times New Roman"/>
        </w:rPr>
        <w:t xml:space="preserve">, a vysokými cenami energií, v menšej miere to boli výdavky spojené </w:t>
      </w:r>
      <w:r w:rsidRPr="008D65FD">
        <w:rPr>
          <w:rFonts w:cs="Times New Roman"/>
        </w:rPr>
        <w:t>s vojnou na Ukrajine.</w:t>
      </w:r>
    </w:p>
    <w:tbl>
      <w:tblPr>
        <w:tblW w:w="9310" w:type="dxa"/>
        <w:tblCellMar>
          <w:left w:w="70" w:type="dxa"/>
          <w:right w:w="70" w:type="dxa"/>
        </w:tblCellMar>
        <w:tblLook w:val="04A0" w:firstRow="1" w:lastRow="0" w:firstColumn="1" w:lastColumn="0" w:noHBand="0" w:noVBand="1"/>
      </w:tblPr>
      <w:tblGrid>
        <w:gridCol w:w="6745"/>
        <w:gridCol w:w="861"/>
        <w:gridCol w:w="843"/>
        <w:gridCol w:w="861"/>
      </w:tblGrid>
      <w:tr w:rsidR="008B1455" w:rsidRPr="00863EE3" w14:paraId="4FC42A76" w14:textId="77777777" w:rsidTr="00863EE3">
        <w:trPr>
          <w:trHeight w:val="195"/>
          <w:tblHeader/>
        </w:trPr>
        <w:tc>
          <w:tcPr>
            <w:tcW w:w="6745" w:type="dxa"/>
            <w:tcBorders>
              <w:top w:val="single" w:sz="4" w:space="0" w:color="auto"/>
              <w:left w:val="nil"/>
              <w:bottom w:val="single" w:sz="8" w:space="0" w:color="auto"/>
              <w:right w:val="nil"/>
            </w:tcBorders>
            <w:shd w:val="clear" w:color="auto" w:fill="auto"/>
            <w:noWrap/>
            <w:vAlign w:val="center"/>
            <w:hideMark/>
          </w:tcPr>
          <w:p w14:paraId="52F82FA1" w14:textId="77777777" w:rsidR="008B1455" w:rsidRPr="00863EE3" w:rsidRDefault="008B1455" w:rsidP="008B1455">
            <w:pPr>
              <w:spacing w:after="0" w:line="240" w:lineRule="auto"/>
              <w:rPr>
                <w:b/>
                <w:bCs/>
                <w:color w:val="000000"/>
                <w:sz w:val="16"/>
                <w:szCs w:val="16"/>
                <w:lang w:eastAsia="sk-SK"/>
              </w:rPr>
            </w:pPr>
            <w:r w:rsidRPr="00863EE3">
              <w:rPr>
                <w:b/>
                <w:bCs/>
                <w:color w:val="000000"/>
                <w:sz w:val="16"/>
                <w:szCs w:val="16"/>
                <w:lang w:eastAsia="sk-SK"/>
              </w:rPr>
              <w:t> </w:t>
            </w:r>
          </w:p>
        </w:tc>
        <w:tc>
          <w:tcPr>
            <w:tcW w:w="861" w:type="dxa"/>
            <w:tcBorders>
              <w:top w:val="single" w:sz="4" w:space="0" w:color="auto"/>
              <w:left w:val="nil"/>
              <w:bottom w:val="single" w:sz="8" w:space="0" w:color="auto"/>
              <w:right w:val="nil"/>
            </w:tcBorders>
            <w:shd w:val="clear" w:color="auto" w:fill="auto"/>
            <w:vAlign w:val="center"/>
            <w:hideMark/>
          </w:tcPr>
          <w:p w14:paraId="16482395" w14:textId="77777777" w:rsidR="008B1455" w:rsidRPr="00863EE3" w:rsidRDefault="008B1455" w:rsidP="008B1455">
            <w:pPr>
              <w:spacing w:after="0" w:line="240" w:lineRule="auto"/>
              <w:jc w:val="center"/>
              <w:rPr>
                <w:b/>
                <w:bCs/>
                <w:sz w:val="16"/>
                <w:szCs w:val="16"/>
                <w:lang w:eastAsia="sk-SK"/>
              </w:rPr>
            </w:pPr>
            <w:r w:rsidRPr="00863EE3">
              <w:rPr>
                <w:b/>
                <w:bCs/>
                <w:sz w:val="16"/>
                <w:szCs w:val="16"/>
                <w:lang w:eastAsia="sk-SK"/>
              </w:rPr>
              <w:t>2021</w:t>
            </w:r>
          </w:p>
        </w:tc>
        <w:tc>
          <w:tcPr>
            <w:tcW w:w="843" w:type="dxa"/>
            <w:tcBorders>
              <w:top w:val="single" w:sz="4" w:space="0" w:color="auto"/>
              <w:left w:val="nil"/>
              <w:bottom w:val="single" w:sz="8" w:space="0" w:color="auto"/>
              <w:right w:val="nil"/>
            </w:tcBorders>
            <w:shd w:val="clear" w:color="auto" w:fill="auto"/>
            <w:vAlign w:val="center"/>
            <w:hideMark/>
          </w:tcPr>
          <w:p w14:paraId="6889DAC7" w14:textId="77777777" w:rsidR="008B1455" w:rsidRPr="00863EE3" w:rsidRDefault="008B1455" w:rsidP="008B1455">
            <w:pPr>
              <w:spacing w:after="0" w:line="240" w:lineRule="auto"/>
              <w:jc w:val="center"/>
              <w:rPr>
                <w:b/>
                <w:bCs/>
                <w:sz w:val="16"/>
                <w:szCs w:val="16"/>
                <w:lang w:eastAsia="sk-SK"/>
              </w:rPr>
            </w:pPr>
            <w:r w:rsidRPr="00863EE3">
              <w:rPr>
                <w:b/>
                <w:bCs/>
                <w:sz w:val="16"/>
                <w:szCs w:val="16"/>
                <w:lang w:eastAsia="sk-SK"/>
              </w:rPr>
              <w:t>2022</w:t>
            </w:r>
          </w:p>
        </w:tc>
        <w:tc>
          <w:tcPr>
            <w:tcW w:w="861" w:type="dxa"/>
            <w:tcBorders>
              <w:top w:val="single" w:sz="4" w:space="0" w:color="auto"/>
              <w:left w:val="nil"/>
              <w:bottom w:val="single" w:sz="8" w:space="0" w:color="auto"/>
              <w:right w:val="nil"/>
            </w:tcBorders>
            <w:shd w:val="clear" w:color="auto" w:fill="auto"/>
            <w:noWrap/>
            <w:vAlign w:val="center"/>
            <w:hideMark/>
          </w:tcPr>
          <w:p w14:paraId="0B9AE15C" w14:textId="77777777" w:rsidR="008B1455" w:rsidRPr="00863EE3" w:rsidRDefault="008B1455" w:rsidP="008B1455">
            <w:pPr>
              <w:spacing w:after="0" w:line="240" w:lineRule="auto"/>
              <w:jc w:val="center"/>
              <w:rPr>
                <w:b/>
                <w:bCs/>
                <w:sz w:val="16"/>
                <w:szCs w:val="16"/>
                <w:lang w:eastAsia="sk-SK"/>
              </w:rPr>
            </w:pPr>
            <w:r w:rsidRPr="00863EE3">
              <w:rPr>
                <w:b/>
                <w:bCs/>
                <w:sz w:val="16"/>
                <w:szCs w:val="16"/>
                <w:lang w:eastAsia="sk-SK"/>
              </w:rPr>
              <w:t>2023</w:t>
            </w:r>
          </w:p>
        </w:tc>
      </w:tr>
      <w:tr w:rsidR="008B1455" w:rsidRPr="00863EE3" w14:paraId="4E94A035" w14:textId="77777777" w:rsidTr="008B1455">
        <w:trPr>
          <w:trHeight w:val="264"/>
        </w:trPr>
        <w:tc>
          <w:tcPr>
            <w:tcW w:w="6745" w:type="dxa"/>
            <w:tcBorders>
              <w:top w:val="nil"/>
              <w:left w:val="nil"/>
              <w:bottom w:val="nil"/>
              <w:right w:val="nil"/>
            </w:tcBorders>
            <w:shd w:val="clear" w:color="auto" w:fill="auto"/>
            <w:noWrap/>
            <w:vAlign w:val="center"/>
            <w:hideMark/>
          </w:tcPr>
          <w:p w14:paraId="339DD8DE" w14:textId="783E04FA" w:rsidR="008B1455" w:rsidRPr="00863EE3" w:rsidRDefault="008B1455" w:rsidP="008B1455">
            <w:pPr>
              <w:spacing w:after="0" w:line="240" w:lineRule="auto"/>
              <w:rPr>
                <w:color w:val="000000"/>
                <w:sz w:val="16"/>
                <w:szCs w:val="16"/>
                <w:lang w:eastAsia="sk-SK"/>
              </w:rPr>
            </w:pPr>
            <w:r w:rsidRPr="00863EE3">
              <w:rPr>
                <w:color w:val="000000"/>
                <w:sz w:val="16"/>
                <w:szCs w:val="16"/>
                <w:lang w:eastAsia="sk-SK"/>
              </w:rPr>
              <w:t>Čistý vplyv opa</w:t>
            </w:r>
            <w:r w:rsidR="002E1E76" w:rsidRPr="00863EE3">
              <w:rPr>
                <w:color w:val="000000"/>
                <w:sz w:val="16"/>
                <w:szCs w:val="16"/>
                <w:lang w:eastAsia="sk-SK"/>
              </w:rPr>
              <w:t>trení spojené s pandémiou COVID-</w:t>
            </w:r>
            <w:r w:rsidRPr="00863EE3">
              <w:rPr>
                <w:color w:val="000000"/>
                <w:sz w:val="16"/>
                <w:szCs w:val="16"/>
                <w:lang w:eastAsia="sk-SK"/>
              </w:rPr>
              <w:t>19 (očistené o EU fondy)</w:t>
            </w:r>
          </w:p>
        </w:tc>
        <w:tc>
          <w:tcPr>
            <w:tcW w:w="861" w:type="dxa"/>
            <w:tcBorders>
              <w:top w:val="nil"/>
              <w:left w:val="nil"/>
              <w:bottom w:val="nil"/>
              <w:right w:val="nil"/>
            </w:tcBorders>
            <w:shd w:val="clear" w:color="auto" w:fill="auto"/>
            <w:vAlign w:val="center"/>
            <w:hideMark/>
          </w:tcPr>
          <w:p w14:paraId="49959AFC" w14:textId="77777777" w:rsidR="008B1455" w:rsidRPr="00863EE3" w:rsidRDefault="008B1455" w:rsidP="00D462C1">
            <w:pPr>
              <w:spacing w:after="0" w:line="240" w:lineRule="auto"/>
              <w:jc w:val="right"/>
              <w:rPr>
                <w:sz w:val="16"/>
                <w:szCs w:val="16"/>
                <w:lang w:eastAsia="sk-SK"/>
              </w:rPr>
            </w:pPr>
            <w:r w:rsidRPr="00863EE3">
              <w:rPr>
                <w:sz w:val="16"/>
                <w:szCs w:val="16"/>
                <w:lang w:eastAsia="sk-SK"/>
              </w:rPr>
              <w:t>-3 004</w:t>
            </w:r>
          </w:p>
        </w:tc>
        <w:tc>
          <w:tcPr>
            <w:tcW w:w="843" w:type="dxa"/>
            <w:tcBorders>
              <w:top w:val="nil"/>
              <w:left w:val="nil"/>
              <w:bottom w:val="nil"/>
              <w:right w:val="nil"/>
            </w:tcBorders>
            <w:shd w:val="clear" w:color="auto" w:fill="auto"/>
            <w:vAlign w:val="center"/>
            <w:hideMark/>
          </w:tcPr>
          <w:p w14:paraId="0B678353" w14:textId="77777777" w:rsidR="008B1455" w:rsidRPr="00863EE3" w:rsidRDefault="008B1455" w:rsidP="00D462C1">
            <w:pPr>
              <w:spacing w:after="0" w:line="240" w:lineRule="auto"/>
              <w:jc w:val="right"/>
              <w:rPr>
                <w:sz w:val="16"/>
                <w:szCs w:val="16"/>
                <w:lang w:eastAsia="sk-SK"/>
              </w:rPr>
            </w:pPr>
            <w:r w:rsidRPr="00863EE3">
              <w:rPr>
                <w:sz w:val="16"/>
                <w:szCs w:val="16"/>
                <w:lang w:eastAsia="sk-SK"/>
              </w:rPr>
              <w:t>-698</w:t>
            </w:r>
          </w:p>
        </w:tc>
        <w:tc>
          <w:tcPr>
            <w:tcW w:w="861" w:type="dxa"/>
            <w:tcBorders>
              <w:top w:val="nil"/>
              <w:left w:val="nil"/>
              <w:bottom w:val="nil"/>
              <w:right w:val="nil"/>
            </w:tcBorders>
            <w:shd w:val="clear" w:color="auto" w:fill="auto"/>
            <w:noWrap/>
            <w:vAlign w:val="center"/>
            <w:hideMark/>
          </w:tcPr>
          <w:p w14:paraId="1D25CF76" w14:textId="77777777" w:rsidR="008B1455" w:rsidRPr="00863EE3" w:rsidRDefault="008B1455" w:rsidP="00D462C1">
            <w:pPr>
              <w:spacing w:after="0" w:line="240" w:lineRule="auto"/>
              <w:jc w:val="right"/>
              <w:rPr>
                <w:color w:val="000000"/>
                <w:sz w:val="16"/>
                <w:szCs w:val="16"/>
                <w:lang w:eastAsia="sk-SK"/>
              </w:rPr>
            </w:pPr>
            <w:r w:rsidRPr="00863EE3">
              <w:rPr>
                <w:color w:val="000000"/>
                <w:sz w:val="16"/>
                <w:szCs w:val="16"/>
                <w:lang w:eastAsia="sk-SK"/>
              </w:rPr>
              <w:t>-91</w:t>
            </w:r>
          </w:p>
        </w:tc>
      </w:tr>
      <w:tr w:rsidR="008B1455" w:rsidRPr="00863EE3" w14:paraId="1652BCE9" w14:textId="77777777" w:rsidTr="008B1455">
        <w:trPr>
          <w:trHeight w:val="264"/>
        </w:trPr>
        <w:tc>
          <w:tcPr>
            <w:tcW w:w="6745" w:type="dxa"/>
            <w:tcBorders>
              <w:top w:val="nil"/>
              <w:left w:val="nil"/>
              <w:bottom w:val="nil"/>
              <w:right w:val="nil"/>
            </w:tcBorders>
            <w:shd w:val="clear" w:color="auto" w:fill="auto"/>
            <w:noWrap/>
            <w:vAlign w:val="center"/>
            <w:hideMark/>
          </w:tcPr>
          <w:p w14:paraId="36D2EFE4" w14:textId="77E61DA9" w:rsidR="008B1455" w:rsidRPr="00863EE3" w:rsidRDefault="008B1455" w:rsidP="00E24269">
            <w:pPr>
              <w:spacing w:after="0" w:line="240" w:lineRule="auto"/>
              <w:rPr>
                <w:color w:val="000000"/>
                <w:sz w:val="16"/>
                <w:szCs w:val="16"/>
                <w:lang w:eastAsia="sk-SK"/>
              </w:rPr>
            </w:pPr>
            <w:r w:rsidRPr="00863EE3">
              <w:rPr>
                <w:color w:val="000000"/>
                <w:sz w:val="16"/>
                <w:szCs w:val="16"/>
                <w:lang w:eastAsia="sk-SK"/>
              </w:rPr>
              <w:t>Čistý vplyv výdavkov vyvolaných vojnou na Ukrajine (</w:t>
            </w:r>
            <w:r w:rsidR="00E24269" w:rsidRPr="00863EE3">
              <w:rPr>
                <w:color w:val="000000"/>
                <w:sz w:val="16"/>
                <w:szCs w:val="16"/>
                <w:lang w:eastAsia="sk-SK"/>
              </w:rPr>
              <w:t>z</w:t>
            </w:r>
            <w:r w:rsidRPr="00863EE3">
              <w:rPr>
                <w:color w:val="000000"/>
                <w:sz w:val="16"/>
                <w:szCs w:val="16"/>
                <w:lang w:eastAsia="sk-SK"/>
              </w:rPr>
              <w:t>nížený o preplatenie z EU fondov)</w:t>
            </w:r>
          </w:p>
        </w:tc>
        <w:tc>
          <w:tcPr>
            <w:tcW w:w="861" w:type="dxa"/>
            <w:tcBorders>
              <w:top w:val="nil"/>
              <w:left w:val="nil"/>
              <w:bottom w:val="nil"/>
              <w:right w:val="nil"/>
            </w:tcBorders>
            <w:shd w:val="clear" w:color="auto" w:fill="auto"/>
            <w:vAlign w:val="center"/>
            <w:hideMark/>
          </w:tcPr>
          <w:p w14:paraId="5549C11D" w14:textId="77777777" w:rsidR="008B1455" w:rsidRPr="00863EE3" w:rsidRDefault="008B1455" w:rsidP="00D462C1">
            <w:pPr>
              <w:spacing w:after="0" w:line="240" w:lineRule="auto"/>
              <w:jc w:val="right"/>
              <w:rPr>
                <w:color w:val="000000"/>
                <w:sz w:val="16"/>
                <w:szCs w:val="16"/>
                <w:lang w:eastAsia="sk-SK"/>
              </w:rPr>
            </w:pPr>
          </w:p>
        </w:tc>
        <w:tc>
          <w:tcPr>
            <w:tcW w:w="843" w:type="dxa"/>
            <w:tcBorders>
              <w:top w:val="nil"/>
              <w:left w:val="nil"/>
              <w:bottom w:val="nil"/>
              <w:right w:val="nil"/>
            </w:tcBorders>
            <w:shd w:val="clear" w:color="auto" w:fill="auto"/>
            <w:vAlign w:val="center"/>
            <w:hideMark/>
          </w:tcPr>
          <w:p w14:paraId="098253B9" w14:textId="3EA921E2" w:rsidR="008B1455" w:rsidRPr="00863EE3" w:rsidRDefault="008B1455" w:rsidP="00354922">
            <w:pPr>
              <w:spacing w:after="0" w:line="240" w:lineRule="auto"/>
              <w:jc w:val="right"/>
              <w:rPr>
                <w:sz w:val="16"/>
                <w:szCs w:val="16"/>
                <w:lang w:eastAsia="sk-SK"/>
              </w:rPr>
            </w:pPr>
            <w:r w:rsidRPr="00863EE3">
              <w:rPr>
                <w:sz w:val="16"/>
                <w:szCs w:val="16"/>
                <w:lang w:eastAsia="sk-SK"/>
              </w:rPr>
              <w:t>-1</w:t>
            </w:r>
            <w:r w:rsidR="00354922" w:rsidRPr="00863EE3">
              <w:rPr>
                <w:sz w:val="16"/>
                <w:szCs w:val="16"/>
                <w:lang w:eastAsia="sk-SK"/>
              </w:rPr>
              <w:t>07</w:t>
            </w:r>
          </w:p>
        </w:tc>
        <w:tc>
          <w:tcPr>
            <w:tcW w:w="861" w:type="dxa"/>
            <w:tcBorders>
              <w:top w:val="nil"/>
              <w:left w:val="nil"/>
              <w:bottom w:val="nil"/>
              <w:right w:val="nil"/>
            </w:tcBorders>
            <w:shd w:val="clear" w:color="auto" w:fill="auto"/>
            <w:noWrap/>
            <w:vAlign w:val="center"/>
            <w:hideMark/>
          </w:tcPr>
          <w:p w14:paraId="67D2A00B" w14:textId="77777777" w:rsidR="008B1455" w:rsidRPr="00863EE3" w:rsidRDefault="008B1455" w:rsidP="00D462C1">
            <w:pPr>
              <w:spacing w:after="0" w:line="240" w:lineRule="auto"/>
              <w:jc w:val="right"/>
              <w:rPr>
                <w:color w:val="000000"/>
                <w:sz w:val="16"/>
                <w:szCs w:val="16"/>
                <w:lang w:eastAsia="sk-SK"/>
              </w:rPr>
            </w:pPr>
            <w:r w:rsidRPr="00863EE3">
              <w:rPr>
                <w:color w:val="000000"/>
                <w:sz w:val="16"/>
                <w:szCs w:val="16"/>
                <w:lang w:eastAsia="sk-SK"/>
              </w:rPr>
              <w:t>-108</w:t>
            </w:r>
          </w:p>
        </w:tc>
      </w:tr>
      <w:tr w:rsidR="008B1455" w:rsidRPr="00863EE3" w14:paraId="57F5C795" w14:textId="77777777" w:rsidTr="00863EE3">
        <w:trPr>
          <w:trHeight w:val="337"/>
        </w:trPr>
        <w:tc>
          <w:tcPr>
            <w:tcW w:w="6745" w:type="dxa"/>
            <w:tcBorders>
              <w:top w:val="nil"/>
              <w:left w:val="nil"/>
              <w:bottom w:val="nil"/>
              <w:right w:val="nil"/>
            </w:tcBorders>
            <w:shd w:val="clear" w:color="auto" w:fill="auto"/>
            <w:noWrap/>
            <w:vAlign w:val="center"/>
            <w:hideMark/>
          </w:tcPr>
          <w:p w14:paraId="7F25F43B" w14:textId="6CE1D90E" w:rsidR="008B1455" w:rsidRPr="00863EE3" w:rsidRDefault="008B1455" w:rsidP="008B1455">
            <w:pPr>
              <w:spacing w:after="0" w:line="240" w:lineRule="auto"/>
              <w:rPr>
                <w:color w:val="000000"/>
                <w:sz w:val="16"/>
                <w:szCs w:val="16"/>
                <w:lang w:eastAsia="sk-SK"/>
              </w:rPr>
            </w:pPr>
            <w:r w:rsidRPr="00863EE3">
              <w:rPr>
                <w:color w:val="000000"/>
                <w:sz w:val="16"/>
                <w:szCs w:val="16"/>
                <w:lang w:eastAsia="sk-SK"/>
              </w:rPr>
              <w:t>Čistý vplyv schém podpory súvisiacich z vysokými cenami energií (</w:t>
            </w:r>
            <w:r w:rsidR="00B9255C" w:rsidRPr="00863EE3">
              <w:rPr>
                <w:color w:val="000000"/>
                <w:sz w:val="16"/>
                <w:szCs w:val="16"/>
                <w:lang w:eastAsia="sk-SK"/>
              </w:rPr>
              <w:t>znížený</w:t>
            </w:r>
            <w:r w:rsidRPr="00863EE3">
              <w:rPr>
                <w:color w:val="000000"/>
                <w:sz w:val="16"/>
                <w:szCs w:val="16"/>
                <w:lang w:eastAsia="sk-SK"/>
              </w:rPr>
              <w:t xml:space="preserve"> o preplatenie z EU fondov)</w:t>
            </w:r>
          </w:p>
        </w:tc>
        <w:tc>
          <w:tcPr>
            <w:tcW w:w="861" w:type="dxa"/>
            <w:tcBorders>
              <w:top w:val="nil"/>
              <w:left w:val="nil"/>
              <w:bottom w:val="nil"/>
              <w:right w:val="nil"/>
            </w:tcBorders>
            <w:shd w:val="clear" w:color="auto" w:fill="auto"/>
            <w:vAlign w:val="center"/>
            <w:hideMark/>
          </w:tcPr>
          <w:p w14:paraId="6E178779" w14:textId="77777777" w:rsidR="008B1455" w:rsidRPr="00863EE3" w:rsidRDefault="008B1455" w:rsidP="00D462C1">
            <w:pPr>
              <w:spacing w:after="0" w:line="240" w:lineRule="auto"/>
              <w:jc w:val="right"/>
              <w:rPr>
                <w:color w:val="000000"/>
                <w:sz w:val="16"/>
                <w:szCs w:val="16"/>
                <w:lang w:eastAsia="sk-SK"/>
              </w:rPr>
            </w:pPr>
          </w:p>
        </w:tc>
        <w:tc>
          <w:tcPr>
            <w:tcW w:w="843" w:type="dxa"/>
            <w:tcBorders>
              <w:top w:val="nil"/>
              <w:left w:val="nil"/>
              <w:bottom w:val="nil"/>
              <w:right w:val="nil"/>
            </w:tcBorders>
            <w:shd w:val="clear" w:color="auto" w:fill="auto"/>
            <w:vAlign w:val="center"/>
            <w:hideMark/>
          </w:tcPr>
          <w:p w14:paraId="17B51988" w14:textId="77777777" w:rsidR="008B1455" w:rsidRPr="00863EE3" w:rsidRDefault="008B1455" w:rsidP="00D462C1">
            <w:pPr>
              <w:spacing w:after="0" w:line="240" w:lineRule="auto"/>
              <w:jc w:val="right"/>
              <w:rPr>
                <w:sz w:val="16"/>
                <w:szCs w:val="16"/>
                <w:lang w:eastAsia="sk-SK"/>
              </w:rPr>
            </w:pPr>
            <w:r w:rsidRPr="00863EE3">
              <w:rPr>
                <w:sz w:val="16"/>
                <w:szCs w:val="16"/>
                <w:lang w:eastAsia="sk-SK"/>
              </w:rPr>
              <w:t>-468</w:t>
            </w:r>
          </w:p>
        </w:tc>
        <w:tc>
          <w:tcPr>
            <w:tcW w:w="861" w:type="dxa"/>
            <w:tcBorders>
              <w:top w:val="nil"/>
              <w:left w:val="nil"/>
              <w:bottom w:val="nil"/>
              <w:right w:val="nil"/>
            </w:tcBorders>
            <w:shd w:val="clear" w:color="auto" w:fill="auto"/>
            <w:vAlign w:val="center"/>
            <w:hideMark/>
          </w:tcPr>
          <w:p w14:paraId="19A13187" w14:textId="77777777" w:rsidR="008B1455" w:rsidRPr="00863EE3" w:rsidRDefault="008B1455" w:rsidP="00D462C1">
            <w:pPr>
              <w:spacing w:after="0" w:line="240" w:lineRule="auto"/>
              <w:jc w:val="right"/>
              <w:rPr>
                <w:color w:val="000000"/>
                <w:sz w:val="16"/>
                <w:szCs w:val="16"/>
                <w:lang w:eastAsia="sk-SK"/>
              </w:rPr>
            </w:pPr>
            <w:r w:rsidRPr="00863EE3">
              <w:rPr>
                <w:color w:val="000000"/>
                <w:sz w:val="16"/>
                <w:szCs w:val="16"/>
                <w:lang w:eastAsia="sk-SK"/>
              </w:rPr>
              <w:t>-2 167</w:t>
            </w:r>
          </w:p>
        </w:tc>
      </w:tr>
      <w:tr w:rsidR="008B1455" w:rsidRPr="00863EE3" w14:paraId="03464F13" w14:textId="77777777" w:rsidTr="00474213">
        <w:trPr>
          <w:trHeight w:val="264"/>
        </w:trPr>
        <w:tc>
          <w:tcPr>
            <w:tcW w:w="6745" w:type="dxa"/>
            <w:tcBorders>
              <w:top w:val="nil"/>
              <w:left w:val="nil"/>
              <w:right w:val="nil"/>
            </w:tcBorders>
            <w:shd w:val="clear" w:color="auto" w:fill="auto"/>
            <w:noWrap/>
            <w:vAlign w:val="center"/>
            <w:hideMark/>
          </w:tcPr>
          <w:p w14:paraId="0AF67A2C" w14:textId="77777777" w:rsidR="008B1455" w:rsidRPr="00863EE3" w:rsidRDefault="008B1455" w:rsidP="008B1455">
            <w:pPr>
              <w:spacing w:after="0" w:line="240" w:lineRule="auto"/>
              <w:rPr>
                <w:color w:val="000000"/>
                <w:sz w:val="16"/>
                <w:szCs w:val="16"/>
                <w:lang w:eastAsia="sk-SK"/>
              </w:rPr>
            </w:pPr>
            <w:r w:rsidRPr="00863EE3">
              <w:rPr>
                <w:color w:val="000000"/>
                <w:sz w:val="16"/>
                <w:szCs w:val="16"/>
                <w:lang w:eastAsia="sk-SK"/>
              </w:rPr>
              <w:t>Dočasné príjmy z nariadenia EÚ ohľadom nadmerných ziskov</w:t>
            </w:r>
          </w:p>
        </w:tc>
        <w:tc>
          <w:tcPr>
            <w:tcW w:w="861" w:type="dxa"/>
            <w:tcBorders>
              <w:top w:val="nil"/>
              <w:left w:val="nil"/>
              <w:right w:val="nil"/>
            </w:tcBorders>
            <w:shd w:val="clear" w:color="auto" w:fill="auto"/>
            <w:vAlign w:val="center"/>
            <w:hideMark/>
          </w:tcPr>
          <w:p w14:paraId="2CB991B3" w14:textId="77777777" w:rsidR="008B1455" w:rsidRPr="00863EE3" w:rsidRDefault="008B1455" w:rsidP="00D462C1">
            <w:pPr>
              <w:spacing w:after="0" w:line="240" w:lineRule="auto"/>
              <w:jc w:val="right"/>
              <w:rPr>
                <w:color w:val="000000"/>
                <w:sz w:val="16"/>
                <w:szCs w:val="16"/>
                <w:lang w:eastAsia="sk-SK"/>
              </w:rPr>
            </w:pPr>
          </w:p>
        </w:tc>
        <w:tc>
          <w:tcPr>
            <w:tcW w:w="843" w:type="dxa"/>
            <w:tcBorders>
              <w:top w:val="nil"/>
              <w:left w:val="nil"/>
              <w:right w:val="nil"/>
            </w:tcBorders>
            <w:shd w:val="clear" w:color="auto" w:fill="auto"/>
            <w:vAlign w:val="center"/>
            <w:hideMark/>
          </w:tcPr>
          <w:p w14:paraId="66173DD7" w14:textId="77777777" w:rsidR="008B1455" w:rsidRPr="00863EE3" w:rsidRDefault="008B1455" w:rsidP="00D462C1">
            <w:pPr>
              <w:spacing w:after="0" w:line="240" w:lineRule="auto"/>
              <w:jc w:val="right"/>
              <w:rPr>
                <w:sz w:val="16"/>
                <w:szCs w:val="16"/>
                <w:lang w:eastAsia="sk-SK"/>
              </w:rPr>
            </w:pPr>
            <w:r w:rsidRPr="00863EE3">
              <w:rPr>
                <w:sz w:val="16"/>
                <w:szCs w:val="16"/>
                <w:lang w:eastAsia="sk-SK"/>
              </w:rPr>
              <w:t>412</w:t>
            </w:r>
          </w:p>
        </w:tc>
        <w:tc>
          <w:tcPr>
            <w:tcW w:w="861" w:type="dxa"/>
            <w:tcBorders>
              <w:top w:val="nil"/>
              <w:left w:val="nil"/>
              <w:right w:val="nil"/>
            </w:tcBorders>
            <w:shd w:val="clear" w:color="auto" w:fill="auto"/>
            <w:vAlign w:val="center"/>
            <w:hideMark/>
          </w:tcPr>
          <w:p w14:paraId="24AC5BB1" w14:textId="77777777" w:rsidR="008B1455" w:rsidRPr="00863EE3" w:rsidRDefault="008B1455" w:rsidP="00D462C1">
            <w:pPr>
              <w:spacing w:after="0" w:line="240" w:lineRule="auto"/>
              <w:jc w:val="right"/>
              <w:rPr>
                <w:color w:val="000000"/>
                <w:sz w:val="16"/>
                <w:szCs w:val="16"/>
                <w:lang w:eastAsia="sk-SK"/>
              </w:rPr>
            </w:pPr>
            <w:r w:rsidRPr="00863EE3">
              <w:rPr>
                <w:color w:val="000000"/>
                <w:sz w:val="16"/>
                <w:szCs w:val="16"/>
                <w:lang w:eastAsia="sk-SK"/>
              </w:rPr>
              <w:t>-</w:t>
            </w:r>
          </w:p>
        </w:tc>
      </w:tr>
      <w:tr w:rsidR="008B1455" w:rsidRPr="00863EE3" w14:paraId="012069D0" w14:textId="77777777" w:rsidTr="00474213">
        <w:trPr>
          <w:trHeight w:val="264"/>
        </w:trPr>
        <w:tc>
          <w:tcPr>
            <w:tcW w:w="6745" w:type="dxa"/>
            <w:tcBorders>
              <w:top w:val="nil"/>
              <w:left w:val="nil"/>
              <w:bottom w:val="single" w:sz="4" w:space="0" w:color="auto"/>
              <w:right w:val="nil"/>
            </w:tcBorders>
            <w:shd w:val="clear" w:color="auto" w:fill="auto"/>
            <w:noWrap/>
            <w:vAlign w:val="center"/>
            <w:hideMark/>
          </w:tcPr>
          <w:p w14:paraId="3B54411A" w14:textId="77777777" w:rsidR="008B1455" w:rsidRPr="00863EE3" w:rsidRDefault="008B1455" w:rsidP="008B1455">
            <w:pPr>
              <w:spacing w:after="0" w:line="240" w:lineRule="auto"/>
              <w:rPr>
                <w:color w:val="000000"/>
                <w:sz w:val="16"/>
                <w:szCs w:val="16"/>
                <w:lang w:eastAsia="sk-SK"/>
              </w:rPr>
            </w:pPr>
            <w:r w:rsidRPr="00863EE3">
              <w:rPr>
                <w:color w:val="000000"/>
                <w:sz w:val="16"/>
                <w:szCs w:val="16"/>
                <w:lang w:eastAsia="sk-SK"/>
              </w:rPr>
              <w:t>Cenové stropy pre výrobcov elektrickej energie</w:t>
            </w:r>
          </w:p>
        </w:tc>
        <w:tc>
          <w:tcPr>
            <w:tcW w:w="861" w:type="dxa"/>
            <w:tcBorders>
              <w:top w:val="nil"/>
              <w:left w:val="nil"/>
              <w:bottom w:val="single" w:sz="4" w:space="0" w:color="auto"/>
              <w:right w:val="nil"/>
            </w:tcBorders>
            <w:shd w:val="clear" w:color="auto" w:fill="auto"/>
            <w:vAlign w:val="center"/>
            <w:hideMark/>
          </w:tcPr>
          <w:p w14:paraId="2A525AF1" w14:textId="77777777" w:rsidR="008B1455" w:rsidRPr="00863EE3" w:rsidRDefault="008B1455" w:rsidP="00D462C1">
            <w:pPr>
              <w:spacing w:after="0" w:line="240" w:lineRule="auto"/>
              <w:jc w:val="right"/>
              <w:rPr>
                <w:color w:val="000000"/>
                <w:sz w:val="16"/>
                <w:szCs w:val="16"/>
                <w:lang w:eastAsia="sk-SK"/>
              </w:rPr>
            </w:pPr>
          </w:p>
        </w:tc>
        <w:tc>
          <w:tcPr>
            <w:tcW w:w="843" w:type="dxa"/>
            <w:tcBorders>
              <w:top w:val="nil"/>
              <w:left w:val="nil"/>
              <w:bottom w:val="single" w:sz="4" w:space="0" w:color="auto"/>
              <w:right w:val="nil"/>
            </w:tcBorders>
            <w:shd w:val="clear" w:color="auto" w:fill="auto"/>
            <w:vAlign w:val="center"/>
            <w:hideMark/>
          </w:tcPr>
          <w:p w14:paraId="34778786" w14:textId="77777777" w:rsidR="008B1455" w:rsidRPr="00863EE3" w:rsidRDefault="008B1455" w:rsidP="00D462C1">
            <w:pPr>
              <w:spacing w:after="0" w:line="240" w:lineRule="auto"/>
              <w:jc w:val="right"/>
              <w:rPr>
                <w:sz w:val="16"/>
                <w:szCs w:val="16"/>
                <w:lang w:eastAsia="sk-SK"/>
              </w:rPr>
            </w:pPr>
          </w:p>
        </w:tc>
        <w:tc>
          <w:tcPr>
            <w:tcW w:w="861" w:type="dxa"/>
            <w:tcBorders>
              <w:top w:val="nil"/>
              <w:left w:val="nil"/>
              <w:bottom w:val="single" w:sz="4" w:space="0" w:color="auto"/>
              <w:right w:val="nil"/>
            </w:tcBorders>
            <w:shd w:val="clear" w:color="auto" w:fill="auto"/>
            <w:vAlign w:val="center"/>
            <w:hideMark/>
          </w:tcPr>
          <w:p w14:paraId="6896ED74" w14:textId="77777777" w:rsidR="008B1455" w:rsidRPr="00863EE3" w:rsidRDefault="008B1455" w:rsidP="00D462C1">
            <w:pPr>
              <w:spacing w:after="0" w:line="240" w:lineRule="auto"/>
              <w:jc w:val="right"/>
              <w:rPr>
                <w:color w:val="000000"/>
                <w:sz w:val="16"/>
                <w:szCs w:val="16"/>
                <w:lang w:eastAsia="sk-SK"/>
              </w:rPr>
            </w:pPr>
            <w:r w:rsidRPr="00863EE3">
              <w:rPr>
                <w:color w:val="000000"/>
                <w:sz w:val="16"/>
                <w:szCs w:val="16"/>
                <w:lang w:eastAsia="sk-SK"/>
              </w:rPr>
              <w:t>30</w:t>
            </w:r>
          </w:p>
        </w:tc>
      </w:tr>
      <w:tr w:rsidR="008B1455" w:rsidRPr="00863EE3" w14:paraId="2B6EE6A4" w14:textId="77777777" w:rsidTr="00474213">
        <w:trPr>
          <w:trHeight w:val="264"/>
        </w:trPr>
        <w:tc>
          <w:tcPr>
            <w:tcW w:w="6745" w:type="dxa"/>
            <w:tcBorders>
              <w:top w:val="single" w:sz="4" w:space="0" w:color="auto"/>
              <w:left w:val="nil"/>
              <w:bottom w:val="nil"/>
              <w:right w:val="nil"/>
            </w:tcBorders>
            <w:shd w:val="clear" w:color="auto" w:fill="auto"/>
            <w:noWrap/>
            <w:vAlign w:val="center"/>
            <w:hideMark/>
          </w:tcPr>
          <w:p w14:paraId="53880EE7" w14:textId="77777777" w:rsidR="008B1455" w:rsidRPr="00863EE3" w:rsidRDefault="008B1455" w:rsidP="008B1455">
            <w:pPr>
              <w:spacing w:after="0" w:line="240" w:lineRule="auto"/>
              <w:rPr>
                <w:color w:val="000000"/>
                <w:sz w:val="16"/>
                <w:szCs w:val="16"/>
                <w:lang w:eastAsia="sk-SK"/>
              </w:rPr>
            </w:pPr>
            <w:r w:rsidRPr="00863EE3">
              <w:rPr>
                <w:color w:val="000000"/>
                <w:sz w:val="16"/>
                <w:szCs w:val="16"/>
                <w:lang w:eastAsia="sk-SK"/>
              </w:rPr>
              <w:t>Špeciálny odvod do EÚ - podhodnotené preclievanie tovaru z III. krajín</w:t>
            </w:r>
          </w:p>
        </w:tc>
        <w:tc>
          <w:tcPr>
            <w:tcW w:w="861" w:type="dxa"/>
            <w:tcBorders>
              <w:top w:val="single" w:sz="4" w:space="0" w:color="auto"/>
              <w:left w:val="nil"/>
              <w:bottom w:val="nil"/>
              <w:right w:val="nil"/>
            </w:tcBorders>
            <w:shd w:val="clear" w:color="auto" w:fill="auto"/>
            <w:vAlign w:val="center"/>
            <w:hideMark/>
          </w:tcPr>
          <w:p w14:paraId="25B0928E" w14:textId="77777777" w:rsidR="008B1455" w:rsidRPr="00863EE3" w:rsidRDefault="008B1455" w:rsidP="00D462C1">
            <w:pPr>
              <w:spacing w:after="0" w:line="240" w:lineRule="auto"/>
              <w:jc w:val="right"/>
              <w:rPr>
                <w:sz w:val="16"/>
                <w:szCs w:val="16"/>
                <w:lang w:eastAsia="sk-SK"/>
              </w:rPr>
            </w:pPr>
            <w:r w:rsidRPr="00863EE3">
              <w:rPr>
                <w:sz w:val="16"/>
                <w:szCs w:val="16"/>
                <w:lang w:eastAsia="sk-SK"/>
              </w:rPr>
              <w:t>-277</w:t>
            </w:r>
          </w:p>
        </w:tc>
        <w:tc>
          <w:tcPr>
            <w:tcW w:w="843" w:type="dxa"/>
            <w:tcBorders>
              <w:top w:val="single" w:sz="4" w:space="0" w:color="auto"/>
              <w:left w:val="nil"/>
              <w:bottom w:val="nil"/>
              <w:right w:val="nil"/>
            </w:tcBorders>
            <w:shd w:val="clear" w:color="auto" w:fill="auto"/>
            <w:vAlign w:val="center"/>
            <w:hideMark/>
          </w:tcPr>
          <w:p w14:paraId="01F32057" w14:textId="77777777" w:rsidR="008B1455" w:rsidRPr="00863EE3" w:rsidRDefault="008B1455" w:rsidP="00D462C1">
            <w:pPr>
              <w:spacing w:after="0" w:line="240" w:lineRule="auto"/>
              <w:jc w:val="right"/>
              <w:rPr>
                <w:sz w:val="16"/>
                <w:szCs w:val="16"/>
                <w:lang w:eastAsia="sk-SK"/>
              </w:rPr>
            </w:pPr>
          </w:p>
        </w:tc>
        <w:tc>
          <w:tcPr>
            <w:tcW w:w="861" w:type="dxa"/>
            <w:tcBorders>
              <w:top w:val="single" w:sz="4" w:space="0" w:color="auto"/>
              <w:left w:val="nil"/>
              <w:bottom w:val="nil"/>
              <w:right w:val="nil"/>
            </w:tcBorders>
            <w:shd w:val="clear" w:color="auto" w:fill="auto"/>
            <w:vAlign w:val="center"/>
            <w:hideMark/>
          </w:tcPr>
          <w:p w14:paraId="672C5968" w14:textId="77777777" w:rsidR="008B1455" w:rsidRPr="00863EE3" w:rsidRDefault="008B1455" w:rsidP="00D462C1">
            <w:pPr>
              <w:spacing w:after="0" w:line="240" w:lineRule="auto"/>
              <w:jc w:val="right"/>
              <w:rPr>
                <w:sz w:val="16"/>
                <w:szCs w:val="16"/>
                <w:lang w:eastAsia="sk-SK"/>
              </w:rPr>
            </w:pPr>
          </w:p>
        </w:tc>
      </w:tr>
      <w:tr w:rsidR="008B1455" w:rsidRPr="00863EE3" w14:paraId="469BAE02" w14:textId="77777777" w:rsidTr="008B1455">
        <w:trPr>
          <w:trHeight w:val="276"/>
        </w:trPr>
        <w:tc>
          <w:tcPr>
            <w:tcW w:w="6745" w:type="dxa"/>
            <w:tcBorders>
              <w:top w:val="nil"/>
              <w:left w:val="nil"/>
              <w:bottom w:val="single" w:sz="8" w:space="0" w:color="auto"/>
              <w:right w:val="nil"/>
            </w:tcBorders>
            <w:shd w:val="clear" w:color="auto" w:fill="auto"/>
            <w:vAlign w:val="center"/>
            <w:hideMark/>
          </w:tcPr>
          <w:p w14:paraId="5892F5B9" w14:textId="77777777" w:rsidR="008B1455" w:rsidRPr="00863EE3" w:rsidRDefault="008B1455" w:rsidP="008B1455">
            <w:pPr>
              <w:spacing w:after="0" w:line="240" w:lineRule="auto"/>
              <w:rPr>
                <w:color w:val="000000"/>
                <w:sz w:val="16"/>
                <w:szCs w:val="16"/>
                <w:lang w:eastAsia="sk-SK"/>
              </w:rPr>
            </w:pPr>
            <w:r w:rsidRPr="00863EE3">
              <w:rPr>
                <w:color w:val="000000"/>
                <w:sz w:val="16"/>
                <w:szCs w:val="16"/>
                <w:lang w:eastAsia="sk-SK"/>
              </w:rPr>
              <w:t>Platba DPH koncesionára stavby D4/R7</w:t>
            </w:r>
          </w:p>
        </w:tc>
        <w:tc>
          <w:tcPr>
            <w:tcW w:w="861" w:type="dxa"/>
            <w:tcBorders>
              <w:top w:val="nil"/>
              <w:left w:val="nil"/>
              <w:bottom w:val="single" w:sz="8" w:space="0" w:color="auto"/>
              <w:right w:val="nil"/>
            </w:tcBorders>
            <w:shd w:val="clear" w:color="auto" w:fill="auto"/>
            <w:vAlign w:val="center"/>
            <w:hideMark/>
          </w:tcPr>
          <w:p w14:paraId="18E99360" w14:textId="77777777" w:rsidR="008B1455" w:rsidRPr="00863EE3" w:rsidRDefault="008B1455" w:rsidP="00D462C1">
            <w:pPr>
              <w:spacing w:after="0" w:line="240" w:lineRule="auto"/>
              <w:jc w:val="right"/>
              <w:rPr>
                <w:sz w:val="16"/>
                <w:szCs w:val="16"/>
                <w:lang w:eastAsia="sk-SK"/>
              </w:rPr>
            </w:pPr>
            <w:r w:rsidRPr="00863EE3">
              <w:rPr>
                <w:sz w:val="16"/>
                <w:szCs w:val="16"/>
                <w:lang w:eastAsia="sk-SK"/>
              </w:rPr>
              <w:t>130</w:t>
            </w:r>
          </w:p>
        </w:tc>
        <w:tc>
          <w:tcPr>
            <w:tcW w:w="843" w:type="dxa"/>
            <w:tcBorders>
              <w:top w:val="nil"/>
              <w:left w:val="nil"/>
              <w:bottom w:val="single" w:sz="8" w:space="0" w:color="auto"/>
              <w:right w:val="nil"/>
            </w:tcBorders>
            <w:shd w:val="clear" w:color="auto" w:fill="auto"/>
            <w:vAlign w:val="center"/>
            <w:hideMark/>
          </w:tcPr>
          <w:p w14:paraId="53C78332" w14:textId="77777777" w:rsidR="008B1455" w:rsidRPr="00863EE3" w:rsidRDefault="008B1455" w:rsidP="00D462C1">
            <w:pPr>
              <w:spacing w:after="0" w:line="240" w:lineRule="auto"/>
              <w:jc w:val="right"/>
              <w:rPr>
                <w:sz w:val="16"/>
                <w:szCs w:val="16"/>
                <w:lang w:eastAsia="sk-SK"/>
              </w:rPr>
            </w:pPr>
            <w:r w:rsidRPr="00863EE3">
              <w:rPr>
                <w:sz w:val="16"/>
                <w:szCs w:val="16"/>
                <w:lang w:eastAsia="sk-SK"/>
              </w:rPr>
              <w:t> </w:t>
            </w:r>
          </w:p>
        </w:tc>
        <w:tc>
          <w:tcPr>
            <w:tcW w:w="861" w:type="dxa"/>
            <w:tcBorders>
              <w:top w:val="nil"/>
              <w:left w:val="nil"/>
              <w:bottom w:val="single" w:sz="8" w:space="0" w:color="auto"/>
              <w:right w:val="nil"/>
            </w:tcBorders>
            <w:shd w:val="clear" w:color="auto" w:fill="auto"/>
            <w:vAlign w:val="center"/>
            <w:hideMark/>
          </w:tcPr>
          <w:p w14:paraId="2800ED48" w14:textId="77777777" w:rsidR="008B1455" w:rsidRPr="00863EE3" w:rsidRDefault="008B1455" w:rsidP="00D462C1">
            <w:pPr>
              <w:spacing w:after="0" w:line="240" w:lineRule="auto"/>
              <w:jc w:val="right"/>
              <w:rPr>
                <w:sz w:val="16"/>
                <w:szCs w:val="16"/>
                <w:lang w:eastAsia="sk-SK"/>
              </w:rPr>
            </w:pPr>
            <w:r w:rsidRPr="00863EE3">
              <w:rPr>
                <w:sz w:val="16"/>
                <w:szCs w:val="16"/>
                <w:lang w:eastAsia="sk-SK"/>
              </w:rPr>
              <w:t> </w:t>
            </w:r>
          </w:p>
        </w:tc>
      </w:tr>
      <w:tr w:rsidR="008B1455" w:rsidRPr="00863EE3" w14:paraId="3EC2EBCB" w14:textId="77777777" w:rsidTr="008B1455">
        <w:trPr>
          <w:trHeight w:val="276"/>
        </w:trPr>
        <w:tc>
          <w:tcPr>
            <w:tcW w:w="6745" w:type="dxa"/>
            <w:tcBorders>
              <w:top w:val="nil"/>
              <w:left w:val="nil"/>
              <w:bottom w:val="single" w:sz="8" w:space="0" w:color="auto"/>
              <w:right w:val="nil"/>
            </w:tcBorders>
            <w:shd w:val="clear" w:color="auto" w:fill="auto"/>
            <w:noWrap/>
            <w:vAlign w:val="center"/>
            <w:hideMark/>
          </w:tcPr>
          <w:p w14:paraId="5D6F6E2C" w14:textId="77777777" w:rsidR="008B1455" w:rsidRPr="00863EE3" w:rsidRDefault="008B1455" w:rsidP="008B1455">
            <w:pPr>
              <w:spacing w:after="0" w:line="240" w:lineRule="auto"/>
              <w:rPr>
                <w:b/>
                <w:bCs/>
                <w:color w:val="000000"/>
                <w:sz w:val="16"/>
                <w:szCs w:val="16"/>
                <w:lang w:eastAsia="sk-SK"/>
              </w:rPr>
            </w:pPr>
            <w:r w:rsidRPr="00863EE3">
              <w:rPr>
                <w:b/>
                <w:bCs/>
                <w:color w:val="000000"/>
                <w:sz w:val="16"/>
                <w:szCs w:val="16"/>
                <w:lang w:eastAsia="sk-SK"/>
              </w:rPr>
              <w:lastRenderedPageBreak/>
              <w:t xml:space="preserve">Spolu  </w:t>
            </w:r>
          </w:p>
        </w:tc>
        <w:tc>
          <w:tcPr>
            <w:tcW w:w="861" w:type="dxa"/>
            <w:tcBorders>
              <w:top w:val="nil"/>
              <w:left w:val="nil"/>
              <w:bottom w:val="single" w:sz="8" w:space="0" w:color="auto"/>
              <w:right w:val="nil"/>
            </w:tcBorders>
            <w:shd w:val="clear" w:color="auto" w:fill="auto"/>
            <w:vAlign w:val="center"/>
            <w:hideMark/>
          </w:tcPr>
          <w:p w14:paraId="16E279F5" w14:textId="77777777" w:rsidR="008B1455" w:rsidRPr="00863EE3" w:rsidRDefault="008B1455" w:rsidP="00D462C1">
            <w:pPr>
              <w:spacing w:after="0" w:line="240" w:lineRule="auto"/>
              <w:jc w:val="right"/>
              <w:rPr>
                <w:b/>
                <w:bCs/>
                <w:sz w:val="16"/>
                <w:szCs w:val="16"/>
                <w:lang w:eastAsia="sk-SK"/>
              </w:rPr>
            </w:pPr>
            <w:r w:rsidRPr="00863EE3">
              <w:rPr>
                <w:b/>
                <w:bCs/>
                <w:sz w:val="16"/>
                <w:szCs w:val="16"/>
                <w:lang w:eastAsia="sk-SK"/>
              </w:rPr>
              <w:t>-3 152</w:t>
            </w:r>
          </w:p>
        </w:tc>
        <w:tc>
          <w:tcPr>
            <w:tcW w:w="843" w:type="dxa"/>
            <w:tcBorders>
              <w:top w:val="nil"/>
              <w:left w:val="nil"/>
              <w:bottom w:val="single" w:sz="8" w:space="0" w:color="auto"/>
              <w:right w:val="nil"/>
            </w:tcBorders>
            <w:shd w:val="clear" w:color="auto" w:fill="auto"/>
            <w:vAlign w:val="center"/>
            <w:hideMark/>
          </w:tcPr>
          <w:p w14:paraId="096D7C08" w14:textId="7E5C3DF3" w:rsidR="008B1455" w:rsidRPr="00863EE3" w:rsidRDefault="008B1455" w:rsidP="00354922">
            <w:pPr>
              <w:spacing w:after="0" w:line="240" w:lineRule="auto"/>
              <w:jc w:val="right"/>
              <w:rPr>
                <w:b/>
                <w:bCs/>
                <w:sz w:val="16"/>
                <w:szCs w:val="16"/>
                <w:lang w:eastAsia="sk-SK"/>
              </w:rPr>
            </w:pPr>
            <w:r w:rsidRPr="00863EE3">
              <w:rPr>
                <w:b/>
                <w:bCs/>
                <w:sz w:val="16"/>
                <w:szCs w:val="16"/>
                <w:lang w:eastAsia="sk-SK"/>
              </w:rPr>
              <w:t>-</w:t>
            </w:r>
            <w:r w:rsidR="00354922" w:rsidRPr="00863EE3">
              <w:rPr>
                <w:b/>
                <w:bCs/>
                <w:sz w:val="16"/>
                <w:szCs w:val="16"/>
                <w:lang w:eastAsia="sk-SK"/>
              </w:rPr>
              <w:t>647</w:t>
            </w:r>
          </w:p>
        </w:tc>
        <w:tc>
          <w:tcPr>
            <w:tcW w:w="861" w:type="dxa"/>
            <w:tcBorders>
              <w:top w:val="nil"/>
              <w:left w:val="nil"/>
              <w:bottom w:val="single" w:sz="8" w:space="0" w:color="auto"/>
              <w:right w:val="nil"/>
            </w:tcBorders>
            <w:shd w:val="clear" w:color="auto" w:fill="auto"/>
            <w:noWrap/>
            <w:vAlign w:val="center"/>
            <w:hideMark/>
          </w:tcPr>
          <w:p w14:paraId="483BF215" w14:textId="77777777" w:rsidR="008B1455" w:rsidRPr="00863EE3" w:rsidRDefault="008B1455" w:rsidP="00D462C1">
            <w:pPr>
              <w:spacing w:after="0" w:line="240" w:lineRule="auto"/>
              <w:jc w:val="right"/>
              <w:rPr>
                <w:b/>
                <w:bCs/>
                <w:color w:val="000000"/>
                <w:sz w:val="16"/>
                <w:szCs w:val="16"/>
                <w:lang w:eastAsia="sk-SK"/>
              </w:rPr>
            </w:pPr>
            <w:r w:rsidRPr="00863EE3">
              <w:rPr>
                <w:b/>
                <w:bCs/>
                <w:color w:val="000000"/>
                <w:sz w:val="16"/>
                <w:szCs w:val="16"/>
                <w:lang w:eastAsia="sk-SK"/>
              </w:rPr>
              <w:t>-2 336</w:t>
            </w:r>
          </w:p>
        </w:tc>
      </w:tr>
    </w:tbl>
    <w:p w14:paraId="68583825" w14:textId="5AA99F83" w:rsidR="003C5653" w:rsidRPr="008D65FD" w:rsidRDefault="000E562D" w:rsidP="00051A2B">
      <w:pPr>
        <w:pStyle w:val="NormalList"/>
        <w:spacing w:after="120" w:line="276" w:lineRule="auto"/>
        <w:ind w:left="7799"/>
        <w:rPr>
          <w:rFonts w:cs="Times New Roman"/>
          <w:b/>
        </w:rPr>
      </w:pPr>
      <w:r>
        <w:rPr>
          <w:rFonts w:cs="Times New Roman"/>
          <w:color w:val="000000"/>
          <w:sz w:val="16"/>
          <w:szCs w:val="16"/>
          <w:lang w:eastAsia="en-GB"/>
        </w:rPr>
        <w:t xml:space="preserve">               Z</w:t>
      </w:r>
      <w:r w:rsidR="00051A2B" w:rsidRPr="008D65FD">
        <w:rPr>
          <w:rFonts w:cs="Times New Roman"/>
          <w:color w:val="000000"/>
          <w:sz w:val="16"/>
          <w:szCs w:val="16"/>
          <w:lang w:eastAsia="en-GB"/>
        </w:rPr>
        <w:t>droj: MF SR</w:t>
      </w:r>
    </w:p>
    <w:p w14:paraId="0134562E" w14:textId="68516ACD" w:rsidR="00215BC5" w:rsidRPr="00504844" w:rsidRDefault="007608AA" w:rsidP="00AA46C8">
      <w:pPr>
        <w:pStyle w:val="Nadpis2"/>
        <w:numPr>
          <w:ilvl w:val="1"/>
          <w:numId w:val="3"/>
        </w:numPr>
      </w:pPr>
      <w:bookmarkStart w:id="39" w:name="_Toc399324369"/>
      <w:r>
        <w:t xml:space="preserve"> </w:t>
      </w:r>
      <w:bookmarkStart w:id="40" w:name="_Toc181095970"/>
      <w:r w:rsidR="00215BC5" w:rsidRPr="00504844">
        <w:t>Vyhodnotenie plnenia cieľov stratégie riadenia štátneho dlhu</w:t>
      </w:r>
      <w:bookmarkEnd w:id="40"/>
    </w:p>
    <w:p w14:paraId="47BF22B4" w14:textId="3C8F0D26" w:rsidR="00FD652C" w:rsidRPr="002746C4" w:rsidRDefault="00504844" w:rsidP="00B82252">
      <w:pPr>
        <w:spacing w:before="120" w:after="120" w:line="240" w:lineRule="auto"/>
        <w:jc w:val="both"/>
        <w:rPr>
          <w:szCs w:val="22"/>
          <w:highlight w:val="yellow"/>
        </w:rPr>
      </w:pPr>
      <w:r>
        <w:rPr>
          <w:szCs w:val="22"/>
        </w:rPr>
        <w:t>Vývoj s</w:t>
      </w:r>
      <w:r w:rsidRPr="00027C04">
        <w:rPr>
          <w:szCs w:val="22"/>
        </w:rPr>
        <w:t>vetov</w:t>
      </w:r>
      <w:r>
        <w:rPr>
          <w:szCs w:val="22"/>
        </w:rPr>
        <w:t>ej</w:t>
      </w:r>
      <w:r w:rsidRPr="00027C04">
        <w:rPr>
          <w:szCs w:val="22"/>
        </w:rPr>
        <w:t xml:space="preserve"> ekonomik</w:t>
      </w:r>
      <w:r>
        <w:rPr>
          <w:szCs w:val="22"/>
        </w:rPr>
        <w:t>y</w:t>
      </w:r>
      <w:r w:rsidRPr="00027C04">
        <w:rPr>
          <w:szCs w:val="22"/>
        </w:rPr>
        <w:t xml:space="preserve"> a finančn</w:t>
      </w:r>
      <w:r>
        <w:rPr>
          <w:szCs w:val="22"/>
        </w:rPr>
        <w:t>ých</w:t>
      </w:r>
      <w:r w:rsidRPr="00027C04">
        <w:rPr>
          <w:szCs w:val="22"/>
        </w:rPr>
        <w:t xml:space="preserve"> trh</w:t>
      </w:r>
      <w:r>
        <w:rPr>
          <w:szCs w:val="22"/>
        </w:rPr>
        <w:t>ov bol aj</w:t>
      </w:r>
      <w:r w:rsidRPr="00027C04">
        <w:rPr>
          <w:szCs w:val="22"/>
        </w:rPr>
        <w:t xml:space="preserve"> v roku 2023 </w:t>
      </w:r>
      <w:r>
        <w:rPr>
          <w:szCs w:val="22"/>
        </w:rPr>
        <w:t>ovplyvnený pokračujúcimi silnými ekonomickými a geopolitickými šokmi z predchádzajúcich období. Ekonomiky však pozitívne prekvapili svojou odolnosťou voči týmto šokom</w:t>
      </w:r>
      <w:r w:rsidRPr="00027C04">
        <w:rPr>
          <w:szCs w:val="22"/>
        </w:rPr>
        <w:t xml:space="preserve">. </w:t>
      </w:r>
      <w:r>
        <w:rPr>
          <w:szCs w:val="22"/>
        </w:rPr>
        <w:t>V</w:t>
      </w:r>
      <w:r w:rsidRPr="00027C04">
        <w:rPr>
          <w:szCs w:val="22"/>
        </w:rPr>
        <w:t>ojenská agresia Ruska proti Ukrajine a jej ekonomické dôsledky naďalej ovplyvňovali ceny energetických komodít</w:t>
      </w:r>
      <w:r>
        <w:rPr>
          <w:szCs w:val="22"/>
        </w:rPr>
        <w:t xml:space="preserve"> a poľnohospodárskych plodín a vytvárali pokračujúce inflačné tlaky, ktoré sa prejavili najmä v Európe, ale aj v USA. Situácia sa v</w:t>
      </w:r>
      <w:r w:rsidRPr="00027C04">
        <w:rPr>
          <w:szCs w:val="22"/>
        </w:rPr>
        <w:t xml:space="preserve"> priebehu roka </w:t>
      </w:r>
      <w:r>
        <w:rPr>
          <w:szCs w:val="22"/>
        </w:rPr>
        <w:t>však</w:t>
      </w:r>
      <w:r w:rsidRPr="00027C04">
        <w:rPr>
          <w:szCs w:val="22"/>
        </w:rPr>
        <w:t xml:space="preserve"> </w:t>
      </w:r>
      <w:r>
        <w:rPr>
          <w:szCs w:val="22"/>
        </w:rPr>
        <w:t xml:space="preserve">začala </w:t>
      </w:r>
      <w:r w:rsidRPr="00027C04">
        <w:rPr>
          <w:szCs w:val="22"/>
        </w:rPr>
        <w:t>postupne</w:t>
      </w:r>
      <w:r>
        <w:rPr>
          <w:szCs w:val="22"/>
        </w:rPr>
        <w:t xml:space="preserve"> </w:t>
      </w:r>
      <w:r w:rsidRPr="00027C04">
        <w:rPr>
          <w:szCs w:val="22"/>
        </w:rPr>
        <w:t>stabilizova</w:t>
      </w:r>
      <w:r>
        <w:rPr>
          <w:szCs w:val="22"/>
        </w:rPr>
        <w:t>ť</w:t>
      </w:r>
      <w:r w:rsidRPr="00027C04">
        <w:rPr>
          <w:szCs w:val="22"/>
        </w:rPr>
        <w:t>. Spoločné úsilie európskych krajín v d</w:t>
      </w:r>
      <w:r w:rsidR="00440134">
        <w:rPr>
          <w:szCs w:val="22"/>
        </w:rPr>
        <w:t>iverzifikácii zdrojov energie a </w:t>
      </w:r>
      <w:r w:rsidRPr="00027C04">
        <w:rPr>
          <w:szCs w:val="22"/>
        </w:rPr>
        <w:t>znižovaní závislosti od ruského plynu a ropy prispelo k zmierneniu energetického šoku a k poklesu cien komodít</w:t>
      </w:r>
      <w:r>
        <w:rPr>
          <w:szCs w:val="22"/>
        </w:rPr>
        <w:t>, pričom cena jednoročného future kontraktu obchodovaného na Amsterdamskej burze počas roku poklesla približne o polovicu. Napriek tomu však inflácia prekonávala historické štandardy a cieľ stanovený centrálnymi bankami. Sprísňovanie menovej politiky preto naďalej pokračovalo a základné úrokové sadzby prepisovali niekoľkoročné historické maximá na čele s </w:t>
      </w:r>
      <w:r w:rsidR="004D02C1">
        <w:rPr>
          <w:szCs w:val="22"/>
        </w:rPr>
        <w:t>americkým FEDom so sadzbou 5,3</w:t>
      </w:r>
      <w:r w:rsidR="00460110">
        <w:rPr>
          <w:szCs w:val="22"/>
        </w:rPr>
        <w:t> </w:t>
      </w:r>
      <w:r w:rsidR="004D02C1">
        <w:rPr>
          <w:szCs w:val="22"/>
        </w:rPr>
        <w:t>% - 5,5</w:t>
      </w:r>
      <w:r w:rsidR="00460110">
        <w:rPr>
          <w:szCs w:val="22"/>
        </w:rPr>
        <w:t> </w:t>
      </w:r>
      <w:r>
        <w:rPr>
          <w:szCs w:val="22"/>
        </w:rPr>
        <w:t>% s ECB v tesnom závese so sadzbou pre hlavné re</w:t>
      </w:r>
      <w:r w:rsidR="004D02C1">
        <w:rPr>
          <w:szCs w:val="22"/>
        </w:rPr>
        <w:t>finančné operácie na úrovni 4,5</w:t>
      </w:r>
      <w:r w:rsidR="00460110">
        <w:rPr>
          <w:szCs w:val="22"/>
        </w:rPr>
        <w:t> </w:t>
      </w:r>
      <w:r>
        <w:rPr>
          <w:szCs w:val="22"/>
        </w:rPr>
        <w:t>%. Jeden z najrýchlejších cyklov sprísňovania menovej politiky si však vyžiadal svoju daň v podobe odkrytia trhlín v stabilite finančného systému. Marcový kolaps americkej Silicon Valley Bank nasledovaný pádom švajčiarskej Credit Suisse vyvolal krátkodobú paniku na finančných trhoch. Ďalšie otrasy finančného systému sa však podarilo odvrátiť aj vďaka rýchlemu zásahu dohliadajúcich autorít, vďaka čomu sa podarilo obnoviť stabilitu na</w:t>
      </w:r>
      <w:r w:rsidR="008A1278">
        <w:rPr>
          <w:szCs w:val="22"/>
        </w:rPr>
        <w:t> </w:t>
      </w:r>
      <w:r>
        <w:rPr>
          <w:szCs w:val="22"/>
        </w:rPr>
        <w:t>finančných trhoch. Tie sa v roku 2023 vrátili k solídnym dvojciferným rastom naprieč Európou aj v USA posilnené očakávaniami z nastupujúceho oživenia svetovej ekonomiky a poklesu úrokových sadzieb v nasledujúcom období.</w:t>
      </w:r>
    </w:p>
    <w:p w14:paraId="00BC7222" w14:textId="77777777" w:rsidR="003724FD" w:rsidRDefault="003724FD" w:rsidP="003724FD">
      <w:pPr>
        <w:pStyle w:val="Popis"/>
        <w:framePr w:wrap="around" w:x="820" w:y="2108"/>
      </w:pPr>
      <w:r>
        <w:t xml:space="preserve">Graf </w:t>
      </w:r>
      <w:r w:rsidR="001F05DE">
        <w:fldChar w:fldCharType="begin"/>
      </w:r>
      <w:r w:rsidR="001F05DE">
        <w:instrText xml:space="preserve"> SEQ Graf \* ARABIC </w:instrText>
      </w:r>
      <w:r w:rsidR="001F05DE">
        <w:fldChar w:fldCharType="separate"/>
      </w:r>
      <w:r>
        <w:rPr>
          <w:noProof/>
        </w:rPr>
        <w:t>4</w:t>
      </w:r>
      <w:r w:rsidR="001F05DE">
        <w:rPr>
          <w:noProof/>
        </w:rPr>
        <w:fldChar w:fldCharType="end"/>
      </w:r>
      <w:r>
        <w:t xml:space="preserve"> - </w:t>
      </w:r>
      <w:r w:rsidRPr="00F15039">
        <w:t>Výnosy vybraných slovenských vládnych dlhopisov a riziková prirážka voči nemeckým 10-ročným štátnym dlhopisom (v % a p. b.)</w:t>
      </w:r>
    </w:p>
    <w:p w14:paraId="02065DBE" w14:textId="1B9DD263" w:rsidR="005406D6" w:rsidRDefault="00504844" w:rsidP="000D1D1F">
      <w:pPr>
        <w:spacing w:before="120" w:after="0" w:line="240" w:lineRule="auto"/>
        <w:jc w:val="both"/>
        <w:rPr>
          <w:szCs w:val="22"/>
        </w:rPr>
      </w:pPr>
      <w:r>
        <w:rPr>
          <w:szCs w:val="22"/>
        </w:rPr>
        <w:t>Vývoj na dlhopisovom trhu na Slovensku zostal poznačený blízkosťou vojenského konfliktu v</w:t>
      </w:r>
      <w:r w:rsidR="00460110">
        <w:rPr>
          <w:szCs w:val="22"/>
        </w:rPr>
        <w:t> </w:t>
      </w:r>
      <w:r>
        <w:rPr>
          <w:szCs w:val="22"/>
        </w:rPr>
        <w:t>Ukrajine ako aj politickou nestabilitou a rastúcimi deficitmi verejných financií. Priemerný výnos 10-ročného slovenského dlhopisu sa pohyboval na úrovni približne 3,7</w:t>
      </w:r>
      <w:r w:rsidR="00460110">
        <w:rPr>
          <w:szCs w:val="22"/>
        </w:rPr>
        <w:t> % </w:t>
      </w:r>
      <w:r>
        <w:rPr>
          <w:szCs w:val="22"/>
        </w:rPr>
        <w:t>p.</w:t>
      </w:r>
      <w:r w:rsidR="00460110">
        <w:rPr>
          <w:szCs w:val="22"/>
        </w:rPr>
        <w:t> </w:t>
      </w:r>
      <w:r>
        <w:rPr>
          <w:szCs w:val="22"/>
        </w:rPr>
        <w:t>a. s rizikovou prirážkou oproti nemeckému dlhopisu s rovnakou splatnosťou vo výške približne 120 bázických bodov. Výnosom aj veľkosťou rizikovej prirážky sa Slovensko v závere roka začalo približovať ku krajinám investormi dlhodobo považovanými za</w:t>
      </w:r>
      <w:r w:rsidR="00460110">
        <w:rPr>
          <w:szCs w:val="22"/>
        </w:rPr>
        <w:t> </w:t>
      </w:r>
      <w:r>
        <w:rPr>
          <w:szCs w:val="22"/>
        </w:rPr>
        <w:t xml:space="preserve">rizikových dlžníkov ako Grécko či Cyprus. Pokračujúce sprísňovanie menovej politiky a sťahovanie prebytočnej likvidity centrálnymi bankami tak ukončili obdobie priaznivo nízkych nákladov dlhového </w:t>
      </w:r>
      <w:r w:rsidRPr="00753884">
        <w:rPr>
          <w:szCs w:val="22"/>
        </w:rPr>
        <w:t>financovania.</w:t>
      </w:r>
    </w:p>
    <w:p w14:paraId="21BCB794" w14:textId="77777777" w:rsidR="00440134" w:rsidRDefault="00440134" w:rsidP="00B82252">
      <w:pPr>
        <w:spacing w:before="120" w:after="120" w:line="240" w:lineRule="auto"/>
        <w:jc w:val="both"/>
        <w:rPr>
          <w:szCs w:val="22"/>
        </w:rPr>
      </w:pPr>
      <w:r w:rsidRPr="00753884">
        <w:rPr>
          <w:noProof/>
          <w:lang w:eastAsia="sk-SK"/>
        </w:rPr>
        <w:drawing>
          <wp:inline distT="0" distB="0" distL="0" distR="0" wp14:anchorId="4E78B3CF" wp14:editId="262B4DC9">
            <wp:extent cx="5880100" cy="2660650"/>
            <wp:effectExtent l="0" t="0" r="6350" b="6350"/>
            <wp:docPr id="2" name="Graf 1">
              <a:extLst xmlns:a="http://schemas.openxmlformats.org/drawingml/2006/main">
                <a:ext uri="{FF2B5EF4-FFF2-40B4-BE49-F238E27FC236}">
                  <a16:creationId xmlns:a16="http://schemas.microsoft.com/office/drawing/2014/main" id="{42A80D33-A7C0-C69F-B3A8-4FC623B92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516199" w14:textId="0D9D9EB0" w:rsidR="00D22E0C" w:rsidRDefault="00440134" w:rsidP="00440134">
      <w:pPr>
        <w:autoSpaceDE w:val="0"/>
        <w:autoSpaceDN w:val="0"/>
        <w:adjustRightInd w:val="0"/>
        <w:spacing w:after="0" w:line="240" w:lineRule="auto"/>
        <w:ind w:left="5664" w:right="140"/>
        <w:jc w:val="right"/>
        <w:rPr>
          <w:sz w:val="18"/>
          <w:szCs w:val="18"/>
        </w:rPr>
      </w:pPr>
      <w:r w:rsidRPr="00753884">
        <w:rPr>
          <w:sz w:val="18"/>
          <w:szCs w:val="18"/>
        </w:rPr>
        <w:t>Zdroj: Bloomberg</w:t>
      </w:r>
    </w:p>
    <w:p w14:paraId="0EE83EF3" w14:textId="77777777" w:rsidR="004D48CB" w:rsidRDefault="004D48CB">
      <w:pPr>
        <w:rPr>
          <w:rFonts w:eastAsiaTheme="majorEastAsia"/>
          <w:b/>
          <w:szCs w:val="22"/>
        </w:rPr>
      </w:pPr>
      <w:bookmarkStart w:id="41" w:name="_Toc181095971"/>
      <w:r>
        <w:lastRenderedPageBreak/>
        <w:br w:type="page"/>
      </w:r>
    </w:p>
    <w:p w14:paraId="2745F61F" w14:textId="48DE301A" w:rsidR="00AD6AC1" w:rsidRPr="004A6DFC" w:rsidRDefault="00AD6AC1" w:rsidP="00AA46C8">
      <w:pPr>
        <w:pStyle w:val="Nadpis3"/>
        <w:numPr>
          <w:ilvl w:val="2"/>
          <w:numId w:val="17"/>
        </w:numPr>
      </w:pPr>
      <w:r w:rsidRPr="004A6DFC">
        <w:t>Vyhodnotenie plnenia cieľov stratégie riadenia štátneho dlhu</w:t>
      </w:r>
      <w:bookmarkEnd w:id="41"/>
    </w:p>
    <w:p w14:paraId="4AC81056" w14:textId="77777777" w:rsidR="00B82252" w:rsidRPr="004A6DFC" w:rsidRDefault="00B82252" w:rsidP="00B82252">
      <w:pPr>
        <w:spacing w:after="120" w:line="240" w:lineRule="auto"/>
        <w:jc w:val="both"/>
        <w:rPr>
          <w:szCs w:val="22"/>
        </w:rPr>
      </w:pPr>
      <w:r w:rsidRPr="004A6DFC">
        <w:rPr>
          <w:szCs w:val="22"/>
        </w:rPr>
        <w:t>V rámci stratégie riadenia štátneho dlhu sú stanovené kvantitatívne limity pre refinančné a úrokové riziko. Cieľom riadenia dlhu je dosiahnutie tesného priblíženia sa k stanoveným hodnotám, resp. udržanie parametrov dlhu čo najbližšie k stanoveným hodnotám.</w:t>
      </w:r>
    </w:p>
    <w:p w14:paraId="7827A056" w14:textId="0DB0B7CF" w:rsidR="00B82252" w:rsidRPr="004A6DFC" w:rsidRDefault="007C1BEE" w:rsidP="00B82252">
      <w:pPr>
        <w:pStyle w:val="Odsekzoznamu"/>
        <w:numPr>
          <w:ilvl w:val="0"/>
          <w:numId w:val="1"/>
        </w:numPr>
        <w:spacing w:after="120"/>
        <w:ind w:left="360"/>
        <w:jc w:val="both"/>
        <w:rPr>
          <w:rFonts w:cs="Times New Roman"/>
          <w:color w:val="000000" w:themeColor="text1"/>
        </w:rPr>
      </w:pPr>
      <w:r w:rsidRPr="004A6DFC">
        <w:rPr>
          <w:rFonts w:cs="Times New Roman"/>
          <w:color w:val="000000" w:themeColor="text1"/>
        </w:rPr>
        <w:t xml:space="preserve">Hodnota </w:t>
      </w:r>
      <w:r w:rsidRPr="004A6DFC">
        <w:rPr>
          <w:rFonts w:cs="Times New Roman"/>
          <w:b/>
          <w:color w:val="000000" w:themeColor="text1"/>
        </w:rPr>
        <w:t>refinančného rizika</w:t>
      </w:r>
      <w:r w:rsidRPr="004A6DFC">
        <w:rPr>
          <w:rFonts w:cs="Times New Roman"/>
          <w:color w:val="000000" w:themeColor="text1"/>
        </w:rPr>
        <w:t xml:space="preserve"> kumulatívnej splatnosti aktív a pasív do jedného roka bola stanovená na</w:t>
      </w:r>
      <w:r w:rsidR="00460110">
        <w:rPr>
          <w:rFonts w:cs="Times New Roman"/>
          <w:color w:val="000000" w:themeColor="text1"/>
        </w:rPr>
        <w:t> </w:t>
      </w:r>
      <w:r w:rsidRPr="004A6DFC">
        <w:rPr>
          <w:rFonts w:cs="Times New Roman"/>
          <w:color w:val="000000" w:themeColor="text1"/>
        </w:rPr>
        <w:t>úrovni 20</w:t>
      </w:r>
      <w:r w:rsidR="004D02C1">
        <w:rPr>
          <w:rFonts w:cs="Times New Roman"/>
          <w:color w:val="000000" w:themeColor="text1"/>
        </w:rPr>
        <w:t>,0</w:t>
      </w:r>
      <w:r w:rsidRPr="004A6DFC">
        <w:rPr>
          <w:rFonts w:cs="Times New Roman"/>
          <w:color w:val="000000" w:themeColor="text1"/>
        </w:rPr>
        <w:t xml:space="preserve"> % kumulatívnej splatnosti aktív a pasív splatných </w:t>
      </w:r>
      <w:r w:rsidRPr="004A6DFC">
        <w:rPr>
          <w:rFonts w:cs="Times New Roman"/>
          <w:b/>
          <w:color w:val="000000" w:themeColor="text1"/>
        </w:rPr>
        <w:t>do jedného roka</w:t>
      </w:r>
      <w:r w:rsidRPr="004A6DFC">
        <w:rPr>
          <w:rFonts w:cs="Times New Roman"/>
          <w:color w:val="000000" w:themeColor="text1"/>
        </w:rPr>
        <w:t xml:space="preserve"> ku</w:t>
      </w:r>
      <w:r w:rsidR="00460110">
        <w:rPr>
          <w:rFonts w:cs="Times New Roman"/>
          <w:color w:val="000000" w:themeColor="text1"/>
        </w:rPr>
        <w:t> </w:t>
      </w:r>
      <w:r w:rsidRPr="004A6DFC">
        <w:rPr>
          <w:rFonts w:cs="Times New Roman"/>
          <w:color w:val="000000" w:themeColor="text1"/>
        </w:rPr>
        <w:t>celkovému kumulatívnemu saldu aktív a pasív. Hodnota tohto kritéria ku koncu roka 2023 medziročne narástla z hodnoty 18,1</w:t>
      </w:r>
      <w:r w:rsidR="00460110">
        <w:rPr>
          <w:rFonts w:cs="Times New Roman"/>
          <w:color w:val="000000" w:themeColor="text1"/>
        </w:rPr>
        <w:t> </w:t>
      </w:r>
      <w:r w:rsidRPr="004A6DFC">
        <w:rPr>
          <w:rFonts w:cs="Times New Roman"/>
          <w:color w:val="000000" w:themeColor="text1"/>
        </w:rPr>
        <w:t xml:space="preserve">% vykázanej ku koncu roka 2022 na úroveň 19,0 %. Hodnota refinančného rizika kumulatívnej splatnosti aktív a pasív </w:t>
      </w:r>
      <w:r w:rsidRPr="004A6DFC">
        <w:rPr>
          <w:rFonts w:cs="Times New Roman"/>
          <w:b/>
          <w:color w:val="000000" w:themeColor="text1"/>
        </w:rPr>
        <w:t>do piatich rokov</w:t>
      </w:r>
      <w:r w:rsidRPr="004A6DFC">
        <w:rPr>
          <w:rFonts w:cs="Times New Roman"/>
          <w:color w:val="000000" w:themeColor="text1"/>
        </w:rPr>
        <w:t xml:space="preserve"> bola stanovená na úrovni 55</w:t>
      </w:r>
      <w:r w:rsidR="004D02C1">
        <w:rPr>
          <w:rFonts w:cs="Times New Roman"/>
          <w:color w:val="000000" w:themeColor="text1"/>
        </w:rPr>
        <w:t>,0</w:t>
      </w:r>
      <w:r w:rsidR="00460110">
        <w:rPr>
          <w:rFonts w:cs="Times New Roman"/>
          <w:color w:val="000000" w:themeColor="text1"/>
        </w:rPr>
        <w:t> </w:t>
      </w:r>
      <w:r w:rsidRPr="004A6DFC">
        <w:rPr>
          <w:rFonts w:cs="Times New Roman"/>
          <w:color w:val="000000" w:themeColor="text1"/>
        </w:rPr>
        <w:t>% kumulatívnej splatnosti aktív a pasív splatných do piatich rokov ku celkov</w:t>
      </w:r>
      <w:r w:rsidR="00645EDA">
        <w:rPr>
          <w:rFonts w:cs="Times New Roman"/>
          <w:color w:val="000000" w:themeColor="text1"/>
        </w:rPr>
        <w:t>ému kumulatívnemu saldu aktív a </w:t>
      </w:r>
      <w:r w:rsidRPr="004A6DFC">
        <w:rPr>
          <w:rFonts w:cs="Times New Roman"/>
          <w:color w:val="000000" w:themeColor="text1"/>
        </w:rPr>
        <w:t>pasív. Hodnota tohto kritéria bola približne 43,4</w:t>
      </w:r>
      <w:r w:rsidR="00460110">
        <w:rPr>
          <w:rFonts w:cs="Times New Roman"/>
          <w:color w:val="000000" w:themeColor="text1"/>
        </w:rPr>
        <w:t> </w:t>
      </w:r>
      <w:r w:rsidRPr="004A6DFC">
        <w:rPr>
          <w:rFonts w:cs="Times New Roman"/>
          <w:color w:val="000000" w:themeColor="text1"/>
        </w:rPr>
        <w:t>% na konci roka 2023. V porovnaní s rovnakým obdobím predošlého roka došlo k nárastu z hodnoty 46,0 %.</w:t>
      </w:r>
    </w:p>
    <w:p w14:paraId="233EEF11" w14:textId="029A8EE0" w:rsidR="00B82252" w:rsidRPr="004A6DFC" w:rsidRDefault="007C1BEE" w:rsidP="007C1BEE">
      <w:pPr>
        <w:pStyle w:val="Odsekzoznamu"/>
        <w:numPr>
          <w:ilvl w:val="0"/>
          <w:numId w:val="1"/>
        </w:numPr>
        <w:spacing w:after="120"/>
        <w:ind w:left="357" w:hanging="357"/>
        <w:jc w:val="both"/>
        <w:rPr>
          <w:rFonts w:cs="Times New Roman"/>
          <w:color w:val="000000" w:themeColor="text1"/>
        </w:rPr>
      </w:pPr>
      <w:r w:rsidRPr="004A6DFC">
        <w:rPr>
          <w:rFonts w:cs="Times New Roman"/>
          <w:color w:val="000000" w:themeColor="text1"/>
        </w:rPr>
        <w:t>Hodnota úrokového rizika kumulatívnej refixácie aktív a pasív do jedného roka bola stanovená na</w:t>
      </w:r>
      <w:r w:rsidR="00460110">
        <w:rPr>
          <w:rFonts w:cs="Times New Roman"/>
          <w:color w:val="000000" w:themeColor="text1"/>
        </w:rPr>
        <w:t> </w:t>
      </w:r>
      <w:r w:rsidRPr="004A6DFC">
        <w:rPr>
          <w:rFonts w:cs="Times New Roman"/>
          <w:color w:val="000000" w:themeColor="text1"/>
        </w:rPr>
        <w:t>úrovni 25</w:t>
      </w:r>
      <w:r w:rsidR="004D02C1">
        <w:rPr>
          <w:rFonts w:cs="Times New Roman"/>
          <w:color w:val="000000" w:themeColor="text1"/>
        </w:rPr>
        <w:t>,0</w:t>
      </w:r>
      <w:r w:rsidR="00460110">
        <w:rPr>
          <w:rFonts w:cs="Times New Roman"/>
          <w:color w:val="000000" w:themeColor="text1"/>
        </w:rPr>
        <w:t> </w:t>
      </w:r>
      <w:r w:rsidRPr="004A6DFC">
        <w:rPr>
          <w:rFonts w:cs="Times New Roman"/>
          <w:color w:val="000000" w:themeColor="text1"/>
        </w:rPr>
        <w:t>% kumulatívnej splatnosti aktív a pasív refixovaných do jedného roka ku</w:t>
      </w:r>
      <w:r w:rsidR="00460110">
        <w:rPr>
          <w:rFonts w:cs="Times New Roman"/>
          <w:color w:val="000000" w:themeColor="text1"/>
        </w:rPr>
        <w:t> </w:t>
      </w:r>
      <w:r w:rsidRPr="004A6DFC">
        <w:rPr>
          <w:rFonts w:cs="Times New Roman"/>
          <w:color w:val="000000" w:themeColor="text1"/>
        </w:rPr>
        <w:t xml:space="preserve">celkovému kumulatívnemu saldu aktív a pasív. Hodnota tohto kritéria bola na </w:t>
      </w:r>
      <w:r w:rsidR="00643D75">
        <w:rPr>
          <w:rFonts w:cs="Times New Roman"/>
          <w:color w:val="000000" w:themeColor="text1"/>
        </w:rPr>
        <w:t>úrovni 19,0 % ku koncu roka 2023</w:t>
      </w:r>
      <w:r w:rsidRPr="004A6DFC">
        <w:rPr>
          <w:rFonts w:cs="Times New Roman"/>
          <w:color w:val="000000" w:themeColor="text1"/>
        </w:rPr>
        <w:t xml:space="preserve"> (18,1</w:t>
      </w:r>
      <w:r w:rsidR="00460110">
        <w:rPr>
          <w:rFonts w:cs="Times New Roman"/>
          <w:color w:val="000000" w:themeColor="text1"/>
        </w:rPr>
        <w:t> </w:t>
      </w:r>
      <w:r w:rsidRPr="004A6DFC">
        <w:rPr>
          <w:rFonts w:cs="Times New Roman"/>
          <w:color w:val="000000" w:themeColor="text1"/>
        </w:rPr>
        <w:t>% ku koncu roka 2022). Hodnota úrokového rizika kumulatívnej refixácie aktív a pasív do</w:t>
      </w:r>
      <w:r w:rsidR="00460110">
        <w:rPr>
          <w:rFonts w:cs="Times New Roman"/>
          <w:color w:val="000000" w:themeColor="text1"/>
        </w:rPr>
        <w:t> </w:t>
      </w:r>
      <w:r w:rsidRPr="004A6DFC">
        <w:rPr>
          <w:rFonts w:cs="Times New Roman"/>
          <w:color w:val="000000" w:themeColor="text1"/>
        </w:rPr>
        <w:t>piatich rokov</w:t>
      </w:r>
      <w:r w:rsidR="00460110">
        <w:rPr>
          <w:rFonts w:cs="Times New Roman"/>
          <w:color w:val="000000" w:themeColor="text1"/>
        </w:rPr>
        <w:t xml:space="preserve"> bola stanovená na úrovni 55</w:t>
      </w:r>
      <w:r w:rsidR="004D02C1">
        <w:rPr>
          <w:rFonts w:cs="Times New Roman"/>
          <w:color w:val="000000" w:themeColor="text1"/>
        </w:rPr>
        <w:t>,0</w:t>
      </w:r>
      <w:r w:rsidR="00460110">
        <w:rPr>
          <w:rFonts w:cs="Times New Roman"/>
          <w:color w:val="000000" w:themeColor="text1"/>
        </w:rPr>
        <w:t> </w:t>
      </w:r>
      <w:r w:rsidRPr="004A6DFC">
        <w:rPr>
          <w:rFonts w:cs="Times New Roman"/>
          <w:color w:val="000000" w:themeColor="text1"/>
        </w:rPr>
        <w:t>% kumulatívnej splatnosti aktív a pasív refixovaných do</w:t>
      </w:r>
      <w:r w:rsidR="00460110">
        <w:rPr>
          <w:rFonts w:cs="Times New Roman"/>
          <w:color w:val="000000" w:themeColor="text1"/>
        </w:rPr>
        <w:t> </w:t>
      </w:r>
      <w:r w:rsidRPr="004A6DFC">
        <w:rPr>
          <w:rFonts w:cs="Times New Roman"/>
          <w:color w:val="000000" w:themeColor="text1"/>
        </w:rPr>
        <w:t>piatich rokov ku celkovému kumulatívnemu saldu aktív a pasív. Hodnota tohto kritéria bola na úrovni 43,4 % ku koncu roka 2023 (46,0 % ku koncu roka 2022).</w:t>
      </w:r>
    </w:p>
    <w:p w14:paraId="40662156" w14:textId="531FFCEB" w:rsidR="00B82252" w:rsidRPr="004A6DFC" w:rsidRDefault="007C1BEE" w:rsidP="00B82252">
      <w:pPr>
        <w:pStyle w:val="Odsekzoznamu"/>
        <w:numPr>
          <w:ilvl w:val="0"/>
          <w:numId w:val="1"/>
        </w:numPr>
        <w:spacing w:after="120"/>
        <w:ind w:left="360"/>
        <w:jc w:val="both"/>
        <w:rPr>
          <w:rFonts w:cs="Times New Roman"/>
        </w:rPr>
      </w:pPr>
      <w:r w:rsidRPr="004A6DFC">
        <w:rPr>
          <w:rFonts w:cs="Times New Roman"/>
        </w:rPr>
        <w:t>V roku 2023 boli otvorené tri nové línie dlhopisov so splatnosťami 10, 12 a 20 rokov. Dlhopis so</w:t>
      </w:r>
      <w:r w:rsidR="00460110">
        <w:rPr>
          <w:rFonts w:cs="Times New Roman"/>
        </w:rPr>
        <w:t> </w:t>
      </w:r>
      <w:r w:rsidRPr="004A6DFC">
        <w:rPr>
          <w:rFonts w:cs="Times New Roman"/>
        </w:rPr>
        <w:t>splatnosťou v roku 2033 bol predaný prostredníctvom syndikátu vybraných primárnych dealerov s kupónovým výnosom 3,625</w:t>
      </w:r>
      <w:r w:rsidR="00460110">
        <w:rPr>
          <w:rFonts w:cs="Times New Roman"/>
        </w:rPr>
        <w:t> </w:t>
      </w:r>
      <w:r w:rsidRPr="004A6DFC">
        <w:rPr>
          <w:rFonts w:cs="Times New Roman"/>
        </w:rPr>
        <w:t>% v menovitej hodnote 2,0</w:t>
      </w:r>
      <w:r w:rsidR="00460110">
        <w:rPr>
          <w:rFonts w:cs="Times New Roman"/>
        </w:rPr>
        <w:t> </w:t>
      </w:r>
      <w:r w:rsidRPr="004A6DFC">
        <w:rPr>
          <w:rFonts w:cs="Times New Roman"/>
        </w:rPr>
        <w:t>mld.</w:t>
      </w:r>
      <w:r w:rsidR="00460110">
        <w:rPr>
          <w:rFonts w:cs="Times New Roman"/>
        </w:rPr>
        <w:t> eur</w:t>
      </w:r>
      <w:r w:rsidRPr="004A6DFC">
        <w:rPr>
          <w:rFonts w:cs="Times New Roman"/>
        </w:rPr>
        <w:t>, dlhopis so splatnosťou v roku 2035 bol predaný prostredníctvom syndikátu vybraných primárnych dealerov s kupónovým výnosom 3,750</w:t>
      </w:r>
      <w:r w:rsidR="00460110">
        <w:rPr>
          <w:rFonts w:cs="Times New Roman"/>
        </w:rPr>
        <w:t> </w:t>
      </w:r>
      <w:r w:rsidRPr="004A6DFC">
        <w:rPr>
          <w:rFonts w:cs="Times New Roman"/>
        </w:rPr>
        <w:t>% v menovitej hodnote 2,0</w:t>
      </w:r>
      <w:r w:rsidR="00460110">
        <w:rPr>
          <w:rFonts w:cs="Times New Roman"/>
        </w:rPr>
        <w:t> </w:t>
      </w:r>
      <w:r w:rsidRPr="004A6DFC">
        <w:rPr>
          <w:rFonts w:cs="Times New Roman"/>
        </w:rPr>
        <w:t>mld.</w:t>
      </w:r>
      <w:r w:rsidR="00460110">
        <w:rPr>
          <w:rFonts w:cs="Times New Roman"/>
        </w:rPr>
        <w:t> </w:t>
      </w:r>
      <w:r w:rsidRPr="004A6DFC">
        <w:rPr>
          <w:rFonts w:cs="Times New Roman"/>
        </w:rPr>
        <w:t>eur a dlhopis so splatnosťou v roku 2043 bol predaný prostredníctvom syndikátu vybraných primárnych dealerov s kupónovým výnosom 4,000</w:t>
      </w:r>
      <w:r w:rsidR="00460110">
        <w:rPr>
          <w:rFonts w:cs="Times New Roman"/>
        </w:rPr>
        <w:t> </w:t>
      </w:r>
      <w:r w:rsidRPr="004A6DFC">
        <w:rPr>
          <w:rFonts w:cs="Times New Roman"/>
        </w:rPr>
        <w:t>% v menovitej hodnote 1,5</w:t>
      </w:r>
      <w:r w:rsidR="00460110">
        <w:rPr>
          <w:rFonts w:cs="Times New Roman"/>
        </w:rPr>
        <w:t> </w:t>
      </w:r>
      <w:r w:rsidRPr="004A6DFC">
        <w:rPr>
          <w:rFonts w:cs="Times New Roman"/>
        </w:rPr>
        <w:t>mld.</w:t>
      </w:r>
      <w:r w:rsidR="00460110">
        <w:rPr>
          <w:rFonts w:cs="Times New Roman"/>
        </w:rPr>
        <w:t> </w:t>
      </w:r>
      <w:r w:rsidRPr="004A6DFC">
        <w:rPr>
          <w:rFonts w:cs="Times New Roman"/>
        </w:rPr>
        <w:t>euro. Všetky tieto dlhopisy boli tiež predávané formou aukčného predaja.</w:t>
      </w:r>
    </w:p>
    <w:p w14:paraId="2919C8FE" w14:textId="6CA2F52E" w:rsidR="00B82252" w:rsidRPr="003257A9" w:rsidRDefault="00B82252" w:rsidP="00B82252">
      <w:pPr>
        <w:pStyle w:val="Odsekzoznamu"/>
        <w:numPr>
          <w:ilvl w:val="0"/>
          <w:numId w:val="1"/>
        </w:numPr>
        <w:spacing w:after="120"/>
        <w:ind w:left="360"/>
        <w:jc w:val="both"/>
        <w:rPr>
          <w:rFonts w:cs="Times New Roman"/>
        </w:rPr>
      </w:pPr>
      <w:r w:rsidRPr="004A6DFC">
        <w:rPr>
          <w:rFonts w:cs="Times New Roman"/>
        </w:rPr>
        <w:t xml:space="preserve"> </w:t>
      </w:r>
      <w:r w:rsidR="007C1BEE" w:rsidRPr="004A6DFC">
        <w:rPr>
          <w:rFonts w:cs="Times New Roman"/>
        </w:rPr>
        <w:t>K 31.12.2023 malo MF SR „živých“ celkovo 29 emisií (z toho 3</w:t>
      </w:r>
      <w:r w:rsidR="00645EDA">
        <w:rPr>
          <w:rFonts w:cs="Times New Roman"/>
        </w:rPr>
        <w:t xml:space="preserve"> emisie registrované v </w:t>
      </w:r>
      <w:r w:rsidR="007C1BEE" w:rsidRPr="004A6DFC">
        <w:rPr>
          <w:rFonts w:cs="Times New Roman"/>
        </w:rPr>
        <w:t xml:space="preserve">zahraničí). </w:t>
      </w:r>
      <w:r w:rsidR="007C1BEE" w:rsidRPr="003257A9">
        <w:rPr>
          <w:rFonts w:cs="Times New Roman"/>
        </w:rPr>
        <w:t>Okrem meny EUR boli k ultimu roka 2023 emitované slovenské štátne dlhopisy aj v mene NOK.</w:t>
      </w:r>
    </w:p>
    <w:p w14:paraId="2C1A3291" w14:textId="3638BC54" w:rsidR="007A47DD" w:rsidRPr="003257A9" w:rsidRDefault="007A47DD" w:rsidP="00AA46C8">
      <w:pPr>
        <w:pStyle w:val="Nadpis3"/>
        <w:numPr>
          <w:ilvl w:val="2"/>
          <w:numId w:val="17"/>
        </w:numPr>
      </w:pPr>
      <w:bookmarkStart w:id="42" w:name="_Toc181095972"/>
      <w:r w:rsidRPr="003257A9">
        <w:t>Riadenie štátneho dlhu v roku 20</w:t>
      </w:r>
      <w:r w:rsidR="00024B0D" w:rsidRPr="003257A9">
        <w:t>2</w:t>
      </w:r>
      <w:r w:rsidR="003257A9" w:rsidRPr="003257A9">
        <w:t>3</w:t>
      </w:r>
      <w:bookmarkEnd w:id="42"/>
    </w:p>
    <w:p w14:paraId="0FE52111" w14:textId="2BF5CE57" w:rsidR="00B82252" w:rsidRPr="002746C4" w:rsidRDefault="003257A9" w:rsidP="005406D6">
      <w:pPr>
        <w:spacing w:before="120" w:after="120" w:line="240" w:lineRule="auto"/>
        <w:jc w:val="both"/>
        <w:rPr>
          <w:highlight w:val="yellow"/>
        </w:rPr>
      </w:pPr>
      <w:bookmarkStart w:id="43" w:name="_Toc401920023"/>
      <w:bookmarkStart w:id="44" w:name="_Toc465255024"/>
      <w:bookmarkStart w:id="45" w:name="_Toc495990492"/>
      <w:r>
        <w:t>Agentúra pre riadene dlhu a likvidity emitovala v mene MF SR v roku 2023 dlhopisy v celkovej hodnote 10</w:t>
      </w:r>
      <w:r w:rsidR="00460110">
        <w:t> </w:t>
      </w:r>
      <w:r>
        <w:t>442</w:t>
      </w:r>
      <w:r w:rsidR="00460110">
        <w:t> </w:t>
      </w:r>
      <w:r>
        <w:t>100</w:t>
      </w:r>
      <w:r w:rsidR="00460110">
        <w:t> </w:t>
      </w:r>
      <w:r>
        <w:t>tis.</w:t>
      </w:r>
      <w:r w:rsidR="00460110">
        <w:t> </w:t>
      </w:r>
      <w:r>
        <w:t>eur, pričom vydala dlhopisy denominované len v mene EUR s fixnou úrokovou sadzbou s priemernou splatnosťou 11,7 roka. V roku 2023 neboli vydané žiadne štátne pokladničné poukážky.</w:t>
      </w:r>
      <w:r w:rsidRPr="00F562C3">
        <w:t xml:space="preserve"> Okrem cenných papierov boli na krytie dlhu prijaté úvery v nominálnej hodnote 20</w:t>
      </w:r>
      <w:r w:rsidR="001E4BB5">
        <w:t> </w:t>
      </w:r>
      <w:r w:rsidRPr="00F562C3">
        <w:t>000</w:t>
      </w:r>
      <w:r w:rsidR="001E4BB5">
        <w:t> </w:t>
      </w:r>
      <w:r w:rsidRPr="00F562C3">
        <w:t>tis.</w:t>
      </w:r>
      <w:r w:rsidR="001E4BB5">
        <w:t> </w:t>
      </w:r>
      <w:r w:rsidRPr="00F562C3">
        <w:t>eur s</w:t>
      </w:r>
      <w:r w:rsidR="001E4BB5">
        <w:t> </w:t>
      </w:r>
      <w:r w:rsidRPr="00F562C3">
        <w:t>priemernou váženou úrokovou sadzbou 3,34</w:t>
      </w:r>
      <w:r w:rsidR="001E4BB5">
        <w:t> </w:t>
      </w:r>
      <w:r w:rsidRPr="00F562C3">
        <w:t>% a</w:t>
      </w:r>
      <w:r w:rsidR="001E4BB5">
        <w:t> </w:t>
      </w:r>
      <w:r w:rsidRPr="00F562C3">
        <w:t>s</w:t>
      </w:r>
      <w:r w:rsidR="001E4BB5">
        <w:t> </w:t>
      </w:r>
      <w:r w:rsidRPr="00F562C3">
        <w:t>priemernou váženou splatnosťou 8,0 rokov.</w:t>
      </w:r>
    </w:p>
    <w:p w14:paraId="167F455E" w14:textId="77777777" w:rsidR="004F6353" w:rsidRDefault="004F6353" w:rsidP="004F6353">
      <w:pPr>
        <w:pStyle w:val="Popis"/>
        <w:framePr w:wrap="around" w:x="1720" w:y="690"/>
      </w:pPr>
      <w:r>
        <w:t xml:space="preserve">Tabuľka </w:t>
      </w:r>
      <w:r w:rsidR="001F05DE">
        <w:fldChar w:fldCharType="begin"/>
      </w:r>
      <w:r w:rsidR="001F05DE">
        <w:instrText xml:space="preserve"> SEQ Tabuľka \* ARABIC </w:instrText>
      </w:r>
      <w:r w:rsidR="001F05DE">
        <w:fldChar w:fldCharType="separate"/>
      </w:r>
      <w:r>
        <w:rPr>
          <w:noProof/>
        </w:rPr>
        <w:t>16</w:t>
      </w:r>
      <w:r w:rsidR="001F05DE">
        <w:rPr>
          <w:noProof/>
        </w:rPr>
        <w:fldChar w:fldCharType="end"/>
      </w:r>
      <w:r>
        <w:t xml:space="preserve"> - </w:t>
      </w:r>
      <w:r w:rsidRPr="00817748">
        <w:t>Štátny dlh realizovaný v roku 2023</w:t>
      </w:r>
      <w:r>
        <w:t xml:space="preserve"> v tis. eur</w:t>
      </w:r>
    </w:p>
    <w:p w14:paraId="77E4A3AB" w14:textId="6D4AA661" w:rsidR="007E2555" w:rsidRPr="002746C4" w:rsidRDefault="003257A9" w:rsidP="005406D6">
      <w:pPr>
        <w:spacing w:before="120" w:after="120" w:line="240" w:lineRule="auto"/>
        <w:jc w:val="both"/>
        <w:rPr>
          <w:highlight w:val="yellow"/>
        </w:rPr>
      </w:pPr>
      <w:r>
        <w:t>Nasledujúca tabuľka prezentuje základné kvantitatívne parametre riadenia štátneho dlhu v roku 2023. Štruktúra tabuľky obsahuje priemernú úrokovú sadzbu a splatnosť pri novom vydanom (emitovanom) dlhu.</w:t>
      </w:r>
    </w:p>
    <w:tbl>
      <w:tblPr>
        <w:tblW w:w="5000" w:type="pct"/>
        <w:tblCellMar>
          <w:left w:w="70" w:type="dxa"/>
          <w:right w:w="70" w:type="dxa"/>
        </w:tblCellMar>
        <w:tblLook w:val="04A0" w:firstRow="1" w:lastRow="0" w:firstColumn="1" w:lastColumn="0" w:noHBand="0" w:noVBand="1"/>
      </w:tblPr>
      <w:tblGrid>
        <w:gridCol w:w="3046"/>
        <w:gridCol w:w="1306"/>
        <w:gridCol w:w="1863"/>
        <w:gridCol w:w="1650"/>
        <w:gridCol w:w="1489"/>
      </w:tblGrid>
      <w:tr w:rsidR="00BB4B6F" w:rsidRPr="00C3779A" w14:paraId="29076A6A" w14:textId="77777777" w:rsidTr="00C3779A">
        <w:trPr>
          <w:trHeight w:val="765"/>
        </w:trPr>
        <w:tc>
          <w:tcPr>
            <w:tcW w:w="1628" w:type="pct"/>
            <w:tcBorders>
              <w:top w:val="single" w:sz="4" w:space="0" w:color="auto"/>
              <w:left w:val="nil"/>
              <w:bottom w:val="nil"/>
              <w:right w:val="nil"/>
            </w:tcBorders>
            <w:shd w:val="clear" w:color="auto" w:fill="auto"/>
            <w:vAlign w:val="center"/>
            <w:hideMark/>
          </w:tcPr>
          <w:p w14:paraId="305C74AB" w14:textId="77777777" w:rsidR="007E2555" w:rsidRPr="00C3779A" w:rsidRDefault="007E2555" w:rsidP="00DC6F21">
            <w:pPr>
              <w:spacing w:after="0" w:line="240" w:lineRule="auto"/>
              <w:jc w:val="center"/>
              <w:rPr>
                <w:b/>
                <w:sz w:val="18"/>
                <w:szCs w:val="18"/>
                <w:lang w:eastAsia="sk-SK"/>
              </w:rPr>
            </w:pPr>
            <w:r w:rsidRPr="00C3779A">
              <w:rPr>
                <w:b/>
                <w:sz w:val="18"/>
                <w:szCs w:val="18"/>
                <w:lang w:eastAsia="sk-SK"/>
              </w:rPr>
              <w:t>Typ cenného papiera</w:t>
            </w:r>
          </w:p>
        </w:tc>
        <w:tc>
          <w:tcPr>
            <w:tcW w:w="698" w:type="pct"/>
            <w:tcBorders>
              <w:top w:val="single" w:sz="4" w:space="0" w:color="auto"/>
              <w:left w:val="nil"/>
              <w:bottom w:val="nil"/>
              <w:right w:val="nil"/>
            </w:tcBorders>
            <w:shd w:val="clear" w:color="auto" w:fill="auto"/>
            <w:vAlign w:val="center"/>
            <w:hideMark/>
          </w:tcPr>
          <w:p w14:paraId="65F48E4C" w14:textId="77777777" w:rsidR="007E2555" w:rsidRPr="00C3779A" w:rsidRDefault="007E2555" w:rsidP="00DC6F21">
            <w:pPr>
              <w:spacing w:after="0" w:line="240" w:lineRule="auto"/>
              <w:jc w:val="center"/>
              <w:rPr>
                <w:b/>
                <w:sz w:val="18"/>
                <w:szCs w:val="18"/>
                <w:lang w:eastAsia="sk-SK"/>
              </w:rPr>
            </w:pPr>
            <w:r w:rsidRPr="00C3779A">
              <w:rPr>
                <w:b/>
                <w:sz w:val="18"/>
                <w:szCs w:val="18"/>
                <w:lang w:eastAsia="sk-SK"/>
              </w:rPr>
              <w:t>Nominálna hodnota</w:t>
            </w:r>
          </w:p>
        </w:tc>
        <w:tc>
          <w:tcPr>
            <w:tcW w:w="996" w:type="pct"/>
            <w:tcBorders>
              <w:top w:val="single" w:sz="4" w:space="0" w:color="auto"/>
              <w:left w:val="nil"/>
              <w:bottom w:val="nil"/>
              <w:right w:val="nil"/>
            </w:tcBorders>
            <w:shd w:val="clear" w:color="auto" w:fill="auto"/>
            <w:vAlign w:val="center"/>
            <w:hideMark/>
          </w:tcPr>
          <w:p w14:paraId="7203F311" w14:textId="77777777" w:rsidR="007E2555" w:rsidRPr="00C3779A" w:rsidRDefault="007E2555" w:rsidP="00DC6F21">
            <w:pPr>
              <w:spacing w:after="0" w:line="240" w:lineRule="auto"/>
              <w:jc w:val="center"/>
              <w:rPr>
                <w:b/>
                <w:sz w:val="18"/>
                <w:szCs w:val="18"/>
                <w:lang w:eastAsia="sk-SK"/>
              </w:rPr>
            </w:pPr>
            <w:r w:rsidRPr="00C3779A">
              <w:rPr>
                <w:b/>
                <w:sz w:val="18"/>
                <w:szCs w:val="18"/>
                <w:lang w:eastAsia="sk-SK"/>
              </w:rPr>
              <w:t>Priemerný úrok / prirážka (ŠD float)</w:t>
            </w:r>
          </w:p>
        </w:tc>
        <w:tc>
          <w:tcPr>
            <w:tcW w:w="882" w:type="pct"/>
            <w:tcBorders>
              <w:top w:val="single" w:sz="4" w:space="0" w:color="auto"/>
              <w:left w:val="nil"/>
              <w:bottom w:val="nil"/>
              <w:right w:val="nil"/>
            </w:tcBorders>
            <w:shd w:val="clear" w:color="auto" w:fill="auto"/>
            <w:vAlign w:val="center"/>
            <w:hideMark/>
          </w:tcPr>
          <w:p w14:paraId="1C90BDE0" w14:textId="77777777" w:rsidR="007E2555" w:rsidRPr="00C3779A" w:rsidRDefault="007E2555" w:rsidP="00DC6F21">
            <w:pPr>
              <w:spacing w:after="0" w:line="240" w:lineRule="auto"/>
              <w:jc w:val="center"/>
              <w:rPr>
                <w:b/>
                <w:sz w:val="18"/>
                <w:szCs w:val="18"/>
                <w:lang w:eastAsia="sk-SK"/>
              </w:rPr>
            </w:pPr>
            <w:r w:rsidRPr="00C3779A">
              <w:rPr>
                <w:b/>
                <w:sz w:val="18"/>
                <w:szCs w:val="18"/>
                <w:lang w:eastAsia="sk-SK"/>
              </w:rPr>
              <w:t>Priemerná splatnosť (rok)</w:t>
            </w:r>
          </w:p>
        </w:tc>
        <w:tc>
          <w:tcPr>
            <w:tcW w:w="796" w:type="pct"/>
            <w:tcBorders>
              <w:top w:val="single" w:sz="4" w:space="0" w:color="auto"/>
              <w:left w:val="nil"/>
              <w:bottom w:val="nil"/>
              <w:right w:val="nil"/>
            </w:tcBorders>
            <w:shd w:val="clear" w:color="auto" w:fill="auto"/>
            <w:vAlign w:val="center"/>
            <w:hideMark/>
          </w:tcPr>
          <w:p w14:paraId="77D10706" w14:textId="77777777" w:rsidR="007E2555" w:rsidRPr="00C3779A" w:rsidRDefault="007E2555" w:rsidP="00DC6F21">
            <w:pPr>
              <w:spacing w:after="0" w:line="240" w:lineRule="auto"/>
              <w:jc w:val="center"/>
              <w:rPr>
                <w:b/>
                <w:sz w:val="18"/>
                <w:szCs w:val="18"/>
                <w:lang w:eastAsia="sk-SK"/>
              </w:rPr>
            </w:pPr>
            <w:r w:rsidRPr="00C3779A">
              <w:rPr>
                <w:b/>
                <w:sz w:val="18"/>
                <w:szCs w:val="18"/>
                <w:lang w:eastAsia="sk-SK"/>
              </w:rPr>
              <w:t>Typ kupónovej sadzby</w:t>
            </w:r>
          </w:p>
        </w:tc>
      </w:tr>
      <w:tr w:rsidR="003257A9" w:rsidRPr="00C3779A" w14:paraId="021FDC29" w14:textId="77777777" w:rsidTr="0018625A">
        <w:trPr>
          <w:trHeight w:val="255"/>
        </w:trPr>
        <w:tc>
          <w:tcPr>
            <w:tcW w:w="1628" w:type="pct"/>
            <w:tcBorders>
              <w:top w:val="single" w:sz="4" w:space="0" w:color="auto"/>
              <w:left w:val="nil"/>
              <w:bottom w:val="nil"/>
              <w:right w:val="nil"/>
            </w:tcBorders>
            <w:shd w:val="clear" w:color="auto" w:fill="auto"/>
            <w:noWrap/>
            <w:vAlign w:val="bottom"/>
            <w:hideMark/>
          </w:tcPr>
          <w:p w14:paraId="1C8A3A74" w14:textId="77777777" w:rsidR="003257A9" w:rsidRPr="00C3779A" w:rsidRDefault="003257A9" w:rsidP="003257A9">
            <w:pPr>
              <w:spacing w:after="0" w:line="240" w:lineRule="auto"/>
              <w:ind w:firstLineChars="100" w:firstLine="180"/>
              <w:rPr>
                <w:sz w:val="18"/>
                <w:szCs w:val="18"/>
              </w:rPr>
            </w:pPr>
            <w:r w:rsidRPr="00C3779A">
              <w:rPr>
                <w:sz w:val="18"/>
                <w:szCs w:val="18"/>
              </w:rPr>
              <w:t>ŠD fix</w:t>
            </w:r>
          </w:p>
        </w:tc>
        <w:tc>
          <w:tcPr>
            <w:tcW w:w="698" w:type="pct"/>
            <w:tcBorders>
              <w:top w:val="single" w:sz="4" w:space="0" w:color="auto"/>
              <w:left w:val="nil"/>
              <w:bottom w:val="nil"/>
              <w:right w:val="nil"/>
            </w:tcBorders>
            <w:shd w:val="clear" w:color="auto" w:fill="auto"/>
            <w:noWrap/>
            <w:vAlign w:val="bottom"/>
            <w:hideMark/>
          </w:tcPr>
          <w:p w14:paraId="7DF134BA" w14:textId="0E8BBEDE" w:rsidR="003257A9" w:rsidRPr="00C3779A" w:rsidRDefault="003257A9" w:rsidP="00A654BD">
            <w:pPr>
              <w:spacing w:after="0" w:line="240" w:lineRule="auto"/>
              <w:jc w:val="right"/>
              <w:rPr>
                <w:sz w:val="18"/>
                <w:szCs w:val="18"/>
              </w:rPr>
            </w:pPr>
            <w:r w:rsidRPr="00C3779A">
              <w:rPr>
                <w:color w:val="000000"/>
                <w:sz w:val="18"/>
                <w:szCs w:val="18"/>
              </w:rPr>
              <w:t>10 4</w:t>
            </w:r>
            <w:r w:rsidR="00A654BD">
              <w:rPr>
                <w:color w:val="000000"/>
                <w:sz w:val="18"/>
                <w:szCs w:val="18"/>
              </w:rPr>
              <w:t>42</w:t>
            </w:r>
            <w:r w:rsidRPr="00C3779A">
              <w:rPr>
                <w:color w:val="000000"/>
                <w:sz w:val="18"/>
                <w:szCs w:val="18"/>
              </w:rPr>
              <w:t xml:space="preserve"> 100</w:t>
            </w:r>
          </w:p>
        </w:tc>
        <w:tc>
          <w:tcPr>
            <w:tcW w:w="996" w:type="pct"/>
            <w:tcBorders>
              <w:top w:val="single" w:sz="4" w:space="0" w:color="auto"/>
              <w:left w:val="nil"/>
              <w:bottom w:val="nil"/>
              <w:right w:val="nil"/>
            </w:tcBorders>
            <w:shd w:val="clear" w:color="auto" w:fill="auto"/>
            <w:noWrap/>
            <w:vAlign w:val="center"/>
            <w:hideMark/>
          </w:tcPr>
          <w:p w14:paraId="2980B371" w14:textId="3DB939CB" w:rsidR="003257A9" w:rsidRPr="00C3779A" w:rsidRDefault="003257A9" w:rsidP="003257A9">
            <w:pPr>
              <w:spacing w:after="0" w:line="240" w:lineRule="auto"/>
              <w:jc w:val="center"/>
              <w:rPr>
                <w:b/>
                <w:sz w:val="18"/>
                <w:szCs w:val="18"/>
                <w:lang w:eastAsia="sk-SK"/>
              </w:rPr>
            </w:pPr>
            <w:r w:rsidRPr="00C3779A">
              <w:rPr>
                <w:color w:val="000000"/>
                <w:sz w:val="18"/>
                <w:szCs w:val="18"/>
              </w:rPr>
              <w:t>3,75%</w:t>
            </w:r>
          </w:p>
        </w:tc>
        <w:tc>
          <w:tcPr>
            <w:tcW w:w="882" w:type="pct"/>
            <w:tcBorders>
              <w:top w:val="single" w:sz="4" w:space="0" w:color="auto"/>
              <w:left w:val="nil"/>
              <w:bottom w:val="nil"/>
              <w:right w:val="nil"/>
            </w:tcBorders>
            <w:shd w:val="clear" w:color="auto" w:fill="auto"/>
            <w:noWrap/>
            <w:vAlign w:val="center"/>
            <w:hideMark/>
          </w:tcPr>
          <w:p w14:paraId="4970B0DF" w14:textId="24458B07" w:rsidR="003257A9" w:rsidRPr="00C3779A" w:rsidRDefault="003257A9" w:rsidP="003257A9">
            <w:pPr>
              <w:spacing w:after="0" w:line="240" w:lineRule="auto"/>
              <w:jc w:val="center"/>
              <w:rPr>
                <w:sz w:val="18"/>
                <w:szCs w:val="18"/>
                <w:lang w:eastAsia="sk-SK"/>
              </w:rPr>
            </w:pPr>
            <w:r w:rsidRPr="00C3779A">
              <w:rPr>
                <w:color w:val="000000"/>
                <w:sz w:val="18"/>
                <w:szCs w:val="18"/>
                <w:lang w:eastAsia="sk-SK"/>
              </w:rPr>
              <w:t>11,7</w:t>
            </w:r>
          </w:p>
        </w:tc>
        <w:tc>
          <w:tcPr>
            <w:tcW w:w="796" w:type="pct"/>
            <w:tcBorders>
              <w:top w:val="single" w:sz="4" w:space="0" w:color="auto"/>
              <w:left w:val="nil"/>
              <w:bottom w:val="nil"/>
              <w:right w:val="nil"/>
            </w:tcBorders>
            <w:shd w:val="clear" w:color="auto" w:fill="auto"/>
            <w:noWrap/>
            <w:vAlign w:val="center"/>
            <w:hideMark/>
          </w:tcPr>
          <w:p w14:paraId="033E250B" w14:textId="0149AE8B" w:rsidR="003257A9" w:rsidRPr="00C3779A" w:rsidRDefault="003257A9" w:rsidP="003257A9">
            <w:pPr>
              <w:spacing w:after="0" w:line="240" w:lineRule="auto"/>
              <w:jc w:val="center"/>
              <w:rPr>
                <w:sz w:val="18"/>
                <w:szCs w:val="18"/>
                <w:lang w:eastAsia="sk-SK"/>
              </w:rPr>
            </w:pPr>
            <w:r w:rsidRPr="00C3779A">
              <w:rPr>
                <w:color w:val="000000"/>
                <w:sz w:val="18"/>
                <w:szCs w:val="18"/>
                <w:lang w:eastAsia="sk-SK"/>
              </w:rPr>
              <w:t>fixná</w:t>
            </w:r>
          </w:p>
        </w:tc>
      </w:tr>
      <w:tr w:rsidR="003257A9" w:rsidRPr="00C3779A" w14:paraId="53482C4C" w14:textId="77777777" w:rsidTr="0018625A">
        <w:trPr>
          <w:trHeight w:val="255"/>
        </w:trPr>
        <w:tc>
          <w:tcPr>
            <w:tcW w:w="1628" w:type="pct"/>
            <w:tcBorders>
              <w:top w:val="nil"/>
              <w:left w:val="nil"/>
              <w:bottom w:val="nil"/>
              <w:right w:val="nil"/>
            </w:tcBorders>
            <w:shd w:val="clear" w:color="auto" w:fill="auto"/>
            <w:noWrap/>
            <w:vAlign w:val="bottom"/>
            <w:hideMark/>
          </w:tcPr>
          <w:p w14:paraId="1B4DB71D" w14:textId="77777777" w:rsidR="003257A9" w:rsidRPr="00C3779A" w:rsidRDefault="003257A9" w:rsidP="003257A9">
            <w:pPr>
              <w:spacing w:after="0" w:line="240" w:lineRule="auto"/>
              <w:ind w:firstLineChars="100" w:firstLine="180"/>
              <w:rPr>
                <w:sz w:val="18"/>
                <w:szCs w:val="18"/>
              </w:rPr>
            </w:pPr>
            <w:r w:rsidRPr="00C3779A">
              <w:rPr>
                <w:sz w:val="18"/>
                <w:szCs w:val="18"/>
              </w:rPr>
              <w:t>ŠD float</w:t>
            </w:r>
          </w:p>
        </w:tc>
        <w:tc>
          <w:tcPr>
            <w:tcW w:w="698" w:type="pct"/>
            <w:tcBorders>
              <w:top w:val="nil"/>
              <w:left w:val="nil"/>
              <w:bottom w:val="nil"/>
              <w:right w:val="nil"/>
            </w:tcBorders>
            <w:shd w:val="clear" w:color="auto" w:fill="auto"/>
            <w:noWrap/>
            <w:vAlign w:val="bottom"/>
            <w:hideMark/>
          </w:tcPr>
          <w:p w14:paraId="0F769013" w14:textId="2AFEC807" w:rsidR="003257A9" w:rsidRPr="00C3779A" w:rsidRDefault="003257A9" w:rsidP="003257A9">
            <w:pPr>
              <w:spacing w:after="0" w:line="240" w:lineRule="auto"/>
              <w:jc w:val="right"/>
              <w:rPr>
                <w:sz w:val="18"/>
                <w:szCs w:val="18"/>
              </w:rPr>
            </w:pPr>
            <w:r w:rsidRPr="00C3779A">
              <w:rPr>
                <w:color w:val="000000"/>
                <w:sz w:val="18"/>
                <w:szCs w:val="18"/>
              </w:rPr>
              <w:t>0</w:t>
            </w:r>
          </w:p>
        </w:tc>
        <w:tc>
          <w:tcPr>
            <w:tcW w:w="996" w:type="pct"/>
            <w:tcBorders>
              <w:top w:val="nil"/>
              <w:left w:val="nil"/>
              <w:bottom w:val="nil"/>
              <w:right w:val="nil"/>
            </w:tcBorders>
            <w:shd w:val="clear" w:color="auto" w:fill="auto"/>
            <w:noWrap/>
            <w:vAlign w:val="center"/>
            <w:hideMark/>
          </w:tcPr>
          <w:p w14:paraId="5281F21B" w14:textId="1154237A" w:rsidR="003257A9" w:rsidRPr="00C3779A" w:rsidRDefault="003257A9" w:rsidP="003257A9">
            <w:pPr>
              <w:spacing w:after="0" w:line="240" w:lineRule="auto"/>
              <w:jc w:val="center"/>
              <w:rPr>
                <w:sz w:val="18"/>
                <w:szCs w:val="18"/>
              </w:rPr>
            </w:pPr>
            <w:r w:rsidRPr="00C3779A">
              <w:rPr>
                <w:color w:val="000000"/>
                <w:sz w:val="18"/>
                <w:szCs w:val="18"/>
              </w:rPr>
              <w:t>-</w:t>
            </w:r>
          </w:p>
        </w:tc>
        <w:tc>
          <w:tcPr>
            <w:tcW w:w="882" w:type="pct"/>
            <w:tcBorders>
              <w:top w:val="nil"/>
              <w:left w:val="nil"/>
              <w:bottom w:val="nil"/>
              <w:right w:val="nil"/>
            </w:tcBorders>
            <w:shd w:val="clear" w:color="auto" w:fill="auto"/>
            <w:noWrap/>
            <w:vAlign w:val="center"/>
            <w:hideMark/>
          </w:tcPr>
          <w:p w14:paraId="5E31E167" w14:textId="687910F8" w:rsidR="003257A9" w:rsidRPr="00C3779A" w:rsidRDefault="003257A9" w:rsidP="003257A9">
            <w:pPr>
              <w:spacing w:after="0" w:line="240" w:lineRule="auto"/>
              <w:jc w:val="center"/>
              <w:rPr>
                <w:sz w:val="18"/>
                <w:szCs w:val="18"/>
              </w:rPr>
            </w:pPr>
            <w:r w:rsidRPr="00C3779A">
              <w:rPr>
                <w:color w:val="000000"/>
                <w:sz w:val="18"/>
                <w:szCs w:val="18"/>
              </w:rPr>
              <w:t>-</w:t>
            </w:r>
          </w:p>
        </w:tc>
        <w:tc>
          <w:tcPr>
            <w:tcW w:w="796" w:type="pct"/>
            <w:tcBorders>
              <w:top w:val="nil"/>
              <w:left w:val="nil"/>
              <w:bottom w:val="nil"/>
              <w:right w:val="nil"/>
            </w:tcBorders>
            <w:shd w:val="clear" w:color="auto" w:fill="auto"/>
            <w:noWrap/>
            <w:vAlign w:val="center"/>
            <w:hideMark/>
          </w:tcPr>
          <w:p w14:paraId="3AA12654" w14:textId="423517C7" w:rsidR="003257A9" w:rsidRPr="00C3779A" w:rsidRDefault="003257A9" w:rsidP="003257A9">
            <w:pPr>
              <w:spacing w:after="0" w:line="240" w:lineRule="auto"/>
              <w:jc w:val="center"/>
              <w:rPr>
                <w:sz w:val="18"/>
                <w:szCs w:val="18"/>
              </w:rPr>
            </w:pPr>
            <w:r w:rsidRPr="00C3779A">
              <w:rPr>
                <w:color w:val="000000"/>
                <w:sz w:val="18"/>
                <w:szCs w:val="18"/>
              </w:rPr>
              <w:t>-</w:t>
            </w:r>
          </w:p>
        </w:tc>
      </w:tr>
      <w:tr w:rsidR="003257A9" w:rsidRPr="00C3779A" w14:paraId="0B4EE9BA" w14:textId="77777777" w:rsidTr="0018625A">
        <w:trPr>
          <w:trHeight w:val="255"/>
        </w:trPr>
        <w:tc>
          <w:tcPr>
            <w:tcW w:w="1628" w:type="pct"/>
            <w:tcBorders>
              <w:top w:val="nil"/>
              <w:left w:val="nil"/>
              <w:bottom w:val="nil"/>
              <w:right w:val="nil"/>
            </w:tcBorders>
            <w:shd w:val="clear" w:color="auto" w:fill="auto"/>
            <w:noWrap/>
            <w:vAlign w:val="bottom"/>
            <w:hideMark/>
          </w:tcPr>
          <w:p w14:paraId="12D839E7" w14:textId="77777777" w:rsidR="003257A9" w:rsidRPr="00C3779A" w:rsidRDefault="003257A9" w:rsidP="003257A9">
            <w:pPr>
              <w:spacing w:after="0" w:line="240" w:lineRule="auto"/>
              <w:ind w:firstLineChars="100" w:firstLine="180"/>
              <w:rPr>
                <w:sz w:val="18"/>
                <w:szCs w:val="18"/>
              </w:rPr>
            </w:pPr>
            <w:r w:rsidRPr="00C3779A">
              <w:rPr>
                <w:sz w:val="18"/>
                <w:szCs w:val="18"/>
              </w:rPr>
              <w:t>ŠPP</w:t>
            </w:r>
          </w:p>
        </w:tc>
        <w:tc>
          <w:tcPr>
            <w:tcW w:w="698" w:type="pct"/>
            <w:tcBorders>
              <w:top w:val="nil"/>
              <w:left w:val="nil"/>
              <w:bottom w:val="nil"/>
              <w:right w:val="nil"/>
            </w:tcBorders>
            <w:shd w:val="clear" w:color="auto" w:fill="auto"/>
            <w:noWrap/>
            <w:vAlign w:val="bottom"/>
            <w:hideMark/>
          </w:tcPr>
          <w:p w14:paraId="0C3201AD" w14:textId="2754030D" w:rsidR="003257A9" w:rsidRPr="00C3779A" w:rsidRDefault="003257A9" w:rsidP="003257A9">
            <w:pPr>
              <w:spacing w:after="0" w:line="240" w:lineRule="auto"/>
              <w:jc w:val="right"/>
              <w:rPr>
                <w:sz w:val="18"/>
                <w:szCs w:val="18"/>
              </w:rPr>
            </w:pPr>
            <w:r w:rsidRPr="00C3779A">
              <w:rPr>
                <w:color w:val="000000"/>
                <w:sz w:val="18"/>
                <w:szCs w:val="18"/>
              </w:rPr>
              <w:t>0</w:t>
            </w:r>
          </w:p>
        </w:tc>
        <w:tc>
          <w:tcPr>
            <w:tcW w:w="996" w:type="pct"/>
            <w:tcBorders>
              <w:top w:val="nil"/>
              <w:left w:val="nil"/>
              <w:bottom w:val="nil"/>
              <w:right w:val="nil"/>
            </w:tcBorders>
            <w:shd w:val="clear" w:color="auto" w:fill="auto"/>
            <w:noWrap/>
            <w:vAlign w:val="center"/>
            <w:hideMark/>
          </w:tcPr>
          <w:p w14:paraId="75770A82" w14:textId="408B7B73" w:rsidR="003257A9" w:rsidRPr="00C3779A" w:rsidRDefault="003257A9" w:rsidP="003257A9">
            <w:pPr>
              <w:spacing w:after="0" w:line="240" w:lineRule="auto"/>
              <w:jc w:val="center"/>
              <w:rPr>
                <w:sz w:val="18"/>
                <w:szCs w:val="18"/>
              </w:rPr>
            </w:pPr>
            <w:r w:rsidRPr="00C3779A">
              <w:rPr>
                <w:color w:val="000000"/>
                <w:sz w:val="18"/>
                <w:szCs w:val="18"/>
              </w:rPr>
              <w:t>-</w:t>
            </w:r>
          </w:p>
        </w:tc>
        <w:tc>
          <w:tcPr>
            <w:tcW w:w="882" w:type="pct"/>
            <w:tcBorders>
              <w:top w:val="nil"/>
              <w:left w:val="nil"/>
              <w:bottom w:val="nil"/>
              <w:right w:val="nil"/>
            </w:tcBorders>
            <w:shd w:val="clear" w:color="auto" w:fill="auto"/>
            <w:noWrap/>
            <w:vAlign w:val="center"/>
            <w:hideMark/>
          </w:tcPr>
          <w:p w14:paraId="72DB140F" w14:textId="57C7DB7A" w:rsidR="003257A9" w:rsidRPr="00C3779A" w:rsidRDefault="003257A9" w:rsidP="003257A9">
            <w:pPr>
              <w:spacing w:after="0" w:line="240" w:lineRule="auto"/>
              <w:jc w:val="center"/>
              <w:rPr>
                <w:sz w:val="18"/>
                <w:szCs w:val="18"/>
              </w:rPr>
            </w:pPr>
            <w:r w:rsidRPr="00C3779A">
              <w:rPr>
                <w:color w:val="000000"/>
                <w:sz w:val="18"/>
                <w:szCs w:val="18"/>
              </w:rPr>
              <w:t>-</w:t>
            </w:r>
          </w:p>
        </w:tc>
        <w:tc>
          <w:tcPr>
            <w:tcW w:w="796" w:type="pct"/>
            <w:tcBorders>
              <w:top w:val="nil"/>
              <w:left w:val="nil"/>
              <w:bottom w:val="nil"/>
              <w:right w:val="nil"/>
            </w:tcBorders>
            <w:shd w:val="clear" w:color="auto" w:fill="auto"/>
            <w:noWrap/>
            <w:vAlign w:val="center"/>
            <w:hideMark/>
          </w:tcPr>
          <w:p w14:paraId="599D86F2" w14:textId="71DD2581" w:rsidR="003257A9" w:rsidRPr="00C3779A" w:rsidRDefault="003257A9" w:rsidP="003257A9">
            <w:pPr>
              <w:spacing w:after="0" w:line="240" w:lineRule="auto"/>
              <w:jc w:val="center"/>
              <w:rPr>
                <w:sz w:val="18"/>
                <w:szCs w:val="18"/>
              </w:rPr>
            </w:pPr>
            <w:r w:rsidRPr="00C3779A">
              <w:rPr>
                <w:color w:val="000000"/>
                <w:sz w:val="18"/>
                <w:szCs w:val="18"/>
              </w:rPr>
              <w:t>-</w:t>
            </w:r>
          </w:p>
        </w:tc>
      </w:tr>
      <w:tr w:rsidR="003257A9" w:rsidRPr="00C3779A" w14:paraId="3555B5F8" w14:textId="77777777" w:rsidTr="0018625A">
        <w:trPr>
          <w:trHeight w:val="255"/>
        </w:trPr>
        <w:tc>
          <w:tcPr>
            <w:tcW w:w="1628" w:type="pct"/>
            <w:tcBorders>
              <w:top w:val="nil"/>
              <w:left w:val="nil"/>
              <w:bottom w:val="nil"/>
              <w:right w:val="nil"/>
            </w:tcBorders>
            <w:shd w:val="clear" w:color="auto" w:fill="auto"/>
            <w:noWrap/>
            <w:vAlign w:val="bottom"/>
            <w:hideMark/>
          </w:tcPr>
          <w:p w14:paraId="6D69490D" w14:textId="77777777" w:rsidR="003257A9" w:rsidRPr="00C3779A" w:rsidRDefault="003257A9" w:rsidP="003257A9">
            <w:pPr>
              <w:spacing w:after="0" w:line="240" w:lineRule="auto"/>
              <w:ind w:firstLineChars="100" w:firstLine="180"/>
              <w:rPr>
                <w:sz w:val="18"/>
                <w:szCs w:val="18"/>
              </w:rPr>
            </w:pPr>
            <w:r w:rsidRPr="00C3779A">
              <w:rPr>
                <w:sz w:val="18"/>
                <w:szCs w:val="18"/>
              </w:rPr>
              <w:t xml:space="preserve">Úvery </w:t>
            </w:r>
          </w:p>
        </w:tc>
        <w:tc>
          <w:tcPr>
            <w:tcW w:w="698" w:type="pct"/>
            <w:tcBorders>
              <w:top w:val="nil"/>
              <w:left w:val="nil"/>
              <w:bottom w:val="nil"/>
              <w:right w:val="nil"/>
            </w:tcBorders>
            <w:shd w:val="clear" w:color="auto" w:fill="auto"/>
            <w:noWrap/>
            <w:vAlign w:val="bottom"/>
            <w:hideMark/>
          </w:tcPr>
          <w:p w14:paraId="7B2478AC" w14:textId="06120683" w:rsidR="003257A9" w:rsidRPr="00C3779A" w:rsidRDefault="003257A9" w:rsidP="003257A9">
            <w:pPr>
              <w:spacing w:after="0" w:line="240" w:lineRule="auto"/>
              <w:jc w:val="right"/>
              <w:rPr>
                <w:sz w:val="18"/>
                <w:szCs w:val="18"/>
              </w:rPr>
            </w:pPr>
            <w:r w:rsidRPr="00C3779A">
              <w:rPr>
                <w:sz w:val="18"/>
                <w:szCs w:val="18"/>
              </w:rPr>
              <w:t>20 000</w:t>
            </w:r>
          </w:p>
        </w:tc>
        <w:tc>
          <w:tcPr>
            <w:tcW w:w="996" w:type="pct"/>
            <w:tcBorders>
              <w:top w:val="nil"/>
              <w:left w:val="nil"/>
              <w:bottom w:val="nil"/>
              <w:right w:val="nil"/>
            </w:tcBorders>
            <w:shd w:val="clear" w:color="auto" w:fill="auto"/>
            <w:noWrap/>
            <w:vAlign w:val="center"/>
            <w:hideMark/>
          </w:tcPr>
          <w:p w14:paraId="41364F8D" w14:textId="5125FC25" w:rsidR="003257A9" w:rsidRPr="00C3779A" w:rsidRDefault="003257A9" w:rsidP="003257A9">
            <w:pPr>
              <w:spacing w:after="0" w:line="240" w:lineRule="auto"/>
              <w:jc w:val="center"/>
              <w:rPr>
                <w:sz w:val="18"/>
                <w:szCs w:val="18"/>
              </w:rPr>
            </w:pPr>
            <w:r w:rsidRPr="00C3779A">
              <w:rPr>
                <w:sz w:val="18"/>
                <w:szCs w:val="18"/>
              </w:rPr>
              <w:t>3,34%</w:t>
            </w:r>
          </w:p>
        </w:tc>
        <w:tc>
          <w:tcPr>
            <w:tcW w:w="882" w:type="pct"/>
            <w:tcBorders>
              <w:top w:val="nil"/>
              <w:left w:val="nil"/>
              <w:bottom w:val="nil"/>
              <w:right w:val="nil"/>
            </w:tcBorders>
            <w:shd w:val="clear" w:color="auto" w:fill="auto"/>
            <w:noWrap/>
            <w:vAlign w:val="center"/>
            <w:hideMark/>
          </w:tcPr>
          <w:p w14:paraId="5B96B1CF" w14:textId="745AC987" w:rsidR="003257A9" w:rsidRPr="00C3779A" w:rsidRDefault="003257A9" w:rsidP="003257A9">
            <w:pPr>
              <w:spacing w:after="0" w:line="240" w:lineRule="auto"/>
              <w:jc w:val="center"/>
              <w:rPr>
                <w:sz w:val="18"/>
                <w:szCs w:val="18"/>
              </w:rPr>
            </w:pPr>
            <w:r w:rsidRPr="00C3779A">
              <w:rPr>
                <w:sz w:val="18"/>
                <w:szCs w:val="18"/>
              </w:rPr>
              <w:t>8,0</w:t>
            </w:r>
          </w:p>
        </w:tc>
        <w:tc>
          <w:tcPr>
            <w:tcW w:w="796" w:type="pct"/>
            <w:tcBorders>
              <w:top w:val="nil"/>
              <w:left w:val="nil"/>
              <w:bottom w:val="nil"/>
              <w:right w:val="nil"/>
            </w:tcBorders>
            <w:shd w:val="clear" w:color="auto" w:fill="auto"/>
            <w:noWrap/>
            <w:vAlign w:val="center"/>
            <w:hideMark/>
          </w:tcPr>
          <w:p w14:paraId="3F302705" w14:textId="3D8C0327" w:rsidR="003257A9" w:rsidRPr="00C3779A" w:rsidRDefault="003257A9" w:rsidP="003257A9">
            <w:pPr>
              <w:spacing w:after="0" w:line="240" w:lineRule="auto"/>
              <w:jc w:val="center"/>
              <w:rPr>
                <w:sz w:val="18"/>
                <w:szCs w:val="18"/>
              </w:rPr>
            </w:pPr>
            <w:r w:rsidRPr="00C3779A">
              <w:rPr>
                <w:sz w:val="18"/>
                <w:szCs w:val="18"/>
              </w:rPr>
              <w:t>fixná</w:t>
            </w:r>
          </w:p>
        </w:tc>
      </w:tr>
      <w:tr w:rsidR="003257A9" w:rsidRPr="00C3779A" w14:paraId="60609E60" w14:textId="77777777" w:rsidTr="0018625A">
        <w:trPr>
          <w:trHeight w:val="255"/>
        </w:trPr>
        <w:tc>
          <w:tcPr>
            <w:tcW w:w="1628" w:type="pct"/>
            <w:tcBorders>
              <w:top w:val="nil"/>
              <w:left w:val="nil"/>
              <w:bottom w:val="nil"/>
              <w:right w:val="nil"/>
            </w:tcBorders>
            <w:shd w:val="clear" w:color="auto" w:fill="auto"/>
            <w:noWrap/>
            <w:vAlign w:val="bottom"/>
            <w:hideMark/>
          </w:tcPr>
          <w:p w14:paraId="3432CC0D" w14:textId="77777777" w:rsidR="003257A9" w:rsidRPr="00C3779A" w:rsidRDefault="003257A9" w:rsidP="003257A9">
            <w:pPr>
              <w:spacing w:after="0" w:line="240" w:lineRule="auto"/>
              <w:ind w:firstLineChars="100" w:firstLine="181"/>
              <w:rPr>
                <w:b/>
                <w:sz w:val="18"/>
                <w:szCs w:val="18"/>
              </w:rPr>
            </w:pPr>
            <w:r w:rsidRPr="00C3779A">
              <w:rPr>
                <w:b/>
                <w:sz w:val="18"/>
                <w:szCs w:val="18"/>
              </w:rPr>
              <w:t>Dlh spolu</w:t>
            </w:r>
          </w:p>
        </w:tc>
        <w:tc>
          <w:tcPr>
            <w:tcW w:w="698" w:type="pct"/>
            <w:tcBorders>
              <w:top w:val="nil"/>
              <w:left w:val="nil"/>
              <w:bottom w:val="nil"/>
              <w:right w:val="nil"/>
            </w:tcBorders>
            <w:shd w:val="clear" w:color="auto" w:fill="auto"/>
            <w:noWrap/>
            <w:vAlign w:val="bottom"/>
            <w:hideMark/>
          </w:tcPr>
          <w:p w14:paraId="1BCAEA36" w14:textId="2B5F52E7" w:rsidR="003257A9" w:rsidRPr="00C3779A" w:rsidRDefault="003257A9" w:rsidP="00A654BD">
            <w:pPr>
              <w:spacing w:after="0" w:line="240" w:lineRule="auto"/>
              <w:ind w:firstLine="220"/>
              <w:jc w:val="right"/>
              <w:rPr>
                <w:b/>
                <w:sz w:val="18"/>
                <w:szCs w:val="18"/>
              </w:rPr>
            </w:pPr>
            <w:r w:rsidRPr="00C3779A">
              <w:rPr>
                <w:b/>
                <w:color w:val="000000"/>
                <w:sz w:val="18"/>
                <w:szCs w:val="18"/>
              </w:rPr>
              <w:t>10 4</w:t>
            </w:r>
            <w:r w:rsidR="00A654BD">
              <w:rPr>
                <w:b/>
                <w:color w:val="000000"/>
                <w:sz w:val="18"/>
                <w:szCs w:val="18"/>
              </w:rPr>
              <w:t>62</w:t>
            </w:r>
            <w:r w:rsidRPr="00C3779A">
              <w:rPr>
                <w:b/>
                <w:color w:val="000000"/>
                <w:sz w:val="18"/>
                <w:szCs w:val="18"/>
              </w:rPr>
              <w:t xml:space="preserve"> 100</w:t>
            </w:r>
          </w:p>
        </w:tc>
        <w:tc>
          <w:tcPr>
            <w:tcW w:w="996" w:type="pct"/>
            <w:tcBorders>
              <w:top w:val="nil"/>
              <w:left w:val="nil"/>
              <w:bottom w:val="nil"/>
              <w:right w:val="nil"/>
            </w:tcBorders>
            <w:shd w:val="clear" w:color="auto" w:fill="auto"/>
            <w:noWrap/>
            <w:vAlign w:val="center"/>
            <w:hideMark/>
          </w:tcPr>
          <w:p w14:paraId="5287EB23" w14:textId="18A97F13" w:rsidR="003257A9" w:rsidRPr="00C3779A" w:rsidRDefault="003257A9" w:rsidP="003257A9">
            <w:pPr>
              <w:spacing w:after="0" w:line="240" w:lineRule="auto"/>
              <w:jc w:val="center"/>
              <w:rPr>
                <w:sz w:val="18"/>
                <w:szCs w:val="18"/>
              </w:rPr>
            </w:pPr>
            <w:r w:rsidRPr="00C3779A">
              <w:rPr>
                <w:color w:val="000000"/>
                <w:sz w:val="18"/>
                <w:szCs w:val="18"/>
              </w:rPr>
              <w:t xml:space="preserve">- </w:t>
            </w:r>
          </w:p>
        </w:tc>
        <w:tc>
          <w:tcPr>
            <w:tcW w:w="882" w:type="pct"/>
            <w:tcBorders>
              <w:top w:val="nil"/>
              <w:left w:val="nil"/>
              <w:bottom w:val="nil"/>
              <w:right w:val="nil"/>
            </w:tcBorders>
            <w:shd w:val="clear" w:color="auto" w:fill="auto"/>
            <w:noWrap/>
            <w:vAlign w:val="center"/>
            <w:hideMark/>
          </w:tcPr>
          <w:p w14:paraId="43548F88" w14:textId="01FBCFE9" w:rsidR="003257A9" w:rsidRPr="00C3779A" w:rsidRDefault="003257A9" w:rsidP="003257A9">
            <w:pPr>
              <w:spacing w:after="0" w:line="240" w:lineRule="auto"/>
              <w:jc w:val="center"/>
              <w:rPr>
                <w:sz w:val="18"/>
                <w:szCs w:val="18"/>
              </w:rPr>
            </w:pPr>
            <w:r w:rsidRPr="00C3779A">
              <w:rPr>
                <w:color w:val="000000"/>
                <w:sz w:val="18"/>
                <w:szCs w:val="18"/>
              </w:rPr>
              <w:t xml:space="preserve">-  </w:t>
            </w:r>
          </w:p>
        </w:tc>
        <w:tc>
          <w:tcPr>
            <w:tcW w:w="796" w:type="pct"/>
            <w:tcBorders>
              <w:top w:val="nil"/>
              <w:left w:val="nil"/>
              <w:bottom w:val="nil"/>
              <w:right w:val="nil"/>
            </w:tcBorders>
            <w:shd w:val="clear" w:color="auto" w:fill="auto"/>
            <w:noWrap/>
            <w:vAlign w:val="center"/>
            <w:hideMark/>
          </w:tcPr>
          <w:p w14:paraId="1E132AE0" w14:textId="74BC1F89" w:rsidR="003257A9" w:rsidRPr="00C3779A" w:rsidRDefault="003257A9" w:rsidP="003257A9">
            <w:pPr>
              <w:spacing w:after="0" w:line="240" w:lineRule="auto"/>
              <w:jc w:val="center"/>
              <w:rPr>
                <w:sz w:val="18"/>
                <w:szCs w:val="18"/>
              </w:rPr>
            </w:pPr>
            <w:r w:rsidRPr="00C3779A">
              <w:rPr>
                <w:color w:val="000000"/>
                <w:sz w:val="18"/>
                <w:szCs w:val="18"/>
              </w:rPr>
              <w:t xml:space="preserve"> - </w:t>
            </w:r>
          </w:p>
        </w:tc>
      </w:tr>
      <w:tr w:rsidR="003257A9" w:rsidRPr="00C3779A" w14:paraId="44D35450" w14:textId="77777777" w:rsidTr="0018625A">
        <w:trPr>
          <w:trHeight w:val="255"/>
        </w:trPr>
        <w:tc>
          <w:tcPr>
            <w:tcW w:w="1628" w:type="pct"/>
            <w:tcBorders>
              <w:top w:val="nil"/>
              <w:left w:val="nil"/>
              <w:bottom w:val="nil"/>
              <w:right w:val="nil"/>
            </w:tcBorders>
            <w:shd w:val="clear" w:color="auto" w:fill="auto"/>
            <w:noWrap/>
            <w:vAlign w:val="bottom"/>
            <w:hideMark/>
          </w:tcPr>
          <w:p w14:paraId="75A8C242" w14:textId="50AE9532" w:rsidR="003257A9" w:rsidRPr="00C3779A" w:rsidRDefault="003257A9" w:rsidP="003257A9">
            <w:pPr>
              <w:spacing w:after="0" w:line="240" w:lineRule="auto"/>
              <w:ind w:firstLineChars="100" w:firstLine="180"/>
              <w:rPr>
                <w:sz w:val="18"/>
                <w:szCs w:val="18"/>
              </w:rPr>
            </w:pPr>
            <w:r w:rsidRPr="00C3779A">
              <w:rPr>
                <w:sz w:val="18"/>
                <w:szCs w:val="18"/>
              </w:rPr>
              <w:t>ŠD spätný odkup (2023)</w:t>
            </w:r>
          </w:p>
        </w:tc>
        <w:tc>
          <w:tcPr>
            <w:tcW w:w="698" w:type="pct"/>
            <w:tcBorders>
              <w:top w:val="nil"/>
              <w:left w:val="nil"/>
              <w:bottom w:val="nil"/>
              <w:right w:val="nil"/>
            </w:tcBorders>
            <w:shd w:val="clear" w:color="auto" w:fill="auto"/>
            <w:noWrap/>
            <w:vAlign w:val="bottom"/>
            <w:hideMark/>
          </w:tcPr>
          <w:p w14:paraId="663141B4" w14:textId="001FC455" w:rsidR="003257A9" w:rsidRPr="00C3779A" w:rsidRDefault="003257A9" w:rsidP="003257A9">
            <w:pPr>
              <w:spacing w:after="0" w:line="240" w:lineRule="auto"/>
              <w:jc w:val="right"/>
              <w:rPr>
                <w:sz w:val="18"/>
                <w:szCs w:val="18"/>
              </w:rPr>
            </w:pPr>
            <w:r w:rsidRPr="00C3779A">
              <w:rPr>
                <w:color w:val="000000"/>
                <w:sz w:val="18"/>
                <w:szCs w:val="18"/>
              </w:rPr>
              <w:t>422 700</w:t>
            </w:r>
          </w:p>
        </w:tc>
        <w:tc>
          <w:tcPr>
            <w:tcW w:w="996" w:type="pct"/>
            <w:tcBorders>
              <w:top w:val="nil"/>
              <w:left w:val="nil"/>
              <w:bottom w:val="nil"/>
              <w:right w:val="nil"/>
            </w:tcBorders>
            <w:shd w:val="clear" w:color="auto" w:fill="auto"/>
            <w:noWrap/>
            <w:vAlign w:val="center"/>
            <w:hideMark/>
          </w:tcPr>
          <w:p w14:paraId="0AB28D9B" w14:textId="1C12176D" w:rsidR="003257A9" w:rsidRPr="00C3779A" w:rsidRDefault="003257A9" w:rsidP="003257A9">
            <w:pPr>
              <w:spacing w:after="0" w:line="240" w:lineRule="auto"/>
              <w:jc w:val="center"/>
              <w:rPr>
                <w:sz w:val="18"/>
                <w:szCs w:val="18"/>
              </w:rPr>
            </w:pPr>
            <w:r w:rsidRPr="00C3779A">
              <w:rPr>
                <w:color w:val="000000"/>
                <w:sz w:val="18"/>
                <w:szCs w:val="18"/>
              </w:rPr>
              <w:t>-</w:t>
            </w:r>
          </w:p>
        </w:tc>
        <w:tc>
          <w:tcPr>
            <w:tcW w:w="882" w:type="pct"/>
            <w:tcBorders>
              <w:top w:val="nil"/>
              <w:left w:val="nil"/>
              <w:bottom w:val="nil"/>
              <w:right w:val="nil"/>
            </w:tcBorders>
            <w:shd w:val="clear" w:color="auto" w:fill="auto"/>
            <w:noWrap/>
            <w:vAlign w:val="center"/>
            <w:hideMark/>
          </w:tcPr>
          <w:p w14:paraId="7EEF2668" w14:textId="556E188D" w:rsidR="003257A9" w:rsidRPr="00C3779A" w:rsidRDefault="003257A9" w:rsidP="003257A9">
            <w:pPr>
              <w:spacing w:after="0" w:line="240" w:lineRule="auto"/>
              <w:jc w:val="center"/>
              <w:rPr>
                <w:sz w:val="18"/>
                <w:szCs w:val="18"/>
              </w:rPr>
            </w:pPr>
            <w:r w:rsidRPr="00C3779A">
              <w:rPr>
                <w:color w:val="000000"/>
                <w:sz w:val="18"/>
                <w:szCs w:val="18"/>
              </w:rPr>
              <w:t>-</w:t>
            </w:r>
          </w:p>
        </w:tc>
        <w:tc>
          <w:tcPr>
            <w:tcW w:w="796" w:type="pct"/>
            <w:tcBorders>
              <w:top w:val="nil"/>
              <w:left w:val="nil"/>
              <w:bottom w:val="nil"/>
              <w:right w:val="nil"/>
            </w:tcBorders>
            <w:shd w:val="clear" w:color="auto" w:fill="auto"/>
            <w:noWrap/>
            <w:vAlign w:val="center"/>
            <w:hideMark/>
          </w:tcPr>
          <w:p w14:paraId="37A15F57" w14:textId="47282396" w:rsidR="003257A9" w:rsidRPr="00C3779A" w:rsidRDefault="003257A9" w:rsidP="003257A9">
            <w:pPr>
              <w:spacing w:after="0" w:line="240" w:lineRule="auto"/>
              <w:ind w:left="55"/>
              <w:jc w:val="center"/>
              <w:rPr>
                <w:sz w:val="18"/>
                <w:szCs w:val="18"/>
              </w:rPr>
            </w:pPr>
            <w:r w:rsidRPr="00C3779A">
              <w:rPr>
                <w:color w:val="000000"/>
                <w:sz w:val="18"/>
                <w:szCs w:val="18"/>
              </w:rPr>
              <w:t>-</w:t>
            </w:r>
          </w:p>
        </w:tc>
      </w:tr>
      <w:tr w:rsidR="003257A9" w:rsidRPr="007F6A62" w14:paraId="629D6296" w14:textId="77777777" w:rsidTr="0018625A">
        <w:trPr>
          <w:trHeight w:val="255"/>
        </w:trPr>
        <w:tc>
          <w:tcPr>
            <w:tcW w:w="1628" w:type="pct"/>
            <w:tcBorders>
              <w:top w:val="nil"/>
              <w:left w:val="nil"/>
              <w:bottom w:val="single" w:sz="4" w:space="0" w:color="auto"/>
              <w:right w:val="nil"/>
            </w:tcBorders>
            <w:shd w:val="clear" w:color="auto" w:fill="auto"/>
            <w:noWrap/>
            <w:vAlign w:val="bottom"/>
            <w:hideMark/>
          </w:tcPr>
          <w:p w14:paraId="7A565461" w14:textId="77777777" w:rsidR="003257A9" w:rsidRPr="00C3779A" w:rsidRDefault="003257A9" w:rsidP="003257A9">
            <w:pPr>
              <w:spacing w:after="0" w:line="240" w:lineRule="auto"/>
              <w:ind w:firstLineChars="100" w:firstLine="181"/>
              <w:rPr>
                <w:b/>
                <w:sz w:val="18"/>
                <w:szCs w:val="18"/>
              </w:rPr>
            </w:pPr>
            <w:r w:rsidRPr="00C3779A">
              <w:rPr>
                <w:b/>
                <w:sz w:val="18"/>
                <w:szCs w:val="18"/>
              </w:rPr>
              <w:t>Dlh upravený o spätný odkup</w:t>
            </w:r>
          </w:p>
        </w:tc>
        <w:tc>
          <w:tcPr>
            <w:tcW w:w="698" w:type="pct"/>
            <w:tcBorders>
              <w:top w:val="nil"/>
              <w:left w:val="nil"/>
              <w:bottom w:val="single" w:sz="4" w:space="0" w:color="auto"/>
              <w:right w:val="nil"/>
            </w:tcBorders>
            <w:shd w:val="clear" w:color="auto" w:fill="auto"/>
            <w:noWrap/>
            <w:vAlign w:val="bottom"/>
            <w:hideMark/>
          </w:tcPr>
          <w:p w14:paraId="5CF00CD7" w14:textId="37DB6B39" w:rsidR="003257A9" w:rsidRPr="00C3779A" w:rsidRDefault="003257A9" w:rsidP="00A654BD">
            <w:pPr>
              <w:spacing w:after="0" w:line="240" w:lineRule="auto"/>
              <w:ind w:firstLine="220"/>
              <w:jc w:val="right"/>
              <w:rPr>
                <w:b/>
                <w:sz w:val="18"/>
                <w:szCs w:val="18"/>
              </w:rPr>
            </w:pPr>
            <w:r w:rsidRPr="00C3779A">
              <w:rPr>
                <w:b/>
                <w:color w:val="000000"/>
                <w:sz w:val="18"/>
                <w:szCs w:val="18"/>
              </w:rPr>
              <w:t>10 0</w:t>
            </w:r>
            <w:r w:rsidR="00A654BD">
              <w:rPr>
                <w:b/>
                <w:color w:val="000000"/>
                <w:sz w:val="18"/>
                <w:szCs w:val="18"/>
              </w:rPr>
              <w:t>39</w:t>
            </w:r>
            <w:r w:rsidRPr="00C3779A">
              <w:rPr>
                <w:b/>
                <w:color w:val="000000"/>
                <w:sz w:val="18"/>
                <w:szCs w:val="18"/>
              </w:rPr>
              <w:t xml:space="preserve"> 400</w:t>
            </w:r>
          </w:p>
        </w:tc>
        <w:tc>
          <w:tcPr>
            <w:tcW w:w="996" w:type="pct"/>
            <w:tcBorders>
              <w:top w:val="nil"/>
              <w:left w:val="nil"/>
              <w:bottom w:val="single" w:sz="4" w:space="0" w:color="auto"/>
              <w:right w:val="nil"/>
            </w:tcBorders>
            <w:shd w:val="clear" w:color="auto" w:fill="auto"/>
            <w:noWrap/>
            <w:vAlign w:val="center"/>
            <w:hideMark/>
          </w:tcPr>
          <w:p w14:paraId="00297AD6" w14:textId="420077C3" w:rsidR="003257A9" w:rsidRPr="00C3779A" w:rsidRDefault="003257A9" w:rsidP="003257A9">
            <w:pPr>
              <w:spacing w:after="0" w:line="240" w:lineRule="auto"/>
              <w:jc w:val="center"/>
              <w:rPr>
                <w:sz w:val="18"/>
                <w:szCs w:val="18"/>
              </w:rPr>
            </w:pPr>
            <w:r w:rsidRPr="00C3779A">
              <w:rPr>
                <w:color w:val="000000"/>
                <w:sz w:val="18"/>
                <w:szCs w:val="18"/>
              </w:rPr>
              <w:t>-</w:t>
            </w:r>
          </w:p>
        </w:tc>
        <w:tc>
          <w:tcPr>
            <w:tcW w:w="882" w:type="pct"/>
            <w:tcBorders>
              <w:top w:val="nil"/>
              <w:left w:val="nil"/>
              <w:bottom w:val="single" w:sz="4" w:space="0" w:color="auto"/>
              <w:right w:val="nil"/>
            </w:tcBorders>
            <w:shd w:val="clear" w:color="auto" w:fill="auto"/>
            <w:noWrap/>
            <w:vAlign w:val="center"/>
            <w:hideMark/>
          </w:tcPr>
          <w:p w14:paraId="525A1857" w14:textId="2C39D38A" w:rsidR="003257A9" w:rsidRPr="00C3779A" w:rsidRDefault="003257A9" w:rsidP="003257A9">
            <w:pPr>
              <w:spacing w:after="0" w:line="240" w:lineRule="auto"/>
              <w:jc w:val="center"/>
              <w:rPr>
                <w:sz w:val="18"/>
                <w:szCs w:val="18"/>
              </w:rPr>
            </w:pPr>
            <w:r w:rsidRPr="00C3779A">
              <w:rPr>
                <w:color w:val="000000"/>
                <w:sz w:val="18"/>
                <w:szCs w:val="18"/>
              </w:rPr>
              <w:t>-</w:t>
            </w:r>
          </w:p>
        </w:tc>
        <w:tc>
          <w:tcPr>
            <w:tcW w:w="796" w:type="pct"/>
            <w:tcBorders>
              <w:top w:val="nil"/>
              <w:left w:val="nil"/>
              <w:bottom w:val="single" w:sz="4" w:space="0" w:color="auto"/>
              <w:right w:val="nil"/>
            </w:tcBorders>
            <w:shd w:val="clear" w:color="auto" w:fill="auto"/>
            <w:noWrap/>
            <w:vAlign w:val="center"/>
            <w:hideMark/>
          </w:tcPr>
          <w:p w14:paraId="6564AF13" w14:textId="441CC038" w:rsidR="003257A9" w:rsidRPr="00C3779A" w:rsidRDefault="003257A9" w:rsidP="003257A9">
            <w:pPr>
              <w:spacing w:after="0" w:line="240" w:lineRule="auto"/>
              <w:ind w:firstLine="55"/>
              <w:jc w:val="center"/>
              <w:rPr>
                <w:sz w:val="18"/>
                <w:szCs w:val="18"/>
              </w:rPr>
            </w:pPr>
            <w:r w:rsidRPr="00C3779A">
              <w:rPr>
                <w:color w:val="000000"/>
                <w:sz w:val="18"/>
                <w:szCs w:val="18"/>
              </w:rPr>
              <w:t>-</w:t>
            </w:r>
          </w:p>
        </w:tc>
      </w:tr>
    </w:tbl>
    <w:p w14:paraId="7A67E940" w14:textId="51E27909" w:rsidR="00F70C7E" w:rsidRPr="00474213" w:rsidRDefault="00B82252" w:rsidP="00B82252">
      <w:pPr>
        <w:autoSpaceDE w:val="0"/>
        <w:autoSpaceDN w:val="0"/>
        <w:adjustRightInd w:val="0"/>
        <w:spacing w:after="0" w:line="240" w:lineRule="auto"/>
        <w:ind w:left="5664" w:right="140"/>
        <w:jc w:val="center"/>
        <w:rPr>
          <w:sz w:val="16"/>
          <w:szCs w:val="16"/>
        </w:rPr>
      </w:pPr>
      <w:r w:rsidRPr="00C3779A">
        <w:rPr>
          <w:sz w:val="18"/>
          <w:szCs w:val="18"/>
        </w:rPr>
        <w:t xml:space="preserve">                                                      </w:t>
      </w:r>
      <w:r w:rsidR="003B1A5C">
        <w:rPr>
          <w:sz w:val="18"/>
          <w:szCs w:val="18"/>
        </w:rPr>
        <w:t xml:space="preserve">  </w:t>
      </w:r>
      <w:r w:rsidR="002D19D1">
        <w:rPr>
          <w:sz w:val="18"/>
          <w:szCs w:val="18"/>
        </w:rPr>
        <w:t xml:space="preserve"> </w:t>
      </w:r>
      <w:r w:rsidR="003B1A5C">
        <w:rPr>
          <w:sz w:val="18"/>
          <w:szCs w:val="18"/>
        </w:rPr>
        <w:t xml:space="preserve">    </w:t>
      </w:r>
      <w:r w:rsidRPr="00C3779A">
        <w:rPr>
          <w:sz w:val="18"/>
          <w:szCs w:val="18"/>
        </w:rPr>
        <w:t xml:space="preserve">  </w:t>
      </w:r>
      <w:r w:rsidR="00F70C7E" w:rsidRPr="00474213">
        <w:rPr>
          <w:sz w:val="16"/>
          <w:szCs w:val="16"/>
        </w:rPr>
        <w:t>Zdroj: IFP</w:t>
      </w:r>
    </w:p>
    <w:p w14:paraId="2115D494" w14:textId="4BB52C36" w:rsidR="00FD652C" w:rsidRDefault="00162088" w:rsidP="00B82252">
      <w:pPr>
        <w:spacing w:before="120" w:after="120" w:line="240" w:lineRule="auto"/>
        <w:jc w:val="both"/>
      </w:pPr>
      <w:r>
        <w:t xml:space="preserve">Štruktúra prezentovaných priemerných úrokov (nákladov) a splatností zodpovedá jednotlivým druhom cenných papierov, ktoré boli v rámci svojej kategórie agregované. „ŠD fix“ označuje dlhopis s pevnou úrokovou sadzbou, „ŠD float“ dlhopis s plávajúcou úrokovou sadzbou, kde náklad tvorí meniaca sa sadzba </w:t>
      </w:r>
      <w:r>
        <w:lastRenderedPageBreak/>
        <w:t>(6M EURIBOR) a prirážka. „ŠD spätný odkup“ označujú predčasné umorenie štátnych dlhopisov pôvodne splatných v neskoršom období. Tieto transakcie fakticky môžu znížiť dlh ku koncu roka 2023 resp. v priebehu roka 2023. Vážená priemerná úroková sadzba všetkých dlhopisov „živých“ ku koncu roku 2023 sa zvýšila približne o 0,</w:t>
      </w:r>
      <w:r w:rsidR="001E4BB5">
        <w:t>32 </w:t>
      </w:r>
      <w:r>
        <w:t>p.</w:t>
      </w:r>
      <w:r w:rsidR="001E4BB5">
        <w:t> </w:t>
      </w:r>
      <w:r>
        <w:t>b. oproti roku 2022, a to na úroveň 1,98</w:t>
      </w:r>
      <w:r w:rsidR="001E4BB5">
        <w:t> </w:t>
      </w:r>
      <w:r>
        <w:t>%.</w:t>
      </w:r>
    </w:p>
    <w:p w14:paraId="742F9A65" w14:textId="40ADA8FC" w:rsidR="00DB71F1" w:rsidRDefault="00DB71F1" w:rsidP="007608AA">
      <w:pPr>
        <w:pStyle w:val="Nadpis2"/>
        <w:numPr>
          <w:ilvl w:val="1"/>
          <w:numId w:val="17"/>
        </w:numPr>
      </w:pPr>
      <w:bookmarkStart w:id="46" w:name="_Toc181095973"/>
      <w:r>
        <w:t>L</w:t>
      </w:r>
      <w:r w:rsidRPr="00E57143">
        <w:t>imit verejných výdavkov v roku 2023</w:t>
      </w:r>
      <w:bookmarkEnd w:id="46"/>
    </w:p>
    <w:p w14:paraId="56D82085" w14:textId="7DBF472B" w:rsidR="00DB71F1" w:rsidRDefault="00DB71F1" w:rsidP="00325B48">
      <w:pPr>
        <w:spacing w:line="240" w:lineRule="auto"/>
        <w:jc w:val="both"/>
      </w:pPr>
      <w:r>
        <w:t>Súčasťou súhrnnej výročnej správy podľa zákona o rozpočtových pravidlách verejnej správy majú byť aj údaje o plnení limitu verejných výdavkov. Limit verejných výdavkov je legislatívne ukotvený v zákone o rozpočtovej zodpovednosti, pričom postup pri určení limitu verejných výdavkov ustanovujú rozpočtové pravidlá pre verejnú správu.</w:t>
      </w:r>
    </w:p>
    <w:p w14:paraId="3C646742" w14:textId="777759D9" w:rsidR="00DB71F1" w:rsidRDefault="00DB71F1" w:rsidP="00325B48">
      <w:pPr>
        <w:spacing w:line="240" w:lineRule="auto"/>
        <w:jc w:val="both"/>
      </w:pPr>
      <w:r>
        <w:t>Pre rok 2023 bol limit verejných výdavkov ustanovený v sume 41 321 154 tis. eur zákonom č. 526/2022 Z. z. o štátnom rozpočte na rok 2023, ktorý bol v Národnej rade SR schválený 22. decembra 2022. Zároveň bol limit verejných výdavkov určený Radou pre rozpočtovú zodpovednosť na rok 2023 v sume 41 321 154 tis. eur predložený 22. decembra 2022 do Národnej rady SR a schválený v Národnej rade SR 1. februára 2023.</w:t>
      </w:r>
    </w:p>
    <w:p w14:paraId="72DA19C1" w14:textId="654DF60D" w:rsidR="00DB71F1" w:rsidRDefault="00DB71F1" w:rsidP="00325B48">
      <w:pPr>
        <w:spacing w:line="240" w:lineRule="auto"/>
        <w:jc w:val="both"/>
      </w:pPr>
      <w:r>
        <w:t xml:space="preserve">V súlade s nariadením Rady (ES) č. 1467/97 bola aj pre rok 2023 na európskej úrovni aktivovaná všeobecná úniková doložka. Podľa § 30aa rozpočtových pravidiel, ak je aktivovaná všeobecná úniková doložka a rozpočet verejnej správy je predložený národnej rade a limit verejných výdavkov nie je národnou radou schválený, vláda informuje národnú radu o vzťahu schváleného limitu verejných výdavkov k rozpočtu verejnej správy do 30 dní po schválení limitu verejných výdavkov. Vláda 25. januára 2023 schválila </w:t>
      </w:r>
      <w:r w:rsidR="009875DB">
        <w:t>i</w:t>
      </w:r>
      <w:r>
        <w:t>nformáciu o vzťahu schváleného limitu verejných výdavkov k rozpočtu verejnej správy na roky 2023 a 2025, pričom o uvedenom informovala Národnú radu SR.</w:t>
      </w:r>
    </w:p>
    <w:p w14:paraId="341AE598" w14:textId="16DDA386" w:rsidR="00DB71F1" w:rsidRDefault="00DB71F1" w:rsidP="00325B48">
      <w:pPr>
        <w:spacing w:line="240" w:lineRule="auto"/>
        <w:jc w:val="both"/>
      </w:pPr>
      <w:r>
        <w:t>Keďže pre rok 2023 bola aktivovaná všeobecná úniková doložka, vláda nebola povinná realizovať rozpočet verejnej správy v súlade s limitom verejných výdavkov. Z tohto dôvodu aj hodnotenie plnenia limitu verejných výdavkov za rok 2023, ktoré vykonala Rada pre rozpočtovú zodpovednosť (ďalej ako „rada“) podľa §30aa zákona o rozpočtových pravidlách v júni 2024, má informatívny charakter o vplyve výdavkov spadajúcich pod limit na dlhodobú udržateľnosť verejných financií.</w:t>
      </w:r>
      <w:r w:rsidR="00194E25">
        <w:t xml:space="preserve"> Vláda SR </w:t>
      </w:r>
      <w:r w:rsidR="009875DB">
        <w:t>schválila</w:t>
      </w:r>
      <w:r w:rsidR="00194E25">
        <w:t xml:space="preserve"> zdôvodnenie nesplnenia limitu výdavkov za rok 2023</w:t>
      </w:r>
      <w:r w:rsidR="009875DB">
        <w:rPr>
          <w:rStyle w:val="Odkaznapoznmkupodiarou"/>
        </w:rPr>
        <w:footnoteReference w:id="29"/>
      </w:r>
      <w:r w:rsidR="009875DB">
        <w:t xml:space="preserve"> v júli 2024 a zaslala ho Národnej rade SR.</w:t>
      </w:r>
    </w:p>
    <w:p w14:paraId="06E6C207" w14:textId="29397959" w:rsidR="00DB71F1" w:rsidRDefault="00DB71F1" w:rsidP="00325B48">
      <w:pPr>
        <w:spacing w:line="240" w:lineRule="auto"/>
        <w:jc w:val="both"/>
      </w:pPr>
      <w:r>
        <w:t>Identifikované vyššie výdavky verejnej správy za rok 2023 v porovnaní so schváleným limitom výdavkov o 994 </w:t>
      </w:r>
      <w:r w:rsidRPr="00DB71F1">
        <w:t>398</w:t>
      </w:r>
      <w:r>
        <w:t> </w:t>
      </w:r>
      <w:r w:rsidRPr="00DB71F1">
        <w:t>tis</w:t>
      </w:r>
      <w:r>
        <w:t>. eur boli spôsobené implementáciou opatrení vyplývajúcich z legislatívnych materiálov schválených Národnou radou SR. Rozhodujúce opatrenia, ktoré spôsobili odchýlenie výdavkov od limitu pre rok 2023 súviseli najmä s riešením sociálno-ekonomickej situácie dôchodcov a ďalších skupín obyvateľstva, ako aj s dofinancovaním sektora zdravotníctva.</w:t>
      </w:r>
    </w:p>
    <w:p w14:paraId="531FEE7E" w14:textId="3486DAF5" w:rsidR="00FD652C" w:rsidRDefault="00DB71F1" w:rsidP="00D47CF2">
      <w:pPr>
        <w:spacing w:line="240" w:lineRule="auto"/>
        <w:jc w:val="both"/>
      </w:pPr>
      <w:r>
        <w:t>V roku 2024 došlo k úprave legislatívy týkajúcej sa spôsobu výpočtu a uplatňovania limitu verejných výdavkov v rozpočtovom hospodárení subjektov verejnej správy. Zmeny boli vyvolané potrebou zosúladiť nové európske pravidlá</w:t>
      </w:r>
      <w:r>
        <w:rPr>
          <w:rStyle w:val="Odkaznapoznmkupodiarou"/>
          <w:rFonts w:eastAsiaTheme="majorEastAsia"/>
        </w:rPr>
        <w:footnoteReference w:id="30"/>
      </w:r>
      <w:r>
        <w:t xml:space="preserve"> a požiadavky na riadenie fiškálneho rámca s národnými pravidlami. Podľa aktuálneho znenia §30aa zákona o rozpočtových pravidlách sa limitom verejných výdavkov rozumie maximálna výška výdavkov vyjadrená sumou určená v súlade s povoleným medziročným rastom čistých výdavkov. Limit verejných výdavkov vypočítava ministerstvo financií v súlade s trajektóriou vývoja čistých výdavkov v národnom strednodobom fiškálno-štrukturálnom pláne.</w:t>
      </w:r>
      <w:r w:rsidR="00FD652C">
        <w:br w:type="page"/>
      </w:r>
    </w:p>
    <w:p w14:paraId="710AEC9B" w14:textId="37188FC9" w:rsidR="00A544B6" w:rsidRPr="00931088" w:rsidRDefault="00AE09B9" w:rsidP="00DD4867">
      <w:pPr>
        <w:pStyle w:val="Nadpis1"/>
        <w:numPr>
          <w:ilvl w:val="0"/>
          <w:numId w:val="0"/>
        </w:numPr>
        <w:spacing w:before="240" w:after="240"/>
        <w:ind w:left="1491" w:hanging="1491"/>
        <w:rPr>
          <w:rFonts w:eastAsia="Times New Roman"/>
        </w:rPr>
      </w:pPr>
      <w:bookmarkStart w:id="47" w:name="_3._Čisté_bohatstvo"/>
      <w:bookmarkStart w:id="48" w:name="_Toc181095974"/>
      <w:bookmarkEnd w:id="47"/>
      <w:r w:rsidRPr="00B43BF4">
        <w:rPr>
          <w:rFonts w:eastAsia="Times New Roman"/>
        </w:rPr>
        <w:lastRenderedPageBreak/>
        <w:t>3</w:t>
      </w:r>
      <w:r w:rsidRPr="00931088">
        <w:rPr>
          <w:rFonts w:eastAsia="Times New Roman"/>
        </w:rPr>
        <w:t xml:space="preserve">. </w:t>
      </w:r>
      <w:r w:rsidR="00A544B6" w:rsidRPr="00931088">
        <w:rPr>
          <w:rFonts w:eastAsia="Times New Roman"/>
        </w:rPr>
        <w:t>Čisté bohatstvo</w:t>
      </w:r>
      <w:bookmarkEnd w:id="39"/>
      <w:bookmarkEnd w:id="43"/>
      <w:bookmarkEnd w:id="44"/>
      <w:bookmarkEnd w:id="45"/>
      <w:bookmarkEnd w:id="48"/>
    </w:p>
    <w:p w14:paraId="7303F68A" w14:textId="5E5C0457" w:rsidR="005406D6" w:rsidRPr="00931088" w:rsidRDefault="007C360C" w:rsidP="005406D6">
      <w:pPr>
        <w:spacing w:after="120" w:line="240" w:lineRule="auto"/>
        <w:jc w:val="both"/>
      </w:pPr>
      <w:bookmarkStart w:id="49" w:name="_Toc399324370"/>
      <w:bookmarkStart w:id="50" w:name="_Toc401920024"/>
      <w:bookmarkStart w:id="51" w:name="_Toc465255025"/>
      <w:bookmarkStart w:id="52" w:name="_Toc495990493"/>
      <w:r w:rsidRPr="00B35A9E">
        <w:rPr>
          <w:rFonts w:eastAsia="Cambria"/>
        </w:rPr>
        <w:t>Prvé dve kapitoly súhrnnej výročnej správy hodnotia hospodárenie verejných financií z pohľadu sektora verejnej správy tak, ako ho definuje metodika ESA</w:t>
      </w:r>
      <w:r>
        <w:rPr>
          <w:rFonts w:eastAsia="Cambria"/>
        </w:rPr>
        <w:t> </w:t>
      </w:r>
      <w:r w:rsidRPr="00B35A9E">
        <w:rPr>
          <w:rFonts w:eastAsia="Cambria"/>
        </w:rPr>
        <w:t>2010. Tento pohľad je v podmienkach krajín EÚ najviac zaužívaný kvôli tomu, že európske fiškálne pravidlá</w:t>
      </w:r>
      <w:r w:rsidRPr="00B35A9E">
        <w:rPr>
          <w:rStyle w:val="Odkaznapoznmkupodiarou"/>
        </w:rPr>
        <w:footnoteReference w:id="31"/>
      </w:r>
      <w:r w:rsidRPr="00B35A9E">
        <w:rPr>
          <w:rFonts w:eastAsia="Cambria"/>
        </w:rPr>
        <w:t xml:space="preserve"> sú formulované pre verejnú správu a národné rozpočty väčšiny krajín sú zostavované tiež za okruh verej</w:t>
      </w:r>
      <w:r w:rsidR="00645EDA">
        <w:rPr>
          <w:rFonts w:eastAsia="Cambria"/>
        </w:rPr>
        <w:t xml:space="preserve">nej správy a v tejto metodike. </w:t>
      </w:r>
      <w:r w:rsidRPr="00B35A9E">
        <w:rPr>
          <w:rFonts w:eastAsia="Cambria"/>
          <w:b/>
        </w:rPr>
        <w:t>Koncept čistého bohatstva rozširuje pohľad na verejné financie z verejnej správy na verejný sektor</w:t>
      </w:r>
      <w:r w:rsidRPr="00B35A9E">
        <w:rPr>
          <w:rStyle w:val="Odkaznapoznmkupodiarou"/>
          <w:rFonts w:eastAsia="Cambria"/>
        </w:rPr>
        <w:footnoteReference w:id="32"/>
      </w:r>
      <w:r w:rsidRPr="00B35A9E">
        <w:rPr>
          <w:rFonts w:eastAsia="Cambria"/>
          <w:b/>
        </w:rPr>
        <w:t xml:space="preserve"> </w:t>
      </w:r>
      <w:r w:rsidRPr="00B35A9E">
        <w:rPr>
          <w:rFonts w:eastAsia="Cambria"/>
        </w:rPr>
        <w:t>(napr. o subjekty štátu – obchodné spoločnosti, ktoré štatisticky nie sú zahrnuté do verejnej správy)</w:t>
      </w:r>
      <w:r w:rsidRPr="00B35A9E">
        <w:rPr>
          <w:rFonts w:eastAsia="Cambria"/>
          <w:b/>
        </w:rPr>
        <w:t>.</w:t>
      </w:r>
      <w:r w:rsidRPr="00B35A9E">
        <w:rPr>
          <w:rFonts w:eastAsia="Cambria"/>
        </w:rPr>
        <w:t xml:space="preserve"> Povinnosť prezentovať v súhrnnej výročnej správe čisté bohatstvo a tiež informácie o hospodárení podnikov štátnej správy vyplýva z ústavného zákona o rozpočtovej zodpovednosti, pričom </w:t>
      </w:r>
      <w:r w:rsidRPr="00B35A9E">
        <w:rPr>
          <w:rFonts w:eastAsia="Cambria"/>
          <w:b/>
        </w:rPr>
        <w:t>dôraz je kladený na vysvetlenie medziročných zmien položiek čistého bohatstva.</w:t>
      </w:r>
    </w:p>
    <w:p w14:paraId="3CF5459C" w14:textId="5E42D267" w:rsidR="00672294" w:rsidRPr="00672294" w:rsidRDefault="00AE09B9" w:rsidP="00AA46C8">
      <w:pPr>
        <w:pStyle w:val="Nadpis2"/>
      </w:pPr>
      <w:r w:rsidRPr="007B7AB5">
        <w:t xml:space="preserve"> </w:t>
      </w:r>
      <w:bookmarkStart w:id="53" w:name="_Toc117251114"/>
      <w:bookmarkStart w:id="54" w:name="_Toc181095975"/>
      <w:bookmarkEnd w:id="49"/>
      <w:bookmarkEnd w:id="50"/>
      <w:bookmarkEnd w:id="51"/>
      <w:bookmarkEnd w:id="52"/>
      <w:r w:rsidR="007C360C" w:rsidRPr="00AA46C8">
        <w:t>Odhad</w:t>
      </w:r>
      <w:r w:rsidR="007C360C" w:rsidRPr="00BB4D2B">
        <w:t xml:space="preserve"> čistého bohatstva za rok 202</w:t>
      </w:r>
      <w:bookmarkEnd w:id="53"/>
      <w:r w:rsidR="007C360C">
        <w:t>3</w:t>
      </w:r>
      <w:bookmarkEnd w:id="54"/>
    </w:p>
    <w:p w14:paraId="340788C3" w14:textId="778FE5BD" w:rsidR="005406D6" w:rsidRPr="007B7AB5" w:rsidRDefault="007C360C" w:rsidP="005406D6">
      <w:pPr>
        <w:spacing w:after="120" w:line="240" w:lineRule="auto"/>
        <w:jc w:val="both"/>
        <w:rPr>
          <w:rFonts w:eastAsia="Cambria"/>
          <w:i/>
        </w:rPr>
      </w:pPr>
      <w:r w:rsidRPr="00B35A9E">
        <w:rPr>
          <w:rFonts w:eastAsia="Cambria"/>
          <w:b/>
        </w:rPr>
        <w:t>Čisté bohatstvo</w:t>
      </w:r>
      <w:r w:rsidRPr="00B35A9E">
        <w:rPr>
          <w:rFonts w:eastAsia="Cambria"/>
        </w:rPr>
        <w:t xml:space="preserve"> popisuje stav hospodárenia verejného sektora ku koncu roka. </w:t>
      </w:r>
      <w:r w:rsidRPr="00B35A9E">
        <w:t>P</w:t>
      </w:r>
      <w:r>
        <w:rPr>
          <w:rFonts w:eastAsia="Cambria"/>
        </w:rPr>
        <w:t>odľa ústavného zákona o </w:t>
      </w:r>
      <w:r w:rsidRPr="00B35A9E">
        <w:rPr>
          <w:rFonts w:eastAsia="Cambria"/>
        </w:rPr>
        <w:t xml:space="preserve">rozpočtovej zodpovednosti sa pod čistým bohatstvom rozumie: </w:t>
      </w:r>
      <w:r w:rsidRPr="00B35A9E">
        <w:rPr>
          <w:rFonts w:eastAsia="Cambria"/>
          <w:i/>
        </w:rPr>
        <w:t>súčet vlastného imania subjektov verejnej správy, vlastného imania Národnej banky Slovenska, vlastného imania podnikov štátnej správy a podnikov územnej samosprávy, upravený o implicitné záväzky, iné aktíva a iné pasíva vrátane podmienených záväzkov</w:t>
      </w:r>
      <w:r w:rsidR="007B7AB5" w:rsidRPr="007B7AB5">
        <w:rPr>
          <w:rFonts w:eastAsia="Cambria"/>
          <w:i/>
        </w:rPr>
        <w:t>.</w:t>
      </w:r>
    </w:p>
    <w:p w14:paraId="20167955" w14:textId="26AA34FA" w:rsidR="005406D6" w:rsidRPr="007B7AB5" w:rsidRDefault="007C360C" w:rsidP="005406D6">
      <w:pPr>
        <w:spacing w:after="120" w:line="240" w:lineRule="auto"/>
        <w:jc w:val="both"/>
      </w:pPr>
      <w:r w:rsidRPr="00B35A9E">
        <w:rPr>
          <w:szCs w:val="22"/>
        </w:rPr>
        <w:t>Čisté bohatstvo má špecifickú štruktúru, a preto je veľmi dôležitá jeho správna interpretácia. Pri veľkosti čistého bohatstva má význam analyzovať len jednotlivé zložky jeho štruktúry, ako napríklad vlastné imanie podnikov, podmienené záväzky či implicitné záväzky, pretože tie majú z ekonomického hľadiska samostatnú vypovedaciu schopnosť. Čisté bohatstvo treba vnímať ako komplex všetkých typov ukazovateľov, ktoré je podstatné sledovať z hľadiska finančnej stability a bohatstva štátu</w:t>
      </w:r>
      <w:r w:rsidR="007B7AB5" w:rsidRPr="007B7AB5">
        <w:rPr>
          <w:szCs w:val="22"/>
        </w:rPr>
        <w:t>.</w:t>
      </w:r>
    </w:p>
    <w:p w14:paraId="19397937" w14:textId="4AAF5069" w:rsidR="005406D6" w:rsidRPr="002746C4" w:rsidRDefault="007C360C" w:rsidP="005406D6">
      <w:pPr>
        <w:spacing w:after="120" w:line="240" w:lineRule="auto"/>
        <w:jc w:val="both"/>
        <w:rPr>
          <w:highlight w:val="yellow"/>
        </w:rPr>
      </w:pPr>
      <w:r w:rsidRPr="00B35A9E">
        <w:t>Analýza a vysvetlenie medziročných zmien zložiek čistého bohatstva poskytujú dôležité informácie o hospodárení štátu, ktoré nemusí zachytiť tradičný pohľad na saldo a dlh verejnej správy. Existujú totiž politiky a transakcie, ktoré sa z metodických dôvodov nemusia prejaviť na salde a dlhu verejnej správy, ale</w:t>
      </w:r>
      <w:r w:rsidR="00645EDA">
        <w:t> </w:t>
      </w:r>
      <w:r w:rsidRPr="00B35A9E">
        <w:t>majú negatívny alebo naopak pozitívny vplyv na čisté bohatstvo štátu</w:t>
      </w:r>
      <w:r w:rsidR="007B7AB5" w:rsidRPr="007B7AB5">
        <w:t>.</w:t>
      </w:r>
    </w:p>
    <w:p w14:paraId="7145AF41" w14:textId="77777777" w:rsidR="004F6353" w:rsidRDefault="004F6353" w:rsidP="004F6353">
      <w:pPr>
        <w:pStyle w:val="Popis"/>
        <w:framePr w:wrap="around" w:x="1720" w:y="1134"/>
      </w:pPr>
      <w:r>
        <w:t xml:space="preserve">Tabuľka </w:t>
      </w:r>
      <w:r w:rsidR="001F05DE">
        <w:fldChar w:fldCharType="begin"/>
      </w:r>
      <w:r w:rsidR="001F05DE">
        <w:instrText xml:space="preserve"> SEQ Tabuľka \* ARABIC </w:instrText>
      </w:r>
      <w:r w:rsidR="001F05DE">
        <w:fldChar w:fldCharType="separate"/>
      </w:r>
      <w:r>
        <w:rPr>
          <w:noProof/>
        </w:rPr>
        <w:t>17</w:t>
      </w:r>
      <w:r w:rsidR="001F05DE">
        <w:rPr>
          <w:noProof/>
        </w:rPr>
        <w:fldChar w:fldCharType="end"/>
      </w:r>
      <w:r>
        <w:t xml:space="preserve"> - </w:t>
      </w:r>
      <w:r w:rsidRPr="00933919">
        <w:t>Odhad čistého bohatstva Slovenskej republiky</w:t>
      </w:r>
      <w:r>
        <w:t xml:space="preserve"> </w:t>
      </w:r>
      <w:r>
        <w:tab/>
      </w:r>
      <w:r>
        <w:tab/>
      </w:r>
      <w:r>
        <w:tab/>
        <w:t xml:space="preserve">            v % resp. v tis. eur</w:t>
      </w:r>
    </w:p>
    <w:p w14:paraId="7B35CCC5" w14:textId="044960DE" w:rsidR="005406D6" w:rsidRPr="002746C4" w:rsidRDefault="007C360C" w:rsidP="00FD652C">
      <w:pPr>
        <w:spacing w:after="0" w:line="240" w:lineRule="auto"/>
        <w:jc w:val="both"/>
        <w:rPr>
          <w:b/>
          <w:bCs/>
          <w:highlight w:val="yellow"/>
        </w:rPr>
      </w:pPr>
      <w:r w:rsidRPr="003F0F4B">
        <w:rPr>
          <w:b/>
        </w:rPr>
        <w:t>Odhadnutá výška čistého bohatstva Slovenskej republiky dosiahla k 31.12.202</w:t>
      </w:r>
      <w:r>
        <w:rPr>
          <w:b/>
        </w:rPr>
        <w:t>3</w:t>
      </w:r>
      <w:r w:rsidRPr="003F0F4B">
        <w:rPr>
          <w:b/>
        </w:rPr>
        <w:t xml:space="preserve"> zápornú hodnotu</w:t>
      </w:r>
      <w:r w:rsidRPr="003F0F4B">
        <w:rPr>
          <w:b/>
          <w:bCs/>
        </w:rPr>
        <w:br/>
      </w:r>
      <w:r w:rsidRPr="003C79A0">
        <w:rPr>
          <w:b/>
          <w:bCs/>
        </w:rPr>
        <w:t>-</w:t>
      </w:r>
      <w:r>
        <w:rPr>
          <w:b/>
          <w:bCs/>
        </w:rPr>
        <w:t>226 640 091 </w:t>
      </w:r>
      <w:r w:rsidRPr="003C79A0">
        <w:rPr>
          <w:b/>
          <w:bCs/>
        </w:rPr>
        <w:t>tis.</w:t>
      </w:r>
      <w:r>
        <w:rPr>
          <w:b/>
          <w:bCs/>
        </w:rPr>
        <w:t> </w:t>
      </w:r>
      <w:r w:rsidRPr="003C79A0">
        <w:rPr>
          <w:b/>
          <w:bCs/>
        </w:rPr>
        <w:t>eur</w:t>
      </w:r>
      <w:r w:rsidRPr="003C79A0">
        <w:rPr>
          <w:b/>
        </w:rPr>
        <w:t xml:space="preserve"> (-</w:t>
      </w:r>
      <w:r w:rsidR="004D02C1">
        <w:rPr>
          <w:b/>
        </w:rPr>
        <w:t>184,4</w:t>
      </w:r>
      <w:r>
        <w:rPr>
          <w:b/>
        </w:rPr>
        <w:t> </w:t>
      </w:r>
      <w:r w:rsidRPr="003C79A0">
        <w:rPr>
          <w:b/>
        </w:rPr>
        <w:t>% HDP).</w:t>
      </w:r>
      <w:r w:rsidRPr="003C79A0">
        <w:t xml:space="preserve"> Oproti predchádzajúcemu roku sa hodnota čistého bohatstva opäť zlepšila, a to </w:t>
      </w:r>
      <w:r>
        <w:t xml:space="preserve">výrazne </w:t>
      </w:r>
      <w:r w:rsidRPr="003C79A0">
        <w:t>o</w:t>
      </w:r>
      <w:r>
        <w:t> 196 475 119 </w:t>
      </w:r>
      <w:r w:rsidRPr="003C79A0">
        <w:t>tis. eur, najmä</w:t>
      </w:r>
      <w:r w:rsidRPr="003F0F4B">
        <w:t xml:space="preserve"> </w:t>
      </w:r>
      <w:r>
        <w:t>nižšou hodnotou</w:t>
      </w:r>
      <w:r w:rsidRPr="003F0F4B">
        <w:t xml:space="preserve"> odhadovaných implicitných záväzkov</w:t>
      </w:r>
      <w:r>
        <w:t xml:space="preserve"> súvisiacich s dôchodkovým systémom a zdravotnou či dlhodobou starostlivosťou</w:t>
      </w:r>
      <w:r w:rsidR="00C124C5">
        <w:t>.</w:t>
      </w:r>
    </w:p>
    <w:tbl>
      <w:tblPr>
        <w:tblW w:w="5000" w:type="pct"/>
        <w:tblCellMar>
          <w:left w:w="70" w:type="dxa"/>
          <w:right w:w="70" w:type="dxa"/>
        </w:tblCellMar>
        <w:tblLook w:val="04A0" w:firstRow="1" w:lastRow="0" w:firstColumn="1" w:lastColumn="0" w:noHBand="0" w:noVBand="1"/>
      </w:tblPr>
      <w:tblGrid>
        <w:gridCol w:w="4439"/>
        <w:gridCol w:w="1177"/>
        <w:gridCol w:w="1246"/>
        <w:gridCol w:w="1194"/>
        <w:gridCol w:w="1298"/>
      </w:tblGrid>
      <w:tr w:rsidR="00642969" w:rsidRPr="002746C4" w14:paraId="28018D8D" w14:textId="77777777" w:rsidTr="00FF497A">
        <w:trPr>
          <w:trHeight w:val="300"/>
          <w:tblHeader/>
        </w:trPr>
        <w:tc>
          <w:tcPr>
            <w:tcW w:w="2373" w:type="pct"/>
            <w:tcBorders>
              <w:top w:val="single" w:sz="4" w:space="0" w:color="auto"/>
              <w:left w:val="nil"/>
              <w:bottom w:val="single" w:sz="4" w:space="0" w:color="auto"/>
              <w:right w:val="nil"/>
            </w:tcBorders>
            <w:shd w:val="clear" w:color="auto" w:fill="auto"/>
            <w:vAlign w:val="bottom"/>
            <w:hideMark/>
          </w:tcPr>
          <w:p w14:paraId="4E598C0A" w14:textId="77777777" w:rsidR="00642969" w:rsidRPr="00642969" w:rsidRDefault="00642969" w:rsidP="00642969">
            <w:pPr>
              <w:spacing w:after="0" w:line="240" w:lineRule="auto"/>
              <w:rPr>
                <w:b/>
                <w:bCs/>
                <w:sz w:val="18"/>
                <w:szCs w:val="18"/>
                <w:lang w:eastAsia="sk-SK"/>
              </w:rPr>
            </w:pPr>
            <w:bookmarkStart w:id="55" w:name="OLE_LINK1"/>
            <w:r w:rsidRPr="00642969">
              <w:rPr>
                <w:b/>
                <w:bCs/>
                <w:sz w:val="18"/>
                <w:szCs w:val="18"/>
                <w:lang w:eastAsia="sk-SK"/>
              </w:rPr>
              <w:t> </w:t>
            </w:r>
          </w:p>
        </w:tc>
        <w:tc>
          <w:tcPr>
            <w:tcW w:w="629" w:type="pct"/>
            <w:tcBorders>
              <w:top w:val="single" w:sz="4" w:space="0" w:color="auto"/>
              <w:left w:val="nil"/>
              <w:bottom w:val="single" w:sz="4" w:space="0" w:color="auto"/>
              <w:right w:val="nil"/>
            </w:tcBorders>
            <w:shd w:val="clear" w:color="auto" w:fill="auto"/>
            <w:vAlign w:val="bottom"/>
            <w:hideMark/>
          </w:tcPr>
          <w:p w14:paraId="5C5E3E03" w14:textId="7DCE9B23" w:rsidR="00642969" w:rsidRPr="002746C4" w:rsidRDefault="00642969" w:rsidP="00642969">
            <w:pPr>
              <w:spacing w:after="0" w:line="240" w:lineRule="auto"/>
              <w:jc w:val="right"/>
              <w:rPr>
                <w:b/>
                <w:bCs/>
                <w:sz w:val="18"/>
                <w:szCs w:val="18"/>
                <w:highlight w:val="yellow"/>
                <w:lang w:eastAsia="sk-SK"/>
              </w:rPr>
            </w:pPr>
            <w:r w:rsidRPr="00F4601B">
              <w:rPr>
                <w:b/>
                <w:bCs/>
                <w:sz w:val="18"/>
                <w:szCs w:val="18"/>
                <w:lang w:eastAsia="sk-SK"/>
              </w:rPr>
              <w:t>20</w:t>
            </w:r>
            <w:r>
              <w:rPr>
                <w:b/>
                <w:bCs/>
                <w:sz w:val="18"/>
                <w:szCs w:val="18"/>
                <w:lang w:eastAsia="sk-SK"/>
              </w:rPr>
              <w:t>21</w:t>
            </w:r>
          </w:p>
        </w:tc>
        <w:tc>
          <w:tcPr>
            <w:tcW w:w="666" w:type="pct"/>
            <w:tcBorders>
              <w:top w:val="single" w:sz="4" w:space="0" w:color="auto"/>
              <w:left w:val="nil"/>
              <w:bottom w:val="single" w:sz="4" w:space="0" w:color="auto"/>
              <w:right w:val="nil"/>
            </w:tcBorders>
            <w:shd w:val="clear" w:color="auto" w:fill="auto"/>
            <w:vAlign w:val="bottom"/>
          </w:tcPr>
          <w:p w14:paraId="267DE5E3" w14:textId="184CBD55" w:rsidR="00642969" w:rsidRPr="002746C4" w:rsidRDefault="00642969" w:rsidP="00642969">
            <w:pPr>
              <w:spacing w:after="0" w:line="240" w:lineRule="auto"/>
              <w:jc w:val="right"/>
              <w:rPr>
                <w:b/>
                <w:bCs/>
                <w:sz w:val="18"/>
                <w:szCs w:val="18"/>
                <w:highlight w:val="yellow"/>
                <w:lang w:eastAsia="sk-SK"/>
              </w:rPr>
            </w:pPr>
            <w:r w:rsidRPr="00F4601B">
              <w:rPr>
                <w:b/>
                <w:bCs/>
                <w:sz w:val="18"/>
                <w:szCs w:val="18"/>
                <w:lang w:eastAsia="sk-SK"/>
              </w:rPr>
              <w:t>202</w:t>
            </w:r>
            <w:r>
              <w:rPr>
                <w:b/>
                <w:bCs/>
                <w:sz w:val="18"/>
                <w:szCs w:val="18"/>
                <w:lang w:eastAsia="sk-SK"/>
              </w:rPr>
              <w:t>2</w:t>
            </w:r>
          </w:p>
        </w:tc>
        <w:tc>
          <w:tcPr>
            <w:tcW w:w="638" w:type="pct"/>
            <w:tcBorders>
              <w:top w:val="single" w:sz="4" w:space="0" w:color="auto"/>
              <w:left w:val="nil"/>
              <w:bottom w:val="single" w:sz="4" w:space="0" w:color="auto"/>
              <w:right w:val="nil"/>
            </w:tcBorders>
            <w:shd w:val="clear" w:color="auto" w:fill="auto"/>
            <w:vAlign w:val="bottom"/>
          </w:tcPr>
          <w:p w14:paraId="46E9056A" w14:textId="7C875E46" w:rsidR="00642969" w:rsidRPr="002746C4" w:rsidRDefault="00642969" w:rsidP="00642969">
            <w:pPr>
              <w:spacing w:after="0" w:line="240" w:lineRule="auto"/>
              <w:jc w:val="right"/>
              <w:rPr>
                <w:b/>
                <w:bCs/>
                <w:sz w:val="18"/>
                <w:szCs w:val="18"/>
                <w:highlight w:val="yellow"/>
                <w:lang w:eastAsia="sk-SK"/>
              </w:rPr>
            </w:pPr>
            <w:r w:rsidRPr="00F4601B">
              <w:rPr>
                <w:b/>
                <w:bCs/>
                <w:sz w:val="18"/>
                <w:szCs w:val="18"/>
                <w:lang w:eastAsia="sk-SK"/>
              </w:rPr>
              <w:t>202</w:t>
            </w:r>
            <w:r>
              <w:rPr>
                <w:b/>
                <w:bCs/>
                <w:sz w:val="18"/>
                <w:szCs w:val="18"/>
                <w:lang w:eastAsia="sk-SK"/>
              </w:rPr>
              <w:t>3</w:t>
            </w:r>
          </w:p>
        </w:tc>
        <w:tc>
          <w:tcPr>
            <w:tcW w:w="694" w:type="pct"/>
            <w:tcBorders>
              <w:top w:val="single" w:sz="4" w:space="0" w:color="auto"/>
              <w:left w:val="nil"/>
              <w:bottom w:val="single" w:sz="4" w:space="0" w:color="auto"/>
              <w:right w:val="nil"/>
            </w:tcBorders>
            <w:shd w:val="clear" w:color="auto" w:fill="auto"/>
            <w:vAlign w:val="bottom"/>
            <w:hideMark/>
          </w:tcPr>
          <w:p w14:paraId="74818613" w14:textId="474F1695" w:rsidR="00642969" w:rsidRPr="002746C4" w:rsidRDefault="00642969" w:rsidP="00642969">
            <w:pPr>
              <w:spacing w:after="0" w:line="240" w:lineRule="auto"/>
              <w:jc w:val="right"/>
              <w:rPr>
                <w:b/>
                <w:bCs/>
                <w:sz w:val="18"/>
                <w:szCs w:val="18"/>
                <w:highlight w:val="yellow"/>
                <w:lang w:eastAsia="sk-SK"/>
              </w:rPr>
            </w:pPr>
            <w:r w:rsidRPr="00F4601B">
              <w:rPr>
                <w:b/>
                <w:bCs/>
                <w:sz w:val="18"/>
                <w:szCs w:val="18"/>
                <w:lang w:eastAsia="sk-SK"/>
              </w:rPr>
              <w:t>Δ 202</w:t>
            </w:r>
            <w:r>
              <w:rPr>
                <w:b/>
                <w:bCs/>
                <w:sz w:val="18"/>
                <w:szCs w:val="18"/>
                <w:lang w:eastAsia="sk-SK"/>
              </w:rPr>
              <w:t>3</w:t>
            </w:r>
            <w:r w:rsidRPr="00F4601B">
              <w:rPr>
                <w:b/>
                <w:bCs/>
                <w:sz w:val="18"/>
                <w:szCs w:val="18"/>
                <w:lang w:eastAsia="sk-SK"/>
              </w:rPr>
              <w:t>-202</w:t>
            </w:r>
            <w:r>
              <w:rPr>
                <w:b/>
                <w:bCs/>
                <w:sz w:val="18"/>
                <w:szCs w:val="18"/>
                <w:lang w:eastAsia="sk-SK"/>
              </w:rPr>
              <w:t>2</w:t>
            </w:r>
          </w:p>
        </w:tc>
      </w:tr>
      <w:tr w:rsidR="00E352E1" w:rsidRPr="002746C4" w14:paraId="282AB9D1" w14:textId="77777777" w:rsidTr="00B46C79">
        <w:trPr>
          <w:trHeight w:val="300"/>
        </w:trPr>
        <w:tc>
          <w:tcPr>
            <w:tcW w:w="2373" w:type="pct"/>
            <w:tcBorders>
              <w:top w:val="single" w:sz="4" w:space="0" w:color="auto"/>
              <w:left w:val="nil"/>
              <w:bottom w:val="nil"/>
              <w:right w:val="nil"/>
            </w:tcBorders>
            <w:shd w:val="clear" w:color="auto" w:fill="auto"/>
            <w:vAlign w:val="bottom"/>
            <w:hideMark/>
          </w:tcPr>
          <w:p w14:paraId="5EA01D6F" w14:textId="013C8EBF" w:rsidR="00E352E1" w:rsidRPr="00642969" w:rsidRDefault="00E352E1" w:rsidP="00926F3E">
            <w:pPr>
              <w:spacing w:after="0" w:line="240" w:lineRule="auto"/>
              <w:rPr>
                <w:sz w:val="18"/>
                <w:szCs w:val="18"/>
                <w:lang w:eastAsia="sk-SK"/>
              </w:rPr>
            </w:pPr>
            <w:r w:rsidRPr="00642969">
              <w:rPr>
                <w:sz w:val="18"/>
                <w:szCs w:val="18"/>
                <w:lang w:eastAsia="sk-SK"/>
              </w:rPr>
              <w:t>Vlastné imanie verejného sektora                              (1)</w:t>
            </w:r>
          </w:p>
        </w:tc>
        <w:tc>
          <w:tcPr>
            <w:tcW w:w="629" w:type="pct"/>
            <w:tcBorders>
              <w:top w:val="single" w:sz="4" w:space="0" w:color="auto"/>
              <w:left w:val="nil"/>
              <w:bottom w:val="nil"/>
              <w:right w:val="nil"/>
            </w:tcBorders>
            <w:shd w:val="clear" w:color="auto" w:fill="auto"/>
            <w:vAlign w:val="bottom"/>
          </w:tcPr>
          <w:p w14:paraId="3F96028B" w14:textId="26392E7B" w:rsidR="00E352E1" w:rsidRPr="002746C4" w:rsidRDefault="00E352E1" w:rsidP="00E352E1">
            <w:pPr>
              <w:spacing w:after="0" w:line="240" w:lineRule="auto"/>
              <w:jc w:val="right"/>
              <w:rPr>
                <w:sz w:val="18"/>
                <w:szCs w:val="18"/>
                <w:highlight w:val="yellow"/>
                <w:lang w:eastAsia="sk-SK"/>
              </w:rPr>
            </w:pPr>
            <w:r>
              <w:rPr>
                <w:sz w:val="18"/>
                <w:szCs w:val="18"/>
                <w:lang w:eastAsia="sk-SK"/>
              </w:rPr>
              <w:t>-7 203 821</w:t>
            </w:r>
          </w:p>
        </w:tc>
        <w:tc>
          <w:tcPr>
            <w:tcW w:w="666" w:type="pct"/>
            <w:tcBorders>
              <w:top w:val="single" w:sz="4" w:space="0" w:color="auto"/>
              <w:left w:val="nil"/>
              <w:bottom w:val="nil"/>
              <w:right w:val="nil"/>
            </w:tcBorders>
            <w:shd w:val="clear" w:color="auto" w:fill="auto"/>
            <w:vAlign w:val="bottom"/>
          </w:tcPr>
          <w:p w14:paraId="78EC5274" w14:textId="20690D25" w:rsidR="00E352E1" w:rsidRPr="002746C4" w:rsidRDefault="00E352E1" w:rsidP="00E352E1">
            <w:pPr>
              <w:spacing w:after="0" w:line="240" w:lineRule="auto"/>
              <w:jc w:val="right"/>
              <w:rPr>
                <w:sz w:val="18"/>
                <w:szCs w:val="18"/>
                <w:highlight w:val="yellow"/>
                <w:lang w:eastAsia="sk-SK"/>
              </w:rPr>
            </w:pPr>
            <w:r>
              <w:rPr>
                <w:sz w:val="18"/>
                <w:szCs w:val="18"/>
                <w:lang w:eastAsia="sk-SK"/>
              </w:rPr>
              <w:t>-6 456 999</w:t>
            </w:r>
          </w:p>
        </w:tc>
        <w:tc>
          <w:tcPr>
            <w:tcW w:w="638" w:type="pct"/>
            <w:tcBorders>
              <w:top w:val="single" w:sz="4" w:space="0" w:color="auto"/>
              <w:left w:val="nil"/>
              <w:bottom w:val="nil"/>
              <w:right w:val="nil"/>
            </w:tcBorders>
            <w:shd w:val="clear" w:color="auto" w:fill="auto"/>
            <w:vAlign w:val="bottom"/>
          </w:tcPr>
          <w:p w14:paraId="1D2422AE" w14:textId="5EBECE80" w:rsidR="00E352E1" w:rsidRPr="002746C4" w:rsidRDefault="00E352E1" w:rsidP="00E352E1">
            <w:pPr>
              <w:spacing w:after="0" w:line="240" w:lineRule="auto"/>
              <w:jc w:val="right"/>
              <w:rPr>
                <w:sz w:val="18"/>
                <w:szCs w:val="18"/>
                <w:highlight w:val="yellow"/>
                <w:lang w:eastAsia="sk-SK"/>
              </w:rPr>
            </w:pPr>
            <w:r>
              <w:rPr>
                <w:sz w:val="18"/>
                <w:szCs w:val="18"/>
                <w:lang w:eastAsia="sk-SK"/>
              </w:rPr>
              <w:t>-12 041 687</w:t>
            </w:r>
          </w:p>
        </w:tc>
        <w:tc>
          <w:tcPr>
            <w:tcW w:w="694" w:type="pct"/>
            <w:tcBorders>
              <w:top w:val="single" w:sz="4" w:space="0" w:color="auto"/>
              <w:left w:val="nil"/>
              <w:bottom w:val="nil"/>
              <w:right w:val="nil"/>
            </w:tcBorders>
            <w:shd w:val="clear" w:color="auto" w:fill="auto"/>
            <w:vAlign w:val="bottom"/>
          </w:tcPr>
          <w:p w14:paraId="0E532E7A" w14:textId="2DC95F23" w:rsidR="00E352E1" w:rsidRPr="002746C4" w:rsidRDefault="00E352E1" w:rsidP="00E352E1">
            <w:pPr>
              <w:spacing w:after="0" w:line="240" w:lineRule="auto"/>
              <w:jc w:val="right"/>
              <w:rPr>
                <w:sz w:val="18"/>
                <w:szCs w:val="18"/>
                <w:highlight w:val="yellow"/>
                <w:lang w:eastAsia="sk-SK"/>
              </w:rPr>
            </w:pPr>
            <w:r>
              <w:rPr>
                <w:sz w:val="18"/>
                <w:szCs w:val="18"/>
                <w:lang w:eastAsia="sk-SK"/>
              </w:rPr>
              <w:t>-5 584 688</w:t>
            </w:r>
          </w:p>
        </w:tc>
      </w:tr>
      <w:tr w:rsidR="00E352E1" w:rsidRPr="002746C4" w14:paraId="29223570" w14:textId="77777777" w:rsidTr="00B46C79">
        <w:trPr>
          <w:trHeight w:val="300"/>
        </w:trPr>
        <w:tc>
          <w:tcPr>
            <w:tcW w:w="2373" w:type="pct"/>
            <w:tcBorders>
              <w:top w:val="nil"/>
              <w:left w:val="nil"/>
              <w:bottom w:val="nil"/>
              <w:right w:val="nil"/>
            </w:tcBorders>
            <w:shd w:val="clear" w:color="auto" w:fill="auto"/>
            <w:vAlign w:val="bottom"/>
            <w:hideMark/>
          </w:tcPr>
          <w:p w14:paraId="0A2742F2" w14:textId="77777777" w:rsidR="00E352E1" w:rsidRPr="00642969" w:rsidRDefault="00E352E1" w:rsidP="00E352E1">
            <w:pPr>
              <w:spacing w:after="0" w:line="240" w:lineRule="auto"/>
              <w:ind w:firstLineChars="300" w:firstLine="540"/>
              <w:rPr>
                <w:sz w:val="18"/>
                <w:szCs w:val="18"/>
                <w:lang w:eastAsia="sk-SK"/>
              </w:rPr>
            </w:pPr>
            <w:r w:rsidRPr="00642969">
              <w:rPr>
                <w:sz w:val="18"/>
                <w:szCs w:val="18"/>
                <w:lang w:eastAsia="sk-SK"/>
              </w:rPr>
              <w:t>VI súhrnného celku verejnej správy</w:t>
            </w:r>
          </w:p>
        </w:tc>
        <w:tc>
          <w:tcPr>
            <w:tcW w:w="629" w:type="pct"/>
            <w:tcBorders>
              <w:top w:val="nil"/>
              <w:left w:val="nil"/>
              <w:bottom w:val="nil"/>
              <w:right w:val="nil"/>
            </w:tcBorders>
            <w:shd w:val="clear" w:color="auto" w:fill="auto"/>
            <w:vAlign w:val="bottom"/>
          </w:tcPr>
          <w:p w14:paraId="1F400459" w14:textId="1D6140D5" w:rsidR="00E352E1" w:rsidRPr="002746C4" w:rsidRDefault="00E352E1" w:rsidP="00E352E1">
            <w:pPr>
              <w:spacing w:after="0" w:line="240" w:lineRule="auto"/>
              <w:jc w:val="right"/>
              <w:rPr>
                <w:sz w:val="18"/>
                <w:szCs w:val="18"/>
                <w:highlight w:val="yellow"/>
                <w:lang w:eastAsia="sk-SK"/>
              </w:rPr>
            </w:pPr>
            <w:r>
              <w:rPr>
                <w:sz w:val="18"/>
                <w:szCs w:val="18"/>
                <w:lang w:eastAsia="sk-SK"/>
              </w:rPr>
              <w:t>-5 961 982</w:t>
            </w:r>
          </w:p>
        </w:tc>
        <w:tc>
          <w:tcPr>
            <w:tcW w:w="666" w:type="pct"/>
            <w:tcBorders>
              <w:top w:val="nil"/>
              <w:left w:val="nil"/>
              <w:bottom w:val="nil"/>
              <w:right w:val="nil"/>
            </w:tcBorders>
            <w:shd w:val="clear" w:color="auto" w:fill="auto"/>
            <w:vAlign w:val="bottom"/>
          </w:tcPr>
          <w:p w14:paraId="75F39A47" w14:textId="39BCAED9" w:rsidR="00E352E1" w:rsidRPr="002746C4" w:rsidRDefault="00E352E1" w:rsidP="00E352E1">
            <w:pPr>
              <w:spacing w:after="0" w:line="240" w:lineRule="auto"/>
              <w:jc w:val="right"/>
              <w:rPr>
                <w:sz w:val="18"/>
                <w:szCs w:val="18"/>
                <w:highlight w:val="yellow"/>
                <w:lang w:eastAsia="sk-SK"/>
              </w:rPr>
            </w:pPr>
            <w:r>
              <w:rPr>
                <w:sz w:val="18"/>
                <w:szCs w:val="18"/>
                <w:lang w:eastAsia="sk-SK"/>
              </w:rPr>
              <w:t>-5 309 921</w:t>
            </w:r>
          </w:p>
        </w:tc>
        <w:tc>
          <w:tcPr>
            <w:tcW w:w="638" w:type="pct"/>
            <w:tcBorders>
              <w:top w:val="nil"/>
              <w:left w:val="nil"/>
              <w:bottom w:val="nil"/>
              <w:right w:val="nil"/>
            </w:tcBorders>
            <w:shd w:val="clear" w:color="auto" w:fill="auto"/>
            <w:vAlign w:val="bottom"/>
          </w:tcPr>
          <w:p w14:paraId="1D728EBB" w14:textId="2A9D973E" w:rsidR="00E352E1" w:rsidRPr="002746C4" w:rsidRDefault="00E352E1" w:rsidP="00E352E1">
            <w:pPr>
              <w:spacing w:after="0" w:line="240" w:lineRule="auto"/>
              <w:jc w:val="right"/>
              <w:rPr>
                <w:sz w:val="18"/>
                <w:szCs w:val="18"/>
                <w:highlight w:val="yellow"/>
                <w:lang w:eastAsia="sk-SK"/>
              </w:rPr>
            </w:pPr>
            <w:r>
              <w:rPr>
                <w:sz w:val="18"/>
                <w:szCs w:val="18"/>
                <w:lang w:eastAsia="sk-SK"/>
              </w:rPr>
              <w:t>-10 774 200</w:t>
            </w:r>
          </w:p>
        </w:tc>
        <w:tc>
          <w:tcPr>
            <w:tcW w:w="694" w:type="pct"/>
            <w:tcBorders>
              <w:top w:val="nil"/>
              <w:left w:val="nil"/>
              <w:bottom w:val="nil"/>
              <w:right w:val="nil"/>
            </w:tcBorders>
            <w:shd w:val="clear" w:color="auto" w:fill="auto"/>
            <w:vAlign w:val="bottom"/>
          </w:tcPr>
          <w:p w14:paraId="4EDA5601" w14:textId="322A6AAA" w:rsidR="00E352E1" w:rsidRPr="002746C4" w:rsidRDefault="00E352E1" w:rsidP="00E352E1">
            <w:pPr>
              <w:spacing w:after="0" w:line="240" w:lineRule="auto"/>
              <w:jc w:val="right"/>
              <w:rPr>
                <w:sz w:val="18"/>
                <w:szCs w:val="18"/>
                <w:highlight w:val="yellow"/>
                <w:lang w:eastAsia="sk-SK"/>
              </w:rPr>
            </w:pPr>
            <w:r>
              <w:rPr>
                <w:sz w:val="18"/>
                <w:szCs w:val="18"/>
                <w:lang w:eastAsia="sk-SK"/>
              </w:rPr>
              <w:t>-5 464 279</w:t>
            </w:r>
          </w:p>
        </w:tc>
      </w:tr>
      <w:tr w:rsidR="00E352E1" w:rsidRPr="002746C4" w14:paraId="7183F324" w14:textId="77777777" w:rsidTr="00B46C79">
        <w:trPr>
          <w:trHeight w:val="300"/>
        </w:trPr>
        <w:tc>
          <w:tcPr>
            <w:tcW w:w="2373" w:type="pct"/>
            <w:tcBorders>
              <w:top w:val="nil"/>
              <w:left w:val="nil"/>
              <w:bottom w:val="nil"/>
              <w:right w:val="nil"/>
            </w:tcBorders>
            <w:shd w:val="clear" w:color="auto" w:fill="auto"/>
            <w:vAlign w:val="bottom"/>
            <w:hideMark/>
          </w:tcPr>
          <w:p w14:paraId="2068D1B2" w14:textId="4C092A3A" w:rsidR="00E352E1" w:rsidRPr="00642969" w:rsidRDefault="00E352E1" w:rsidP="00E352E1">
            <w:pPr>
              <w:spacing w:after="0" w:line="240" w:lineRule="auto"/>
              <w:ind w:firstLineChars="300" w:firstLine="540"/>
              <w:rPr>
                <w:sz w:val="18"/>
                <w:szCs w:val="18"/>
                <w:lang w:eastAsia="sk-SK"/>
              </w:rPr>
            </w:pPr>
            <w:r w:rsidRPr="00642969">
              <w:rPr>
                <w:sz w:val="18"/>
                <w:szCs w:val="18"/>
                <w:lang w:eastAsia="sk-SK"/>
              </w:rPr>
              <w:t xml:space="preserve">VI podnikov MH Manažment, a. s. </w:t>
            </w:r>
          </w:p>
        </w:tc>
        <w:tc>
          <w:tcPr>
            <w:tcW w:w="629" w:type="pct"/>
            <w:tcBorders>
              <w:top w:val="nil"/>
              <w:left w:val="nil"/>
              <w:bottom w:val="nil"/>
              <w:right w:val="nil"/>
            </w:tcBorders>
            <w:shd w:val="clear" w:color="auto" w:fill="auto"/>
            <w:vAlign w:val="bottom"/>
          </w:tcPr>
          <w:p w14:paraId="7041627E" w14:textId="72CB966C" w:rsidR="00E352E1" w:rsidRPr="002746C4" w:rsidRDefault="00E352E1" w:rsidP="00E352E1">
            <w:pPr>
              <w:spacing w:after="0" w:line="240" w:lineRule="auto"/>
              <w:jc w:val="right"/>
              <w:rPr>
                <w:sz w:val="18"/>
                <w:szCs w:val="18"/>
                <w:highlight w:val="yellow"/>
                <w:lang w:eastAsia="sk-SK"/>
              </w:rPr>
            </w:pPr>
            <w:r w:rsidRPr="00F41FEB">
              <w:rPr>
                <w:sz w:val="18"/>
                <w:szCs w:val="18"/>
                <w:lang w:eastAsia="sk-SK"/>
              </w:rPr>
              <w:t>301 596</w:t>
            </w:r>
          </w:p>
        </w:tc>
        <w:tc>
          <w:tcPr>
            <w:tcW w:w="666" w:type="pct"/>
            <w:tcBorders>
              <w:top w:val="nil"/>
              <w:left w:val="nil"/>
              <w:bottom w:val="nil"/>
              <w:right w:val="nil"/>
            </w:tcBorders>
            <w:shd w:val="clear" w:color="auto" w:fill="auto"/>
            <w:vAlign w:val="bottom"/>
          </w:tcPr>
          <w:p w14:paraId="176C6AE5" w14:textId="2245BF13" w:rsidR="00E352E1" w:rsidRPr="002746C4" w:rsidRDefault="00E352E1" w:rsidP="00E352E1">
            <w:pPr>
              <w:spacing w:after="0" w:line="240" w:lineRule="auto"/>
              <w:jc w:val="right"/>
              <w:rPr>
                <w:sz w:val="18"/>
                <w:szCs w:val="18"/>
                <w:highlight w:val="yellow"/>
                <w:lang w:eastAsia="sk-SK"/>
              </w:rPr>
            </w:pPr>
            <w:r w:rsidRPr="00F41FEB">
              <w:rPr>
                <w:sz w:val="18"/>
                <w:szCs w:val="18"/>
                <w:lang w:eastAsia="sk-SK"/>
              </w:rPr>
              <w:t>352 878</w:t>
            </w:r>
          </w:p>
        </w:tc>
        <w:tc>
          <w:tcPr>
            <w:tcW w:w="638" w:type="pct"/>
            <w:tcBorders>
              <w:top w:val="nil"/>
              <w:left w:val="nil"/>
              <w:bottom w:val="nil"/>
              <w:right w:val="nil"/>
            </w:tcBorders>
            <w:shd w:val="clear" w:color="auto" w:fill="auto"/>
            <w:vAlign w:val="bottom"/>
          </w:tcPr>
          <w:p w14:paraId="354D950E" w14:textId="2B20566E" w:rsidR="00E352E1" w:rsidRPr="002746C4" w:rsidRDefault="00E352E1" w:rsidP="00E352E1">
            <w:pPr>
              <w:spacing w:after="0" w:line="240" w:lineRule="auto"/>
              <w:jc w:val="right"/>
              <w:rPr>
                <w:sz w:val="18"/>
                <w:szCs w:val="18"/>
                <w:highlight w:val="yellow"/>
                <w:lang w:eastAsia="sk-SK"/>
              </w:rPr>
            </w:pPr>
            <w:r w:rsidRPr="00F41FEB">
              <w:rPr>
                <w:sz w:val="18"/>
                <w:szCs w:val="18"/>
                <w:lang w:eastAsia="sk-SK"/>
              </w:rPr>
              <w:t>413 114</w:t>
            </w:r>
          </w:p>
        </w:tc>
        <w:tc>
          <w:tcPr>
            <w:tcW w:w="694" w:type="pct"/>
            <w:tcBorders>
              <w:top w:val="nil"/>
              <w:left w:val="nil"/>
              <w:bottom w:val="nil"/>
              <w:right w:val="nil"/>
            </w:tcBorders>
            <w:shd w:val="clear" w:color="auto" w:fill="auto"/>
            <w:vAlign w:val="bottom"/>
          </w:tcPr>
          <w:p w14:paraId="7C5C06F6" w14:textId="34C6177C" w:rsidR="00E352E1" w:rsidRPr="002746C4" w:rsidRDefault="00E352E1" w:rsidP="00E352E1">
            <w:pPr>
              <w:spacing w:after="0" w:line="240" w:lineRule="auto"/>
              <w:jc w:val="right"/>
              <w:rPr>
                <w:sz w:val="18"/>
                <w:szCs w:val="18"/>
                <w:highlight w:val="yellow"/>
                <w:lang w:eastAsia="sk-SK"/>
              </w:rPr>
            </w:pPr>
            <w:r w:rsidRPr="00F41FEB">
              <w:rPr>
                <w:sz w:val="18"/>
                <w:szCs w:val="18"/>
                <w:lang w:eastAsia="sk-SK"/>
              </w:rPr>
              <w:t>60 236</w:t>
            </w:r>
          </w:p>
        </w:tc>
      </w:tr>
      <w:tr w:rsidR="00E352E1" w:rsidRPr="002746C4" w14:paraId="7D974DD7" w14:textId="77777777" w:rsidTr="00B46C79">
        <w:trPr>
          <w:trHeight w:val="300"/>
        </w:trPr>
        <w:tc>
          <w:tcPr>
            <w:tcW w:w="2373" w:type="pct"/>
            <w:tcBorders>
              <w:top w:val="nil"/>
              <w:left w:val="nil"/>
              <w:bottom w:val="nil"/>
              <w:right w:val="nil"/>
            </w:tcBorders>
            <w:shd w:val="clear" w:color="auto" w:fill="auto"/>
            <w:vAlign w:val="bottom"/>
            <w:hideMark/>
          </w:tcPr>
          <w:p w14:paraId="6E139BF2" w14:textId="77777777" w:rsidR="00E352E1" w:rsidRPr="00642969" w:rsidRDefault="00E352E1" w:rsidP="00E352E1">
            <w:pPr>
              <w:spacing w:after="0" w:line="240" w:lineRule="auto"/>
              <w:ind w:firstLineChars="300" w:firstLine="540"/>
              <w:rPr>
                <w:sz w:val="18"/>
                <w:szCs w:val="18"/>
                <w:lang w:eastAsia="sk-SK"/>
              </w:rPr>
            </w:pPr>
            <w:r w:rsidRPr="00642969">
              <w:rPr>
                <w:sz w:val="18"/>
                <w:szCs w:val="18"/>
                <w:lang w:eastAsia="sk-SK"/>
              </w:rPr>
              <w:t>VI Národnej banky Slovenska</w:t>
            </w:r>
          </w:p>
        </w:tc>
        <w:tc>
          <w:tcPr>
            <w:tcW w:w="629" w:type="pct"/>
            <w:tcBorders>
              <w:top w:val="nil"/>
              <w:left w:val="nil"/>
              <w:bottom w:val="nil"/>
              <w:right w:val="nil"/>
            </w:tcBorders>
            <w:shd w:val="clear" w:color="auto" w:fill="auto"/>
            <w:vAlign w:val="bottom"/>
          </w:tcPr>
          <w:p w14:paraId="0152741A" w14:textId="7323ECAA" w:rsidR="00E352E1" w:rsidRPr="002746C4" w:rsidRDefault="00E352E1" w:rsidP="00E352E1">
            <w:pPr>
              <w:spacing w:after="0" w:line="240" w:lineRule="auto"/>
              <w:jc w:val="right"/>
              <w:rPr>
                <w:sz w:val="18"/>
                <w:szCs w:val="18"/>
                <w:highlight w:val="yellow"/>
                <w:lang w:eastAsia="sk-SK"/>
              </w:rPr>
            </w:pPr>
            <w:r w:rsidRPr="00F41FEB">
              <w:rPr>
                <w:sz w:val="18"/>
                <w:szCs w:val="18"/>
                <w:lang w:eastAsia="sk-SK"/>
              </w:rPr>
              <w:t>-1 543 435</w:t>
            </w:r>
          </w:p>
        </w:tc>
        <w:tc>
          <w:tcPr>
            <w:tcW w:w="666" w:type="pct"/>
            <w:tcBorders>
              <w:top w:val="nil"/>
              <w:left w:val="nil"/>
              <w:bottom w:val="nil"/>
              <w:right w:val="nil"/>
            </w:tcBorders>
            <w:shd w:val="clear" w:color="auto" w:fill="auto"/>
            <w:vAlign w:val="bottom"/>
          </w:tcPr>
          <w:p w14:paraId="533CAD2F" w14:textId="2F528787" w:rsidR="00E352E1" w:rsidRPr="002746C4" w:rsidRDefault="00E352E1" w:rsidP="00E352E1">
            <w:pPr>
              <w:spacing w:after="0" w:line="240" w:lineRule="auto"/>
              <w:jc w:val="right"/>
              <w:rPr>
                <w:sz w:val="18"/>
                <w:szCs w:val="18"/>
                <w:highlight w:val="yellow"/>
                <w:lang w:eastAsia="sk-SK"/>
              </w:rPr>
            </w:pPr>
            <w:r w:rsidRPr="00F41FEB">
              <w:rPr>
                <w:sz w:val="18"/>
                <w:szCs w:val="18"/>
                <w:lang w:eastAsia="sk-SK"/>
              </w:rPr>
              <w:t>-1 499 956</w:t>
            </w:r>
          </w:p>
        </w:tc>
        <w:tc>
          <w:tcPr>
            <w:tcW w:w="638" w:type="pct"/>
            <w:tcBorders>
              <w:top w:val="nil"/>
              <w:left w:val="nil"/>
              <w:bottom w:val="nil"/>
              <w:right w:val="nil"/>
            </w:tcBorders>
            <w:shd w:val="clear" w:color="auto" w:fill="auto"/>
            <w:vAlign w:val="bottom"/>
          </w:tcPr>
          <w:p w14:paraId="59CCD691" w14:textId="28C54AC6" w:rsidR="00E352E1" w:rsidRPr="002746C4" w:rsidRDefault="00E352E1" w:rsidP="00E352E1">
            <w:pPr>
              <w:spacing w:after="0" w:line="240" w:lineRule="auto"/>
              <w:jc w:val="right"/>
              <w:rPr>
                <w:sz w:val="18"/>
                <w:szCs w:val="18"/>
                <w:highlight w:val="yellow"/>
                <w:lang w:eastAsia="sk-SK"/>
              </w:rPr>
            </w:pPr>
            <w:r w:rsidRPr="00F41FEB">
              <w:rPr>
                <w:sz w:val="18"/>
                <w:szCs w:val="18"/>
                <w:lang w:eastAsia="sk-SK"/>
              </w:rPr>
              <w:t>-1 680 601</w:t>
            </w:r>
          </w:p>
        </w:tc>
        <w:tc>
          <w:tcPr>
            <w:tcW w:w="694" w:type="pct"/>
            <w:tcBorders>
              <w:top w:val="nil"/>
              <w:left w:val="nil"/>
              <w:bottom w:val="nil"/>
              <w:right w:val="nil"/>
            </w:tcBorders>
            <w:shd w:val="clear" w:color="auto" w:fill="auto"/>
            <w:vAlign w:val="bottom"/>
          </w:tcPr>
          <w:p w14:paraId="22504C99" w14:textId="2706C338" w:rsidR="00E352E1" w:rsidRPr="002746C4" w:rsidRDefault="00E352E1" w:rsidP="00E352E1">
            <w:pPr>
              <w:spacing w:after="0" w:line="240" w:lineRule="auto"/>
              <w:jc w:val="right"/>
              <w:rPr>
                <w:sz w:val="18"/>
                <w:szCs w:val="18"/>
                <w:highlight w:val="yellow"/>
                <w:lang w:eastAsia="sk-SK"/>
              </w:rPr>
            </w:pPr>
            <w:r w:rsidRPr="00F41FEB">
              <w:rPr>
                <w:sz w:val="18"/>
                <w:szCs w:val="18"/>
                <w:lang w:eastAsia="sk-SK"/>
              </w:rPr>
              <w:t>-180 645</w:t>
            </w:r>
          </w:p>
        </w:tc>
      </w:tr>
      <w:tr w:rsidR="00E352E1" w:rsidRPr="002746C4" w14:paraId="19F5D3D5" w14:textId="77777777" w:rsidTr="00B46C79">
        <w:trPr>
          <w:trHeight w:val="300"/>
        </w:trPr>
        <w:tc>
          <w:tcPr>
            <w:tcW w:w="2373" w:type="pct"/>
            <w:tcBorders>
              <w:top w:val="nil"/>
              <w:left w:val="nil"/>
              <w:bottom w:val="nil"/>
              <w:right w:val="nil"/>
            </w:tcBorders>
            <w:shd w:val="clear" w:color="auto" w:fill="auto"/>
            <w:vAlign w:val="bottom"/>
            <w:hideMark/>
          </w:tcPr>
          <w:p w14:paraId="30921D27" w14:textId="714332D9" w:rsidR="00E352E1" w:rsidRPr="002746C4" w:rsidRDefault="00E352E1" w:rsidP="00E352E1">
            <w:pPr>
              <w:spacing w:after="0" w:line="240" w:lineRule="auto"/>
              <w:rPr>
                <w:sz w:val="18"/>
                <w:szCs w:val="18"/>
                <w:highlight w:val="yellow"/>
                <w:lang w:eastAsia="sk-SK"/>
              </w:rPr>
            </w:pPr>
            <w:r w:rsidRPr="00E352E1">
              <w:rPr>
                <w:sz w:val="18"/>
                <w:szCs w:val="18"/>
                <w:lang w:eastAsia="sk-SK"/>
              </w:rPr>
              <w:t>Implicitné záväzky                                                     (2)</w:t>
            </w:r>
          </w:p>
        </w:tc>
        <w:tc>
          <w:tcPr>
            <w:tcW w:w="629" w:type="pct"/>
            <w:tcBorders>
              <w:top w:val="nil"/>
              <w:left w:val="nil"/>
              <w:bottom w:val="nil"/>
              <w:right w:val="nil"/>
            </w:tcBorders>
            <w:shd w:val="clear" w:color="auto" w:fill="auto"/>
            <w:vAlign w:val="bottom"/>
          </w:tcPr>
          <w:p w14:paraId="7075384F" w14:textId="34B646BE" w:rsidR="00E352E1" w:rsidRPr="002746C4" w:rsidRDefault="00E352E1" w:rsidP="00E352E1">
            <w:pPr>
              <w:spacing w:after="0" w:line="240" w:lineRule="auto"/>
              <w:jc w:val="right"/>
              <w:rPr>
                <w:sz w:val="18"/>
                <w:szCs w:val="18"/>
                <w:highlight w:val="yellow"/>
                <w:lang w:eastAsia="sk-SK"/>
              </w:rPr>
            </w:pPr>
            <w:r w:rsidRPr="005C27FC">
              <w:rPr>
                <w:sz w:val="18"/>
                <w:szCs w:val="18"/>
                <w:lang w:eastAsia="sk-SK"/>
              </w:rPr>
              <w:t>427 131 045</w:t>
            </w:r>
          </w:p>
        </w:tc>
        <w:tc>
          <w:tcPr>
            <w:tcW w:w="666" w:type="pct"/>
            <w:tcBorders>
              <w:top w:val="nil"/>
              <w:left w:val="nil"/>
              <w:bottom w:val="nil"/>
              <w:right w:val="nil"/>
            </w:tcBorders>
            <w:shd w:val="clear" w:color="auto" w:fill="auto"/>
            <w:vAlign w:val="bottom"/>
          </w:tcPr>
          <w:p w14:paraId="5BFE120E" w14:textId="4A640D3E" w:rsidR="00E352E1" w:rsidRPr="002746C4" w:rsidRDefault="00E352E1" w:rsidP="00E352E1">
            <w:pPr>
              <w:spacing w:after="0" w:line="240" w:lineRule="auto"/>
              <w:jc w:val="right"/>
              <w:rPr>
                <w:sz w:val="18"/>
                <w:szCs w:val="18"/>
                <w:highlight w:val="yellow"/>
                <w:lang w:eastAsia="sk-SK"/>
              </w:rPr>
            </w:pPr>
            <w:r w:rsidRPr="005C27FC">
              <w:rPr>
                <w:sz w:val="18"/>
                <w:szCs w:val="18"/>
                <w:lang w:eastAsia="sk-SK"/>
              </w:rPr>
              <w:t>401 359 121</w:t>
            </w:r>
          </w:p>
        </w:tc>
        <w:tc>
          <w:tcPr>
            <w:tcW w:w="638" w:type="pct"/>
            <w:tcBorders>
              <w:top w:val="nil"/>
              <w:left w:val="nil"/>
              <w:bottom w:val="nil"/>
              <w:right w:val="nil"/>
            </w:tcBorders>
            <w:shd w:val="clear" w:color="auto" w:fill="auto"/>
            <w:vAlign w:val="bottom"/>
          </w:tcPr>
          <w:p w14:paraId="3D077788" w14:textId="7B5CD318" w:rsidR="00E352E1" w:rsidRPr="002746C4" w:rsidRDefault="00E352E1" w:rsidP="00E352E1">
            <w:pPr>
              <w:spacing w:after="0" w:line="240" w:lineRule="auto"/>
              <w:jc w:val="right"/>
              <w:rPr>
                <w:sz w:val="18"/>
                <w:szCs w:val="18"/>
                <w:highlight w:val="yellow"/>
                <w:lang w:eastAsia="sk-SK"/>
              </w:rPr>
            </w:pPr>
            <w:r w:rsidRPr="005C27FC">
              <w:rPr>
                <w:sz w:val="18"/>
                <w:szCs w:val="18"/>
                <w:lang w:eastAsia="sk-SK"/>
              </w:rPr>
              <w:t>198 900 935</w:t>
            </w:r>
          </w:p>
        </w:tc>
        <w:tc>
          <w:tcPr>
            <w:tcW w:w="694" w:type="pct"/>
            <w:tcBorders>
              <w:top w:val="nil"/>
              <w:left w:val="nil"/>
              <w:bottom w:val="nil"/>
              <w:right w:val="nil"/>
            </w:tcBorders>
            <w:shd w:val="clear" w:color="auto" w:fill="auto"/>
            <w:vAlign w:val="bottom"/>
          </w:tcPr>
          <w:p w14:paraId="62816B14" w14:textId="331B3C2D" w:rsidR="00E352E1" w:rsidRPr="002746C4" w:rsidRDefault="00E352E1" w:rsidP="00E352E1">
            <w:pPr>
              <w:spacing w:after="0" w:line="240" w:lineRule="auto"/>
              <w:jc w:val="right"/>
              <w:rPr>
                <w:sz w:val="18"/>
                <w:szCs w:val="18"/>
                <w:highlight w:val="yellow"/>
                <w:lang w:eastAsia="sk-SK"/>
              </w:rPr>
            </w:pPr>
            <w:r>
              <w:rPr>
                <w:sz w:val="18"/>
                <w:szCs w:val="18"/>
                <w:lang w:eastAsia="sk-SK"/>
              </w:rPr>
              <w:t>-</w:t>
            </w:r>
            <w:r w:rsidRPr="005C27FC">
              <w:rPr>
                <w:sz w:val="18"/>
                <w:szCs w:val="18"/>
                <w:lang w:eastAsia="sk-SK"/>
              </w:rPr>
              <w:t>202 458 186</w:t>
            </w:r>
          </w:p>
        </w:tc>
      </w:tr>
      <w:tr w:rsidR="00E352E1" w:rsidRPr="002746C4" w14:paraId="686CAC07" w14:textId="77777777" w:rsidTr="00B46C79">
        <w:trPr>
          <w:trHeight w:val="300"/>
        </w:trPr>
        <w:tc>
          <w:tcPr>
            <w:tcW w:w="2373" w:type="pct"/>
            <w:tcBorders>
              <w:top w:val="nil"/>
              <w:left w:val="nil"/>
              <w:bottom w:val="nil"/>
              <w:right w:val="nil"/>
            </w:tcBorders>
            <w:shd w:val="clear" w:color="auto" w:fill="auto"/>
            <w:vAlign w:val="bottom"/>
            <w:hideMark/>
          </w:tcPr>
          <w:p w14:paraId="06CC45A2" w14:textId="0739E23B" w:rsidR="00E352E1" w:rsidRPr="00642969" w:rsidRDefault="00E352E1" w:rsidP="00E352E1">
            <w:pPr>
              <w:spacing w:after="0" w:line="240" w:lineRule="auto"/>
              <w:rPr>
                <w:sz w:val="18"/>
                <w:szCs w:val="18"/>
                <w:lang w:eastAsia="sk-SK"/>
              </w:rPr>
            </w:pPr>
            <w:r w:rsidRPr="00642969">
              <w:rPr>
                <w:sz w:val="18"/>
                <w:szCs w:val="18"/>
                <w:lang w:eastAsia="sk-SK"/>
              </w:rPr>
              <w:t>Podmienené záväzky                                                  (3)</w:t>
            </w:r>
          </w:p>
        </w:tc>
        <w:tc>
          <w:tcPr>
            <w:tcW w:w="629" w:type="pct"/>
            <w:tcBorders>
              <w:top w:val="nil"/>
              <w:left w:val="nil"/>
              <w:bottom w:val="nil"/>
              <w:right w:val="nil"/>
            </w:tcBorders>
            <w:shd w:val="clear" w:color="auto" w:fill="auto"/>
            <w:vAlign w:val="bottom"/>
          </w:tcPr>
          <w:p w14:paraId="6598149E" w14:textId="57C12A82" w:rsidR="00E352E1" w:rsidRPr="002746C4" w:rsidRDefault="00E352E1" w:rsidP="00E352E1">
            <w:pPr>
              <w:spacing w:after="0" w:line="240" w:lineRule="auto"/>
              <w:jc w:val="right"/>
              <w:rPr>
                <w:sz w:val="18"/>
                <w:szCs w:val="18"/>
                <w:highlight w:val="yellow"/>
                <w:lang w:eastAsia="sk-SK"/>
              </w:rPr>
            </w:pPr>
            <w:r>
              <w:rPr>
                <w:sz w:val="18"/>
                <w:szCs w:val="18"/>
                <w:lang w:eastAsia="sk-SK"/>
              </w:rPr>
              <w:t>20 187 890</w:t>
            </w:r>
          </w:p>
        </w:tc>
        <w:tc>
          <w:tcPr>
            <w:tcW w:w="666" w:type="pct"/>
            <w:tcBorders>
              <w:top w:val="nil"/>
              <w:left w:val="nil"/>
              <w:bottom w:val="nil"/>
              <w:right w:val="nil"/>
            </w:tcBorders>
            <w:shd w:val="clear" w:color="auto" w:fill="auto"/>
            <w:vAlign w:val="bottom"/>
          </w:tcPr>
          <w:p w14:paraId="165BD727" w14:textId="1BADB220" w:rsidR="00E352E1" w:rsidRPr="002746C4" w:rsidRDefault="00E352E1" w:rsidP="00E352E1">
            <w:pPr>
              <w:spacing w:after="0" w:line="240" w:lineRule="auto"/>
              <w:jc w:val="right"/>
              <w:rPr>
                <w:sz w:val="18"/>
                <w:szCs w:val="18"/>
                <w:highlight w:val="yellow"/>
                <w:lang w:eastAsia="sk-SK"/>
              </w:rPr>
            </w:pPr>
            <w:r>
              <w:rPr>
                <w:sz w:val="18"/>
                <w:szCs w:val="18"/>
                <w:lang w:eastAsia="sk-SK"/>
              </w:rPr>
              <w:t>20 245 585</w:t>
            </w:r>
          </w:p>
        </w:tc>
        <w:tc>
          <w:tcPr>
            <w:tcW w:w="638" w:type="pct"/>
            <w:tcBorders>
              <w:top w:val="nil"/>
              <w:left w:val="nil"/>
              <w:bottom w:val="nil"/>
              <w:right w:val="nil"/>
            </w:tcBorders>
            <w:shd w:val="clear" w:color="auto" w:fill="auto"/>
            <w:vAlign w:val="bottom"/>
          </w:tcPr>
          <w:p w14:paraId="5C59C045" w14:textId="5160C17A" w:rsidR="00E352E1" w:rsidRPr="002746C4" w:rsidRDefault="00E352E1" w:rsidP="00E352E1">
            <w:pPr>
              <w:spacing w:after="0" w:line="240" w:lineRule="auto"/>
              <w:jc w:val="right"/>
              <w:rPr>
                <w:sz w:val="18"/>
                <w:szCs w:val="18"/>
                <w:highlight w:val="yellow"/>
                <w:lang w:eastAsia="sk-SK"/>
              </w:rPr>
            </w:pPr>
            <w:r>
              <w:rPr>
                <w:sz w:val="18"/>
                <w:szCs w:val="18"/>
                <w:lang w:eastAsia="sk-SK"/>
              </w:rPr>
              <w:t>21 243 648</w:t>
            </w:r>
          </w:p>
        </w:tc>
        <w:tc>
          <w:tcPr>
            <w:tcW w:w="694" w:type="pct"/>
            <w:tcBorders>
              <w:top w:val="nil"/>
              <w:left w:val="nil"/>
              <w:bottom w:val="nil"/>
              <w:right w:val="nil"/>
            </w:tcBorders>
            <w:shd w:val="clear" w:color="auto" w:fill="auto"/>
            <w:vAlign w:val="bottom"/>
          </w:tcPr>
          <w:p w14:paraId="7A31ED61" w14:textId="6613E2E0" w:rsidR="00E352E1" w:rsidRPr="002746C4" w:rsidRDefault="00E352E1" w:rsidP="00E352E1">
            <w:pPr>
              <w:spacing w:after="0" w:line="240" w:lineRule="auto"/>
              <w:jc w:val="right"/>
              <w:rPr>
                <w:sz w:val="18"/>
                <w:szCs w:val="18"/>
                <w:highlight w:val="yellow"/>
                <w:lang w:eastAsia="sk-SK"/>
              </w:rPr>
            </w:pPr>
            <w:r>
              <w:rPr>
                <w:sz w:val="18"/>
                <w:szCs w:val="18"/>
                <w:lang w:eastAsia="sk-SK"/>
              </w:rPr>
              <w:t>998 063</w:t>
            </w:r>
          </w:p>
        </w:tc>
      </w:tr>
      <w:tr w:rsidR="00E352E1" w:rsidRPr="002746C4" w14:paraId="65E622F3" w14:textId="77777777" w:rsidTr="00B46C79">
        <w:trPr>
          <w:trHeight w:val="300"/>
        </w:trPr>
        <w:tc>
          <w:tcPr>
            <w:tcW w:w="2373" w:type="pct"/>
            <w:tcBorders>
              <w:top w:val="nil"/>
              <w:left w:val="nil"/>
              <w:bottom w:val="nil"/>
              <w:right w:val="nil"/>
            </w:tcBorders>
            <w:shd w:val="clear" w:color="auto" w:fill="auto"/>
            <w:vAlign w:val="bottom"/>
            <w:hideMark/>
          </w:tcPr>
          <w:p w14:paraId="2C108A3F" w14:textId="61361753" w:rsidR="00E352E1" w:rsidRPr="00642969" w:rsidRDefault="00E352E1" w:rsidP="00E352E1">
            <w:pPr>
              <w:spacing w:after="0" w:line="240" w:lineRule="auto"/>
              <w:rPr>
                <w:sz w:val="18"/>
                <w:szCs w:val="18"/>
                <w:lang w:eastAsia="sk-SK"/>
              </w:rPr>
            </w:pPr>
            <w:r w:rsidRPr="00642969">
              <w:rPr>
                <w:sz w:val="18"/>
                <w:szCs w:val="18"/>
                <w:lang w:eastAsia="sk-SK"/>
              </w:rPr>
              <w:t>Iné aktíva                                                                    (4)</w:t>
            </w:r>
          </w:p>
        </w:tc>
        <w:tc>
          <w:tcPr>
            <w:tcW w:w="629" w:type="pct"/>
            <w:tcBorders>
              <w:top w:val="nil"/>
              <w:left w:val="nil"/>
              <w:bottom w:val="nil"/>
              <w:right w:val="nil"/>
            </w:tcBorders>
            <w:shd w:val="clear" w:color="auto" w:fill="auto"/>
            <w:vAlign w:val="bottom"/>
          </w:tcPr>
          <w:p w14:paraId="1194567A" w14:textId="5471F0CD" w:rsidR="00E352E1" w:rsidRPr="002746C4" w:rsidRDefault="00E352E1" w:rsidP="00E352E1">
            <w:pPr>
              <w:spacing w:after="0" w:line="240" w:lineRule="auto"/>
              <w:jc w:val="right"/>
              <w:rPr>
                <w:sz w:val="18"/>
                <w:szCs w:val="18"/>
                <w:highlight w:val="yellow"/>
                <w:lang w:eastAsia="sk-SK"/>
              </w:rPr>
            </w:pPr>
            <w:r>
              <w:rPr>
                <w:sz w:val="18"/>
                <w:szCs w:val="18"/>
                <w:lang w:eastAsia="sk-SK"/>
              </w:rPr>
              <w:t>5 134 648</w:t>
            </w:r>
          </w:p>
        </w:tc>
        <w:tc>
          <w:tcPr>
            <w:tcW w:w="666" w:type="pct"/>
            <w:tcBorders>
              <w:top w:val="nil"/>
              <w:left w:val="nil"/>
              <w:bottom w:val="nil"/>
              <w:right w:val="nil"/>
            </w:tcBorders>
            <w:shd w:val="clear" w:color="auto" w:fill="auto"/>
            <w:vAlign w:val="bottom"/>
          </w:tcPr>
          <w:p w14:paraId="02C633A8" w14:textId="6EA2B8B2" w:rsidR="00E352E1" w:rsidRPr="002746C4" w:rsidRDefault="00E352E1" w:rsidP="00E352E1">
            <w:pPr>
              <w:spacing w:after="0" w:line="240" w:lineRule="auto"/>
              <w:jc w:val="right"/>
              <w:rPr>
                <w:sz w:val="18"/>
                <w:szCs w:val="18"/>
                <w:highlight w:val="yellow"/>
                <w:lang w:eastAsia="sk-SK"/>
              </w:rPr>
            </w:pPr>
            <w:r>
              <w:rPr>
                <w:sz w:val="18"/>
                <w:szCs w:val="18"/>
                <w:lang w:eastAsia="sk-SK"/>
              </w:rPr>
              <w:t>4 946 495</w:t>
            </w:r>
          </w:p>
        </w:tc>
        <w:tc>
          <w:tcPr>
            <w:tcW w:w="638" w:type="pct"/>
            <w:tcBorders>
              <w:top w:val="nil"/>
              <w:left w:val="nil"/>
              <w:bottom w:val="nil"/>
              <w:right w:val="nil"/>
            </w:tcBorders>
            <w:shd w:val="clear" w:color="auto" w:fill="auto"/>
            <w:vAlign w:val="bottom"/>
          </w:tcPr>
          <w:p w14:paraId="08B86364" w14:textId="21D16062" w:rsidR="00E352E1" w:rsidRPr="002746C4" w:rsidRDefault="00E352E1" w:rsidP="00E352E1">
            <w:pPr>
              <w:spacing w:after="0" w:line="240" w:lineRule="auto"/>
              <w:jc w:val="right"/>
              <w:rPr>
                <w:sz w:val="18"/>
                <w:szCs w:val="18"/>
                <w:highlight w:val="yellow"/>
                <w:lang w:eastAsia="sk-SK"/>
              </w:rPr>
            </w:pPr>
            <w:r>
              <w:rPr>
                <w:sz w:val="18"/>
                <w:szCs w:val="18"/>
                <w:lang w:eastAsia="sk-SK"/>
              </w:rPr>
              <w:t>5 546 179</w:t>
            </w:r>
          </w:p>
        </w:tc>
        <w:tc>
          <w:tcPr>
            <w:tcW w:w="694" w:type="pct"/>
            <w:tcBorders>
              <w:top w:val="nil"/>
              <w:left w:val="nil"/>
              <w:bottom w:val="nil"/>
              <w:right w:val="nil"/>
            </w:tcBorders>
            <w:shd w:val="clear" w:color="auto" w:fill="auto"/>
            <w:vAlign w:val="bottom"/>
          </w:tcPr>
          <w:p w14:paraId="24C99F04" w14:textId="48774B3A" w:rsidR="00E352E1" w:rsidRPr="002746C4" w:rsidRDefault="00E352E1" w:rsidP="00E352E1">
            <w:pPr>
              <w:spacing w:after="0" w:line="240" w:lineRule="auto"/>
              <w:jc w:val="right"/>
              <w:rPr>
                <w:sz w:val="18"/>
                <w:szCs w:val="18"/>
                <w:highlight w:val="yellow"/>
                <w:lang w:eastAsia="sk-SK"/>
              </w:rPr>
            </w:pPr>
            <w:r>
              <w:rPr>
                <w:sz w:val="18"/>
                <w:szCs w:val="18"/>
                <w:lang w:eastAsia="sk-SK"/>
              </w:rPr>
              <w:t>599 684</w:t>
            </w:r>
          </w:p>
        </w:tc>
      </w:tr>
      <w:tr w:rsidR="00E352E1" w:rsidRPr="002746C4" w14:paraId="767339BF" w14:textId="77777777" w:rsidTr="00B46C79">
        <w:trPr>
          <w:trHeight w:val="300"/>
        </w:trPr>
        <w:tc>
          <w:tcPr>
            <w:tcW w:w="2373" w:type="pct"/>
            <w:tcBorders>
              <w:top w:val="single" w:sz="4" w:space="0" w:color="auto"/>
              <w:left w:val="nil"/>
              <w:bottom w:val="nil"/>
              <w:right w:val="nil"/>
            </w:tcBorders>
            <w:shd w:val="clear" w:color="auto" w:fill="auto"/>
            <w:vAlign w:val="bottom"/>
            <w:hideMark/>
          </w:tcPr>
          <w:p w14:paraId="48D7B24F" w14:textId="77777777" w:rsidR="00E352E1" w:rsidRPr="00642969" w:rsidRDefault="00E352E1" w:rsidP="00E352E1">
            <w:pPr>
              <w:spacing w:after="0" w:line="240" w:lineRule="auto"/>
              <w:rPr>
                <w:b/>
                <w:bCs/>
                <w:sz w:val="18"/>
                <w:szCs w:val="18"/>
                <w:lang w:eastAsia="sk-SK"/>
              </w:rPr>
            </w:pPr>
            <w:r w:rsidRPr="00642969">
              <w:rPr>
                <w:b/>
                <w:bCs/>
                <w:sz w:val="18"/>
                <w:szCs w:val="18"/>
                <w:lang w:eastAsia="sk-SK"/>
              </w:rPr>
              <w:t>Čisté bohatstvo SR  (1-2-3+4)</w:t>
            </w:r>
          </w:p>
        </w:tc>
        <w:tc>
          <w:tcPr>
            <w:tcW w:w="629" w:type="pct"/>
            <w:tcBorders>
              <w:top w:val="single" w:sz="4" w:space="0" w:color="auto"/>
              <w:left w:val="nil"/>
              <w:bottom w:val="nil"/>
              <w:right w:val="nil"/>
            </w:tcBorders>
            <w:shd w:val="clear" w:color="auto" w:fill="auto"/>
            <w:vAlign w:val="bottom"/>
          </w:tcPr>
          <w:p w14:paraId="15E063C2" w14:textId="3466D016" w:rsidR="00E352E1" w:rsidRPr="002746C4" w:rsidRDefault="00E352E1" w:rsidP="00E352E1">
            <w:pPr>
              <w:spacing w:after="0" w:line="240" w:lineRule="auto"/>
              <w:jc w:val="right"/>
              <w:rPr>
                <w:b/>
                <w:bCs/>
                <w:sz w:val="18"/>
                <w:szCs w:val="18"/>
                <w:highlight w:val="yellow"/>
                <w:lang w:eastAsia="sk-SK"/>
              </w:rPr>
            </w:pPr>
            <w:r w:rsidRPr="005C27FC">
              <w:rPr>
                <w:b/>
                <w:bCs/>
                <w:sz w:val="18"/>
                <w:szCs w:val="18"/>
                <w:lang w:eastAsia="sk-SK"/>
              </w:rPr>
              <w:t>-449 388 108</w:t>
            </w:r>
          </w:p>
        </w:tc>
        <w:tc>
          <w:tcPr>
            <w:tcW w:w="666" w:type="pct"/>
            <w:tcBorders>
              <w:top w:val="single" w:sz="4" w:space="0" w:color="auto"/>
              <w:left w:val="nil"/>
              <w:bottom w:val="nil"/>
              <w:right w:val="nil"/>
            </w:tcBorders>
            <w:shd w:val="clear" w:color="auto" w:fill="auto"/>
            <w:vAlign w:val="bottom"/>
          </w:tcPr>
          <w:p w14:paraId="5C5FC1E5" w14:textId="0F9577CA" w:rsidR="00E352E1" w:rsidRPr="002746C4" w:rsidRDefault="00E352E1" w:rsidP="00E352E1">
            <w:pPr>
              <w:spacing w:after="0" w:line="240" w:lineRule="auto"/>
              <w:jc w:val="right"/>
              <w:rPr>
                <w:b/>
                <w:bCs/>
                <w:sz w:val="18"/>
                <w:szCs w:val="18"/>
                <w:highlight w:val="yellow"/>
                <w:lang w:eastAsia="sk-SK"/>
              </w:rPr>
            </w:pPr>
            <w:r w:rsidRPr="005C27FC">
              <w:rPr>
                <w:b/>
                <w:bCs/>
                <w:sz w:val="18"/>
                <w:szCs w:val="18"/>
                <w:lang w:eastAsia="sk-SK"/>
              </w:rPr>
              <w:t>-423</w:t>
            </w:r>
            <w:r>
              <w:rPr>
                <w:b/>
                <w:bCs/>
                <w:sz w:val="18"/>
                <w:szCs w:val="18"/>
                <w:lang w:eastAsia="sk-SK"/>
              </w:rPr>
              <w:t> </w:t>
            </w:r>
            <w:r w:rsidRPr="005C27FC">
              <w:rPr>
                <w:b/>
                <w:bCs/>
                <w:sz w:val="18"/>
                <w:szCs w:val="18"/>
                <w:lang w:eastAsia="sk-SK"/>
              </w:rPr>
              <w:t>1</w:t>
            </w:r>
            <w:r>
              <w:rPr>
                <w:b/>
                <w:bCs/>
                <w:sz w:val="18"/>
                <w:szCs w:val="18"/>
                <w:lang w:eastAsia="sk-SK"/>
              </w:rPr>
              <w:t>15 210</w:t>
            </w:r>
          </w:p>
        </w:tc>
        <w:tc>
          <w:tcPr>
            <w:tcW w:w="638" w:type="pct"/>
            <w:tcBorders>
              <w:top w:val="single" w:sz="4" w:space="0" w:color="auto"/>
              <w:left w:val="nil"/>
              <w:bottom w:val="nil"/>
              <w:right w:val="nil"/>
            </w:tcBorders>
            <w:shd w:val="clear" w:color="auto" w:fill="auto"/>
            <w:vAlign w:val="bottom"/>
          </w:tcPr>
          <w:p w14:paraId="609E65C6" w14:textId="742141DE" w:rsidR="00E352E1" w:rsidRPr="002746C4" w:rsidRDefault="00E352E1" w:rsidP="00E352E1">
            <w:pPr>
              <w:spacing w:after="0" w:line="240" w:lineRule="auto"/>
              <w:jc w:val="right"/>
              <w:rPr>
                <w:b/>
                <w:bCs/>
                <w:sz w:val="18"/>
                <w:szCs w:val="18"/>
                <w:highlight w:val="yellow"/>
                <w:lang w:eastAsia="sk-SK"/>
              </w:rPr>
            </w:pPr>
            <w:r>
              <w:rPr>
                <w:b/>
                <w:bCs/>
                <w:sz w:val="18"/>
                <w:szCs w:val="18"/>
                <w:lang w:eastAsia="sk-SK"/>
              </w:rPr>
              <w:t>-226 640 091</w:t>
            </w:r>
          </w:p>
        </w:tc>
        <w:tc>
          <w:tcPr>
            <w:tcW w:w="694" w:type="pct"/>
            <w:tcBorders>
              <w:top w:val="single" w:sz="4" w:space="0" w:color="auto"/>
              <w:left w:val="nil"/>
              <w:bottom w:val="nil"/>
              <w:right w:val="nil"/>
            </w:tcBorders>
            <w:shd w:val="clear" w:color="auto" w:fill="auto"/>
            <w:vAlign w:val="bottom"/>
          </w:tcPr>
          <w:p w14:paraId="37B3593D" w14:textId="3AE8D869" w:rsidR="00E352E1" w:rsidRPr="002746C4" w:rsidRDefault="00E352E1" w:rsidP="00E352E1">
            <w:pPr>
              <w:spacing w:after="0" w:line="240" w:lineRule="auto"/>
              <w:jc w:val="right"/>
              <w:rPr>
                <w:b/>
                <w:bCs/>
                <w:sz w:val="18"/>
                <w:szCs w:val="18"/>
                <w:highlight w:val="yellow"/>
                <w:lang w:eastAsia="sk-SK"/>
              </w:rPr>
            </w:pPr>
            <w:r>
              <w:rPr>
                <w:b/>
                <w:bCs/>
                <w:sz w:val="18"/>
                <w:szCs w:val="18"/>
                <w:lang w:eastAsia="sk-SK"/>
              </w:rPr>
              <w:t>-196 475 119</w:t>
            </w:r>
          </w:p>
        </w:tc>
      </w:tr>
      <w:tr w:rsidR="00E352E1" w:rsidRPr="002746C4" w14:paraId="0FD60691" w14:textId="77777777" w:rsidTr="00B46C79">
        <w:trPr>
          <w:trHeight w:val="68"/>
        </w:trPr>
        <w:tc>
          <w:tcPr>
            <w:tcW w:w="2373" w:type="pct"/>
            <w:tcBorders>
              <w:top w:val="nil"/>
              <w:left w:val="nil"/>
              <w:bottom w:val="single" w:sz="4" w:space="0" w:color="auto"/>
              <w:right w:val="nil"/>
            </w:tcBorders>
            <w:shd w:val="clear" w:color="auto" w:fill="auto"/>
            <w:vAlign w:val="bottom"/>
            <w:hideMark/>
          </w:tcPr>
          <w:p w14:paraId="3D7B4441" w14:textId="3A141720" w:rsidR="00E352E1" w:rsidRPr="00642969" w:rsidRDefault="00E352E1" w:rsidP="00E352E1">
            <w:pPr>
              <w:spacing w:after="0" w:line="240" w:lineRule="auto"/>
              <w:ind w:firstLineChars="300" w:firstLine="542"/>
              <w:rPr>
                <w:b/>
                <w:bCs/>
                <w:i/>
                <w:iCs/>
                <w:sz w:val="18"/>
                <w:szCs w:val="18"/>
                <w:lang w:eastAsia="sk-SK"/>
              </w:rPr>
            </w:pPr>
            <w:r w:rsidRPr="00642969">
              <w:rPr>
                <w:b/>
                <w:bCs/>
                <w:i/>
                <w:iCs/>
                <w:sz w:val="18"/>
                <w:szCs w:val="18"/>
                <w:lang w:eastAsia="sk-SK"/>
              </w:rPr>
              <w:t>v % HDP</w:t>
            </w:r>
          </w:p>
        </w:tc>
        <w:tc>
          <w:tcPr>
            <w:tcW w:w="629" w:type="pct"/>
            <w:tcBorders>
              <w:top w:val="nil"/>
              <w:left w:val="nil"/>
              <w:bottom w:val="single" w:sz="4" w:space="0" w:color="auto"/>
              <w:right w:val="nil"/>
            </w:tcBorders>
            <w:shd w:val="clear" w:color="auto" w:fill="auto"/>
            <w:vAlign w:val="bottom"/>
          </w:tcPr>
          <w:p w14:paraId="3CF652CC" w14:textId="026C94B0" w:rsidR="00E352E1" w:rsidRPr="002746C4" w:rsidRDefault="00E352E1" w:rsidP="00E352E1">
            <w:pPr>
              <w:spacing w:after="0" w:line="240" w:lineRule="auto"/>
              <w:jc w:val="right"/>
              <w:rPr>
                <w:b/>
                <w:bCs/>
                <w:i/>
                <w:iCs/>
                <w:sz w:val="18"/>
                <w:szCs w:val="18"/>
                <w:highlight w:val="yellow"/>
                <w:lang w:eastAsia="sk-SK"/>
              </w:rPr>
            </w:pPr>
            <w:r w:rsidRPr="005C27FC">
              <w:rPr>
                <w:b/>
                <w:bCs/>
                <w:i/>
                <w:iCs/>
                <w:sz w:val="18"/>
                <w:szCs w:val="18"/>
                <w:lang w:eastAsia="sk-SK"/>
              </w:rPr>
              <w:t>-440,75</w:t>
            </w:r>
          </w:p>
        </w:tc>
        <w:tc>
          <w:tcPr>
            <w:tcW w:w="666" w:type="pct"/>
            <w:tcBorders>
              <w:top w:val="nil"/>
              <w:left w:val="nil"/>
              <w:bottom w:val="single" w:sz="4" w:space="0" w:color="auto"/>
              <w:right w:val="nil"/>
            </w:tcBorders>
            <w:shd w:val="clear" w:color="auto" w:fill="auto"/>
            <w:vAlign w:val="bottom"/>
          </w:tcPr>
          <w:p w14:paraId="50D32623" w14:textId="43B5B763" w:rsidR="00E352E1" w:rsidRPr="002746C4" w:rsidRDefault="00E352E1" w:rsidP="00E352E1">
            <w:pPr>
              <w:spacing w:after="0" w:line="240" w:lineRule="auto"/>
              <w:jc w:val="right"/>
              <w:rPr>
                <w:b/>
                <w:bCs/>
                <w:i/>
                <w:iCs/>
                <w:sz w:val="18"/>
                <w:szCs w:val="18"/>
                <w:highlight w:val="yellow"/>
                <w:lang w:eastAsia="sk-SK"/>
              </w:rPr>
            </w:pPr>
            <w:r w:rsidRPr="005C27FC">
              <w:rPr>
                <w:b/>
                <w:bCs/>
                <w:i/>
                <w:iCs/>
                <w:sz w:val="18"/>
                <w:szCs w:val="18"/>
                <w:lang w:eastAsia="sk-SK"/>
              </w:rPr>
              <w:t>-384,3</w:t>
            </w:r>
            <w:r>
              <w:rPr>
                <w:b/>
                <w:bCs/>
                <w:i/>
                <w:iCs/>
                <w:sz w:val="18"/>
                <w:szCs w:val="18"/>
                <w:lang w:eastAsia="sk-SK"/>
              </w:rPr>
              <w:t>4</w:t>
            </w:r>
          </w:p>
        </w:tc>
        <w:tc>
          <w:tcPr>
            <w:tcW w:w="638" w:type="pct"/>
            <w:tcBorders>
              <w:top w:val="nil"/>
              <w:left w:val="nil"/>
              <w:bottom w:val="single" w:sz="4" w:space="0" w:color="auto"/>
              <w:right w:val="nil"/>
            </w:tcBorders>
            <w:shd w:val="clear" w:color="auto" w:fill="auto"/>
            <w:vAlign w:val="bottom"/>
          </w:tcPr>
          <w:p w14:paraId="4F6AF83C" w14:textId="2D4923FD" w:rsidR="00E352E1" w:rsidRPr="002746C4" w:rsidRDefault="00E352E1" w:rsidP="00E352E1">
            <w:pPr>
              <w:spacing w:after="0" w:line="240" w:lineRule="auto"/>
              <w:jc w:val="right"/>
              <w:rPr>
                <w:b/>
                <w:bCs/>
                <w:i/>
                <w:iCs/>
                <w:sz w:val="18"/>
                <w:szCs w:val="18"/>
                <w:highlight w:val="yellow"/>
                <w:lang w:eastAsia="sk-SK"/>
              </w:rPr>
            </w:pPr>
            <w:r>
              <w:rPr>
                <w:b/>
                <w:bCs/>
                <w:i/>
                <w:iCs/>
                <w:sz w:val="18"/>
                <w:szCs w:val="18"/>
                <w:lang w:eastAsia="sk-SK"/>
              </w:rPr>
              <w:t>-184,38</w:t>
            </w:r>
          </w:p>
        </w:tc>
        <w:tc>
          <w:tcPr>
            <w:tcW w:w="694" w:type="pct"/>
            <w:tcBorders>
              <w:top w:val="nil"/>
              <w:left w:val="nil"/>
              <w:bottom w:val="single" w:sz="4" w:space="0" w:color="auto"/>
              <w:right w:val="nil"/>
            </w:tcBorders>
            <w:shd w:val="clear" w:color="auto" w:fill="auto"/>
            <w:vAlign w:val="bottom"/>
          </w:tcPr>
          <w:p w14:paraId="55C208BC" w14:textId="69F65E46" w:rsidR="00E352E1" w:rsidRPr="002746C4" w:rsidRDefault="00E352E1" w:rsidP="00E352E1">
            <w:pPr>
              <w:spacing w:after="0" w:line="240" w:lineRule="auto"/>
              <w:jc w:val="right"/>
              <w:rPr>
                <w:b/>
                <w:bCs/>
                <w:i/>
                <w:sz w:val="18"/>
                <w:szCs w:val="18"/>
                <w:highlight w:val="yellow"/>
                <w:lang w:eastAsia="sk-SK"/>
              </w:rPr>
            </w:pPr>
            <w:r>
              <w:rPr>
                <w:b/>
                <w:bCs/>
                <w:i/>
                <w:sz w:val="18"/>
                <w:szCs w:val="18"/>
                <w:lang w:eastAsia="sk-SK"/>
              </w:rPr>
              <w:t>199,96</w:t>
            </w:r>
          </w:p>
        </w:tc>
      </w:tr>
    </w:tbl>
    <w:bookmarkEnd w:id="55"/>
    <w:p w14:paraId="362FEF11" w14:textId="1AC54B1D" w:rsidR="00642969" w:rsidRDefault="00642969" w:rsidP="00642969">
      <w:pPr>
        <w:spacing w:after="0" w:line="240" w:lineRule="auto"/>
        <w:jc w:val="both"/>
        <w:rPr>
          <w:sz w:val="18"/>
          <w:szCs w:val="18"/>
        </w:rPr>
      </w:pPr>
      <w:r>
        <w:rPr>
          <w:sz w:val="18"/>
          <w:szCs w:val="18"/>
        </w:rPr>
        <w:t>*ČB v % voči HDP za roky 2021 a 2022 boli aktualizované z dôvodu aktualizácie HDP.</w:t>
      </w:r>
      <w:r>
        <w:rPr>
          <w:sz w:val="18"/>
          <w:szCs w:val="18"/>
        </w:rPr>
        <w:tab/>
      </w:r>
      <w:r>
        <w:rPr>
          <w:sz w:val="18"/>
          <w:szCs w:val="18"/>
        </w:rPr>
        <w:tab/>
      </w:r>
      <w:r>
        <w:rPr>
          <w:sz w:val="18"/>
          <w:szCs w:val="18"/>
        </w:rPr>
        <w:tab/>
        <w:t xml:space="preserve">      </w:t>
      </w:r>
      <w:r w:rsidRPr="00642969">
        <w:rPr>
          <w:sz w:val="16"/>
          <w:szCs w:val="16"/>
        </w:rPr>
        <w:t xml:space="preserve"> Zdroj: MF SR, IFP</w:t>
      </w:r>
    </w:p>
    <w:p w14:paraId="648A0002" w14:textId="056D8031" w:rsidR="00642969" w:rsidRPr="00642969" w:rsidRDefault="00642969" w:rsidP="00642969">
      <w:pPr>
        <w:spacing w:after="0" w:line="240" w:lineRule="auto"/>
        <w:jc w:val="both"/>
        <w:rPr>
          <w:sz w:val="18"/>
          <w:szCs w:val="18"/>
        </w:rPr>
      </w:pPr>
      <w:r w:rsidRPr="00642969">
        <w:rPr>
          <w:sz w:val="18"/>
          <w:szCs w:val="18"/>
        </w:rPr>
        <w:t>Zmena bola za rok 2021 -7,49 p.</w:t>
      </w:r>
      <w:r>
        <w:rPr>
          <w:sz w:val="18"/>
          <w:szCs w:val="18"/>
        </w:rPr>
        <w:t> </w:t>
      </w:r>
      <w:r w:rsidRPr="00642969">
        <w:rPr>
          <w:sz w:val="18"/>
          <w:szCs w:val="18"/>
        </w:rPr>
        <w:t>b. a za rok 2022 -1,45 p.</w:t>
      </w:r>
      <w:r>
        <w:rPr>
          <w:sz w:val="18"/>
          <w:szCs w:val="18"/>
        </w:rPr>
        <w:t> </w:t>
      </w:r>
      <w:r w:rsidRPr="00642969">
        <w:rPr>
          <w:sz w:val="18"/>
          <w:szCs w:val="18"/>
        </w:rPr>
        <w:t>b. po započítaní úpravy v iných aktívach.</w:t>
      </w:r>
    </w:p>
    <w:p w14:paraId="622C1523" w14:textId="6CAF92FD" w:rsidR="001E3035" w:rsidRPr="00B35A9E" w:rsidRDefault="001E3035" w:rsidP="008C2699">
      <w:pPr>
        <w:spacing w:after="120" w:line="240" w:lineRule="auto"/>
        <w:jc w:val="both"/>
      </w:pPr>
      <w:r w:rsidRPr="00B35A9E">
        <w:t>V rámci aktualizácie údajov vstupujúcich do výpočtu čistého bohatstva boli použité nové hodnoty HDP, za</w:t>
      </w:r>
      <w:r>
        <w:t> </w:t>
      </w:r>
      <w:r w:rsidRPr="00B35A9E">
        <w:t xml:space="preserve">roky 2021 a 2022 ktoré boli revidované počas jesennej notifikácie výsledkov hospodárenia verejných </w:t>
      </w:r>
      <w:r w:rsidRPr="00B35A9E">
        <w:lastRenderedPageBreak/>
        <w:t>financií za rok 2023. Za rok 2022 došlo k aktualizácii údajov iných aktív, ktoré sa znížili o 116</w:t>
      </w:r>
      <w:r>
        <w:t> </w:t>
      </w:r>
      <w:r w:rsidRPr="00B35A9E">
        <w:t>195</w:t>
      </w:r>
      <w:r>
        <w:t> </w:t>
      </w:r>
      <w:r w:rsidRPr="00B35A9E">
        <w:t>tis.</w:t>
      </w:r>
      <w:r>
        <w:t> </w:t>
      </w:r>
      <w:r w:rsidRPr="00B35A9E">
        <w:t>eur z dôvodu poklesu podsúvahovej hodnoty pozemkov SR (ovplyvnené kalamitnou ťažbou). Aktualizované boli aj hodnoty vlastného imania podnikov MH Manažment,</w:t>
      </w:r>
      <w:r>
        <w:t> </w:t>
      </w:r>
      <w:r w:rsidRPr="00B35A9E">
        <w:t>a.</w:t>
      </w:r>
      <w:r>
        <w:t> </w:t>
      </w:r>
      <w:r w:rsidRPr="00B35A9E">
        <w:t>s. aj Národnej banky Slovenska.</w:t>
      </w:r>
    </w:p>
    <w:p w14:paraId="0ABB3C54" w14:textId="30D441F4" w:rsidR="005406D6" w:rsidRPr="00593AD0" w:rsidRDefault="001E3035" w:rsidP="001E3035">
      <w:pPr>
        <w:spacing w:before="120" w:after="120" w:line="240" w:lineRule="auto"/>
        <w:jc w:val="both"/>
      </w:pPr>
      <w:r w:rsidRPr="00B35A9E">
        <w:t>Vlastné imanie podnikov, ktorých podiely drží MH Manažment,</w:t>
      </w:r>
      <w:r>
        <w:t> </w:t>
      </w:r>
      <w:r w:rsidRPr="00B35A9E">
        <w:t>a.</w:t>
      </w:r>
      <w:r>
        <w:t> </w:t>
      </w:r>
      <w:r w:rsidRPr="00B35A9E">
        <w:t>s. tvorí podmnožinu podnikov štátnej správy, ktorá je pre účely vyčíslenia čistého bohatstva uvedená osobitne, pretože táto skupina podnikov nie</w:t>
      </w:r>
      <w:r w:rsidR="007F6C0C">
        <w:t> </w:t>
      </w:r>
      <w:r w:rsidRPr="00B35A9E">
        <w:t>je súčasťou súhrnného celku, a preto nie je predmetom účtovnej konsolidácie. Vlastné imanie podnikov MH Manažmentu,</w:t>
      </w:r>
      <w:r>
        <w:t> </w:t>
      </w:r>
      <w:r w:rsidRPr="00B35A9E">
        <w:t>a.</w:t>
      </w:r>
      <w:r>
        <w:t> </w:t>
      </w:r>
      <w:r w:rsidRPr="00B35A9E">
        <w:t>s. tvorí súčet vlastných imaní jednotlivých podnikov z individuálnych účtovných závierok, pričom veľkosť vlastného imania je prepočítaná vlastníckym podielom štátu v týchto podnikoch.</w:t>
      </w:r>
    </w:p>
    <w:p w14:paraId="188010DB" w14:textId="72583F6F" w:rsidR="00A544B6" w:rsidRPr="00D6178C" w:rsidRDefault="00A544B6" w:rsidP="00AA46C8">
      <w:pPr>
        <w:pStyle w:val="Nadpis3"/>
      </w:pPr>
      <w:bookmarkStart w:id="56" w:name="_Toc399324372"/>
      <w:bookmarkStart w:id="57" w:name="_Toc401920026"/>
      <w:bookmarkStart w:id="58" w:name="_Toc465255027"/>
      <w:bookmarkStart w:id="59" w:name="_Toc495990495"/>
      <w:bookmarkStart w:id="60" w:name="_Toc181095976"/>
      <w:r w:rsidRPr="00D6178C">
        <w:t xml:space="preserve">Vlastné imanie </w:t>
      </w:r>
      <w:r w:rsidR="008117A9" w:rsidRPr="00D6178C">
        <w:t>súhrnného celku verejnej</w:t>
      </w:r>
      <w:r w:rsidRPr="00D6178C">
        <w:t xml:space="preserve"> správy</w:t>
      </w:r>
      <w:bookmarkEnd w:id="56"/>
      <w:bookmarkEnd w:id="57"/>
      <w:bookmarkEnd w:id="58"/>
      <w:bookmarkEnd w:id="59"/>
      <w:bookmarkEnd w:id="60"/>
    </w:p>
    <w:p w14:paraId="41D95BD1" w14:textId="03C27FA5" w:rsidR="005406D6" w:rsidRPr="00593AD0" w:rsidRDefault="00F13C67" w:rsidP="005406D6">
      <w:pPr>
        <w:spacing w:after="120" w:line="240" w:lineRule="auto"/>
        <w:jc w:val="both"/>
      </w:pPr>
      <w:bookmarkStart w:id="61" w:name="_Toc495990496"/>
      <w:bookmarkStart w:id="62" w:name="_Toc399324373"/>
      <w:bookmarkStart w:id="63" w:name="_Toc431985279"/>
      <w:bookmarkStart w:id="64" w:name="_Toc433099061"/>
      <w:bookmarkStart w:id="65" w:name="_Toc433099300"/>
      <w:bookmarkStart w:id="66" w:name="_Toc433099406"/>
      <w:bookmarkStart w:id="67" w:name="_Toc433099588"/>
      <w:r w:rsidRPr="00593AD0">
        <w:t>Vlastné imanie súhrnného celku</w:t>
      </w:r>
      <w:r w:rsidRPr="00593AD0">
        <w:rPr>
          <w:rStyle w:val="Odkaznapoznmkupodiarou"/>
        </w:rPr>
        <w:footnoteReference w:id="33"/>
      </w:r>
      <w:r w:rsidRPr="00593AD0">
        <w:t xml:space="preserve"> pre účely odhadu čistého bohatstva dosiahlo k 31.12.2023 zápornú hodnotu -10 774 200 tis. eur, pričom je tvorené záporným výsledkom hospodárenia vo výške</w:t>
      </w:r>
      <w:r w:rsidRPr="00593AD0">
        <w:br/>
        <w:t>-10 932 335 tis. eur (z toho výsledkom hospodárenia bežného obdobia vo výške -5 156 648 tis. eur), oceňovacími rozdielmi v hodnote -4 779 tis. eur a podielmi iných účtovných jednotiek v hodnote</w:t>
      </w:r>
      <w:r w:rsidRPr="00593AD0">
        <w:br/>
        <w:t xml:space="preserve">162 914 tis. eur. </w:t>
      </w:r>
      <w:r w:rsidRPr="00593AD0">
        <w:rPr>
          <w:b/>
        </w:rPr>
        <w:t>Medziročne sa vlastné imanie súhrnného celku úhrnom znížilo o 5 464 279 tis. eur.</w:t>
      </w:r>
    </w:p>
    <w:p w14:paraId="3CFFE6BF" w14:textId="2E445CC2" w:rsidR="00F13C67" w:rsidRPr="00593AD0" w:rsidRDefault="00F13C67" w:rsidP="00F13C67">
      <w:pPr>
        <w:spacing w:after="120" w:line="240" w:lineRule="auto"/>
        <w:jc w:val="both"/>
      </w:pPr>
      <w:r w:rsidRPr="00593AD0">
        <w:t>Na vlastné imanie súhrnného celku má vplyv najmä dosiahnutý výsledok hospodárenia bežného obdobia jednotlivých subjektov (v podnikateľskom prostredí chápaný ako ,,zisk alebo ,,strata“), ako aj výsledok hospodárenia minulých období (ovplyvnený prevodom výsledku hospodárenia bežného obdobia za posledný rok alebo významnými účtovnými opravami minulých období)</w:t>
      </w:r>
      <w:r w:rsidR="005D0362">
        <w:t xml:space="preserve"> a iné zmeny (najmä vo</w:t>
      </w:r>
      <w:r w:rsidR="008A1278">
        <w:t> </w:t>
      </w:r>
      <w:r w:rsidR="005D0362">
        <w:t>vlastnom imaní obchodných spoločností)</w:t>
      </w:r>
      <w:r w:rsidRPr="00593AD0">
        <w:t xml:space="preserve">. </w:t>
      </w:r>
    </w:p>
    <w:p w14:paraId="40440368" w14:textId="4000759F" w:rsidR="00F13C67" w:rsidRPr="00593AD0" w:rsidRDefault="00F13C67" w:rsidP="00F13C67">
      <w:pPr>
        <w:spacing w:after="120" w:line="240" w:lineRule="auto"/>
        <w:jc w:val="both"/>
      </w:pPr>
      <w:r w:rsidRPr="00593AD0">
        <w:t>Z pohľadu veľkosti podielu na vlastnom imaní súhrnného celku je najvýznamnejšia ústredná správa a v rámci nej Ministerstvo financií SR. Špecifické postavenie Ministerstva financií SR spočíva v tom, že účtuje o všetkých poskytnutých transferoch zo štátneho rozpočtu, ktoré sa vykazujú jednak vo výdavkoch daného roka, a akruálne aj v nákladoch. Ide o rôzne druhy transferov, ktoré nemusí reálne poskytovať len Ministerstvo financií SR, ale aj ostatné kapitoly štátneho rozpočtu a ich rozpočtové organizácie v zriaďovateľskej pôsobnosti. Na druhej strane Ministerstvo financií SR účtuje o najdôležitejších príjmoch verejnej správy, a to o daňových a značnej časti i nedaňových príjmoch štátneho rozpočtu (odvody, poplatky, dividendy).</w:t>
      </w:r>
    </w:p>
    <w:p w14:paraId="41295A56" w14:textId="0C437457" w:rsidR="005406D6" w:rsidRPr="00593AD0" w:rsidRDefault="00F13C67" w:rsidP="00F13C67">
      <w:pPr>
        <w:spacing w:after="120" w:line="240" w:lineRule="auto"/>
        <w:jc w:val="both"/>
      </w:pPr>
      <w:r w:rsidRPr="00593AD0">
        <w:t>Ministerstvo financií SR účtuje o výdavkoch všetkých štátnych rozpočtových organizácií prostredníctvom transferov. Vo výsledku znáša saldo štátneho rozpočtu, ktoré bolo doteraz vždy deficitné. Naakumulované záporné výsledky hospodárenia štátneho rozpočtu za predchádzajúce roky sú súčasťou výsledku hospodárenia minulých rokov a v rámci súhrnného celku ide o najvyššiu hodnotu záporného vlastného imania. Okrem hotovostného výsledku hospodárenia štátneho rozpočtu sa do nákladov premieta aj tvorba opravných položiek a tvorba rezerv (opačne, do výnosov ich zníženie resp. zrušenie) všetkých jednotiek verejnej správy, odpisy k hmotnému majetku a iné časovo rozlíšené náklady.</w:t>
      </w:r>
    </w:p>
    <w:p w14:paraId="062FD24F" w14:textId="65F66CED" w:rsidR="00F13C67" w:rsidRPr="00593AD0" w:rsidRDefault="00F13C67" w:rsidP="005406D6">
      <w:pPr>
        <w:spacing w:after="120" w:line="240" w:lineRule="auto"/>
        <w:jc w:val="both"/>
      </w:pPr>
      <w:r w:rsidRPr="00593AD0">
        <w:t>Významnými jednotkami štátu, ktoré sa na celkových nákladoch a výnosoch podieľajú rádovo v miliardách, sú napríklad Slovenský plynárenský priemysel, a. s. (SPP), Slovenská elektrizačná prenosová sústava, a. s. (SEPS) ako aj Všeobecná zdravotná poisťovňa, a. s. Významné náklady a výnosy vykazuje aj Sociálna poisťovňa z dôvodu výberu poistných odvodov a úhrady rôznych dôchodkových a nemocenských dávok.</w:t>
      </w:r>
    </w:p>
    <w:p w14:paraId="6DF5D9B5" w14:textId="73EA1E27" w:rsidR="00F13C67" w:rsidRPr="00593AD0" w:rsidRDefault="00F13C67" w:rsidP="00F13C67">
      <w:pPr>
        <w:spacing w:after="120" w:line="240" w:lineRule="auto"/>
        <w:jc w:val="both"/>
      </w:pPr>
      <w:r w:rsidRPr="00593AD0">
        <w:rPr>
          <w:b/>
        </w:rPr>
        <w:t>Výsledok hospodárenia bežného účtovného obdobia 2023</w:t>
      </w:r>
      <w:r w:rsidRPr="00593AD0">
        <w:t>, ktorý je výsledkom rozdielu účtovných výnosov a účtovných nákladov, dosiahol za celý súhrnný celok -5 156 648 tis. eur, pričom medziročne došlo k zhoršeniu tohto výsledku až o 4 707 760 tis. eur. Celkové výnosy medziročne vzrástli o 4 466 215 tis. eur, ktoré však bol negované rastom celkových nákladov o 9 170 244 tis. eur. Medziročná zmena v celkových nákladoch ako aj výnosoch bola sčasti ovplyvnená nižšou účtovnou konsolidáciou vnútorných nákladov a výnosov Sociálnej poisťovne.</w:t>
      </w:r>
    </w:p>
    <w:p w14:paraId="647B9033" w14:textId="07F9E7A0" w:rsidR="00F13C67" w:rsidRPr="00593AD0" w:rsidRDefault="00F13C67" w:rsidP="00F13C67">
      <w:pPr>
        <w:spacing w:after="120" w:line="240" w:lineRule="auto"/>
        <w:jc w:val="both"/>
      </w:pPr>
      <w:r w:rsidRPr="00593AD0">
        <w:lastRenderedPageBreak/>
        <w:t>Na medziročné celkové zvýšenie výnosov pozitívne vplývali daňové a colné výnosy štátu, ktoré vzrástli o 1 581 240 tis. eur, výnosy z poplatkov, ktorých príjemcom je zväčša štátny rozpočet, vzrástli o 86 092 tis. eur. Samospráva vykázala vyššie výnosy z daní o 767 287 tis. eur, v rámci ktorých došlo k zvýšeniu podielových daní o podiel na dani z príjmov právnických osôb (v hotovostnom vyjadrení za rok 2023 to bolo 325 798 tis. eur). Výnosy z transferov sú dôležitým zdrojom financovania najmä kapitálových investícií do infraštruktúry. Ide hlavne o zdroje z rozpočtu Európskej únie, ktoré boli medziročne vyššie o 1 974 495 tis. eur, najmä z dôvodu dočerpávania z tretieho programového obdobia 2014-2020. Tržby za vlastné výkony a tovar boli úhrnnom nižšie o 1 079 002 tis. eur, finančné výnosy poklesli o 509 153 tis. eur pričom úroky v rámci nich naopak vzrástli o 377 711 tis. eur z dôvodu rastúcej úrokovej sadzby na finančnom trhu. Podiel na výsledku hospodárenia pridružených účtovných jednotiek (ide o spoločnosti, kde verejná správa vlastní menej ako 50</w:t>
      </w:r>
      <w:r w:rsidR="002E5006">
        <w:t>,0</w:t>
      </w:r>
      <w:r w:rsidRPr="00593AD0">
        <w:t> % základného imania) predstavoval 1 232 379 tis. eur a medziročný nárast 677 923 tis. eur.</w:t>
      </w:r>
    </w:p>
    <w:p w14:paraId="7357CEAA" w14:textId="2476C160" w:rsidR="00F13C67" w:rsidRPr="00593AD0" w:rsidRDefault="00F13C67" w:rsidP="00F13C67">
      <w:pPr>
        <w:spacing w:after="120" w:line="240" w:lineRule="auto"/>
        <w:jc w:val="both"/>
      </w:pPr>
      <w:r w:rsidRPr="00593AD0">
        <w:t>Do hodnoty podielu na výsledku hospodárenia pridružených spoločností sa premieta najmä hospodárenie spoločností pôsobiacich v energetickom sektore, ktoré bolo pozitívne ovplyvnené vyššími trhovými cenami elektrickej energie</w:t>
      </w:r>
      <w:r w:rsidR="007F6C0C">
        <w:t>.</w:t>
      </w:r>
    </w:p>
    <w:p w14:paraId="0AA03D4E" w14:textId="1B9B3BB9" w:rsidR="00F13C67" w:rsidRPr="00593AD0" w:rsidRDefault="00F13C67" w:rsidP="00F13C67">
      <w:pPr>
        <w:spacing w:after="120" w:line="240" w:lineRule="auto"/>
        <w:jc w:val="both"/>
      </w:pPr>
      <w:r w:rsidRPr="00593AD0">
        <w:t>Z nákladov boli medziročne vyššie transfery ústrednej správy (vrátane obchodných spoločností), ktoré smerovali subjektom mimo verejnej správy (podnikateľom, fyzickým osobám), a to o 4 704</w:t>
      </w:r>
      <w:r w:rsidR="00240187" w:rsidRPr="00593AD0">
        <w:t> </w:t>
      </w:r>
      <w:r w:rsidRPr="00593AD0">
        <w:t>915</w:t>
      </w:r>
      <w:r w:rsidR="00240187" w:rsidRPr="00593AD0">
        <w:t> </w:t>
      </w:r>
      <w:r w:rsidRPr="00593AD0">
        <w:t>tis.</w:t>
      </w:r>
      <w:r w:rsidR="00240187" w:rsidRPr="00593AD0">
        <w:t> </w:t>
      </w:r>
      <w:r w:rsidRPr="00593AD0">
        <w:t>eur. V roku 2023 sa na výške transferov podieľala aj hodnota tzv. energopomoci, ktorá dosiahla účtovnú hodnotu 2 922 920 tis.</w:t>
      </w:r>
      <w:r w:rsidR="00240187" w:rsidRPr="00593AD0">
        <w:t> </w:t>
      </w:r>
      <w:r w:rsidRPr="00593AD0">
        <w:t>eur. Časť prostriedkov vynaložených v roku 2023 z národných zdrojov (štátny rozpočet) bol</w:t>
      </w:r>
      <w:r w:rsidR="00DF6058">
        <w:t>a</w:t>
      </w:r>
      <w:r w:rsidRPr="00593AD0">
        <w:t xml:space="preserve"> refundovan</w:t>
      </w:r>
      <w:r w:rsidR="00DF6058">
        <w:t>á</w:t>
      </w:r>
      <w:r w:rsidRPr="00593AD0">
        <w:t xml:space="preserve"> nasledujúce účtovné obdobie zo</w:t>
      </w:r>
      <w:r w:rsidR="00240187" w:rsidRPr="00593AD0">
        <w:t> </w:t>
      </w:r>
      <w:r w:rsidRPr="00593AD0">
        <w:t>zdroja EÚ.</w:t>
      </w:r>
    </w:p>
    <w:p w14:paraId="40413473" w14:textId="3D1BF028" w:rsidR="005406D6" w:rsidRPr="00593AD0" w:rsidRDefault="00F13C67" w:rsidP="00F13C67">
      <w:pPr>
        <w:spacing w:after="120" w:line="240" w:lineRule="auto"/>
        <w:jc w:val="both"/>
      </w:pPr>
      <w:r w:rsidRPr="00593AD0">
        <w:t>Z ďalších nákladov v sumáre vzrástli osobné náklady (mzdy, zákonné poistné ako aj ostatné poistné), o 1 354</w:t>
      </w:r>
      <w:r w:rsidR="00240187" w:rsidRPr="00593AD0">
        <w:t> </w:t>
      </w:r>
      <w:r w:rsidRPr="00593AD0">
        <w:t>871</w:t>
      </w:r>
      <w:r w:rsidR="00240187" w:rsidRPr="00593AD0">
        <w:t> </w:t>
      </w:r>
      <w:r w:rsidRPr="00593AD0">
        <w:t>tis.</w:t>
      </w:r>
      <w:r w:rsidR="00240187" w:rsidRPr="00593AD0">
        <w:t> </w:t>
      </w:r>
      <w:r w:rsidRPr="00593AD0">
        <w:t>eur, najmä z dôvodu viacerých valorizácií platov v štátnej správe a verejnej správe (k</w:t>
      </w:r>
      <w:r w:rsidR="00240187" w:rsidRPr="00593AD0">
        <w:t> </w:t>
      </w:r>
      <w:r w:rsidRPr="00593AD0">
        <w:t>1.1.2023 a k 1.9.2023). Úrokové náklady vzrástli o 293</w:t>
      </w:r>
      <w:r w:rsidR="00240187" w:rsidRPr="00593AD0">
        <w:t> </w:t>
      </w:r>
      <w:r w:rsidRPr="00593AD0">
        <w:t>125</w:t>
      </w:r>
      <w:r w:rsidR="00240187" w:rsidRPr="00593AD0">
        <w:t> </w:t>
      </w:r>
      <w:r w:rsidRPr="00593AD0">
        <w:t>tis.</w:t>
      </w:r>
      <w:r w:rsidR="00240187" w:rsidRPr="00593AD0">
        <w:t> </w:t>
      </w:r>
      <w:r w:rsidRPr="00593AD0">
        <w:t>eur z dôvodu rastu úrokovej sadzby na</w:t>
      </w:r>
      <w:r w:rsidR="00240187" w:rsidRPr="00593AD0">
        <w:t> </w:t>
      </w:r>
      <w:r w:rsidRPr="00593AD0">
        <w:t>úveroch a diskontu pri štátnych dlhopisoch, tvorba účtovných rezerv vzrástla o 154</w:t>
      </w:r>
      <w:r w:rsidR="00240187" w:rsidRPr="00593AD0">
        <w:t> </w:t>
      </w:r>
      <w:r w:rsidRPr="00593AD0">
        <w:t>175</w:t>
      </w:r>
      <w:r w:rsidR="00240187" w:rsidRPr="00593AD0">
        <w:t> </w:t>
      </w:r>
      <w:r w:rsidRPr="00593AD0">
        <w:t>tis.</w:t>
      </w:r>
      <w:r w:rsidR="00240187" w:rsidRPr="00593AD0">
        <w:t> </w:t>
      </w:r>
      <w:r w:rsidRPr="00593AD0">
        <w:t>eur. Detailnejšie údaje zo súhrnnej účtovnej závierky sú uvedené v </w:t>
      </w:r>
      <w:r w:rsidR="00D6178C">
        <w:t>p</w:t>
      </w:r>
      <w:r w:rsidRPr="00593AD0">
        <w:t>rílohe č.</w:t>
      </w:r>
      <w:r w:rsidR="00240187" w:rsidRPr="00593AD0">
        <w:t> </w:t>
      </w:r>
      <w:r w:rsidRPr="00593AD0">
        <w:t>3</w:t>
      </w:r>
      <w:r w:rsidR="00240187" w:rsidRPr="00593AD0">
        <w:t>.</w:t>
      </w:r>
    </w:p>
    <w:p w14:paraId="6D0BC705" w14:textId="77777777" w:rsidR="008117A9" w:rsidRPr="00D6178C" w:rsidRDefault="008117A9" w:rsidP="00AA46C8">
      <w:pPr>
        <w:pStyle w:val="Nadpis3"/>
      </w:pPr>
      <w:bookmarkStart w:id="68" w:name="_Toc181095977"/>
      <w:r w:rsidRPr="00D6178C">
        <w:t>Vlastné imanie podnikov štátnej správy</w:t>
      </w:r>
      <w:bookmarkEnd w:id="61"/>
      <w:bookmarkEnd w:id="68"/>
    </w:p>
    <w:p w14:paraId="3C1B099A" w14:textId="32442BF9" w:rsidR="00C5274D" w:rsidRPr="002746C4" w:rsidRDefault="007F6C0C" w:rsidP="00260473">
      <w:pPr>
        <w:spacing w:after="120" w:line="240" w:lineRule="auto"/>
        <w:jc w:val="both"/>
        <w:rPr>
          <w:szCs w:val="24"/>
          <w:highlight w:val="yellow"/>
        </w:rPr>
      </w:pPr>
      <w:r w:rsidRPr="00FA1620">
        <w:rPr>
          <w:b/>
        </w:rPr>
        <w:t>Vlastné imanie podnikov štátnej správy dosiahlo k 31.12.202</w:t>
      </w:r>
      <w:r>
        <w:rPr>
          <w:b/>
        </w:rPr>
        <w:t>3</w:t>
      </w:r>
      <w:r w:rsidRPr="00FA1620">
        <w:rPr>
          <w:b/>
        </w:rPr>
        <w:t xml:space="preserve"> hodnotu </w:t>
      </w:r>
      <w:r>
        <w:rPr>
          <w:b/>
        </w:rPr>
        <w:t>19 364 352</w:t>
      </w:r>
      <w:r w:rsidRPr="00FA1620">
        <w:rPr>
          <w:b/>
          <w:bCs/>
        </w:rPr>
        <w:t> tis. eur (</w:t>
      </w:r>
      <w:r w:rsidR="002E5006">
        <w:rPr>
          <w:b/>
          <w:bCs/>
        </w:rPr>
        <w:t>15,8</w:t>
      </w:r>
      <w:r w:rsidRPr="00FA1620">
        <w:rPr>
          <w:b/>
          <w:bCs/>
        </w:rPr>
        <w:t> % HDP)</w:t>
      </w:r>
      <w:r w:rsidRPr="00FA1620">
        <w:rPr>
          <w:b/>
        </w:rPr>
        <w:t>.</w:t>
      </w:r>
      <w:r w:rsidRPr="00FA1620">
        <w:t xml:space="preserve"> Uvedený údaj je nekonsolidovaný a predstavuje súčet vlastných imaní jednotlivých podnikov z individuálnych účtovných závierok prepočítaný na veľkosť vlastníckych podielov štátu. Tento údaj nemožno dávať do súvislosti s údajom o celkovom čistom bohatstve v časti </w:t>
      </w:r>
      <w:hyperlink w:anchor="_3._Čisté_bohatstvo" w:history="1">
        <w:r w:rsidR="0011021B" w:rsidRPr="0011021B">
          <w:rPr>
            <w:rStyle w:val="Hypertextovprepojenie"/>
            <w:color w:val="auto"/>
          </w:rPr>
          <w:t>3.1.</w:t>
        </w:r>
      </w:hyperlink>
      <w:r w:rsidRPr="00FA1620">
        <w:t xml:space="preserve">, pretože v rámci čistého bohatstva sú </w:t>
      </w:r>
      <w:r>
        <w:t xml:space="preserve">štátne </w:t>
      </w:r>
      <w:r w:rsidRPr="00FA1620">
        <w:t>podniky</w:t>
      </w:r>
      <w:r>
        <w:t xml:space="preserve"> (</w:t>
      </w:r>
      <w:r w:rsidRPr="00FA1620">
        <w:t>okrem podnikov MH Manažmentu,</w:t>
      </w:r>
      <w:r>
        <w:t> </w:t>
      </w:r>
      <w:r w:rsidRPr="00FA1620">
        <w:t>a.</w:t>
      </w:r>
      <w:r>
        <w:t> </w:t>
      </w:r>
      <w:r w:rsidRPr="00FA1620">
        <w:t>s.</w:t>
      </w:r>
      <w:r>
        <w:t>)</w:t>
      </w:r>
      <w:r w:rsidRPr="00FA1620">
        <w:t xml:space="preserve">  zaradené do súhrnného celku a údaje o vlastnom imaní sú konsolidované. Vlastné imanie podnikov štátnej správy oproti predchádzajúcemu roku vzrástlo</w:t>
      </w:r>
      <w:r w:rsidRPr="00FA1620">
        <w:rPr>
          <w:b/>
          <w:bCs/>
        </w:rPr>
        <w:t xml:space="preserve"> o</w:t>
      </w:r>
      <w:r>
        <w:rPr>
          <w:b/>
          <w:bCs/>
        </w:rPr>
        <w:t> 1 156 434 </w:t>
      </w:r>
      <w:r w:rsidRPr="00FA1620">
        <w:rPr>
          <w:b/>
          <w:bCs/>
        </w:rPr>
        <w:t>tis. eur</w:t>
      </w:r>
      <w:r w:rsidRPr="00FA1620">
        <w:t>.</w:t>
      </w:r>
    </w:p>
    <w:p w14:paraId="4D60BB56" w14:textId="77777777" w:rsidR="004F6353" w:rsidRDefault="004F6353" w:rsidP="004F6353">
      <w:pPr>
        <w:pStyle w:val="Popis"/>
        <w:framePr w:wrap="around" w:y="944"/>
      </w:pPr>
      <w:r>
        <w:t xml:space="preserve">Tabuľka </w:t>
      </w:r>
      <w:r w:rsidR="001F05DE">
        <w:fldChar w:fldCharType="begin"/>
      </w:r>
      <w:r w:rsidR="001F05DE">
        <w:instrText xml:space="preserve"> SEQ Tabuľka \* ARABIC </w:instrText>
      </w:r>
      <w:r w:rsidR="001F05DE">
        <w:fldChar w:fldCharType="separate"/>
      </w:r>
      <w:r>
        <w:rPr>
          <w:noProof/>
        </w:rPr>
        <w:t>18</w:t>
      </w:r>
      <w:r w:rsidR="001F05DE">
        <w:rPr>
          <w:noProof/>
        </w:rPr>
        <w:fldChar w:fldCharType="end"/>
      </w:r>
      <w:r>
        <w:t xml:space="preserve"> - </w:t>
      </w:r>
      <w:r w:rsidRPr="00C742B6">
        <w:t>Medziročná zmena vlastného imania k 31 .12. 2023</w:t>
      </w:r>
      <w:r>
        <w:t xml:space="preserve"> </w:t>
      </w:r>
      <w:r>
        <w:tab/>
      </w:r>
      <w:r>
        <w:tab/>
      </w:r>
      <w:r>
        <w:tab/>
      </w:r>
      <w:r>
        <w:tab/>
      </w:r>
      <w:r>
        <w:tab/>
        <w:t>v tis. eur</w:t>
      </w:r>
    </w:p>
    <w:p w14:paraId="395F428D" w14:textId="5BA3BF47" w:rsidR="00FA1620" w:rsidRPr="003A407F" w:rsidRDefault="00FA1620" w:rsidP="00886720">
      <w:pPr>
        <w:spacing w:after="120" w:line="240" w:lineRule="auto"/>
        <w:jc w:val="both"/>
        <w:rPr>
          <w:szCs w:val="22"/>
        </w:rPr>
      </w:pPr>
      <w:r w:rsidRPr="005535D3">
        <w:rPr>
          <w:szCs w:val="22"/>
        </w:rPr>
        <w:t>Nasledujúca tabuľka predstavuje prehľad zmien vlastného imania vybraných štátnych podnikov. U</w:t>
      </w:r>
      <w:r w:rsidR="00116016">
        <w:rPr>
          <w:szCs w:val="22"/>
        </w:rPr>
        <w:t xml:space="preserve">vedené podniky sa podieľajú až </w:t>
      </w:r>
      <w:r w:rsidR="005535D3" w:rsidRPr="005535D3">
        <w:rPr>
          <w:szCs w:val="22"/>
        </w:rPr>
        <w:t>79,8 </w:t>
      </w:r>
      <w:r w:rsidRPr="005535D3">
        <w:rPr>
          <w:szCs w:val="22"/>
        </w:rPr>
        <w:t>% na celkovom vlastnom imaní všet</w:t>
      </w:r>
      <w:r w:rsidR="001915D2">
        <w:rPr>
          <w:szCs w:val="22"/>
        </w:rPr>
        <w:t>kých podnikov štátnej správy po </w:t>
      </w:r>
      <w:r w:rsidRPr="005535D3">
        <w:rPr>
          <w:szCs w:val="22"/>
        </w:rPr>
        <w:t xml:space="preserve">prepočte </w:t>
      </w:r>
      <w:r w:rsidRPr="003A407F">
        <w:rPr>
          <w:szCs w:val="22"/>
        </w:rPr>
        <w:t>na vlastnícky podiel štátu.</w:t>
      </w:r>
    </w:p>
    <w:tbl>
      <w:tblPr>
        <w:tblW w:w="5000" w:type="pct"/>
        <w:tblCellMar>
          <w:left w:w="70" w:type="dxa"/>
          <w:right w:w="70" w:type="dxa"/>
        </w:tblCellMar>
        <w:tblLook w:val="04A0" w:firstRow="1" w:lastRow="0" w:firstColumn="1" w:lastColumn="0" w:noHBand="0" w:noVBand="1"/>
      </w:tblPr>
      <w:tblGrid>
        <w:gridCol w:w="2852"/>
        <w:gridCol w:w="356"/>
        <w:gridCol w:w="797"/>
        <w:gridCol w:w="233"/>
        <w:gridCol w:w="1068"/>
        <w:gridCol w:w="125"/>
        <w:gridCol w:w="883"/>
        <w:gridCol w:w="62"/>
        <w:gridCol w:w="948"/>
        <w:gridCol w:w="160"/>
        <w:gridCol w:w="872"/>
        <w:gridCol w:w="132"/>
        <w:gridCol w:w="859"/>
        <w:gridCol w:w="7"/>
      </w:tblGrid>
      <w:tr w:rsidR="00FA1620" w:rsidRPr="002746C4" w14:paraId="2CB5C825" w14:textId="77777777" w:rsidTr="00FF497A">
        <w:trPr>
          <w:gridAfter w:val="1"/>
          <w:wAfter w:w="4" w:type="pct"/>
          <w:trHeight w:val="465"/>
          <w:tblHeader/>
        </w:trPr>
        <w:tc>
          <w:tcPr>
            <w:tcW w:w="1525" w:type="pct"/>
            <w:tcBorders>
              <w:top w:val="single" w:sz="4" w:space="0" w:color="auto"/>
              <w:left w:val="nil"/>
              <w:bottom w:val="single" w:sz="4" w:space="0" w:color="auto"/>
              <w:right w:val="nil"/>
            </w:tcBorders>
            <w:shd w:val="clear" w:color="auto" w:fill="auto"/>
            <w:noWrap/>
            <w:vAlign w:val="center"/>
            <w:hideMark/>
          </w:tcPr>
          <w:p w14:paraId="37F6A396" w14:textId="77777777" w:rsidR="00FA1620" w:rsidRPr="003A407F" w:rsidRDefault="00FA1620" w:rsidP="00CA4C99">
            <w:pPr>
              <w:spacing w:after="0" w:line="240" w:lineRule="auto"/>
              <w:rPr>
                <w:b/>
                <w:bCs/>
                <w:sz w:val="18"/>
                <w:szCs w:val="18"/>
                <w:lang w:eastAsia="sk-SK"/>
              </w:rPr>
            </w:pPr>
            <w:r w:rsidRPr="003A407F">
              <w:rPr>
                <w:b/>
                <w:bCs/>
                <w:sz w:val="18"/>
                <w:szCs w:val="18"/>
                <w:lang w:eastAsia="sk-SK"/>
              </w:rPr>
              <w:t>Podnik</w:t>
            </w:r>
          </w:p>
        </w:tc>
        <w:tc>
          <w:tcPr>
            <w:tcW w:w="617" w:type="pct"/>
            <w:gridSpan w:val="2"/>
            <w:tcBorders>
              <w:top w:val="single" w:sz="4" w:space="0" w:color="auto"/>
              <w:left w:val="nil"/>
              <w:bottom w:val="single" w:sz="4" w:space="0" w:color="auto"/>
              <w:right w:val="nil"/>
            </w:tcBorders>
            <w:shd w:val="clear" w:color="auto" w:fill="auto"/>
            <w:vAlign w:val="center"/>
            <w:hideMark/>
          </w:tcPr>
          <w:p w14:paraId="0BEE7648" w14:textId="20648FB5" w:rsidR="00FA1620" w:rsidRPr="003A407F" w:rsidRDefault="003A407F" w:rsidP="00CA4C99">
            <w:pPr>
              <w:spacing w:after="0" w:line="240" w:lineRule="auto"/>
              <w:jc w:val="center"/>
              <w:rPr>
                <w:b/>
                <w:bCs/>
                <w:sz w:val="18"/>
                <w:szCs w:val="18"/>
                <w:lang w:eastAsia="sk-SK"/>
              </w:rPr>
            </w:pPr>
            <w:r w:rsidRPr="003A407F">
              <w:rPr>
                <w:b/>
                <w:bCs/>
                <w:sz w:val="18"/>
                <w:szCs w:val="18"/>
                <w:lang w:eastAsia="sk-SK"/>
              </w:rPr>
              <w:t>VI</w:t>
            </w:r>
            <w:r w:rsidRPr="003A407F">
              <w:rPr>
                <w:b/>
                <w:bCs/>
                <w:sz w:val="18"/>
                <w:szCs w:val="18"/>
                <w:lang w:eastAsia="sk-SK"/>
              </w:rPr>
              <w:br/>
              <w:t xml:space="preserve"> Δ2023-2022</w:t>
            </w:r>
          </w:p>
        </w:tc>
        <w:tc>
          <w:tcPr>
            <w:tcW w:w="695" w:type="pct"/>
            <w:gridSpan w:val="2"/>
            <w:tcBorders>
              <w:top w:val="single" w:sz="4" w:space="0" w:color="auto"/>
              <w:left w:val="nil"/>
              <w:bottom w:val="single" w:sz="4" w:space="0" w:color="auto"/>
              <w:right w:val="nil"/>
            </w:tcBorders>
            <w:shd w:val="clear" w:color="auto" w:fill="auto"/>
            <w:vAlign w:val="center"/>
            <w:hideMark/>
          </w:tcPr>
          <w:p w14:paraId="563C51E4" w14:textId="77777777" w:rsidR="00FA1620" w:rsidRPr="003A407F" w:rsidRDefault="00FA1620" w:rsidP="00CA4C99">
            <w:pPr>
              <w:spacing w:after="0" w:line="240" w:lineRule="auto"/>
              <w:jc w:val="center"/>
              <w:rPr>
                <w:b/>
                <w:bCs/>
                <w:sz w:val="18"/>
                <w:szCs w:val="18"/>
                <w:lang w:eastAsia="sk-SK"/>
              </w:rPr>
            </w:pPr>
            <w:r w:rsidRPr="003A407F">
              <w:rPr>
                <w:b/>
                <w:bCs/>
                <w:sz w:val="18"/>
                <w:szCs w:val="18"/>
                <w:lang w:eastAsia="sk-SK"/>
              </w:rPr>
              <w:t>Výsledok hospodárenia</w:t>
            </w:r>
          </w:p>
        </w:tc>
        <w:tc>
          <w:tcPr>
            <w:tcW w:w="539" w:type="pct"/>
            <w:gridSpan w:val="2"/>
            <w:tcBorders>
              <w:top w:val="single" w:sz="4" w:space="0" w:color="auto"/>
              <w:left w:val="nil"/>
              <w:bottom w:val="single" w:sz="4" w:space="0" w:color="auto"/>
              <w:right w:val="nil"/>
            </w:tcBorders>
            <w:shd w:val="clear" w:color="auto" w:fill="auto"/>
            <w:vAlign w:val="center"/>
            <w:hideMark/>
          </w:tcPr>
          <w:p w14:paraId="631E7855" w14:textId="77777777" w:rsidR="00FA1620" w:rsidRPr="003A407F" w:rsidRDefault="00FA1620" w:rsidP="00CA4C99">
            <w:pPr>
              <w:spacing w:after="0" w:line="240" w:lineRule="auto"/>
              <w:jc w:val="center"/>
              <w:rPr>
                <w:b/>
                <w:bCs/>
                <w:sz w:val="18"/>
                <w:szCs w:val="18"/>
                <w:lang w:eastAsia="sk-SK"/>
              </w:rPr>
            </w:pPr>
            <w:r w:rsidRPr="003A407F">
              <w:rPr>
                <w:b/>
                <w:bCs/>
                <w:sz w:val="18"/>
                <w:szCs w:val="18"/>
                <w:lang w:eastAsia="sk-SK"/>
              </w:rPr>
              <w:t>Dividendy</w:t>
            </w:r>
          </w:p>
        </w:tc>
        <w:tc>
          <w:tcPr>
            <w:tcW w:w="540" w:type="pct"/>
            <w:gridSpan w:val="2"/>
            <w:tcBorders>
              <w:top w:val="single" w:sz="4" w:space="0" w:color="auto"/>
              <w:left w:val="nil"/>
              <w:bottom w:val="single" w:sz="4" w:space="0" w:color="auto"/>
              <w:right w:val="nil"/>
            </w:tcBorders>
            <w:shd w:val="clear" w:color="auto" w:fill="auto"/>
            <w:vAlign w:val="center"/>
            <w:hideMark/>
          </w:tcPr>
          <w:p w14:paraId="22FB5349" w14:textId="77777777" w:rsidR="00FA1620" w:rsidRPr="003A407F" w:rsidRDefault="00FA1620" w:rsidP="00CA4C99">
            <w:pPr>
              <w:spacing w:after="0" w:line="240" w:lineRule="auto"/>
              <w:jc w:val="center"/>
              <w:rPr>
                <w:b/>
                <w:bCs/>
                <w:sz w:val="18"/>
                <w:szCs w:val="18"/>
                <w:lang w:eastAsia="sk-SK"/>
              </w:rPr>
            </w:pPr>
            <w:r w:rsidRPr="003A407F">
              <w:rPr>
                <w:b/>
                <w:bCs/>
                <w:sz w:val="18"/>
                <w:szCs w:val="18"/>
                <w:lang w:eastAsia="sk-SK"/>
              </w:rPr>
              <w:t>Ocenenie</w:t>
            </w:r>
          </w:p>
        </w:tc>
        <w:tc>
          <w:tcPr>
            <w:tcW w:w="621" w:type="pct"/>
            <w:gridSpan w:val="3"/>
            <w:tcBorders>
              <w:top w:val="single" w:sz="4" w:space="0" w:color="auto"/>
              <w:left w:val="nil"/>
              <w:bottom w:val="single" w:sz="4" w:space="0" w:color="auto"/>
              <w:right w:val="nil"/>
            </w:tcBorders>
            <w:shd w:val="clear" w:color="auto" w:fill="auto"/>
            <w:vAlign w:val="center"/>
            <w:hideMark/>
          </w:tcPr>
          <w:p w14:paraId="1EB6DB68" w14:textId="77777777" w:rsidR="00FA1620" w:rsidRPr="003A407F" w:rsidRDefault="00FA1620" w:rsidP="00CA4C99">
            <w:pPr>
              <w:spacing w:after="0" w:line="240" w:lineRule="auto"/>
              <w:jc w:val="center"/>
              <w:rPr>
                <w:b/>
                <w:bCs/>
                <w:sz w:val="18"/>
                <w:szCs w:val="18"/>
                <w:lang w:eastAsia="sk-SK"/>
              </w:rPr>
            </w:pPr>
            <w:r w:rsidRPr="003A407F">
              <w:rPr>
                <w:b/>
                <w:bCs/>
                <w:sz w:val="18"/>
                <w:szCs w:val="18"/>
                <w:lang w:eastAsia="sk-SK"/>
              </w:rPr>
              <w:t>Vklady spoločníkov</w:t>
            </w:r>
          </w:p>
        </w:tc>
        <w:tc>
          <w:tcPr>
            <w:tcW w:w="459" w:type="pct"/>
            <w:tcBorders>
              <w:top w:val="single" w:sz="4" w:space="0" w:color="auto"/>
              <w:left w:val="nil"/>
              <w:bottom w:val="single" w:sz="4" w:space="0" w:color="auto"/>
              <w:right w:val="nil"/>
            </w:tcBorders>
            <w:shd w:val="clear" w:color="auto" w:fill="auto"/>
            <w:vAlign w:val="center"/>
            <w:hideMark/>
          </w:tcPr>
          <w:p w14:paraId="680BEDFC" w14:textId="77777777" w:rsidR="00FA1620" w:rsidRPr="003A407F" w:rsidRDefault="00FA1620" w:rsidP="00CA4C99">
            <w:pPr>
              <w:spacing w:after="0" w:line="240" w:lineRule="auto"/>
              <w:jc w:val="center"/>
              <w:rPr>
                <w:b/>
                <w:bCs/>
                <w:sz w:val="18"/>
                <w:szCs w:val="18"/>
                <w:lang w:eastAsia="sk-SK"/>
              </w:rPr>
            </w:pPr>
            <w:r w:rsidRPr="003A407F">
              <w:rPr>
                <w:b/>
                <w:bCs/>
                <w:sz w:val="18"/>
                <w:szCs w:val="18"/>
                <w:lang w:eastAsia="sk-SK"/>
              </w:rPr>
              <w:t>Ostatné</w:t>
            </w:r>
          </w:p>
        </w:tc>
      </w:tr>
      <w:tr w:rsidR="003A407F" w:rsidRPr="002746C4" w14:paraId="51A1BEC5"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54CC06FC" w14:textId="10D12CF1" w:rsidR="003A407F" w:rsidRPr="003A407F" w:rsidRDefault="003A407F" w:rsidP="003A407F">
            <w:pPr>
              <w:spacing w:after="0" w:line="240" w:lineRule="auto"/>
              <w:rPr>
                <w:sz w:val="18"/>
                <w:szCs w:val="18"/>
                <w:lang w:eastAsia="sk-SK"/>
              </w:rPr>
            </w:pPr>
            <w:r w:rsidRPr="003A407F">
              <w:rPr>
                <w:sz w:val="18"/>
                <w:szCs w:val="18"/>
                <w:lang w:eastAsia="sk-SK"/>
              </w:rPr>
              <w:t>Slovenské elektrárne, a. s.</w:t>
            </w:r>
          </w:p>
        </w:tc>
        <w:tc>
          <w:tcPr>
            <w:tcW w:w="617" w:type="pct"/>
            <w:gridSpan w:val="2"/>
            <w:tcBorders>
              <w:top w:val="nil"/>
              <w:left w:val="nil"/>
              <w:bottom w:val="nil"/>
              <w:right w:val="nil"/>
            </w:tcBorders>
            <w:shd w:val="clear" w:color="auto" w:fill="auto"/>
            <w:noWrap/>
            <w:vAlign w:val="bottom"/>
          </w:tcPr>
          <w:p w14:paraId="3234DFB1" w14:textId="15AC4B70" w:rsidR="003A407F" w:rsidRPr="002746C4" w:rsidRDefault="003A407F" w:rsidP="003A407F">
            <w:pPr>
              <w:spacing w:after="0" w:line="240" w:lineRule="auto"/>
              <w:jc w:val="right"/>
              <w:rPr>
                <w:sz w:val="18"/>
                <w:szCs w:val="18"/>
                <w:highlight w:val="yellow"/>
                <w:lang w:eastAsia="sk-SK"/>
              </w:rPr>
            </w:pPr>
            <w:r>
              <w:rPr>
                <w:sz w:val="18"/>
                <w:szCs w:val="18"/>
                <w:lang w:eastAsia="sk-SK"/>
              </w:rPr>
              <w:t>2 399 212</w:t>
            </w:r>
          </w:p>
        </w:tc>
        <w:tc>
          <w:tcPr>
            <w:tcW w:w="695" w:type="pct"/>
            <w:gridSpan w:val="2"/>
            <w:tcBorders>
              <w:top w:val="nil"/>
              <w:left w:val="nil"/>
              <w:bottom w:val="nil"/>
              <w:right w:val="nil"/>
            </w:tcBorders>
            <w:shd w:val="clear" w:color="auto" w:fill="auto"/>
            <w:noWrap/>
            <w:vAlign w:val="bottom"/>
          </w:tcPr>
          <w:p w14:paraId="31766397" w14:textId="03C8558F" w:rsidR="003A407F" w:rsidRPr="002746C4" w:rsidRDefault="003A407F" w:rsidP="003A407F">
            <w:pPr>
              <w:spacing w:after="0" w:line="240" w:lineRule="auto"/>
              <w:jc w:val="right"/>
              <w:rPr>
                <w:sz w:val="18"/>
                <w:szCs w:val="18"/>
                <w:highlight w:val="yellow"/>
                <w:lang w:eastAsia="sk-SK"/>
              </w:rPr>
            </w:pPr>
            <w:r>
              <w:rPr>
                <w:sz w:val="18"/>
                <w:szCs w:val="18"/>
                <w:lang w:eastAsia="sk-SK"/>
              </w:rPr>
              <w:t>558 051</w:t>
            </w:r>
          </w:p>
        </w:tc>
        <w:tc>
          <w:tcPr>
            <w:tcW w:w="539" w:type="pct"/>
            <w:gridSpan w:val="2"/>
            <w:tcBorders>
              <w:top w:val="nil"/>
              <w:left w:val="nil"/>
              <w:bottom w:val="nil"/>
              <w:right w:val="nil"/>
            </w:tcBorders>
            <w:shd w:val="clear" w:color="auto" w:fill="auto"/>
            <w:noWrap/>
            <w:vAlign w:val="bottom"/>
          </w:tcPr>
          <w:p w14:paraId="25D76CFA" w14:textId="53C7E680" w:rsidR="003A407F" w:rsidRPr="002746C4" w:rsidRDefault="003A407F" w:rsidP="003A407F">
            <w:pPr>
              <w:spacing w:after="0" w:line="240" w:lineRule="auto"/>
              <w:jc w:val="right"/>
              <w:rPr>
                <w:sz w:val="18"/>
                <w:szCs w:val="18"/>
                <w:highlight w:val="yellow"/>
                <w:lang w:eastAsia="sk-SK"/>
              </w:rPr>
            </w:pPr>
            <w:r w:rsidRPr="00BC2D26">
              <w:rPr>
                <w:sz w:val="18"/>
                <w:szCs w:val="18"/>
                <w:lang w:eastAsia="sk-SK"/>
              </w:rPr>
              <w:t>0</w:t>
            </w:r>
          </w:p>
        </w:tc>
        <w:tc>
          <w:tcPr>
            <w:tcW w:w="540" w:type="pct"/>
            <w:gridSpan w:val="2"/>
            <w:tcBorders>
              <w:top w:val="nil"/>
              <w:left w:val="nil"/>
              <w:bottom w:val="nil"/>
              <w:right w:val="nil"/>
            </w:tcBorders>
            <w:shd w:val="clear" w:color="auto" w:fill="auto"/>
            <w:noWrap/>
            <w:vAlign w:val="bottom"/>
          </w:tcPr>
          <w:p w14:paraId="547C737C" w14:textId="2C4149B4" w:rsidR="003A407F" w:rsidRPr="002746C4" w:rsidRDefault="003A407F" w:rsidP="003A407F">
            <w:pPr>
              <w:spacing w:after="0" w:line="240" w:lineRule="auto"/>
              <w:jc w:val="right"/>
              <w:rPr>
                <w:sz w:val="18"/>
                <w:szCs w:val="18"/>
                <w:highlight w:val="yellow"/>
                <w:lang w:eastAsia="sk-SK"/>
              </w:rPr>
            </w:pPr>
            <w:r>
              <w:rPr>
                <w:sz w:val="18"/>
                <w:szCs w:val="18"/>
                <w:lang w:eastAsia="sk-SK"/>
              </w:rPr>
              <w:t>1 841 161</w:t>
            </w:r>
          </w:p>
        </w:tc>
        <w:tc>
          <w:tcPr>
            <w:tcW w:w="621" w:type="pct"/>
            <w:gridSpan w:val="3"/>
            <w:tcBorders>
              <w:top w:val="nil"/>
              <w:left w:val="nil"/>
              <w:bottom w:val="nil"/>
              <w:right w:val="nil"/>
            </w:tcBorders>
            <w:shd w:val="clear" w:color="auto" w:fill="auto"/>
            <w:noWrap/>
            <w:vAlign w:val="bottom"/>
          </w:tcPr>
          <w:p w14:paraId="45672C85" w14:textId="48E7598C" w:rsidR="003A407F" w:rsidRPr="002746C4" w:rsidRDefault="003A407F" w:rsidP="003A407F">
            <w:pPr>
              <w:spacing w:after="0" w:line="240" w:lineRule="auto"/>
              <w:jc w:val="right"/>
              <w:rPr>
                <w:sz w:val="18"/>
                <w:szCs w:val="18"/>
                <w:highlight w:val="yellow"/>
                <w:lang w:eastAsia="sk-SK"/>
              </w:rPr>
            </w:pPr>
            <w:r w:rsidRPr="00BC2D26">
              <w:rPr>
                <w:sz w:val="18"/>
                <w:szCs w:val="18"/>
                <w:lang w:eastAsia="sk-SK"/>
              </w:rPr>
              <w:t>0</w:t>
            </w:r>
          </w:p>
        </w:tc>
        <w:tc>
          <w:tcPr>
            <w:tcW w:w="459" w:type="pct"/>
            <w:tcBorders>
              <w:top w:val="nil"/>
              <w:left w:val="nil"/>
              <w:bottom w:val="nil"/>
              <w:right w:val="nil"/>
            </w:tcBorders>
            <w:shd w:val="clear" w:color="auto" w:fill="auto"/>
            <w:noWrap/>
            <w:vAlign w:val="bottom"/>
          </w:tcPr>
          <w:p w14:paraId="2223C74E" w14:textId="6EEFD66D"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01600" behindDoc="0" locked="0" layoutInCell="1" allowOverlap="1" wp14:anchorId="02021334" wp14:editId="24A77242">
                  <wp:simplePos x="0" y="0"/>
                  <wp:positionH relativeFrom="column">
                    <wp:posOffset>0</wp:posOffset>
                  </wp:positionH>
                  <wp:positionV relativeFrom="paragraph">
                    <wp:posOffset>0</wp:posOffset>
                  </wp:positionV>
                  <wp:extent cx="123825" cy="123825"/>
                  <wp:effectExtent l="0" t="0" r="9525" b="9525"/>
                  <wp:wrapNone/>
                  <wp:docPr id="342838738" name="Obrázok 78" descr="9D4GQ34QB727H10MA3SSAR2R9" hidden="1"/>
                  <wp:cNvGraphicFramePr/>
                  <a:graphic xmlns:a="http://schemas.openxmlformats.org/drawingml/2006/main">
                    <a:graphicData uri="http://schemas.openxmlformats.org/drawingml/2006/picture">
                      <pic:pic xmlns:pic="http://schemas.openxmlformats.org/drawingml/2006/picture">
                        <pic:nvPicPr>
                          <pic:cNvPr id="271"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02624" behindDoc="0" locked="0" layoutInCell="1" allowOverlap="1" wp14:anchorId="46D70294" wp14:editId="418AC5E0">
                  <wp:simplePos x="0" y="0"/>
                  <wp:positionH relativeFrom="column">
                    <wp:posOffset>0</wp:posOffset>
                  </wp:positionH>
                  <wp:positionV relativeFrom="paragraph">
                    <wp:posOffset>0</wp:posOffset>
                  </wp:positionV>
                  <wp:extent cx="123825" cy="123825"/>
                  <wp:effectExtent l="0" t="0" r="9525" b="9525"/>
                  <wp:wrapNone/>
                  <wp:docPr id="1178218053" name="Obrázok 77" descr="MEW27CPIFG44B7E7HEQUUF5QF" hidden="1"/>
                  <wp:cNvGraphicFramePr/>
                  <a:graphic xmlns:a="http://schemas.openxmlformats.org/drawingml/2006/main">
                    <a:graphicData uri="http://schemas.openxmlformats.org/drawingml/2006/picture">
                      <pic:pic xmlns:pic="http://schemas.openxmlformats.org/drawingml/2006/picture">
                        <pic:nvPicPr>
                          <pic:cNvPr id="272"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03648" behindDoc="0" locked="0" layoutInCell="1" allowOverlap="1" wp14:anchorId="03D6019D" wp14:editId="44089257">
                  <wp:simplePos x="0" y="0"/>
                  <wp:positionH relativeFrom="column">
                    <wp:posOffset>0</wp:posOffset>
                  </wp:positionH>
                  <wp:positionV relativeFrom="paragraph">
                    <wp:posOffset>0</wp:posOffset>
                  </wp:positionV>
                  <wp:extent cx="123825" cy="123825"/>
                  <wp:effectExtent l="0" t="0" r="9525" b="9525"/>
                  <wp:wrapNone/>
                  <wp:docPr id="1977081589" name="Obrázok 76" descr="9D4GQ34QB727H10MA3SSAR2R9" hidden="1"/>
                  <wp:cNvGraphicFramePr/>
                  <a:graphic xmlns:a="http://schemas.openxmlformats.org/drawingml/2006/main">
                    <a:graphicData uri="http://schemas.openxmlformats.org/drawingml/2006/picture">
                      <pic:pic xmlns:pic="http://schemas.openxmlformats.org/drawingml/2006/picture">
                        <pic:nvPicPr>
                          <pic:cNvPr id="273"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04672" behindDoc="0" locked="0" layoutInCell="1" allowOverlap="1" wp14:anchorId="17E2F730" wp14:editId="7931AF45">
                  <wp:simplePos x="0" y="0"/>
                  <wp:positionH relativeFrom="column">
                    <wp:posOffset>0</wp:posOffset>
                  </wp:positionH>
                  <wp:positionV relativeFrom="paragraph">
                    <wp:posOffset>0</wp:posOffset>
                  </wp:positionV>
                  <wp:extent cx="123825" cy="123825"/>
                  <wp:effectExtent l="0" t="0" r="9525" b="9525"/>
                  <wp:wrapNone/>
                  <wp:docPr id="1669236133" name="Obrázok 75" descr="MEW27CPIFG44B7E7HEQUUF5QF" hidden="1"/>
                  <wp:cNvGraphicFramePr/>
                  <a:graphic xmlns:a="http://schemas.openxmlformats.org/drawingml/2006/main">
                    <a:graphicData uri="http://schemas.openxmlformats.org/drawingml/2006/picture">
                      <pic:pic xmlns:pic="http://schemas.openxmlformats.org/drawingml/2006/picture">
                        <pic:nvPicPr>
                          <pic:cNvPr id="274"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BC2D26">
              <w:rPr>
                <w:sz w:val="18"/>
                <w:szCs w:val="18"/>
                <w:lang w:eastAsia="sk-SK"/>
              </w:rPr>
              <w:t>0</w:t>
            </w:r>
          </w:p>
        </w:tc>
      </w:tr>
      <w:tr w:rsidR="003A407F" w:rsidRPr="002746C4" w14:paraId="6BD4683F"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452077B0" w14:textId="06788844" w:rsidR="003A407F" w:rsidRPr="003A407F" w:rsidRDefault="003A407F" w:rsidP="003A407F">
            <w:pPr>
              <w:spacing w:after="0" w:line="240" w:lineRule="auto"/>
              <w:rPr>
                <w:sz w:val="18"/>
                <w:szCs w:val="18"/>
                <w:lang w:eastAsia="sk-SK"/>
              </w:rPr>
            </w:pPr>
            <w:r w:rsidRPr="003A407F">
              <w:rPr>
                <w:sz w:val="18"/>
                <w:szCs w:val="18"/>
                <w:lang w:eastAsia="sk-SK"/>
              </w:rPr>
              <w:t>Západoslovenská energetika, a. s.</w:t>
            </w:r>
          </w:p>
        </w:tc>
        <w:tc>
          <w:tcPr>
            <w:tcW w:w="617" w:type="pct"/>
            <w:gridSpan w:val="2"/>
            <w:tcBorders>
              <w:top w:val="nil"/>
              <w:left w:val="nil"/>
              <w:bottom w:val="nil"/>
              <w:right w:val="nil"/>
            </w:tcBorders>
            <w:shd w:val="clear" w:color="auto" w:fill="auto"/>
            <w:noWrap/>
            <w:vAlign w:val="bottom"/>
          </w:tcPr>
          <w:p w14:paraId="099C78E7" w14:textId="50D3A943" w:rsidR="003A407F" w:rsidRPr="002746C4" w:rsidRDefault="003A407F" w:rsidP="003A407F">
            <w:pPr>
              <w:spacing w:after="0" w:line="240" w:lineRule="auto"/>
              <w:jc w:val="right"/>
              <w:rPr>
                <w:sz w:val="18"/>
                <w:szCs w:val="18"/>
                <w:highlight w:val="yellow"/>
                <w:lang w:eastAsia="sk-SK"/>
              </w:rPr>
            </w:pPr>
            <w:r>
              <w:rPr>
                <w:sz w:val="18"/>
                <w:szCs w:val="18"/>
                <w:lang w:eastAsia="sk-SK"/>
              </w:rPr>
              <w:t>803 495</w:t>
            </w:r>
          </w:p>
        </w:tc>
        <w:tc>
          <w:tcPr>
            <w:tcW w:w="695" w:type="pct"/>
            <w:gridSpan w:val="2"/>
            <w:tcBorders>
              <w:top w:val="nil"/>
              <w:left w:val="nil"/>
              <w:bottom w:val="nil"/>
              <w:right w:val="nil"/>
            </w:tcBorders>
            <w:shd w:val="clear" w:color="auto" w:fill="auto"/>
            <w:noWrap/>
            <w:vAlign w:val="bottom"/>
          </w:tcPr>
          <w:p w14:paraId="52D6E0DA" w14:textId="2881FA47" w:rsidR="003A407F" w:rsidRPr="002746C4" w:rsidRDefault="003A407F" w:rsidP="003A407F">
            <w:pPr>
              <w:spacing w:after="0" w:line="240" w:lineRule="auto"/>
              <w:jc w:val="right"/>
              <w:rPr>
                <w:sz w:val="18"/>
                <w:szCs w:val="18"/>
                <w:highlight w:val="yellow"/>
                <w:lang w:eastAsia="sk-SK"/>
              </w:rPr>
            </w:pPr>
            <w:r>
              <w:rPr>
                <w:sz w:val="18"/>
                <w:szCs w:val="18"/>
                <w:lang w:eastAsia="sk-SK"/>
              </w:rPr>
              <w:t>110 892</w:t>
            </w:r>
          </w:p>
        </w:tc>
        <w:tc>
          <w:tcPr>
            <w:tcW w:w="539" w:type="pct"/>
            <w:gridSpan w:val="2"/>
            <w:tcBorders>
              <w:top w:val="nil"/>
              <w:left w:val="nil"/>
              <w:bottom w:val="nil"/>
              <w:right w:val="nil"/>
            </w:tcBorders>
            <w:shd w:val="clear" w:color="auto" w:fill="auto"/>
            <w:noWrap/>
            <w:vAlign w:val="bottom"/>
          </w:tcPr>
          <w:p w14:paraId="187CE81C" w14:textId="34DB7990" w:rsidR="003A407F" w:rsidRPr="002746C4" w:rsidRDefault="003A407F" w:rsidP="003A407F">
            <w:pPr>
              <w:spacing w:after="0" w:line="240" w:lineRule="auto"/>
              <w:jc w:val="right"/>
              <w:rPr>
                <w:sz w:val="18"/>
                <w:szCs w:val="18"/>
                <w:highlight w:val="yellow"/>
                <w:lang w:eastAsia="sk-SK"/>
              </w:rPr>
            </w:pPr>
            <w:r w:rsidRPr="00CE0F8A">
              <w:rPr>
                <w:sz w:val="18"/>
                <w:szCs w:val="18"/>
                <w:lang w:eastAsia="sk-SK"/>
              </w:rPr>
              <w:t>-</w:t>
            </w:r>
            <w:r>
              <w:rPr>
                <w:sz w:val="18"/>
                <w:szCs w:val="18"/>
                <w:lang w:eastAsia="sk-SK"/>
              </w:rPr>
              <w:t>72 727</w:t>
            </w:r>
          </w:p>
        </w:tc>
        <w:tc>
          <w:tcPr>
            <w:tcW w:w="540" w:type="pct"/>
            <w:gridSpan w:val="2"/>
            <w:tcBorders>
              <w:top w:val="nil"/>
              <w:left w:val="nil"/>
              <w:bottom w:val="nil"/>
              <w:right w:val="nil"/>
            </w:tcBorders>
            <w:shd w:val="clear" w:color="auto" w:fill="auto"/>
            <w:noWrap/>
            <w:vAlign w:val="bottom"/>
          </w:tcPr>
          <w:p w14:paraId="0AE136A4" w14:textId="63E2D194" w:rsidR="003A407F" w:rsidRPr="002746C4" w:rsidRDefault="003A407F" w:rsidP="003A407F">
            <w:pPr>
              <w:spacing w:after="0" w:line="240" w:lineRule="auto"/>
              <w:jc w:val="right"/>
              <w:rPr>
                <w:sz w:val="18"/>
                <w:szCs w:val="18"/>
                <w:highlight w:val="yellow"/>
                <w:lang w:eastAsia="sk-SK"/>
              </w:rPr>
            </w:pPr>
            <w:r>
              <w:rPr>
                <w:sz w:val="18"/>
                <w:szCs w:val="18"/>
                <w:lang w:eastAsia="sk-SK"/>
              </w:rPr>
              <w:t>152</w:t>
            </w:r>
          </w:p>
        </w:tc>
        <w:tc>
          <w:tcPr>
            <w:tcW w:w="621" w:type="pct"/>
            <w:gridSpan w:val="3"/>
            <w:tcBorders>
              <w:top w:val="nil"/>
              <w:left w:val="nil"/>
              <w:bottom w:val="nil"/>
              <w:right w:val="nil"/>
            </w:tcBorders>
            <w:shd w:val="clear" w:color="auto" w:fill="auto"/>
            <w:noWrap/>
            <w:vAlign w:val="bottom"/>
          </w:tcPr>
          <w:p w14:paraId="7CF9FB74" w14:textId="7C169B49" w:rsidR="003A407F" w:rsidRPr="002746C4" w:rsidRDefault="003A407F" w:rsidP="003A407F">
            <w:pPr>
              <w:spacing w:after="0" w:line="240" w:lineRule="auto"/>
              <w:jc w:val="right"/>
              <w:rPr>
                <w:sz w:val="18"/>
                <w:szCs w:val="18"/>
                <w:highlight w:val="yellow"/>
                <w:lang w:eastAsia="sk-SK"/>
              </w:rPr>
            </w:pPr>
            <w:r>
              <w:rPr>
                <w:sz w:val="18"/>
                <w:szCs w:val="18"/>
                <w:lang w:eastAsia="sk-SK"/>
              </w:rPr>
              <w:t>765 178</w:t>
            </w:r>
          </w:p>
        </w:tc>
        <w:tc>
          <w:tcPr>
            <w:tcW w:w="459" w:type="pct"/>
            <w:tcBorders>
              <w:top w:val="nil"/>
              <w:left w:val="nil"/>
              <w:bottom w:val="nil"/>
              <w:right w:val="nil"/>
            </w:tcBorders>
            <w:shd w:val="clear" w:color="auto" w:fill="auto"/>
            <w:noWrap/>
            <w:vAlign w:val="bottom"/>
          </w:tcPr>
          <w:p w14:paraId="1D309518" w14:textId="42843B25"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05696" behindDoc="0" locked="0" layoutInCell="1" allowOverlap="1" wp14:anchorId="65DDD926" wp14:editId="0AE0776D">
                  <wp:simplePos x="0" y="0"/>
                  <wp:positionH relativeFrom="column">
                    <wp:posOffset>0</wp:posOffset>
                  </wp:positionH>
                  <wp:positionV relativeFrom="paragraph">
                    <wp:posOffset>0</wp:posOffset>
                  </wp:positionV>
                  <wp:extent cx="123825" cy="123825"/>
                  <wp:effectExtent l="0" t="0" r="9525" b="9525"/>
                  <wp:wrapNone/>
                  <wp:docPr id="1582342856" name="Obrázok 74" descr="9D4GQ34QB727H10MA3SSAR2R9" hidden="1"/>
                  <wp:cNvGraphicFramePr/>
                  <a:graphic xmlns:a="http://schemas.openxmlformats.org/drawingml/2006/main">
                    <a:graphicData uri="http://schemas.openxmlformats.org/drawingml/2006/picture">
                      <pic:pic xmlns:pic="http://schemas.openxmlformats.org/drawingml/2006/picture">
                        <pic:nvPicPr>
                          <pic:cNvPr id="269"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06720" behindDoc="0" locked="0" layoutInCell="1" allowOverlap="1" wp14:anchorId="6052444C" wp14:editId="4F12FE30">
                  <wp:simplePos x="0" y="0"/>
                  <wp:positionH relativeFrom="column">
                    <wp:posOffset>0</wp:posOffset>
                  </wp:positionH>
                  <wp:positionV relativeFrom="paragraph">
                    <wp:posOffset>0</wp:posOffset>
                  </wp:positionV>
                  <wp:extent cx="123825" cy="123825"/>
                  <wp:effectExtent l="0" t="0" r="9525" b="9525"/>
                  <wp:wrapNone/>
                  <wp:docPr id="2135710495" name="Obrázok 73" descr="MEW27CPIFG44B7E7HEQUUF5QF" hidden="1"/>
                  <wp:cNvGraphicFramePr/>
                  <a:graphic xmlns:a="http://schemas.openxmlformats.org/drawingml/2006/main">
                    <a:graphicData uri="http://schemas.openxmlformats.org/drawingml/2006/picture">
                      <pic:pic xmlns:pic="http://schemas.openxmlformats.org/drawingml/2006/picture">
                        <pic:nvPicPr>
                          <pic:cNvPr id="270"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sz w:val="18"/>
                <w:szCs w:val="18"/>
                <w:lang w:eastAsia="sk-SK"/>
              </w:rPr>
              <w:t>0</w:t>
            </w:r>
          </w:p>
        </w:tc>
      </w:tr>
      <w:tr w:rsidR="003A407F" w:rsidRPr="002746C4" w14:paraId="37374216"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4EB0315F" w14:textId="78DCBB19" w:rsidR="003A407F" w:rsidRPr="003A407F" w:rsidRDefault="003A407F" w:rsidP="003A407F">
            <w:pPr>
              <w:spacing w:after="0" w:line="240" w:lineRule="auto"/>
              <w:rPr>
                <w:sz w:val="18"/>
                <w:szCs w:val="18"/>
                <w:lang w:eastAsia="sk-SK"/>
              </w:rPr>
            </w:pPr>
            <w:r w:rsidRPr="003A407F">
              <w:rPr>
                <w:sz w:val="18"/>
                <w:szCs w:val="18"/>
                <w:lang w:eastAsia="sk-SK"/>
              </w:rPr>
              <w:t>Vodohospodárska výstavba, š. p.</w:t>
            </w:r>
          </w:p>
        </w:tc>
        <w:tc>
          <w:tcPr>
            <w:tcW w:w="617" w:type="pct"/>
            <w:gridSpan w:val="2"/>
            <w:tcBorders>
              <w:top w:val="nil"/>
              <w:left w:val="nil"/>
              <w:bottom w:val="nil"/>
              <w:right w:val="nil"/>
            </w:tcBorders>
            <w:shd w:val="clear" w:color="auto" w:fill="auto"/>
            <w:noWrap/>
            <w:vAlign w:val="bottom"/>
          </w:tcPr>
          <w:p w14:paraId="5862E659" w14:textId="06855895" w:rsidR="003A407F" w:rsidRPr="002746C4" w:rsidRDefault="003A407F" w:rsidP="003A407F">
            <w:pPr>
              <w:spacing w:after="0" w:line="240" w:lineRule="auto"/>
              <w:jc w:val="right"/>
              <w:rPr>
                <w:sz w:val="18"/>
                <w:szCs w:val="18"/>
                <w:highlight w:val="yellow"/>
                <w:lang w:eastAsia="sk-SK"/>
              </w:rPr>
            </w:pPr>
            <w:r w:rsidRPr="00F97025">
              <w:rPr>
                <w:sz w:val="18"/>
                <w:szCs w:val="18"/>
                <w:lang w:eastAsia="sk-SK"/>
              </w:rPr>
              <w:t>138 204</w:t>
            </w:r>
          </w:p>
        </w:tc>
        <w:tc>
          <w:tcPr>
            <w:tcW w:w="695" w:type="pct"/>
            <w:gridSpan w:val="2"/>
            <w:tcBorders>
              <w:top w:val="nil"/>
              <w:left w:val="nil"/>
              <w:bottom w:val="nil"/>
              <w:right w:val="nil"/>
            </w:tcBorders>
            <w:shd w:val="clear" w:color="auto" w:fill="auto"/>
            <w:noWrap/>
            <w:vAlign w:val="bottom"/>
          </w:tcPr>
          <w:p w14:paraId="652BC031" w14:textId="649FB750" w:rsidR="003A407F" w:rsidRPr="002746C4" w:rsidRDefault="003A407F" w:rsidP="003A407F">
            <w:pPr>
              <w:spacing w:after="0" w:line="240" w:lineRule="auto"/>
              <w:jc w:val="right"/>
              <w:rPr>
                <w:sz w:val="18"/>
                <w:szCs w:val="18"/>
                <w:highlight w:val="yellow"/>
                <w:lang w:eastAsia="sk-SK"/>
              </w:rPr>
            </w:pPr>
            <w:r w:rsidRPr="00F97025">
              <w:rPr>
                <w:sz w:val="18"/>
                <w:szCs w:val="18"/>
                <w:lang w:eastAsia="sk-SK"/>
              </w:rPr>
              <w:t>241 138</w:t>
            </w:r>
          </w:p>
        </w:tc>
        <w:tc>
          <w:tcPr>
            <w:tcW w:w="539" w:type="pct"/>
            <w:gridSpan w:val="2"/>
            <w:tcBorders>
              <w:top w:val="nil"/>
              <w:left w:val="nil"/>
              <w:bottom w:val="nil"/>
              <w:right w:val="nil"/>
            </w:tcBorders>
            <w:shd w:val="clear" w:color="auto" w:fill="auto"/>
            <w:noWrap/>
            <w:vAlign w:val="bottom"/>
          </w:tcPr>
          <w:p w14:paraId="5A790C2A" w14:textId="1960A6BD" w:rsidR="003A407F" w:rsidRPr="002746C4" w:rsidRDefault="003A407F" w:rsidP="003A407F">
            <w:pPr>
              <w:spacing w:after="0" w:line="240" w:lineRule="auto"/>
              <w:jc w:val="right"/>
              <w:rPr>
                <w:sz w:val="18"/>
                <w:szCs w:val="18"/>
                <w:highlight w:val="yellow"/>
                <w:lang w:eastAsia="sk-SK"/>
              </w:rPr>
            </w:pPr>
            <w:r w:rsidRPr="00F97025">
              <w:rPr>
                <w:sz w:val="18"/>
                <w:szCs w:val="18"/>
                <w:lang w:eastAsia="sk-SK"/>
              </w:rPr>
              <w:t>-</w:t>
            </w:r>
            <w:r>
              <w:rPr>
                <w:sz w:val="18"/>
                <w:szCs w:val="18"/>
                <w:lang w:eastAsia="sk-SK"/>
              </w:rPr>
              <w:t>103</w:t>
            </w:r>
            <w:r w:rsidRPr="00F97025">
              <w:rPr>
                <w:sz w:val="18"/>
                <w:szCs w:val="18"/>
                <w:lang w:eastAsia="sk-SK"/>
              </w:rPr>
              <w:t> </w:t>
            </w:r>
            <w:r>
              <w:rPr>
                <w:sz w:val="18"/>
                <w:szCs w:val="18"/>
                <w:lang w:eastAsia="sk-SK"/>
              </w:rPr>
              <w:t>518</w:t>
            </w:r>
          </w:p>
        </w:tc>
        <w:tc>
          <w:tcPr>
            <w:tcW w:w="540" w:type="pct"/>
            <w:gridSpan w:val="2"/>
            <w:tcBorders>
              <w:top w:val="nil"/>
              <w:left w:val="nil"/>
              <w:bottom w:val="nil"/>
              <w:right w:val="nil"/>
            </w:tcBorders>
            <w:shd w:val="clear" w:color="auto" w:fill="auto"/>
            <w:noWrap/>
            <w:vAlign w:val="bottom"/>
          </w:tcPr>
          <w:p w14:paraId="70D48477" w14:textId="30593F61" w:rsidR="003A407F" w:rsidRPr="002746C4" w:rsidRDefault="003A407F" w:rsidP="003A407F">
            <w:pPr>
              <w:spacing w:after="0" w:line="240" w:lineRule="auto"/>
              <w:jc w:val="right"/>
              <w:rPr>
                <w:sz w:val="18"/>
                <w:szCs w:val="18"/>
                <w:highlight w:val="yellow"/>
                <w:lang w:eastAsia="sk-SK"/>
              </w:rPr>
            </w:pPr>
            <w:r>
              <w:rPr>
                <w:sz w:val="18"/>
                <w:szCs w:val="18"/>
                <w:lang w:eastAsia="sk-SK"/>
              </w:rPr>
              <w:t>123</w:t>
            </w:r>
          </w:p>
        </w:tc>
        <w:tc>
          <w:tcPr>
            <w:tcW w:w="621" w:type="pct"/>
            <w:gridSpan w:val="3"/>
            <w:tcBorders>
              <w:top w:val="nil"/>
              <w:left w:val="nil"/>
              <w:bottom w:val="nil"/>
              <w:right w:val="nil"/>
            </w:tcBorders>
            <w:shd w:val="clear" w:color="auto" w:fill="auto"/>
            <w:noWrap/>
            <w:vAlign w:val="bottom"/>
          </w:tcPr>
          <w:p w14:paraId="23EAC7F0" w14:textId="5FF9970C" w:rsidR="003A407F" w:rsidRPr="002746C4" w:rsidRDefault="003A407F" w:rsidP="003A407F">
            <w:pPr>
              <w:spacing w:after="0" w:line="240" w:lineRule="auto"/>
              <w:jc w:val="right"/>
              <w:rPr>
                <w:sz w:val="18"/>
                <w:szCs w:val="18"/>
                <w:highlight w:val="yellow"/>
                <w:lang w:eastAsia="sk-SK"/>
              </w:rPr>
            </w:pPr>
            <w:r>
              <w:rPr>
                <w:sz w:val="18"/>
                <w:szCs w:val="18"/>
                <w:lang w:eastAsia="sk-SK"/>
              </w:rPr>
              <w:t>845</w:t>
            </w:r>
          </w:p>
        </w:tc>
        <w:tc>
          <w:tcPr>
            <w:tcW w:w="459" w:type="pct"/>
            <w:tcBorders>
              <w:top w:val="nil"/>
              <w:left w:val="nil"/>
              <w:bottom w:val="nil"/>
              <w:right w:val="nil"/>
            </w:tcBorders>
            <w:shd w:val="clear" w:color="auto" w:fill="auto"/>
            <w:noWrap/>
            <w:vAlign w:val="bottom"/>
          </w:tcPr>
          <w:p w14:paraId="0104FBA9" w14:textId="6701363A"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07744" behindDoc="0" locked="0" layoutInCell="1" allowOverlap="1" wp14:anchorId="348A4C6D" wp14:editId="38A2C704">
                  <wp:simplePos x="0" y="0"/>
                  <wp:positionH relativeFrom="column">
                    <wp:posOffset>0</wp:posOffset>
                  </wp:positionH>
                  <wp:positionV relativeFrom="paragraph">
                    <wp:posOffset>0</wp:posOffset>
                  </wp:positionV>
                  <wp:extent cx="123825" cy="123825"/>
                  <wp:effectExtent l="0" t="0" r="9525" b="9525"/>
                  <wp:wrapNone/>
                  <wp:docPr id="173498092" name="Obrázok 72" descr="9D4GQ34QB727H10MA3SSAR2R9" hidden="1"/>
                  <wp:cNvGraphicFramePr/>
                  <a:graphic xmlns:a="http://schemas.openxmlformats.org/drawingml/2006/main">
                    <a:graphicData uri="http://schemas.openxmlformats.org/drawingml/2006/picture">
                      <pic:pic xmlns:pic="http://schemas.openxmlformats.org/drawingml/2006/picture">
                        <pic:nvPicPr>
                          <pic:cNvPr id="373"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08768" behindDoc="0" locked="0" layoutInCell="1" allowOverlap="1" wp14:anchorId="57B9C0FD" wp14:editId="0C2D9044">
                  <wp:simplePos x="0" y="0"/>
                  <wp:positionH relativeFrom="column">
                    <wp:posOffset>0</wp:posOffset>
                  </wp:positionH>
                  <wp:positionV relativeFrom="paragraph">
                    <wp:posOffset>0</wp:posOffset>
                  </wp:positionV>
                  <wp:extent cx="123825" cy="123825"/>
                  <wp:effectExtent l="0" t="0" r="9525" b="9525"/>
                  <wp:wrapNone/>
                  <wp:docPr id="36705180" name="Obrázok 71" descr="MEW27CPIFG44B7E7HEQUUF5QF" hidden="1"/>
                  <wp:cNvGraphicFramePr/>
                  <a:graphic xmlns:a="http://schemas.openxmlformats.org/drawingml/2006/main">
                    <a:graphicData uri="http://schemas.openxmlformats.org/drawingml/2006/picture">
                      <pic:pic xmlns:pic="http://schemas.openxmlformats.org/drawingml/2006/picture">
                        <pic:nvPicPr>
                          <pic:cNvPr id="374"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09792" behindDoc="0" locked="0" layoutInCell="1" allowOverlap="1" wp14:anchorId="4B0438D3" wp14:editId="7C04D25C">
                  <wp:simplePos x="0" y="0"/>
                  <wp:positionH relativeFrom="column">
                    <wp:posOffset>0</wp:posOffset>
                  </wp:positionH>
                  <wp:positionV relativeFrom="paragraph">
                    <wp:posOffset>0</wp:posOffset>
                  </wp:positionV>
                  <wp:extent cx="123825" cy="123825"/>
                  <wp:effectExtent l="0" t="0" r="9525" b="9525"/>
                  <wp:wrapNone/>
                  <wp:docPr id="1318406124" name="Obrázok 70" descr="9D4GQ34QB727H10MA3SSAR2R9" hidden="1"/>
                  <wp:cNvGraphicFramePr/>
                  <a:graphic xmlns:a="http://schemas.openxmlformats.org/drawingml/2006/main">
                    <a:graphicData uri="http://schemas.openxmlformats.org/drawingml/2006/picture">
                      <pic:pic xmlns:pic="http://schemas.openxmlformats.org/drawingml/2006/picture">
                        <pic:nvPicPr>
                          <pic:cNvPr id="375"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10816" behindDoc="0" locked="0" layoutInCell="1" allowOverlap="1" wp14:anchorId="60072036" wp14:editId="0C6B9D26">
                  <wp:simplePos x="0" y="0"/>
                  <wp:positionH relativeFrom="column">
                    <wp:posOffset>0</wp:posOffset>
                  </wp:positionH>
                  <wp:positionV relativeFrom="paragraph">
                    <wp:posOffset>0</wp:posOffset>
                  </wp:positionV>
                  <wp:extent cx="123825" cy="123825"/>
                  <wp:effectExtent l="0" t="0" r="9525" b="9525"/>
                  <wp:wrapNone/>
                  <wp:docPr id="1368833162" name="Obrázok 69" descr="MEW27CPIFG44B7E7HEQUUF5QF" hidden="1"/>
                  <wp:cNvGraphicFramePr/>
                  <a:graphic xmlns:a="http://schemas.openxmlformats.org/drawingml/2006/main">
                    <a:graphicData uri="http://schemas.openxmlformats.org/drawingml/2006/picture">
                      <pic:pic xmlns:pic="http://schemas.openxmlformats.org/drawingml/2006/picture">
                        <pic:nvPicPr>
                          <pic:cNvPr id="376"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sz w:val="18"/>
                <w:szCs w:val="18"/>
                <w:lang w:eastAsia="sk-SK"/>
              </w:rPr>
              <w:t>-384</w:t>
            </w:r>
          </w:p>
        </w:tc>
      </w:tr>
      <w:tr w:rsidR="003A407F" w:rsidRPr="002746C4" w14:paraId="49BCF2DB"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5DEF089A" w14:textId="4E410CE8" w:rsidR="003A407F" w:rsidRPr="003A407F" w:rsidRDefault="003A407F" w:rsidP="003A407F">
            <w:pPr>
              <w:spacing w:after="0" w:line="240" w:lineRule="auto"/>
              <w:rPr>
                <w:color w:val="FF0000"/>
                <w:sz w:val="18"/>
                <w:szCs w:val="18"/>
                <w:lang w:eastAsia="sk-SK"/>
              </w:rPr>
            </w:pPr>
            <w:r w:rsidRPr="003A407F">
              <w:rPr>
                <w:sz w:val="18"/>
                <w:szCs w:val="18"/>
                <w:lang w:eastAsia="sk-SK"/>
              </w:rPr>
              <w:t>DMD GROUP, a. s.</w:t>
            </w:r>
          </w:p>
        </w:tc>
        <w:tc>
          <w:tcPr>
            <w:tcW w:w="617" w:type="pct"/>
            <w:gridSpan w:val="2"/>
            <w:tcBorders>
              <w:top w:val="nil"/>
              <w:left w:val="nil"/>
              <w:bottom w:val="nil"/>
              <w:right w:val="nil"/>
            </w:tcBorders>
            <w:shd w:val="clear" w:color="auto" w:fill="auto"/>
            <w:noWrap/>
            <w:vAlign w:val="bottom"/>
          </w:tcPr>
          <w:p w14:paraId="3629F39B" w14:textId="02E0A9AF" w:rsidR="003A407F" w:rsidRPr="002746C4" w:rsidRDefault="003A407F" w:rsidP="003A407F">
            <w:pPr>
              <w:spacing w:after="0" w:line="240" w:lineRule="auto"/>
              <w:jc w:val="right"/>
              <w:rPr>
                <w:sz w:val="18"/>
                <w:szCs w:val="18"/>
                <w:highlight w:val="yellow"/>
                <w:lang w:eastAsia="sk-SK"/>
              </w:rPr>
            </w:pPr>
            <w:r>
              <w:rPr>
                <w:sz w:val="18"/>
                <w:szCs w:val="18"/>
                <w:lang w:eastAsia="sk-SK"/>
              </w:rPr>
              <w:t>102 761</w:t>
            </w:r>
          </w:p>
        </w:tc>
        <w:tc>
          <w:tcPr>
            <w:tcW w:w="695" w:type="pct"/>
            <w:gridSpan w:val="2"/>
            <w:tcBorders>
              <w:top w:val="nil"/>
              <w:left w:val="nil"/>
              <w:bottom w:val="nil"/>
              <w:right w:val="nil"/>
            </w:tcBorders>
            <w:shd w:val="clear" w:color="auto" w:fill="auto"/>
            <w:noWrap/>
            <w:vAlign w:val="bottom"/>
          </w:tcPr>
          <w:p w14:paraId="02735E39" w14:textId="76CF5FC8" w:rsidR="003A407F" w:rsidRPr="002746C4" w:rsidRDefault="003A407F" w:rsidP="003A407F">
            <w:pPr>
              <w:spacing w:after="0" w:line="240" w:lineRule="auto"/>
              <w:jc w:val="right"/>
              <w:rPr>
                <w:sz w:val="18"/>
                <w:szCs w:val="18"/>
                <w:highlight w:val="yellow"/>
                <w:lang w:eastAsia="sk-SK"/>
              </w:rPr>
            </w:pPr>
            <w:r>
              <w:rPr>
                <w:sz w:val="18"/>
                <w:szCs w:val="18"/>
                <w:lang w:eastAsia="sk-SK"/>
              </w:rPr>
              <w:t>-1 045</w:t>
            </w:r>
          </w:p>
        </w:tc>
        <w:tc>
          <w:tcPr>
            <w:tcW w:w="539" w:type="pct"/>
            <w:gridSpan w:val="2"/>
            <w:tcBorders>
              <w:top w:val="nil"/>
              <w:left w:val="nil"/>
              <w:bottom w:val="nil"/>
              <w:right w:val="nil"/>
            </w:tcBorders>
            <w:shd w:val="clear" w:color="auto" w:fill="auto"/>
            <w:noWrap/>
            <w:vAlign w:val="bottom"/>
          </w:tcPr>
          <w:p w14:paraId="1EF26D2D" w14:textId="1A63DD24"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540" w:type="pct"/>
            <w:gridSpan w:val="2"/>
            <w:tcBorders>
              <w:top w:val="nil"/>
              <w:left w:val="nil"/>
              <w:bottom w:val="nil"/>
              <w:right w:val="nil"/>
            </w:tcBorders>
            <w:shd w:val="clear" w:color="auto" w:fill="auto"/>
            <w:noWrap/>
            <w:vAlign w:val="bottom"/>
          </w:tcPr>
          <w:p w14:paraId="5553213A" w14:textId="787F979B" w:rsidR="003A407F" w:rsidRPr="002746C4" w:rsidRDefault="003A407F" w:rsidP="003A407F">
            <w:pPr>
              <w:spacing w:after="0" w:line="240" w:lineRule="auto"/>
              <w:jc w:val="right"/>
              <w:rPr>
                <w:sz w:val="18"/>
                <w:szCs w:val="18"/>
                <w:highlight w:val="yellow"/>
                <w:lang w:eastAsia="sk-SK"/>
              </w:rPr>
            </w:pPr>
            <w:r>
              <w:rPr>
                <w:sz w:val="18"/>
                <w:szCs w:val="18"/>
                <w:lang w:eastAsia="sk-SK"/>
              </w:rPr>
              <w:t>13 806</w:t>
            </w:r>
          </w:p>
        </w:tc>
        <w:tc>
          <w:tcPr>
            <w:tcW w:w="621" w:type="pct"/>
            <w:gridSpan w:val="3"/>
            <w:tcBorders>
              <w:top w:val="nil"/>
              <w:left w:val="nil"/>
              <w:bottom w:val="nil"/>
              <w:right w:val="nil"/>
            </w:tcBorders>
            <w:shd w:val="clear" w:color="auto" w:fill="auto"/>
            <w:noWrap/>
            <w:vAlign w:val="bottom"/>
          </w:tcPr>
          <w:p w14:paraId="712EA2A8" w14:textId="4CD95394" w:rsidR="003A407F" w:rsidRPr="002746C4" w:rsidRDefault="003A407F" w:rsidP="003A407F">
            <w:pPr>
              <w:spacing w:after="0" w:line="240" w:lineRule="auto"/>
              <w:jc w:val="right"/>
              <w:rPr>
                <w:sz w:val="18"/>
                <w:szCs w:val="18"/>
                <w:highlight w:val="yellow"/>
                <w:lang w:eastAsia="sk-SK"/>
              </w:rPr>
            </w:pPr>
            <w:r>
              <w:rPr>
                <w:sz w:val="18"/>
                <w:szCs w:val="18"/>
                <w:lang w:eastAsia="sk-SK"/>
              </w:rPr>
              <w:t>90 000</w:t>
            </w:r>
          </w:p>
        </w:tc>
        <w:tc>
          <w:tcPr>
            <w:tcW w:w="459" w:type="pct"/>
            <w:tcBorders>
              <w:top w:val="nil"/>
              <w:left w:val="nil"/>
              <w:bottom w:val="nil"/>
              <w:right w:val="nil"/>
            </w:tcBorders>
            <w:shd w:val="clear" w:color="auto" w:fill="auto"/>
            <w:noWrap/>
            <w:vAlign w:val="bottom"/>
          </w:tcPr>
          <w:p w14:paraId="2522F926" w14:textId="61325212"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r>
      <w:tr w:rsidR="003A407F" w:rsidRPr="002746C4" w14:paraId="2EB7E631"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70BDA368" w14:textId="7D02F6EE" w:rsidR="003A407F" w:rsidRPr="003A407F" w:rsidRDefault="003A407F" w:rsidP="003A407F">
            <w:pPr>
              <w:spacing w:after="0" w:line="240" w:lineRule="auto"/>
              <w:rPr>
                <w:sz w:val="18"/>
                <w:szCs w:val="18"/>
                <w:lang w:eastAsia="sk-SK"/>
              </w:rPr>
            </w:pPr>
            <w:r w:rsidRPr="003A407F">
              <w:rPr>
                <w:sz w:val="18"/>
                <w:szCs w:val="18"/>
                <w:lang w:eastAsia="sk-SK"/>
              </w:rPr>
              <w:t>MH Manažment, a. s.</w:t>
            </w:r>
          </w:p>
        </w:tc>
        <w:tc>
          <w:tcPr>
            <w:tcW w:w="617" w:type="pct"/>
            <w:gridSpan w:val="2"/>
            <w:tcBorders>
              <w:top w:val="nil"/>
              <w:left w:val="nil"/>
              <w:bottom w:val="nil"/>
              <w:right w:val="nil"/>
            </w:tcBorders>
            <w:shd w:val="clear" w:color="auto" w:fill="auto"/>
            <w:noWrap/>
            <w:vAlign w:val="bottom"/>
          </w:tcPr>
          <w:p w14:paraId="3632C38B" w14:textId="680AC591" w:rsidR="003A407F" w:rsidRPr="002746C4" w:rsidRDefault="003A407F" w:rsidP="003A407F">
            <w:pPr>
              <w:spacing w:after="0" w:line="240" w:lineRule="auto"/>
              <w:jc w:val="right"/>
              <w:rPr>
                <w:sz w:val="18"/>
                <w:szCs w:val="18"/>
                <w:highlight w:val="yellow"/>
                <w:lang w:eastAsia="sk-SK"/>
              </w:rPr>
            </w:pPr>
            <w:r>
              <w:rPr>
                <w:sz w:val="18"/>
                <w:szCs w:val="18"/>
                <w:lang w:eastAsia="sk-SK"/>
              </w:rPr>
              <w:t>69 846</w:t>
            </w:r>
          </w:p>
        </w:tc>
        <w:tc>
          <w:tcPr>
            <w:tcW w:w="695" w:type="pct"/>
            <w:gridSpan w:val="2"/>
            <w:tcBorders>
              <w:top w:val="nil"/>
              <w:left w:val="nil"/>
              <w:bottom w:val="nil"/>
              <w:right w:val="nil"/>
            </w:tcBorders>
            <w:shd w:val="clear" w:color="auto" w:fill="auto"/>
            <w:noWrap/>
            <w:vAlign w:val="bottom"/>
          </w:tcPr>
          <w:p w14:paraId="54848196" w14:textId="398513FE" w:rsidR="003A407F" w:rsidRPr="002746C4" w:rsidRDefault="003A407F" w:rsidP="003A407F">
            <w:pPr>
              <w:spacing w:after="0" w:line="240" w:lineRule="auto"/>
              <w:jc w:val="right"/>
              <w:rPr>
                <w:sz w:val="18"/>
                <w:szCs w:val="18"/>
                <w:highlight w:val="yellow"/>
                <w:lang w:eastAsia="sk-SK"/>
              </w:rPr>
            </w:pPr>
            <w:r>
              <w:rPr>
                <w:sz w:val="18"/>
                <w:szCs w:val="18"/>
                <w:lang w:eastAsia="sk-SK"/>
              </w:rPr>
              <w:t>-653</w:t>
            </w:r>
          </w:p>
        </w:tc>
        <w:tc>
          <w:tcPr>
            <w:tcW w:w="539" w:type="pct"/>
            <w:gridSpan w:val="2"/>
            <w:tcBorders>
              <w:top w:val="nil"/>
              <w:left w:val="nil"/>
              <w:bottom w:val="nil"/>
              <w:right w:val="nil"/>
            </w:tcBorders>
            <w:shd w:val="clear" w:color="auto" w:fill="auto"/>
            <w:noWrap/>
            <w:vAlign w:val="bottom"/>
          </w:tcPr>
          <w:p w14:paraId="7A6C4C61" w14:textId="21E5F90D" w:rsidR="003A407F" w:rsidRPr="002746C4" w:rsidRDefault="003A407F" w:rsidP="003A407F">
            <w:pPr>
              <w:spacing w:after="0" w:line="240" w:lineRule="auto"/>
              <w:jc w:val="right"/>
              <w:rPr>
                <w:sz w:val="18"/>
                <w:szCs w:val="18"/>
                <w:highlight w:val="yellow"/>
                <w:lang w:eastAsia="sk-SK"/>
              </w:rPr>
            </w:pPr>
            <w:r w:rsidRPr="00E9700B">
              <w:rPr>
                <w:sz w:val="18"/>
                <w:szCs w:val="18"/>
                <w:lang w:eastAsia="sk-SK"/>
              </w:rPr>
              <w:t>0</w:t>
            </w:r>
          </w:p>
        </w:tc>
        <w:tc>
          <w:tcPr>
            <w:tcW w:w="540" w:type="pct"/>
            <w:gridSpan w:val="2"/>
            <w:tcBorders>
              <w:top w:val="nil"/>
              <w:left w:val="nil"/>
              <w:bottom w:val="nil"/>
              <w:right w:val="nil"/>
            </w:tcBorders>
            <w:shd w:val="clear" w:color="auto" w:fill="auto"/>
            <w:noWrap/>
            <w:vAlign w:val="bottom"/>
          </w:tcPr>
          <w:p w14:paraId="27BB0CDE" w14:textId="4BFCC7D8" w:rsidR="003A407F" w:rsidRPr="002746C4" w:rsidRDefault="003A407F" w:rsidP="003A407F">
            <w:pPr>
              <w:spacing w:after="0" w:line="240" w:lineRule="auto"/>
              <w:jc w:val="right"/>
              <w:rPr>
                <w:sz w:val="18"/>
                <w:szCs w:val="18"/>
                <w:highlight w:val="yellow"/>
                <w:lang w:eastAsia="sk-SK"/>
              </w:rPr>
            </w:pPr>
            <w:r>
              <w:rPr>
                <w:sz w:val="18"/>
                <w:szCs w:val="18"/>
                <w:lang w:eastAsia="sk-SK"/>
              </w:rPr>
              <w:t>70 499</w:t>
            </w:r>
          </w:p>
        </w:tc>
        <w:tc>
          <w:tcPr>
            <w:tcW w:w="621" w:type="pct"/>
            <w:gridSpan w:val="3"/>
            <w:tcBorders>
              <w:top w:val="nil"/>
              <w:left w:val="nil"/>
              <w:bottom w:val="nil"/>
              <w:right w:val="nil"/>
            </w:tcBorders>
            <w:shd w:val="clear" w:color="auto" w:fill="auto"/>
            <w:noWrap/>
            <w:vAlign w:val="bottom"/>
          </w:tcPr>
          <w:p w14:paraId="4DE95C37" w14:textId="6FF1B99F"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459" w:type="pct"/>
            <w:tcBorders>
              <w:top w:val="nil"/>
              <w:left w:val="nil"/>
              <w:bottom w:val="nil"/>
              <w:right w:val="nil"/>
            </w:tcBorders>
            <w:shd w:val="clear" w:color="auto" w:fill="auto"/>
            <w:noWrap/>
            <w:vAlign w:val="bottom"/>
          </w:tcPr>
          <w:p w14:paraId="0C839355" w14:textId="4F15EB21" w:rsidR="003A407F" w:rsidRPr="002746C4" w:rsidRDefault="003A407F" w:rsidP="003A407F">
            <w:pPr>
              <w:spacing w:after="0" w:line="240" w:lineRule="auto"/>
              <w:jc w:val="right"/>
              <w:rPr>
                <w:sz w:val="18"/>
                <w:szCs w:val="18"/>
                <w:highlight w:val="yellow"/>
                <w:lang w:eastAsia="sk-SK"/>
              </w:rPr>
            </w:pPr>
            <w:r w:rsidRPr="00E9700B">
              <w:rPr>
                <w:sz w:val="18"/>
                <w:szCs w:val="18"/>
                <w:lang w:eastAsia="sk-SK"/>
              </w:rPr>
              <w:t>0</w:t>
            </w:r>
          </w:p>
        </w:tc>
      </w:tr>
      <w:tr w:rsidR="003A407F" w:rsidRPr="002746C4" w14:paraId="12A93B26"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6006B61F" w14:textId="631D70DB" w:rsidR="003A407F" w:rsidRPr="003A407F" w:rsidRDefault="003A407F" w:rsidP="003A407F">
            <w:pPr>
              <w:spacing w:after="0" w:line="240" w:lineRule="auto"/>
              <w:rPr>
                <w:sz w:val="18"/>
                <w:szCs w:val="18"/>
                <w:lang w:eastAsia="sk-SK"/>
              </w:rPr>
            </w:pPr>
            <w:r w:rsidRPr="003A407F">
              <w:rPr>
                <w:sz w:val="18"/>
                <w:szCs w:val="18"/>
                <w:lang w:eastAsia="sk-SK"/>
              </w:rPr>
              <w:t>MH Teplárenský holding, a. s.</w:t>
            </w:r>
          </w:p>
        </w:tc>
        <w:tc>
          <w:tcPr>
            <w:tcW w:w="617" w:type="pct"/>
            <w:gridSpan w:val="2"/>
            <w:tcBorders>
              <w:top w:val="nil"/>
              <w:left w:val="nil"/>
              <w:bottom w:val="nil"/>
              <w:right w:val="nil"/>
            </w:tcBorders>
            <w:shd w:val="clear" w:color="auto" w:fill="auto"/>
            <w:noWrap/>
            <w:vAlign w:val="bottom"/>
          </w:tcPr>
          <w:p w14:paraId="7C85B8AC" w14:textId="341A4EEB" w:rsidR="003A407F" w:rsidRPr="002746C4" w:rsidRDefault="003A407F" w:rsidP="003A407F">
            <w:pPr>
              <w:spacing w:after="0" w:line="240" w:lineRule="auto"/>
              <w:jc w:val="right"/>
              <w:rPr>
                <w:sz w:val="18"/>
                <w:szCs w:val="18"/>
                <w:highlight w:val="yellow"/>
                <w:lang w:eastAsia="sk-SK"/>
              </w:rPr>
            </w:pPr>
            <w:r w:rsidRPr="00E9700B">
              <w:rPr>
                <w:sz w:val="18"/>
                <w:szCs w:val="18"/>
                <w:lang w:eastAsia="sk-SK"/>
              </w:rPr>
              <w:t>5</w:t>
            </w:r>
            <w:r>
              <w:rPr>
                <w:sz w:val="18"/>
                <w:szCs w:val="18"/>
                <w:lang w:eastAsia="sk-SK"/>
              </w:rPr>
              <w:t>9</w:t>
            </w:r>
            <w:r w:rsidRPr="00E9700B">
              <w:rPr>
                <w:sz w:val="18"/>
                <w:szCs w:val="18"/>
                <w:lang w:eastAsia="sk-SK"/>
              </w:rPr>
              <w:t xml:space="preserve"> </w:t>
            </w:r>
            <w:r>
              <w:rPr>
                <w:sz w:val="18"/>
                <w:szCs w:val="18"/>
                <w:lang w:eastAsia="sk-SK"/>
              </w:rPr>
              <w:t>287</w:t>
            </w:r>
          </w:p>
        </w:tc>
        <w:tc>
          <w:tcPr>
            <w:tcW w:w="695" w:type="pct"/>
            <w:gridSpan w:val="2"/>
            <w:tcBorders>
              <w:top w:val="nil"/>
              <w:left w:val="nil"/>
              <w:bottom w:val="nil"/>
              <w:right w:val="nil"/>
            </w:tcBorders>
            <w:shd w:val="clear" w:color="auto" w:fill="auto"/>
            <w:noWrap/>
            <w:vAlign w:val="center"/>
          </w:tcPr>
          <w:p w14:paraId="310A9087" w14:textId="203AE33D" w:rsidR="003A407F" w:rsidRPr="002746C4" w:rsidRDefault="003A407F" w:rsidP="003A407F">
            <w:pPr>
              <w:spacing w:after="0" w:line="240" w:lineRule="auto"/>
              <w:jc w:val="right"/>
              <w:rPr>
                <w:sz w:val="18"/>
                <w:szCs w:val="18"/>
                <w:highlight w:val="yellow"/>
                <w:lang w:eastAsia="sk-SK"/>
              </w:rPr>
            </w:pPr>
            <w:r>
              <w:rPr>
                <w:sz w:val="18"/>
                <w:szCs w:val="18"/>
                <w:lang w:eastAsia="sk-SK"/>
              </w:rPr>
              <w:t>58 568</w:t>
            </w:r>
          </w:p>
        </w:tc>
        <w:tc>
          <w:tcPr>
            <w:tcW w:w="539" w:type="pct"/>
            <w:gridSpan w:val="2"/>
            <w:tcBorders>
              <w:top w:val="nil"/>
              <w:left w:val="nil"/>
              <w:bottom w:val="nil"/>
              <w:right w:val="nil"/>
            </w:tcBorders>
            <w:shd w:val="clear" w:color="auto" w:fill="auto"/>
            <w:noWrap/>
            <w:vAlign w:val="bottom"/>
          </w:tcPr>
          <w:p w14:paraId="7D575033" w14:textId="54BA95EC"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540" w:type="pct"/>
            <w:gridSpan w:val="2"/>
            <w:tcBorders>
              <w:top w:val="nil"/>
              <w:left w:val="nil"/>
              <w:bottom w:val="nil"/>
              <w:right w:val="nil"/>
            </w:tcBorders>
            <w:shd w:val="clear" w:color="auto" w:fill="auto"/>
            <w:noWrap/>
            <w:vAlign w:val="bottom"/>
          </w:tcPr>
          <w:p w14:paraId="19ACA778" w14:textId="14709B2A" w:rsidR="003A407F" w:rsidRPr="002746C4" w:rsidRDefault="003A407F" w:rsidP="003A407F">
            <w:pPr>
              <w:spacing w:after="0" w:line="240" w:lineRule="auto"/>
              <w:jc w:val="right"/>
              <w:rPr>
                <w:sz w:val="18"/>
                <w:szCs w:val="18"/>
                <w:highlight w:val="yellow"/>
                <w:lang w:eastAsia="sk-SK"/>
              </w:rPr>
            </w:pPr>
            <w:r>
              <w:rPr>
                <w:sz w:val="18"/>
                <w:szCs w:val="18"/>
                <w:lang w:eastAsia="sk-SK"/>
              </w:rPr>
              <w:t>-374</w:t>
            </w:r>
          </w:p>
        </w:tc>
        <w:tc>
          <w:tcPr>
            <w:tcW w:w="621" w:type="pct"/>
            <w:gridSpan w:val="3"/>
            <w:tcBorders>
              <w:top w:val="nil"/>
              <w:left w:val="nil"/>
              <w:bottom w:val="nil"/>
              <w:right w:val="nil"/>
            </w:tcBorders>
            <w:shd w:val="clear" w:color="auto" w:fill="auto"/>
            <w:noWrap/>
            <w:vAlign w:val="bottom"/>
          </w:tcPr>
          <w:p w14:paraId="0FA172A6" w14:textId="18B85EA8"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459" w:type="pct"/>
            <w:tcBorders>
              <w:top w:val="nil"/>
              <w:left w:val="nil"/>
              <w:bottom w:val="nil"/>
              <w:right w:val="nil"/>
            </w:tcBorders>
            <w:shd w:val="clear" w:color="auto" w:fill="auto"/>
            <w:noWrap/>
            <w:vAlign w:val="bottom"/>
          </w:tcPr>
          <w:p w14:paraId="3FB80BCB" w14:textId="43D98664" w:rsidR="003A407F" w:rsidRPr="002746C4" w:rsidRDefault="003A407F" w:rsidP="003A407F">
            <w:pPr>
              <w:spacing w:after="0" w:line="240" w:lineRule="auto"/>
              <w:jc w:val="right"/>
              <w:rPr>
                <w:sz w:val="18"/>
                <w:szCs w:val="18"/>
                <w:highlight w:val="yellow"/>
                <w:lang w:eastAsia="sk-SK"/>
              </w:rPr>
            </w:pPr>
            <w:r>
              <w:rPr>
                <w:sz w:val="18"/>
                <w:szCs w:val="18"/>
                <w:lang w:eastAsia="sk-SK"/>
              </w:rPr>
              <w:t>1 093</w:t>
            </w:r>
          </w:p>
        </w:tc>
      </w:tr>
      <w:tr w:rsidR="003A407F" w:rsidRPr="002746C4" w14:paraId="76EB13B0"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014ED077" w14:textId="7FC9F9D1" w:rsidR="003A407F" w:rsidRPr="003A407F" w:rsidRDefault="003A407F" w:rsidP="003A407F">
            <w:pPr>
              <w:spacing w:after="0" w:line="240" w:lineRule="auto"/>
              <w:rPr>
                <w:color w:val="FF0000"/>
                <w:sz w:val="18"/>
                <w:szCs w:val="18"/>
                <w:lang w:eastAsia="sk-SK"/>
              </w:rPr>
            </w:pPr>
            <w:r w:rsidRPr="003A407F">
              <w:rPr>
                <w:sz w:val="18"/>
                <w:szCs w:val="18"/>
                <w:lang w:eastAsia="sk-SK"/>
              </w:rPr>
              <w:t>Národná diaľničná spoločnosť, a. s.</w:t>
            </w:r>
          </w:p>
        </w:tc>
        <w:tc>
          <w:tcPr>
            <w:tcW w:w="617" w:type="pct"/>
            <w:gridSpan w:val="2"/>
            <w:tcBorders>
              <w:top w:val="nil"/>
              <w:left w:val="nil"/>
              <w:bottom w:val="nil"/>
              <w:right w:val="nil"/>
            </w:tcBorders>
            <w:shd w:val="clear" w:color="auto" w:fill="auto"/>
            <w:noWrap/>
            <w:vAlign w:val="bottom"/>
          </w:tcPr>
          <w:p w14:paraId="47A0066C" w14:textId="6FD41E76" w:rsidR="003A407F" w:rsidRPr="002746C4" w:rsidRDefault="003A407F" w:rsidP="003A407F">
            <w:pPr>
              <w:spacing w:after="0" w:line="240" w:lineRule="auto"/>
              <w:jc w:val="right"/>
              <w:rPr>
                <w:sz w:val="18"/>
                <w:szCs w:val="18"/>
                <w:highlight w:val="yellow"/>
                <w:lang w:eastAsia="sk-SK"/>
              </w:rPr>
            </w:pPr>
            <w:r w:rsidRPr="00CE0F04">
              <w:rPr>
                <w:sz w:val="18"/>
                <w:szCs w:val="18"/>
                <w:lang w:eastAsia="sk-SK"/>
              </w:rPr>
              <w:t>36 966</w:t>
            </w:r>
          </w:p>
        </w:tc>
        <w:tc>
          <w:tcPr>
            <w:tcW w:w="695" w:type="pct"/>
            <w:gridSpan w:val="2"/>
            <w:tcBorders>
              <w:top w:val="nil"/>
              <w:left w:val="nil"/>
              <w:bottom w:val="nil"/>
              <w:right w:val="nil"/>
            </w:tcBorders>
            <w:shd w:val="clear" w:color="auto" w:fill="auto"/>
            <w:noWrap/>
            <w:vAlign w:val="bottom"/>
          </w:tcPr>
          <w:p w14:paraId="612348FB" w14:textId="49378F72" w:rsidR="003A407F" w:rsidRPr="002746C4" w:rsidRDefault="003A407F" w:rsidP="003A407F">
            <w:pPr>
              <w:spacing w:after="0" w:line="240" w:lineRule="auto"/>
              <w:jc w:val="right"/>
              <w:rPr>
                <w:sz w:val="18"/>
                <w:szCs w:val="18"/>
                <w:highlight w:val="yellow"/>
                <w:lang w:eastAsia="sk-SK"/>
              </w:rPr>
            </w:pPr>
            <w:r>
              <w:rPr>
                <w:sz w:val="18"/>
                <w:szCs w:val="18"/>
                <w:lang w:eastAsia="sk-SK"/>
              </w:rPr>
              <w:t>37 731</w:t>
            </w:r>
          </w:p>
        </w:tc>
        <w:tc>
          <w:tcPr>
            <w:tcW w:w="539" w:type="pct"/>
            <w:gridSpan w:val="2"/>
            <w:tcBorders>
              <w:top w:val="nil"/>
              <w:left w:val="nil"/>
              <w:bottom w:val="nil"/>
              <w:right w:val="nil"/>
            </w:tcBorders>
            <w:shd w:val="clear" w:color="auto" w:fill="auto"/>
            <w:noWrap/>
            <w:vAlign w:val="bottom"/>
          </w:tcPr>
          <w:p w14:paraId="21B3B222" w14:textId="19B97CBE" w:rsidR="003A407F" w:rsidRPr="002746C4" w:rsidRDefault="003A407F" w:rsidP="003A407F">
            <w:pPr>
              <w:spacing w:after="0" w:line="240" w:lineRule="auto"/>
              <w:jc w:val="right"/>
              <w:rPr>
                <w:sz w:val="18"/>
                <w:szCs w:val="18"/>
                <w:highlight w:val="yellow"/>
                <w:lang w:eastAsia="sk-SK"/>
              </w:rPr>
            </w:pPr>
            <w:r w:rsidRPr="00CE0F04">
              <w:rPr>
                <w:sz w:val="18"/>
                <w:szCs w:val="18"/>
                <w:lang w:eastAsia="sk-SK"/>
              </w:rPr>
              <w:t>0</w:t>
            </w:r>
          </w:p>
        </w:tc>
        <w:tc>
          <w:tcPr>
            <w:tcW w:w="540" w:type="pct"/>
            <w:gridSpan w:val="2"/>
            <w:tcBorders>
              <w:top w:val="nil"/>
              <w:left w:val="nil"/>
              <w:bottom w:val="nil"/>
              <w:right w:val="nil"/>
            </w:tcBorders>
            <w:shd w:val="clear" w:color="auto" w:fill="auto"/>
            <w:noWrap/>
            <w:vAlign w:val="bottom"/>
          </w:tcPr>
          <w:p w14:paraId="05C579E1" w14:textId="4012B269" w:rsidR="003A407F" w:rsidRPr="002746C4" w:rsidRDefault="003A407F" w:rsidP="003A407F">
            <w:pPr>
              <w:spacing w:after="0" w:line="240" w:lineRule="auto"/>
              <w:jc w:val="right"/>
              <w:rPr>
                <w:sz w:val="18"/>
                <w:szCs w:val="18"/>
                <w:highlight w:val="yellow"/>
                <w:lang w:eastAsia="sk-SK"/>
              </w:rPr>
            </w:pPr>
            <w:r>
              <w:rPr>
                <w:sz w:val="18"/>
                <w:szCs w:val="18"/>
                <w:lang w:eastAsia="sk-SK"/>
              </w:rPr>
              <w:t>-586</w:t>
            </w:r>
          </w:p>
        </w:tc>
        <w:tc>
          <w:tcPr>
            <w:tcW w:w="621" w:type="pct"/>
            <w:gridSpan w:val="3"/>
            <w:tcBorders>
              <w:top w:val="nil"/>
              <w:left w:val="nil"/>
              <w:bottom w:val="nil"/>
              <w:right w:val="nil"/>
            </w:tcBorders>
            <w:shd w:val="clear" w:color="auto" w:fill="auto"/>
            <w:noWrap/>
            <w:vAlign w:val="bottom"/>
          </w:tcPr>
          <w:p w14:paraId="03E150B5" w14:textId="1AA2910D" w:rsidR="003A407F" w:rsidRPr="002746C4" w:rsidRDefault="003A407F" w:rsidP="003A407F">
            <w:pPr>
              <w:spacing w:after="0" w:line="240" w:lineRule="auto"/>
              <w:jc w:val="right"/>
              <w:rPr>
                <w:sz w:val="18"/>
                <w:szCs w:val="18"/>
                <w:highlight w:val="yellow"/>
                <w:lang w:eastAsia="sk-SK"/>
              </w:rPr>
            </w:pPr>
            <w:r w:rsidRPr="00CE0F04">
              <w:rPr>
                <w:sz w:val="18"/>
                <w:szCs w:val="18"/>
                <w:lang w:eastAsia="sk-SK"/>
              </w:rPr>
              <w:t>0</w:t>
            </w:r>
          </w:p>
        </w:tc>
        <w:tc>
          <w:tcPr>
            <w:tcW w:w="459" w:type="pct"/>
            <w:tcBorders>
              <w:top w:val="nil"/>
              <w:left w:val="nil"/>
              <w:bottom w:val="nil"/>
              <w:right w:val="nil"/>
            </w:tcBorders>
            <w:shd w:val="clear" w:color="auto" w:fill="auto"/>
            <w:noWrap/>
            <w:vAlign w:val="bottom"/>
          </w:tcPr>
          <w:p w14:paraId="75E1EA6B" w14:textId="3D423497"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11840" behindDoc="0" locked="0" layoutInCell="1" allowOverlap="1" wp14:anchorId="2FE86896" wp14:editId="02011345">
                  <wp:simplePos x="0" y="0"/>
                  <wp:positionH relativeFrom="column">
                    <wp:posOffset>0</wp:posOffset>
                  </wp:positionH>
                  <wp:positionV relativeFrom="paragraph">
                    <wp:posOffset>0</wp:posOffset>
                  </wp:positionV>
                  <wp:extent cx="123825" cy="123825"/>
                  <wp:effectExtent l="0" t="0" r="9525" b="9525"/>
                  <wp:wrapNone/>
                  <wp:docPr id="1315111505" name="Obrázok 68" descr="9D4GQ34QB727H10MA3SSAR2R9" hidden="1"/>
                  <wp:cNvGraphicFramePr/>
                  <a:graphic xmlns:a="http://schemas.openxmlformats.org/drawingml/2006/main">
                    <a:graphicData uri="http://schemas.openxmlformats.org/drawingml/2006/picture">
                      <pic:pic xmlns:pic="http://schemas.openxmlformats.org/drawingml/2006/picture">
                        <pic:nvPicPr>
                          <pic:cNvPr id="83"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12864" behindDoc="0" locked="0" layoutInCell="1" allowOverlap="1" wp14:anchorId="7E4CEA32" wp14:editId="67C17FD8">
                  <wp:simplePos x="0" y="0"/>
                  <wp:positionH relativeFrom="column">
                    <wp:posOffset>0</wp:posOffset>
                  </wp:positionH>
                  <wp:positionV relativeFrom="paragraph">
                    <wp:posOffset>0</wp:posOffset>
                  </wp:positionV>
                  <wp:extent cx="123825" cy="123825"/>
                  <wp:effectExtent l="0" t="0" r="9525" b="9525"/>
                  <wp:wrapNone/>
                  <wp:docPr id="459427823" name="Obrázok 67" descr="MEW27CPIFG44B7E7HEQUUF5QF" hidden="1"/>
                  <wp:cNvGraphicFramePr/>
                  <a:graphic xmlns:a="http://schemas.openxmlformats.org/drawingml/2006/main">
                    <a:graphicData uri="http://schemas.openxmlformats.org/drawingml/2006/picture">
                      <pic:pic xmlns:pic="http://schemas.openxmlformats.org/drawingml/2006/picture">
                        <pic:nvPicPr>
                          <pic:cNvPr id="84"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13888" behindDoc="0" locked="0" layoutInCell="1" allowOverlap="1" wp14:anchorId="05525FCF" wp14:editId="44322F9D">
                  <wp:simplePos x="0" y="0"/>
                  <wp:positionH relativeFrom="column">
                    <wp:posOffset>0</wp:posOffset>
                  </wp:positionH>
                  <wp:positionV relativeFrom="paragraph">
                    <wp:posOffset>0</wp:posOffset>
                  </wp:positionV>
                  <wp:extent cx="123825" cy="123825"/>
                  <wp:effectExtent l="0" t="0" r="9525" b="9525"/>
                  <wp:wrapNone/>
                  <wp:docPr id="1173715565" name="Obrázok 66" descr="9D4GQ34QB727H10MA3SSAR2R9" hidden="1"/>
                  <wp:cNvGraphicFramePr/>
                  <a:graphic xmlns:a="http://schemas.openxmlformats.org/drawingml/2006/main">
                    <a:graphicData uri="http://schemas.openxmlformats.org/drawingml/2006/picture">
                      <pic:pic xmlns:pic="http://schemas.openxmlformats.org/drawingml/2006/picture">
                        <pic:nvPicPr>
                          <pic:cNvPr id="85"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14912" behindDoc="0" locked="0" layoutInCell="1" allowOverlap="1" wp14:anchorId="54596257" wp14:editId="041E8850">
                  <wp:simplePos x="0" y="0"/>
                  <wp:positionH relativeFrom="column">
                    <wp:posOffset>0</wp:posOffset>
                  </wp:positionH>
                  <wp:positionV relativeFrom="paragraph">
                    <wp:posOffset>0</wp:posOffset>
                  </wp:positionV>
                  <wp:extent cx="123825" cy="123825"/>
                  <wp:effectExtent l="0" t="0" r="9525" b="9525"/>
                  <wp:wrapNone/>
                  <wp:docPr id="53852553" name="Obrázok 65" descr="MEW27CPIFG44B7E7HEQUUF5QF" hidden="1"/>
                  <wp:cNvGraphicFramePr/>
                  <a:graphic xmlns:a="http://schemas.openxmlformats.org/drawingml/2006/main">
                    <a:graphicData uri="http://schemas.openxmlformats.org/drawingml/2006/picture">
                      <pic:pic xmlns:pic="http://schemas.openxmlformats.org/drawingml/2006/picture">
                        <pic:nvPicPr>
                          <pic:cNvPr id="86"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15936" behindDoc="0" locked="0" layoutInCell="1" allowOverlap="1" wp14:anchorId="22601D56" wp14:editId="5C522F87">
                  <wp:simplePos x="0" y="0"/>
                  <wp:positionH relativeFrom="column">
                    <wp:posOffset>0</wp:posOffset>
                  </wp:positionH>
                  <wp:positionV relativeFrom="paragraph">
                    <wp:posOffset>0</wp:posOffset>
                  </wp:positionV>
                  <wp:extent cx="123825" cy="123825"/>
                  <wp:effectExtent l="0" t="0" r="9525" b="9525"/>
                  <wp:wrapNone/>
                  <wp:docPr id="92750178" name="Obrázok 64" descr="9D4GQ34QB727H10MA3SSAR2R9" hidden="1"/>
                  <wp:cNvGraphicFramePr/>
                  <a:graphic xmlns:a="http://schemas.openxmlformats.org/drawingml/2006/main">
                    <a:graphicData uri="http://schemas.openxmlformats.org/drawingml/2006/picture">
                      <pic:pic xmlns:pic="http://schemas.openxmlformats.org/drawingml/2006/picture">
                        <pic:nvPicPr>
                          <pic:cNvPr id="87"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16960" behindDoc="0" locked="0" layoutInCell="1" allowOverlap="1" wp14:anchorId="57F62C3A" wp14:editId="1A0B9346">
                  <wp:simplePos x="0" y="0"/>
                  <wp:positionH relativeFrom="column">
                    <wp:posOffset>0</wp:posOffset>
                  </wp:positionH>
                  <wp:positionV relativeFrom="paragraph">
                    <wp:posOffset>0</wp:posOffset>
                  </wp:positionV>
                  <wp:extent cx="123825" cy="123825"/>
                  <wp:effectExtent l="0" t="0" r="9525" b="9525"/>
                  <wp:wrapNone/>
                  <wp:docPr id="2044179058" name="Obrázok 63" descr="MEW27CPIFG44B7E7HEQUUF5QF" hidden="1"/>
                  <wp:cNvGraphicFramePr/>
                  <a:graphic xmlns:a="http://schemas.openxmlformats.org/drawingml/2006/main">
                    <a:graphicData uri="http://schemas.openxmlformats.org/drawingml/2006/picture">
                      <pic:pic xmlns:pic="http://schemas.openxmlformats.org/drawingml/2006/picture">
                        <pic:nvPicPr>
                          <pic:cNvPr id="88"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17984" behindDoc="0" locked="0" layoutInCell="1" allowOverlap="1" wp14:anchorId="491DB4FA" wp14:editId="13B4BEC7">
                  <wp:simplePos x="0" y="0"/>
                  <wp:positionH relativeFrom="column">
                    <wp:posOffset>0</wp:posOffset>
                  </wp:positionH>
                  <wp:positionV relativeFrom="paragraph">
                    <wp:posOffset>0</wp:posOffset>
                  </wp:positionV>
                  <wp:extent cx="123825" cy="123825"/>
                  <wp:effectExtent l="0" t="0" r="9525" b="9525"/>
                  <wp:wrapNone/>
                  <wp:docPr id="1053348758" name="Obrázok 62" descr="9D4GQ34QB727H10MA3SSAR2R9" hidden="1"/>
                  <wp:cNvGraphicFramePr/>
                  <a:graphic xmlns:a="http://schemas.openxmlformats.org/drawingml/2006/main">
                    <a:graphicData uri="http://schemas.openxmlformats.org/drawingml/2006/picture">
                      <pic:pic xmlns:pic="http://schemas.openxmlformats.org/drawingml/2006/picture">
                        <pic:nvPicPr>
                          <pic:cNvPr id="89"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19008" behindDoc="0" locked="0" layoutInCell="1" allowOverlap="1" wp14:anchorId="1807979C" wp14:editId="765001CD">
                  <wp:simplePos x="0" y="0"/>
                  <wp:positionH relativeFrom="column">
                    <wp:posOffset>0</wp:posOffset>
                  </wp:positionH>
                  <wp:positionV relativeFrom="paragraph">
                    <wp:posOffset>0</wp:posOffset>
                  </wp:positionV>
                  <wp:extent cx="123825" cy="123825"/>
                  <wp:effectExtent l="0" t="0" r="9525" b="9525"/>
                  <wp:wrapNone/>
                  <wp:docPr id="1434191807" name="Obrázok 61" descr="MEW27CPIFG44B7E7HEQUUF5QF" hidden="1"/>
                  <wp:cNvGraphicFramePr/>
                  <a:graphic xmlns:a="http://schemas.openxmlformats.org/drawingml/2006/main">
                    <a:graphicData uri="http://schemas.openxmlformats.org/drawingml/2006/picture">
                      <pic:pic xmlns:pic="http://schemas.openxmlformats.org/drawingml/2006/picture">
                        <pic:nvPicPr>
                          <pic:cNvPr id="90"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20032" behindDoc="0" locked="0" layoutInCell="1" allowOverlap="1" wp14:anchorId="76621645" wp14:editId="2BFD5E90">
                  <wp:simplePos x="0" y="0"/>
                  <wp:positionH relativeFrom="column">
                    <wp:posOffset>0</wp:posOffset>
                  </wp:positionH>
                  <wp:positionV relativeFrom="paragraph">
                    <wp:posOffset>0</wp:posOffset>
                  </wp:positionV>
                  <wp:extent cx="123825" cy="123825"/>
                  <wp:effectExtent l="0" t="0" r="9525" b="9525"/>
                  <wp:wrapNone/>
                  <wp:docPr id="33258788" name="Obrázok 60" descr="9D4GQ34QB727H10MA3SSAR2R9" hidden="1"/>
                  <wp:cNvGraphicFramePr/>
                  <a:graphic xmlns:a="http://schemas.openxmlformats.org/drawingml/2006/main">
                    <a:graphicData uri="http://schemas.openxmlformats.org/drawingml/2006/picture">
                      <pic:pic xmlns:pic="http://schemas.openxmlformats.org/drawingml/2006/picture">
                        <pic:nvPicPr>
                          <pic:cNvPr id="141"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21056" behindDoc="0" locked="0" layoutInCell="1" allowOverlap="1" wp14:anchorId="322179C7" wp14:editId="49499B5D">
                  <wp:simplePos x="0" y="0"/>
                  <wp:positionH relativeFrom="column">
                    <wp:posOffset>0</wp:posOffset>
                  </wp:positionH>
                  <wp:positionV relativeFrom="paragraph">
                    <wp:posOffset>0</wp:posOffset>
                  </wp:positionV>
                  <wp:extent cx="123825" cy="123825"/>
                  <wp:effectExtent l="0" t="0" r="9525" b="9525"/>
                  <wp:wrapNone/>
                  <wp:docPr id="1537858110" name="Obrázok 59" descr="MEW27CPIFG44B7E7HEQUUF5QF" hidden="1"/>
                  <wp:cNvGraphicFramePr/>
                  <a:graphic xmlns:a="http://schemas.openxmlformats.org/drawingml/2006/main">
                    <a:graphicData uri="http://schemas.openxmlformats.org/drawingml/2006/picture">
                      <pic:pic xmlns:pic="http://schemas.openxmlformats.org/drawingml/2006/picture">
                        <pic:nvPicPr>
                          <pic:cNvPr id="142"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22080" behindDoc="0" locked="0" layoutInCell="1" allowOverlap="1" wp14:anchorId="27DA10FC" wp14:editId="73CA50FC">
                  <wp:simplePos x="0" y="0"/>
                  <wp:positionH relativeFrom="column">
                    <wp:posOffset>0</wp:posOffset>
                  </wp:positionH>
                  <wp:positionV relativeFrom="paragraph">
                    <wp:posOffset>0</wp:posOffset>
                  </wp:positionV>
                  <wp:extent cx="123825" cy="123825"/>
                  <wp:effectExtent l="0" t="0" r="9525" b="9525"/>
                  <wp:wrapNone/>
                  <wp:docPr id="1397769133" name="Obrázok 58" descr="9D4GQ34QB727H10MA3SSAR2R9" hidden="1"/>
                  <wp:cNvGraphicFramePr/>
                  <a:graphic xmlns:a="http://schemas.openxmlformats.org/drawingml/2006/main">
                    <a:graphicData uri="http://schemas.openxmlformats.org/drawingml/2006/picture">
                      <pic:pic xmlns:pic="http://schemas.openxmlformats.org/drawingml/2006/picture">
                        <pic:nvPicPr>
                          <pic:cNvPr id="143"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23104" behindDoc="0" locked="0" layoutInCell="1" allowOverlap="1" wp14:anchorId="3391D1A7" wp14:editId="7C24C21D">
                  <wp:simplePos x="0" y="0"/>
                  <wp:positionH relativeFrom="column">
                    <wp:posOffset>0</wp:posOffset>
                  </wp:positionH>
                  <wp:positionV relativeFrom="paragraph">
                    <wp:posOffset>0</wp:posOffset>
                  </wp:positionV>
                  <wp:extent cx="123825" cy="123825"/>
                  <wp:effectExtent l="0" t="0" r="9525" b="9525"/>
                  <wp:wrapNone/>
                  <wp:docPr id="1258906073" name="Obrázok 57" descr="MEW27CPIFG44B7E7HEQUUF5QF" hidden="1"/>
                  <wp:cNvGraphicFramePr/>
                  <a:graphic xmlns:a="http://schemas.openxmlformats.org/drawingml/2006/main">
                    <a:graphicData uri="http://schemas.openxmlformats.org/drawingml/2006/picture">
                      <pic:pic xmlns:pic="http://schemas.openxmlformats.org/drawingml/2006/picture">
                        <pic:nvPicPr>
                          <pic:cNvPr id="144"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24128" behindDoc="0" locked="0" layoutInCell="1" allowOverlap="1" wp14:anchorId="2937D98F" wp14:editId="5EA202B6">
                  <wp:simplePos x="0" y="0"/>
                  <wp:positionH relativeFrom="column">
                    <wp:posOffset>0</wp:posOffset>
                  </wp:positionH>
                  <wp:positionV relativeFrom="paragraph">
                    <wp:posOffset>0</wp:posOffset>
                  </wp:positionV>
                  <wp:extent cx="123825" cy="123825"/>
                  <wp:effectExtent l="0" t="0" r="9525" b="9525"/>
                  <wp:wrapNone/>
                  <wp:docPr id="1426762246" name="Obrázok 56" descr="9D4GQ34QB727H10MA3SSAR2R9" hidden="1"/>
                  <wp:cNvGraphicFramePr/>
                  <a:graphic xmlns:a="http://schemas.openxmlformats.org/drawingml/2006/main">
                    <a:graphicData uri="http://schemas.openxmlformats.org/drawingml/2006/picture">
                      <pic:pic xmlns:pic="http://schemas.openxmlformats.org/drawingml/2006/picture">
                        <pic:nvPicPr>
                          <pic:cNvPr id="145"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25152" behindDoc="0" locked="0" layoutInCell="1" allowOverlap="1" wp14:anchorId="084EF010" wp14:editId="575C5786">
                  <wp:simplePos x="0" y="0"/>
                  <wp:positionH relativeFrom="column">
                    <wp:posOffset>0</wp:posOffset>
                  </wp:positionH>
                  <wp:positionV relativeFrom="paragraph">
                    <wp:posOffset>0</wp:posOffset>
                  </wp:positionV>
                  <wp:extent cx="123825" cy="123825"/>
                  <wp:effectExtent l="0" t="0" r="9525" b="9525"/>
                  <wp:wrapNone/>
                  <wp:docPr id="290850473" name="Obrázok 55" descr="MEW27CPIFG44B7E7HEQUUF5QF" hidden="1"/>
                  <wp:cNvGraphicFramePr/>
                  <a:graphic xmlns:a="http://schemas.openxmlformats.org/drawingml/2006/main">
                    <a:graphicData uri="http://schemas.openxmlformats.org/drawingml/2006/picture">
                      <pic:pic xmlns:pic="http://schemas.openxmlformats.org/drawingml/2006/picture">
                        <pic:nvPicPr>
                          <pic:cNvPr id="146"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26176" behindDoc="0" locked="0" layoutInCell="1" allowOverlap="1" wp14:anchorId="0C9694FC" wp14:editId="07DE5135">
                  <wp:simplePos x="0" y="0"/>
                  <wp:positionH relativeFrom="column">
                    <wp:posOffset>0</wp:posOffset>
                  </wp:positionH>
                  <wp:positionV relativeFrom="paragraph">
                    <wp:posOffset>0</wp:posOffset>
                  </wp:positionV>
                  <wp:extent cx="123825" cy="123825"/>
                  <wp:effectExtent l="0" t="0" r="9525" b="9525"/>
                  <wp:wrapNone/>
                  <wp:docPr id="564529248" name="Obrázok 54" descr="9D4GQ34QB727H10MA3SSAR2R9" hidden="1"/>
                  <wp:cNvGraphicFramePr/>
                  <a:graphic xmlns:a="http://schemas.openxmlformats.org/drawingml/2006/main">
                    <a:graphicData uri="http://schemas.openxmlformats.org/drawingml/2006/picture">
                      <pic:pic xmlns:pic="http://schemas.openxmlformats.org/drawingml/2006/picture">
                        <pic:nvPicPr>
                          <pic:cNvPr id="147"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27200" behindDoc="0" locked="0" layoutInCell="1" allowOverlap="1" wp14:anchorId="76DE0091" wp14:editId="3DC8C239">
                  <wp:simplePos x="0" y="0"/>
                  <wp:positionH relativeFrom="column">
                    <wp:posOffset>0</wp:posOffset>
                  </wp:positionH>
                  <wp:positionV relativeFrom="paragraph">
                    <wp:posOffset>0</wp:posOffset>
                  </wp:positionV>
                  <wp:extent cx="123825" cy="123825"/>
                  <wp:effectExtent l="0" t="0" r="9525" b="9525"/>
                  <wp:wrapNone/>
                  <wp:docPr id="1974511569" name="Obrázok 53" descr="MEW27CPIFG44B7E7HEQUUF5QF" hidden="1"/>
                  <wp:cNvGraphicFramePr/>
                  <a:graphic xmlns:a="http://schemas.openxmlformats.org/drawingml/2006/main">
                    <a:graphicData uri="http://schemas.openxmlformats.org/drawingml/2006/picture">
                      <pic:pic xmlns:pic="http://schemas.openxmlformats.org/drawingml/2006/picture">
                        <pic:nvPicPr>
                          <pic:cNvPr id="148"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CE0F04">
              <w:rPr>
                <w:sz w:val="18"/>
                <w:szCs w:val="18"/>
                <w:lang w:eastAsia="sk-SK"/>
              </w:rPr>
              <w:t>-1</w:t>
            </w:r>
            <w:r>
              <w:rPr>
                <w:sz w:val="18"/>
                <w:szCs w:val="18"/>
                <w:lang w:eastAsia="sk-SK"/>
              </w:rPr>
              <w:t>79</w:t>
            </w:r>
          </w:p>
        </w:tc>
      </w:tr>
      <w:tr w:rsidR="003A407F" w:rsidRPr="002746C4" w14:paraId="32BF23A1"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335F3ADA" w14:textId="2D0BA55C" w:rsidR="003A407F" w:rsidRPr="003A407F" w:rsidRDefault="003A407F" w:rsidP="003A407F">
            <w:pPr>
              <w:spacing w:after="0" w:line="240" w:lineRule="auto"/>
              <w:rPr>
                <w:color w:val="FF0000"/>
                <w:sz w:val="18"/>
                <w:szCs w:val="18"/>
                <w:lang w:eastAsia="sk-SK"/>
              </w:rPr>
            </w:pPr>
            <w:r w:rsidRPr="003A407F">
              <w:rPr>
                <w:sz w:val="18"/>
                <w:szCs w:val="18"/>
                <w:lang w:eastAsia="sk-SK"/>
              </w:rPr>
              <w:t>Železničná spol. Slovensko, a. s.</w:t>
            </w:r>
          </w:p>
        </w:tc>
        <w:tc>
          <w:tcPr>
            <w:tcW w:w="617" w:type="pct"/>
            <w:gridSpan w:val="2"/>
            <w:tcBorders>
              <w:top w:val="nil"/>
              <w:left w:val="nil"/>
              <w:bottom w:val="nil"/>
              <w:right w:val="nil"/>
            </w:tcBorders>
            <w:shd w:val="clear" w:color="auto" w:fill="auto"/>
            <w:noWrap/>
            <w:vAlign w:val="bottom"/>
          </w:tcPr>
          <w:p w14:paraId="67619708" w14:textId="143DCDB1" w:rsidR="003A407F" w:rsidRPr="002746C4" w:rsidRDefault="003A407F" w:rsidP="003A407F">
            <w:pPr>
              <w:spacing w:after="0" w:line="240" w:lineRule="auto"/>
              <w:jc w:val="right"/>
              <w:rPr>
                <w:sz w:val="18"/>
                <w:szCs w:val="18"/>
                <w:highlight w:val="yellow"/>
                <w:lang w:eastAsia="sk-SK"/>
              </w:rPr>
            </w:pPr>
            <w:r>
              <w:rPr>
                <w:sz w:val="18"/>
                <w:szCs w:val="18"/>
                <w:lang w:eastAsia="sk-SK"/>
              </w:rPr>
              <w:t>18 413</w:t>
            </w:r>
          </w:p>
        </w:tc>
        <w:tc>
          <w:tcPr>
            <w:tcW w:w="695" w:type="pct"/>
            <w:gridSpan w:val="2"/>
            <w:tcBorders>
              <w:top w:val="nil"/>
              <w:left w:val="nil"/>
              <w:bottom w:val="nil"/>
              <w:right w:val="nil"/>
            </w:tcBorders>
            <w:shd w:val="clear" w:color="auto" w:fill="auto"/>
            <w:noWrap/>
            <w:vAlign w:val="bottom"/>
          </w:tcPr>
          <w:p w14:paraId="25EC05F1" w14:textId="45E429C1" w:rsidR="003A407F" w:rsidRPr="002746C4" w:rsidRDefault="003A407F" w:rsidP="003A407F">
            <w:pPr>
              <w:spacing w:after="0" w:line="240" w:lineRule="auto"/>
              <w:jc w:val="right"/>
              <w:rPr>
                <w:sz w:val="18"/>
                <w:szCs w:val="18"/>
                <w:highlight w:val="yellow"/>
                <w:lang w:eastAsia="sk-SK"/>
              </w:rPr>
            </w:pPr>
            <w:r>
              <w:rPr>
                <w:sz w:val="18"/>
                <w:szCs w:val="18"/>
                <w:lang w:eastAsia="sk-SK"/>
              </w:rPr>
              <w:t>20 928</w:t>
            </w:r>
          </w:p>
        </w:tc>
        <w:tc>
          <w:tcPr>
            <w:tcW w:w="539" w:type="pct"/>
            <w:gridSpan w:val="2"/>
            <w:tcBorders>
              <w:top w:val="nil"/>
              <w:left w:val="nil"/>
              <w:bottom w:val="nil"/>
              <w:right w:val="nil"/>
            </w:tcBorders>
            <w:shd w:val="clear" w:color="auto" w:fill="auto"/>
            <w:noWrap/>
            <w:vAlign w:val="bottom"/>
          </w:tcPr>
          <w:p w14:paraId="6AACC7F0" w14:textId="1580EA44" w:rsidR="003A407F" w:rsidRPr="002746C4" w:rsidRDefault="003A407F" w:rsidP="003A407F">
            <w:pPr>
              <w:spacing w:after="0" w:line="240" w:lineRule="auto"/>
              <w:jc w:val="right"/>
              <w:rPr>
                <w:sz w:val="18"/>
                <w:szCs w:val="18"/>
                <w:highlight w:val="yellow"/>
                <w:lang w:eastAsia="sk-SK"/>
              </w:rPr>
            </w:pPr>
            <w:r w:rsidRPr="00CE0F04">
              <w:rPr>
                <w:sz w:val="18"/>
                <w:szCs w:val="18"/>
                <w:lang w:eastAsia="sk-SK"/>
              </w:rPr>
              <w:t>0</w:t>
            </w:r>
          </w:p>
        </w:tc>
        <w:tc>
          <w:tcPr>
            <w:tcW w:w="540" w:type="pct"/>
            <w:gridSpan w:val="2"/>
            <w:tcBorders>
              <w:top w:val="nil"/>
              <w:left w:val="nil"/>
              <w:bottom w:val="nil"/>
              <w:right w:val="nil"/>
            </w:tcBorders>
            <w:shd w:val="clear" w:color="auto" w:fill="auto"/>
            <w:noWrap/>
            <w:vAlign w:val="bottom"/>
          </w:tcPr>
          <w:p w14:paraId="017F36C8" w14:textId="7CCEC909" w:rsidR="003A407F" w:rsidRPr="002746C4" w:rsidRDefault="003A407F" w:rsidP="003A407F">
            <w:pPr>
              <w:spacing w:after="0" w:line="240" w:lineRule="auto"/>
              <w:jc w:val="right"/>
              <w:rPr>
                <w:sz w:val="18"/>
                <w:szCs w:val="18"/>
                <w:highlight w:val="yellow"/>
                <w:lang w:eastAsia="sk-SK"/>
              </w:rPr>
            </w:pPr>
            <w:r>
              <w:rPr>
                <w:sz w:val="18"/>
                <w:szCs w:val="18"/>
                <w:lang w:eastAsia="sk-SK"/>
              </w:rPr>
              <w:t>-3 171</w:t>
            </w:r>
          </w:p>
        </w:tc>
        <w:tc>
          <w:tcPr>
            <w:tcW w:w="621" w:type="pct"/>
            <w:gridSpan w:val="3"/>
            <w:tcBorders>
              <w:top w:val="nil"/>
              <w:left w:val="nil"/>
              <w:bottom w:val="nil"/>
              <w:right w:val="nil"/>
            </w:tcBorders>
            <w:shd w:val="clear" w:color="auto" w:fill="auto"/>
            <w:noWrap/>
            <w:vAlign w:val="bottom"/>
          </w:tcPr>
          <w:p w14:paraId="08653C0D" w14:textId="2F776346" w:rsidR="003A407F" w:rsidRPr="002746C4" w:rsidRDefault="003A407F" w:rsidP="003A407F">
            <w:pPr>
              <w:spacing w:after="0" w:line="240" w:lineRule="auto"/>
              <w:jc w:val="right"/>
              <w:rPr>
                <w:sz w:val="18"/>
                <w:szCs w:val="18"/>
                <w:highlight w:val="yellow"/>
                <w:lang w:eastAsia="sk-SK"/>
              </w:rPr>
            </w:pPr>
            <w:r w:rsidRPr="00CE0F04">
              <w:rPr>
                <w:sz w:val="18"/>
                <w:szCs w:val="18"/>
                <w:lang w:eastAsia="sk-SK"/>
              </w:rPr>
              <w:t>0</w:t>
            </w:r>
          </w:p>
        </w:tc>
        <w:tc>
          <w:tcPr>
            <w:tcW w:w="459" w:type="pct"/>
            <w:tcBorders>
              <w:top w:val="nil"/>
              <w:left w:val="nil"/>
              <w:bottom w:val="nil"/>
              <w:right w:val="nil"/>
            </w:tcBorders>
            <w:shd w:val="clear" w:color="auto" w:fill="auto"/>
            <w:noWrap/>
            <w:vAlign w:val="bottom"/>
          </w:tcPr>
          <w:p w14:paraId="2EBD6457" w14:textId="2FFED6DA"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28224" behindDoc="0" locked="0" layoutInCell="1" allowOverlap="1" wp14:anchorId="5E852D61" wp14:editId="362AC751">
                  <wp:simplePos x="0" y="0"/>
                  <wp:positionH relativeFrom="column">
                    <wp:posOffset>0</wp:posOffset>
                  </wp:positionH>
                  <wp:positionV relativeFrom="paragraph">
                    <wp:posOffset>0</wp:posOffset>
                  </wp:positionV>
                  <wp:extent cx="123825" cy="123825"/>
                  <wp:effectExtent l="0" t="0" r="9525" b="9525"/>
                  <wp:wrapNone/>
                  <wp:docPr id="168777911" name="Obrázok 52" descr="U084VZL15IMB1OFRRAY6GVKAE" hidden="1"/>
                  <wp:cNvGraphicFramePr/>
                  <a:graphic xmlns:a="http://schemas.openxmlformats.org/drawingml/2006/main">
                    <a:graphicData uri="http://schemas.openxmlformats.org/drawingml/2006/picture">
                      <pic:pic xmlns:pic="http://schemas.openxmlformats.org/drawingml/2006/picture">
                        <pic:nvPicPr>
                          <pic:cNvPr id="39" name="BExMF7LICJLPXSHM63A6EQ79YQKG" descr="U084VZL15IMB1OFRRAY6GVKAE"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29248" behindDoc="0" locked="0" layoutInCell="1" allowOverlap="1" wp14:anchorId="222D498A" wp14:editId="3E6B082D">
                  <wp:simplePos x="0" y="0"/>
                  <wp:positionH relativeFrom="column">
                    <wp:posOffset>0</wp:posOffset>
                  </wp:positionH>
                  <wp:positionV relativeFrom="paragraph">
                    <wp:posOffset>0</wp:posOffset>
                  </wp:positionV>
                  <wp:extent cx="123825" cy="123825"/>
                  <wp:effectExtent l="0" t="0" r="9525" b="9525"/>
                  <wp:wrapNone/>
                  <wp:docPr id="1587871687" name="Obrázok 51" descr="9D4GQ34QB727H10MA3SSAR2R9" hidden="1"/>
                  <wp:cNvGraphicFramePr/>
                  <a:graphic xmlns:a="http://schemas.openxmlformats.org/drawingml/2006/main">
                    <a:graphicData uri="http://schemas.openxmlformats.org/drawingml/2006/picture">
                      <pic:pic xmlns:pic="http://schemas.openxmlformats.org/drawingml/2006/picture">
                        <pic:nvPicPr>
                          <pic:cNvPr id="79"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30272" behindDoc="0" locked="0" layoutInCell="1" allowOverlap="1" wp14:anchorId="2B258668" wp14:editId="59A21860">
                  <wp:simplePos x="0" y="0"/>
                  <wp:positionH relativeFrom="column">
                    <wp:posOffset>0</wp:posOffset>
                  </wp:positionH>
                  <wp:positionV relativeFrom="paragraph">
                    <wp:posOffset>0</wp:posOffset>
                  </wp:positionV>
                  <wp:extent cx="123825" cy="123825"/>
                  <wp:effectExtent l="0" t="0" r="9525" b="9525"/>
                  <wp:wrapNone/>
                  <wp:docPr id="772112868" name="Obrázok 50" descr="MEW27CPIFG44B7E7HEQUUF5QF" hidden="1"/>
                  <wp:cNvGraphicFramePr/>
                  <a:graphic xmlns:a="http://schemas.openxmlformats.org/drawingml/2006/main">
                    <a:graphicData uri="http://schemas.openxmlformats.org/drawingml/2006/picture">
                      <pic:pic xmlns:pic="http://schemas.openxmlformats.org/drawingml/2006/picture">
                        <pic:nvPicPr>
                          <pic:cNvPr id="80"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31296" behindDoc="0" locked="0" layoutInCell="1" allowOverlap="1" wp14:anchorId="3A8DF77D" wp14:editId="735C3D5D">
                  <wp:simplePos x="0" y="0"/>
                  <wp:positionH relativeFrom="column">
                    <wp:posOffset>0</wp:posOffset>
                  </wp:positionH>
                  <wp:positionV relativeFrom="paragraph">
                    <wp:posOffset>0</wp:posOffset>
                  </wp:positionV>
                  <wp:extent cx="123825" cy="123825"/>
                  <wp:effectExtent l="0" t="0" r="9525" b="9525"/>
                  <wp:wrapNone/>
                  <wp:docPr id="1353000703" name="Obrázok 49" descr="9D4GQ34QB727H10MA3SSAR2R9" hidden="1"/>
                  <wp:cNvGraphicFramePr/>
                  <a:graphic xmlns:a="http://schemas.openxmlformats.org/drawingml/2006/main">
                    <a:graphicData uri="http://schemas.openxmlformats.org/drawingml/2006/picture">
                      <pic:pic xmlns:pic="http://schemas.openxmlformats.org/drawingml/2006/picture">
                        <pic:nvPicPr>
                          <pic:cNvPr id="81"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32320" behindDoc="0" locked="0" layoutInCell="1" allowOverlap="1" wp14:anchorId="34AB1983" wp14:editId="22FE92D4">
                  <wp:simplePos x="0" y="0"/>
                  <wp:positionH relativeFrom="column">
                    <wp:posOffset>0</wp:posOffset>
                  </wp:positionH>
                  <wp:positionV relativeFrom="paragraph">
                    <wp:posOffset>0</wp:posOffset>
                  </wp:positionV>
                  <wp:extent cx="123825" cy="123825"/>
                  <wp:effectExtent l="0" t="0" r="9525" b="9525"/>
                  <wp:wrapNone/>
                  <wp:docPr id="1850643616" name="Obrázok 48" descr="MEW27CPIFG44B7E7HEQUUF5QF" hidden="1"/>
                  <wp:cNvGraphicFramePr/>
                  <a:graphic xmlns:a="http://schemas.openxmlformats.org/drawingml/2006/main">
                    <a:graphicData uri="http://schemas.openxmlformats.org/drawingml/2006/picture">
                      <pic:pic xmlns:pic="http://schemas.openxmlformats.org/drawingml/2006/picture">
                        <pic:nvPicPr>
                          <pic:cNvPr id="82"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33344" behindDoc="0" locked="0" layoutInCell="1" allowOverlap="1" wp14:anchorId="1B53997F" wp14:editId="713465BD">
                  <wp:simplePos x="0" y="0"/>
                  <wp:positionH relativeFrom="column">
                    <wp:posOffset>0</wp:posOffset>
                  </wp:positionH>
                  <wp:positionV relativeFrom="paragraph">
                    <wp:posOffset>0</wp:posOffset>
                  </wp:positionV>
                  <wp:extent cx="123825" cy="123825"/>
                  <wp:effectExtent l="0" t="0" r="9525" b="9525"/>
                  <wp:wrapNone/>
                  <wp:docPr id="2139665993" name="Obrázok 47" descr="9D4GQ34QB727H10MA3SSAR2R9" hidden="1"/>
                  <wp:cNvGraphicFramePr/>
                  <a:graphic xmlns:a="http://schemas.openxmlformats.org/drawingml/2006/main">
                    <a:graphicData uri="http://schemas.openxmlformats.org/drawingml/2006/picture">
                      <pic:pic xmlns:pic="http://schemas.openxmlformats.org/drawingml/2006/picture">
                        <pic:nvPicPr>
                          <pic:cNvPr id="137"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34368" behindDoc="0" locked="0" layoutInCell="1" allowOverlap="1" wp14:anchorId="0230043E" wp14:editId="071F6650">
                  <wp:simplePos x="0" y="0"/>
                  <wp:positionH relativeFrom="column">
                    <wp:posOffset>0</wp:posOffset>
                  </wp:positionH>
                  <wp:positionV relativeFrom="paragraph">
                    <wp:posOffset>0</wp:posOffset>
                  </wp:positionV>
                  <wp:extent cx="123825" cy="123825"/>
                  <wp:effectExtent l="0" t="0" r="9525" b="9525"/>
                  <wp:wrapNone/>
                  <wp:docPr id="1621768745" name="Obrázok 46" descr="MEW27CPIFG44B7E7HEQUUF5QF" hidden="1"/>
                  <wp:cNvGraphicFramePr/>
                  <a:graphic xmlns:a="http://schemas.openxmlformats.org/drawingml/2006/main">
                    <a:graphicData uri="http://schemas.openxmlformats.org/drawingml/2006/picture">
                      <pic:pic xmlns:pic="http://schemas.openxmlformats.org/drawingml/2006/picture">
                        <pic:nvPicPr>
                          <pic:cNvPr id="138"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35392" behindDoc="0" locked="0" layoutInCell="1" allowOverlap="1" wp14:anchorId="5AA4CFD9" wp14:editId="7FC69EEC">
                  <wp:simplePos x="0" y="0"/>
                  <wp:positionH relativeFrom="column">
                    <wp:posOffset>0</wp:posOffset>
                  </wp:positionH>
                  <wp:positionV relativeFrom="paragraph">
                    <wp:posOffset>0</wp:posOffset>
                  </wp:positionV>
                  <wp:extent cx="123825" cy="123825"/>
                  <wp:effectExtent l="0" t="0" r="9525" b="9525"/>
                  <wp:wrapNone/>
                  <wp:docPr id="1358830581" name="Obrázok 45" descr="9D4GQ34QB727H10MA3SSAR2R9" hidden="1"/>
                  <wp:cNvGraphicFramePr/>
                  <a:graphic xmlns:a="http://schemas.openxmlformats.org/drawingml/2006/main">
                    <a:graphicData uri="http://schemas.openxmlformats.org/drawingml/2006/picture">
                      <pic:pic xmlns:pic="http://schemas.openxmlformats.org/drawingml/2006/picture">
                        <pic:nvPicPr>
                          <pic:cNvPr id="139"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36416" behindDoc="0" locked="0" layoutInCell="1" allowOverlap="1" wp14:anchorId="01CBB242" wp14:editId="7E823E74">
                  <wp:simplePos x="0" y="0"/>
                  <wp:positionH relativeFrom="column">
                    <wp:posOffset>0</wp:posOffset>
                  </wp:positionH>
                  <wp:positionV relativeFrom="paragraph">
                    <wp:posOffset>0</wp:posOffset>
                  </wp:positionV>
                  <wp:extent cx="123825" cy="123825"/>
                  <wp:effectExtent l="0" t="0" r="9525" b="9525"/>
                  <wp:wrapNone/>
                  <wp:docPr id="1137516154" name="Obrázok 44" descr="MEW27CPIFG44B7E7HEQUUF5QF" hidden="1"/>
                  <wp:cNvGraphicFramePr/>
                  <a:graphic xmlns:a="http://schemas.openxmlformats.org/drawingml/2006/main">
                    <a:graphicData uri="http://schemas.openxmlformats.org/drawingml/2006/picture">
                      <pic:pic xmlns:pic="http://schemas.openxmlformats.org/drawingml/2006/picture">
                        <pic:nvPicPr>
                          <pic:cNvPr id="140"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sz w:val="18"/>
                <w:szCs w:val="18"/>
                <w:lang w:eastAsia="sk-SK"/>
              </w:rPr>
              <w:t>656</w:t>
            </w:r>
          </w:p>
        </w:tc>
      </w:tr>
      <w:tr w:rsidR="003A407F" w:rsidRPr="002746C4" w14:paraId="1EB91F31"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69C6944A" w14:textId="0C8232F2" w:rsidR="003A407F" w:rsidRPr="003A407F" w:rsidRDefault="003A407F" w:rsidP="003A407F">
            <w:pPr>
              <w:spacing w:after="0" w:line="240" w:lineRule="auto"/>
              <w:rPr>
                <w:sz w:val="18"/>
                <w:szCs w:val="18"/>
                <w:lang w:eastAsia="sk-SK"/>
              </w:rPr>
            </w:pPr>
            <w:r w:rsidRPr="003A407F">
              <w:rPr>
                <w:sz w:val="18"/>
                <w:szCs w:val="18"/>
                <w:lang w:eastAsia="sk-SK"/>
              </w:rPr>
              <w:t>Slov. záručná a rozvoj. banka, a. s.</w:t>
            </w:r>
          </w:p>
        </w:tc>
        <w:tc>
          <w:tcPr>
            <w:tcW w:w="617" w:type="pct"/>
            <w:gridSpan w:val="2"/>
            <w:tcBorders>
              <w:top w:val="nil"/>
              <w:left w:val="nil"/>
              <w:bottom w:val="nil"/>
              <w:right w:val="nil"/>
            </w:tcBorders>
            <w:shd w:val="clear" w:color="auto" w:fill="auto"/>
            <w:noWrap/>
            <w:vAlign w:val="bottom"/>
          </w:tcPr>
          <w:p w14:paraId="0233D74E" w14:textId="32F82068" w:rsidR="003A407F" w:rsidRPr="002746C4" w:rsidRDefault="003A407F" w:rsidP="003A407F">
            <w:pPr>
              <w:spacing w:after="0" w:line="240" w:lineRule="auto"/>
              <w:jc w:val="right"/>
              <w:rPr>
                <w:sz w:val="18"/>
                <w:szCs w:val="18"/>
                <w:highlight w:val="yellow"/>
                <w:lang w:eastAsia="sk-SK"/>
              </w:rPr>
            </w:pPr>
            <w:r>
              <w:rPr>
                <w:sz w:val="18"/>
                <w:szCs w:val="18"/>
                <w:lang w:eastAsia="sk-SK"/>
              </w:rPr>
              <w:t>8 910</w:t>
            </w:r>
          </w:p>
        </w:tc>
        <w:tc>
          <w:tcPr>
            <w:tcW w:w="695" w:type="pct"/>
            <w:gridSpan w:val="2"/>
            <w:tcBorders>
              <w:top w:val="nil"/>
              <w:left w:val="nil"/>
              <w:bottom w:val="nil"/>
              <w:right w:val="nil"/>
            </w:tcBorders>
            <w:shd w:val="clear" w:color="auto" w:fill="auto"/>
            <w:noWrap/>
            <w:vAlign w:val="bottom"/>
          </w:tcPr>
          <w:p w14:paraId="19D7833C" w14:textId="3D1729F7" w:rsidR="003A407F" w:rsidRPr="002746C4" w:rsidRDefault="003A407F" w:rsidP="003A407F">
            <w:pPr>
              <w:spacing w:after="0" w:line="240" w:lineRule="auto"/>
              <w:jc w:val="right"/>
              <w:rPr>
                <w:sz w:val="18"/>
                <w:szCs w:val="18"/>
                <w:highlight w:val="yellow"/>
                <w:lang w:eastAsia="sk-SK"/>
              </w:rPr>
            </w:pPr>
            <w:r>
              <w:rPr>
                <w:sz w:val="18"/>
                <w:szCs w:val="18"/>
                <w:lang w:eastAsia="sk-SK"/>
              </w:rPr>
              <w:t>9 315</w:t>
            </w:r>
          </w:p>
        </w:tc>
        <w:tc>
          <w:tcPr>
            <w:tcW w:w="539" w:type="pct"/>
            <w:gridSpan w:val="2"/>
            <w:tcBorders>
              <w:top w:val="nil"/>
              <w:left w:val="nil"/>
              <w:bottom w:val="nil"/>
              <w:right w:val="nil"/>
            </w:tcBorders>
            <w:shd w:val="clear" w:color="auto" w:fill="auto"/>
            <w:noWrap/>
            <w:vAlign w:val="bottom"/>
          </w:tcPr>
          <w:p w14:paraId="7BD25B9A" w14:textId="0B45A3EC" w:rsidR="003A407F" w:rsidRPr="002746C4" w:rsidRDefault="003A407F" w:rsidP="003A407F">
            <w:pPr>
              <w:spacing w:after="0" w:line="240" w:lineRule="auto"/>
              <w:jc w:val="right"/>
              <w:rPr>
                <w:sz w:val="18"/>
                <w:szCs w:val="18"/>
                <w:highlight w:val="yellow"/>
                <w:lang w:eastAsia="sk-SK"/>
              </w:rPr>
            </w:pPr>
            <w:r>
              <w:rPr>
                <w:sz w:val="18"/>
                <w:szCs w:val="18"/>
                <w:lang w:eastAsia="sk-SK"/>
              </w:rPr>
              <w:t>-400</w:t>
            </w:r>
          </w:p>
        </w:tc>
        <w:tc>
          <w:tcPr>
            <w:tcW w:w="540" w:type="pct"/>
            <w:gridSpan w:val="2"/>
            <w:tcBorders>
              <w:top w:val="nil"/>
              <w:left w:val="nil"/>
              <w:bottom w:val="nil"/>
              <w:right w:val="nil"/>
            </w:tcBorders>
            <w:shd w:val="clear" w:color="auto" w:fill="auto"/>
            <w:noWrap/>
            <w:vAlign w:val="bottom"/>
          </w:tcPr>
          <w:p w14:paraId="50112CBD" w14:textId="7C43663D" w:rsidR="003A407F" w:rsidRPr="002746C4" w:rsidRDefault="003A407F" w:rsidP="003A407F">
            <w:pPr>
              <w:spacing w:after="0" w:line="240" w:lineRule="auto"/>
              <w:jc w:val="right"/>
              <w:rPr>
                <w:sz w:val="18"/>
                <w:szCs w:val="18"/>
                <w:highlight w:val="yellow"/>
                <w:lang w:eastAsia="sk-SK"/>
              </w:rPr>
            </w:pPr>
            <w:r>
              <w:rPr>
                <w:sz w:val="18"/>
                <w:szCs w:val="18"/>
                <w:lang w:eastAsia="sk-SK"/>
              </w:rPr>
              <w:t>-5</w:t>
            </w:r>
          </w:p>
        </w:tc>
        <w:tc>
          <w:tcPr>
            <w:tcW w:w="621" w:type="pct"/>
            <w:gridSpan w:val="3"/>
            <w:tcBorders>
              <w:top w:val="nil"/>
              <w:left w:val="nil"/>
              <w:bottom w:val="nil"/>
              <w:right w:val="nil"/>
            </w:tcBorders>
            <w:shd w:val="clear" w:color="auto" w:fill="auto"/>
            <w:noWrap/>
            <w:vAlign w:val="bottom"/>
          </w:tcPr>
          <w:p w14:paraId="3DEE2A00" w14:textId="253613E2"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459" w:type="pct"/>
            <w:tcBorders>
              <w:top w:val="nil"/>
              <w:left w:val="nil"/>
              <w:bottom w:val="nil"/>
              <w:right w:val="nil"/>
            </w:tcBorders>
            <w:shd w:val="clear" w:color="auto" w:fill="auto"/>
            <w:noWrap/>
            <w:vAlign w:val="bottom"/>
          </w:tcPr>
          <w:p w14:paraId="74CE0595" w14:textId="39008A0B"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37440" behindDoc="0" locked="0" layoutInCell="1" allowOverlap="1" wp14:anchorId="64BCACB3" wp14:editId="353A2DAA">
                  <wp:simplePos x="0" y="0"/>
                  <wp:positionH relativeFrom="column">
                    <wp:posOffset>0</wp:posOffset>
                  </wp:positionH>
                  <wp:positionV relativeFrom="paragraph">
                    <wp:posOffset>0</wp:posOffset>
                  </wp:positionV>
                  <wp:extent cx="123825" cy="123825"/>
                  <wp:effectExtent l="0" t="0" r="9525" b="9525"/>
                  <wp:wrapNone/>
                  <wp:docPr id="235064718" name="Obrázok 43" descr="9D4GQ34QB727H10MA3SSAR2R9" hidden="1"/>
                  <wp:cNvGraphicFramePr/>
                  <a:graphic xmlns:a="http://schemas.openxmlformats.org/drawingml/2006/main">
                    <a:graphicData uri="http://schemas.openxmlformats.org/drawingml/2006/picture">
                      <pic:pic xmlns:pic="http://schemas.openxmlformats.org/drawingml/2006/picture">
                        <pic:nvPicPr>
                          <pic:cNvPr id="99"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38464" behindDoc="0" locked="0" layoutInCell="1" allowOverlap="1" wp14:anchorId="13F6960C" wp14:editId="75E7022E">
                  <wp:simplePos x="0" y="0"/>
                  <wp:positionH relativeFrom="column">
                    <wp:posOffset>0</wp:posOffset>
                  </wp:positionH>
                  <wp:positionV relativeFrom="paragraph">
                    <wp:posOffset>0</wp:posOffset>
                  </wp:positionV>
                  <wp:extent cx="123825" cy="123825"/>
                  <wp:effectExtent l="0" t="0" r="9525" b="9525"/>
                  <wp:wrapNone/>
                  <wp:docPr id="248158458" name="Obrázok 42" descr="MEW27CPIFG44B7E7HEQUUF5QF" hidden="1"/>
                  <wp:cNvGraphicFramePr/>
                  <a:graphic xmlns:a="http://schemas.openxmlformats.org/drawingml/2006/main">
                    <a:graphicData uri="http://schemas.openxmlformats.org/drawingml/2006/picture">
                      <pic:pic xmlns:pic="http://schemas.openxmlformats.org/drawingml/2006/picture">
                        <pic:nvPicPr>
                          <pic:cNvPr id="100"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39488" behindDoc="0" locked="0" layoutInCell="1" allowOverlap="1" wp14:anchorId="3A4B84EA" wp14:editId="7E36D58D">
                  <wp:simplePos x="0" y="0"/>
                  <wp:positionH relativeFrom="column">
                    <wp:posOffset>0</wp:posOffset>
                  </wp:positionH>
                  <wp:positionV relativeFrom="paragraph">
                    <wp:posOffset>0</wp:posOffset>
                  </wp:positionV>
                  <wp:extent cx="123825" cy="123825"/>
                  <wp:effectExtent l="0" t="0" r="9525" b="9525"/>
                  <wp:wrapNone/>
                  <wp:docPr id="1115286430" name="Obrázok 41" descr="9D4GQ34QB727H10MA3SSAR2R9" hidden="1"/>
                  <wp:cNvGraphicFramePr/>
                  <a:graphic xmlns:a="http://schemas.openxmlformats.org/drawingml/2006/main">
                    <a:graphicData uri="http://schemas.openxmlformats.org/drawingml/2006/picture">
                      <pic:pic xmlns:pic="http://schemas.openxmlformats.org/drawingml/2006/picture">
                        <pic:nvPicPr>
                          <pic:cNvPr id="101"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40512" behindDoc="0" locked="0" layoutInCell="1" allowOverlap="1" wp14:anchorId="18AB8C8B" wp14:editId="083B6FF7">
                  <wp:simplePos x="0" y="0"/>
                  <wp:positionH relativeFrom="column">
                    <wp:posOffset>0</wp:posOffset>
                  </wp:positionH>
                  <wp:positionV relativeFrom="paragraph">
                    <wp:posOffset>0</wp:posOffset>
                  </wp:positionV>
                  <wp:extent cx="123825" cy="123825"/>
                  <wp:effectExtent l="0" t="0" r="9525" b="9525"/>
                  <wp:wrapNone/>
                  <wp:docPr id="1664583952" name="Obrázok 40" descr="MEW27CPIFG44B7E7HEQUUF5QF" hidden="1"/>
                  <wp:cNvGraphicFramePr/>
                  <a:graphic xmlns:a="http://schemas.openxmlformats.org/drawingml/2006/main">
                    <a:graphicData uri="http://schemas.openxmlformats.org/drawingml/2006/picture">
                      <pic:pic xmlns:pic="http://schemas.openxmlformats.org/drawingml/2006/picture">
                        <pic:nvPicPr>
                          <pic:cNvPr id="102"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41536" behindDoc="0" locked="0" layoutInCell="1" allowOverlap="1" wp14:anchorId="6B43046F" wp14:editId="050E0EE3">
                  <wp:simplePos x="0" y="0"/>
                  <wp:positionH relativeFrom="column">
                    <wp:posOffset>0</wp:posOffset>
                  </wp:positionH>
                  <wp:positionV relativeFrom="paragraph">
                    <wp:posOffset>0</wp:posOffset>
                  </wp:positionV>
                  <wp:extent cx="123825" cy="123825"/>
                  <wp:effectExtent l="0" t="0" r="9525" b="9525"/>
                  <wp:wrapNone/>
                  <wp:docPr id="2142323473" name="Obrázok 39" descr="9D4GQ34QB727H10MA3SSAR2R9" hidden="1"/>
                  <wp:cNvGraphicFramePr/>
                  <a:graphic xmlns:a="http://schemas.openxmlformats.org/drawingml/2006/main">
                    <a:graphicData uri="http://schemas.openxmlformats.org/drawingml/2006/picture">
                      <pic:pic xmlns:pic="http://schemas.openxmlformats.org/drawingml/2006/picture">
                        <pic:nvPicPr>
                          <pic:cNvPr id="157"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42560" behindDoc="0" locked="0" layoutInCell="1" allowOverlap="1" wp14:anchorId="075DD7FC" wp14:editId="363396E5">
                  <wp:simplePos x="0" y="0"/>
                  <wp:positionH relativeFrom="column">
                    <wp:posOffset>0</wp:posOffset>
                  </wp:positionH>
                  <wp:positionV relativeFrom="paragraph">
                    <wp:posOffset>0</wp:posOffset>
                  </wp:positionV>
                  <wp:extent cx="123825" cy="123825"/>
                  <wp:effectExtent l="0" t="0" r="9525" b="9525"/>
                  <wp:wrapNone/>
                  <wp:docPr id="1951478672" name="Obrázok 38" descr="MEW27CPIFG44B7E7HEQUUF5QF" hidden="1"/>
                  <wp:cNvGraphicFramePr/>
                  <a:graphic xmlns:a="http://schemas.openxmlformats.org/drawingml/2006/main">
                    <a:graphicData uri="http://schemas.openxmlformats.org/drawingml/2006/picture">
                      <pic:pic xmlns:pic="http://schemas.openxmlformats.org/drawingml/2006/picture">
                        <pic:nvPicPr>
                          <pic:cNvPr id="158"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43584" behindDoc="0" locked="0" layoutInCell="1" allowOverlap="1" wp14:anchorId="74309971" wp14:editId="077B847B">
                  <wp:simplePos x="0" y="0"/>
                  <wp:positionH relativeFrom="column">
                    <wp:posOffset>0</wp:posOffset>
                  </wp:positionH>
                  <wp:positionV relativeFrom="paragraph">
                    <wp:posOffset>0</wp:posOffset>
                  </wp:positionV>
                  <wp:extent cx="123825" cy="123825"/>
                  <wp:effectExtent l="0" t="0" r="9525" b="9525"/>
                  <wp:wrapNone/>
                  <wp:docPr id="1088958479" name="Obrázok 37" descr="9D4GQ34QB727H10MA3SSAR2R9" hidden="1"/>
                  <wp:cNvGraphicFramePr/>
                  <a:graphic xmlns:a="http://schemas.openxmlformats.org/drawingml/2006/main">
                    <a:graphicData uri="http://schemas.openxmlformats.org/drawingml/2006/picture">
                      <pic:pic xmlns:pic="http://schemas.openxmlformats.org/drawingml/2006/picture">
                        <pic:nvPicPr>
                          <pic:cNvPr id="159"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44608" behindDoc="0" locked="0" layoutInCell="1" allowOverlap="1" wp14:anchorId="2896230C" wp14:editId="22CB5E53">
                  <wp:simplePos x="0" y="0"/>
                  <wp:positionH relativeFrom="column">
                    <wp:posOffset>0</wp:posOffset>
                  </wp:positionH>
                  <wp:positionV relativeFrom="paragraph">
                    <wp:posOffset>0</wp:posOffset>
                  </wp:positionV>
                  <wp:extent cx="123825" cy="123825"/>
                  <wp:effectExtent l="0" t="0" r="9525" b="9525"/>
                  <wp:wrapNone/>
                  <wp:docPr id="1057608126" name="Obrázok 36" descr="MEW27CPIFG44B7E7HEQUUF5QF" hidden="1"/>
                  <wp:cNvGraphicFramePr/>
                  <a:graphic xmlns:a="http://schemas.openxmlformats.org/drawingml/2006/main">
                    <a:graphicData uri="http://schemas.openxmlformats.org/drawingml/2006/picture">
                      <pic:pic xmlns:pic="http://schemas.openxmlformats.org/drawingml/2006/picture">
                        <pic:nvPicPr>
                          <pic:cNvPr id="160"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346590">
              <w:rPr>
                <w:sz w:val="18"/>
                <w:szCs w:val="18"/>
                <w:lang w:eastAsia="sk-SK"/>
              </w:rPr>
              <w:t>0</w:t>
            </w:r>
          </w:p>
        </w:tc>
      </w:tr>
      <w:tr w:rsidR="003A407F" w:rsidRPr="002746C4" w14:paraId="3AD60862"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3EEE4A3B" w14:textId="79D6ED32" w:rsidR="003A407F" w:rsidRPr="003A407F" w:rsidRDefault="003A407F" w:rsidP="003A407F">
            <w:pPr>
              <w:spacing w:after="0" w:line="240" w:lineRule="auto"/>
              <w:rPr>
                <w:sz w:val="18"/>
                <w:szCs w:val="18"/>
                <w:lang w:eastAsia="sk-SK"/>
              </w:rPr>
            </w:pPr>
            <w:r w:rsidRPr="003A407F">
              <w:rPr>
                <w:sz w:val="18"/>
                <w:szCs w:val="18"/>
                <w:lang w:eastAsia="sk-SK"/>
              </w:rPr>
              <w:t>Lesy SR, š. p.</w:t>
            </w:r>
          </w:p>
        </w:tc>
        <w:tc>
          <w:tcPr>
            <w:tcW w:w="617" w:type="pct"/>
            <w:gridSpan w:val="2"/>
            <w:tcBorders>
              <w:top w:val="nil"/>
              <w:left w:val="nil"/>
              <w:bottom w:val="nil"/>
              <w:right w:val="nil"/>
            </w:tcBorders>
            <w:shd w:val="clear" w:color="auto" w:fill="auto"/>
            <w:noWrap/>
            <w:vAlign w:val="bottom"/>
          </w:tcPr>
          <w:p w14:paraId="56A29273" w14:textId="497C9547" w:rsidR="003A407F" w:rsidRPr="002746C4" w:rsidRDefault="003A407F" w:rsidP="003A407F">
            <w:pPr>
              <w:spacing w:after="0" w:line="240" w:lineRule="auto"/>
              <w:jc w:val="right"/>
              <w:rPr>
                <w:sz w:val="18"/>
                <w:szCs w:val="18"/>
                <w:highlight w:val="yellow"/>
                <w:lang w:eastAsia="sk-SK"/>
              </w:rPr>
            </w:pPr>
            <w:r w:rsidRPr="006522C6">
              <w:rPr>
                <w:sz w:val="18"/>
                <w:szCs w:val="18"/>
                <w:lang w:eastAsia="sk-SK"/>
              </w:rPr>
              <w:t>8 800</w:t>
            </w:r>
          </w:p>
        </w:tc>
        <w:tc>
          <w:tcPr>
            <w:tcW w:w="695" w:type="pct"/>
            <w:gridSpan w:val="2"/>
            <w:tcBorders>
              <w:top w:val="nil"/>
              <w:left w:val="nil"/>
              <w:bottom w:val="nil"/>
              <w:right w:val="nil"/>
            </w:tcBorders>
            <w:shd w:val="clear" w:color="auto" w:fill="auto"/>
            <w:noWrap/>
            <w:vAlign w:val="bottom"/>
          </w:tcPr>
          <w:p w14:paraId="35D91786" w14:textId="462788DF" w:rsidR="003A407F" w:rsidRPr="002746C4" w:rsidRDefault="003A407F" w:rsidP="003A407F">
            <w:pPr>
              <w:spacing w:after="0" w:line="240" w:lineRule="auto"/>
              <w:jc w:val="right"/>
              <w:rPr>
                <w:sz w:val="18"/>
                <w:szCs w:val="18"/>
                <w:highlight w:val="yellow"/>
                <w:lang w:eastAsia="sk-SK"/>
              </w:rPr>
            </w:pPr>
            <w:r w:rsidRPr="006522C6">
              <w:rPr>
                <w:sz w:val="18"/>
                <w:szCs w:val="18"/>
                <w:lang w:eastAsia="sk-SK"/>
              </w:rPr>
              <w:t>6 176</w:t>
            </w:r>
          </w:p>
        </w:tc>
        <w:tc>
          <w:tcPr>
            <w:tcW w:w="539" w:type="pct"/>
            <w:gridSpan w:val="2"/>
            <w:tcBorders>
              <w:top w:val="nil"/>
              <w:left w:val="nil"/>
              <w:bottom w:val="nil"/>
              <w:right w:val="nil"/>
            </w:tcBorders>
            <w:shd w:val="clear" w:color="auto" w:fill="auto"/>
            <w:noWrap/>
            <w:vAlign w:val="bottom"/>
          </w:tcPr>
          <w:p w14:paraId="64685009" w14:textId="131ED48C" w:rsidR="003A407F" w:rsidRPr="002746C4" w:rsidRDefault="003A407F" w:rsidP="003A407F">
            <w:pPr>
              <w:spacing w:after="0" w:line="240" w:lineRule="auto"/>
              <w:jc w:val="right"/>
              <w:rPr>
                <w:sz w:val="18"/>
                <w:szCs w:val="18"/>
                <w:highlight w:val="yellow"/>
                <w:lang w:eastAsia="sk-SK"/>
              </w:rPr>
            </w:pPr>
            <w:r w:rsidRPr="006522C6">
              <w:rPr>
                <w:sz w:val="18"/>
                <w:szCs w:val="18"/>
                <w:lang w:eastAsia="sk-SK"/>
              </w:rPr>
              <w:t>0</w:t>
            </w:r>
          </w:p>
        </w:tc>
        <w:tc>
          <w:tcPr>
            <w:tcW w:w="540" w:type="pct"/>
            <w:gridSpan w:val="2"/>
            <w:tcBorders>
              <w:top w:val="nil"/>
              <w:left w:val="nil"/>
              <w:bottom w:val="nil"/>
              <w:right w:val="nil"/>
            </w:tcBorders>
            <w:shd w:val="clear" w:color="auto" w:fill="auto"/>
            <w:noWrap/>
            <w:vAlign w:val="bottom"/>
          </w:tcPr>
          <w:p w14:paraId="10D359BD" w14:textId="67BFE077"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621" w:type="pct"/>
            <w:gridSpan w:val="3"/>
            <w:tcBorders>
              <w:top w:val="nil"/>
              <w:left w:val="nil"/>
              <w:bottom w:val="nil"/>
              <w:right w:val="nil"/>
            </w:tcBorders>
            <w:shd w:val="clear" w:color="auto" w:fill="auto"/>
            <w:noWrap/>
            <w:vAlign w:val="bottom"/>
          </w:tcPr>
          <w:p w14:paraId="172673CA" w14:textId="42CE24D9" w:rsidR="003A407F" w:rsidRPr="002746C4" w:rsidRDefault="003A407F" w:rsidP="003A407F">
            <w:pPr>
              <w:spacing w:after="0" w:line="240" w:lineRule="auto"/>
              <w:jc w:val="right"/>
              <w:rPr>
                <w:sz w:val="18"/>
                <w:szCs w:val="18"/>
                <w:highlight w:val="yellow"/>
                <w:lang w:eastAsia="sk-SK"/>
              </w:rPr>
            </w:pPr>
            <w:r>
              <w:rPr>
                <w:sz w:val="18"/>
                <w:szCs w:val="18"/>
                <w:lang w:eastAsia="sk-SK"/>
              </w:rPr>
              <w:t>2 624</w:t>
            </w:r>
          </w:p>
        </w:tc>
        <w:tc>
          <w:tcPr>
            <w:tcW w:w="459" w:type="pct"/>
            <w:tcBorders>
              <w:top w:val="nil"/>
              <w:left w:val="nil"/>
              <w:bottom w:val="nil"/>
              <w:right w:val="nil"/>
            </w:tcBorders>
            <w:shd w:val="clear" w:color="auto" w:fill="auto"/>
            <w:noWrap/>
            <w:vAlign w:val="bottom"/>
          </w:tcPr>
          <w:p w14:paraId="3934D4D7" w14:textId="357D13BF"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45632" behindDoc="0" locked="0" layoutInCell="1" allowOverlap="1" wp14:anchorId="1A6B50F1" wp14:editId="220CFD20">
                  <wp:simplePos x="0" y="0"/>
                  <wp:positionH relativeFrom="column">
                    <wp:posOffset>0</wp:posOffset>
                  </wp:positionH>
                  <wp:positionV relativeFrom="paragraph">
                    <wp:posOffset>0</wp:posOffset>
                  </wp:positionV>
                  <wp:extent cx="123825" cy="123825"/>
                  <wp:effectExtent l="0" t="0" r="9525" b="9525"/>
                  <wp:wrapNone/>
                  <wp:docPr id="1533306168" name="Obrázok 35" descr="9D4GQ34QB727H10MA3SSAR2R9" hidden="1"/>
                  <wp:cNvGraphicFramePr/>
                  <a:graphic xmlns:a="http://schemas.openxmlformats.org/drawingml/2006/main">
                    <a:graphicData uri="http://schemas.openxmlformats.org/drawingml/2006/picture">
                      <pic:pic xmlns:pic="http://schemas.openxmlformats.org/drawingml/2006/picture">
                        <pic:nvPicPr>
                          <pic:cNvPr id="381"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46656" behindDoc="0" locked="0" layoutInCell="1" allowOverlap="1" wp14:anchorId="67578AB7" wp14:editId="2471835F">
                  <wp:simplePos x="0" y="0"/>
                  <wp:positionH relativeFrom="column">
                    <wp:posOffset>0</wp:posOffset>
                  </wp:positionH>
                  <wp:positionV relativeFrom="paragraph">
                    <wp:posOffset>0</wp:posOffset>
                  </wp:positionV>
                  <wp:extent cx="123825" cy="123825"/>
                  <wp:effectExtent l="0" t="0" r="9525" b="9525"/>
                  <wp:wrapNone/>
                  <wp:docPr id="948354156" name="Obrázok 34" descr="MEW27CPIFG44B7E7HEQUUF5QF" hidden="1"/>
                  <wp:cNvGraphicFramePr/>
                  <a:graphic xmlns:a="http://schemas.openxmlformats.org/drawingml/2006/main">
                    <a:graphicData uri="http://schemas.openxmlformats.org/drawingml/2006/picture">
                      <pic:pic xmlns:pic="http://schemas.openxmlformats.org/drawingml/2006/picture">
                        <pic:nvPicPr>
                          <pic:cNvPr id="382"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6522C6">
              <w:rPr>
                <w:sz w:val="18"/>
                <w:szCs w:val="18"/>
                <w:lang w:eastAsia="sk-SK"/>
              </w:rPr>
              <w:t>0</w:t>
            </w:r>
          </w:p>
        </w:tc>
      </w:tr>
      <w:tr w:rsidR="003A407F" w:rsidRPr="002746C4" w14:paraId="46A64836"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400C6DFF" w14:textId="0BAB7EE1" w:rsidR="003A407F" w:rsidRPr="002746C4" w:rsidRDefault="003A407F" w:rsidP="003A407F">
            <w:pPr>
              <w:spacing w:after="0" w:line="240" w:lineRule="auto"/>
              <w:rPr>
                <w:sz w:val="18"/>
                <w:szCs w:val="18"/>
                <w:highlight w:val="yellow"/>
                <w:lang w:eastAsia="sk-SK"/>
              </w:rPr>
            </w:pPr>
            <w:r w:rsidRPr="00346590">
              <w:rPr>
                <w:sz w:val="18"/>
                <w:szCs w:val="18"/>
                <w:lang w:eastAsia="sk-SK"/>
              </w:rPr>
              <w:t>Exportno-importná banka SR</w:t>
            </w:r>
          </w:p>
        </w:tc>
        <w:tc>
          <w:tcPr>
            <w:tcW w:w="617" w:type="pct"/>
            <w:gridSpan w:val="2"/>
            <w:tcBorders>
              <w:top w:val="nil"/>
              <w:left w:val="nil"/>
              <w:bottom w:val="nil"/>
              <w:right w:val="nil"/>
            </w:tcBorders>
            <w:shd w:val="clear" w:color="auto" w:fill="auto"/>
            <w:noWrap/>
            <w:vAlign w:val="bottom"/>
          </w:tcPr>
          <w:p w14:paraId="37E493AC" w14:textId="09CFF0B6" w:rsidR="003A407F" w:rsidRPr="002746C4" w:rsidRDefault="003A407F" w:rsidP="003A407F">
            <w:pPr>
              <w:spacing w:after="0" w:line="240" w:lineRule="auto"/>
              <w:jc w:val="right"/>
              <w:rPr>
                <w:sz w:val="18"/>
                <w:szCs w:val="18"/>
                <w:highlight w:val="yellow"/>
                <w:lang w:eastAsia="sk-SK"/>
              </w:rPr>
            </w:pPr>
            <w:r w:rsidRPr="006977D4">
              <w:rPr>
                <w:sz w:val="18"/>
                <w:szCs w:val="18"/>
                <w:lang w:eastAsia="sk-SK"/>
              </w:rPr>
              <w:t>8 343</w:t>
            </w:r>
          </w:p>
        </w:tc>
        <w:tc>
          <w:tcPr>
            <w:tcW w:w="695" w:type="pct"/>
            <w:gridSpan w:val="2"/>
            <w:tcBorders>
              <w:top w:val="nil"/>
              <w:left w:val="nil"/>
              <w:bottom w:val="nil"/>
              <w:right w:val="nil"/>
            </w:tcBorders>
            <w:shd w:val="clear" w:color="auto" w:fill="auto"/>
            <w:noWrap/>
            <w:vAlign w:val="bottom"/>
          </w:tcPr>
          <w:p w14:paraId="570204A0" w14:textId="3206A764" w:rsidR="003A407F" w:rsidRPr="002746C4" w:rsidRDefault="003A407F" w:rsidP="003A407F">
            <w:pPr>
              <w:spacing w:after="0" w:line="240" w:lineRule="auto"/>
              <w:jc w:val="right"/>
              <w:rPr>
                <w:sz w:val="18"/>
                <w:szCs w:val="18"/>
                <w:highlight w:val="yellow"/>
                <w:lang w:eastAsia="sk-SK"/>
              </w:rPr>
            </w:pPr>
            <w:r w:rsidRPr="006977D4">
              <w:rPr>
                <w:sz w:val="18"/>
                <w:szCs w:val="18"/>
                <w:lang w:eastAsia="sk-SK"/>
              </w:rPr>
              <w:t>8 680</w:t>
            </w:r>
          </w:p>
        </w:tc>
        <w:tc>
          <w:tcPr>
            <w:tcW w:w="539" w:type="pct"/>
            <w:gridSpan w:val="2"/>
            <w:tcBorders>
              <w:top w:val="nil"/>
              <w:left w:val="nil"/>
              <w:bottom w:val="nil"/>
              <w:right w:val="nil"/>
            </w:tcBorders>
            <w:shd w:val="clear" w:color="auto" w:fill="auto"/>
            <w:noWrap/>
            <w:vAlign w:val="bottom"/>
          </w:tcPr>
          <w:p w14:paraId="0378517C" w14:textId="5B6D4ED9" w:rsidR="003A407F" w:rsidRPr="002746C4" w:rsidRDefault="003A407F" w:rsidP="003A407F">
            <w:pPr>
              <w:spacing w:after="0" w:line="240" w:lineRule="auto"/>
              <w:jc w:val="right"/>
              <w:rPr>
                <w:sz w:val="18"/>
                <w:szCs w:val="18"/>
                <w:highlight w:val="yellow"/>
                <w:lang w:eastAsia="sk-SK"/>
              </w:rPr>
            </w:pPr>
            <w:r w:rsidRPr="006977D4">
              <w:rPr>
                <w:sz w:val="18"/>
                <w:szCs w:val="18"/>
                <w:lang w:eastAsia="sk-SK"/>
              </w:rPr>
              <w:t>-250</w:t>
            </w:r>
          </w:p>
        </w:tc>
        <w:tc>
          <w:tcPr>
            <w:tcW w:w="540" w:type="pct"/>
            <w:gridSpan w:val="2"/>
            <w:tcBorders>
              <w:top w:val="nil"/>
              <w:left w:val="nil"/>
              <w:bottom w:val="nil"/>
              <w:right w:val="nil"/>
            </w:tcBorders>
            <w:shd w:val="clear" w:color="auto" w:fill="auto"/>
            <w:noWrap/>
            <w:vAlign w:val="bottom"/>
          </w:tcPr>
          <w:p w14:paraId="39DAAFFB" w14:textId="67C99071" w:rsidR="003A407F" w:rsidRPr="002746C4" w:rsidRDefault="003A407F" w:rsidP="003A407F">
            <w:pPr>
              <w:spacing w:after="0" w:line="240" w:lineRule="auto"/>
              <w:jc w:val="right"/>
              <w:rPr>
                <w:sz w:val="18"/>
                <w:szCs w:val="18"/>
                <w:highlight w:val="yellow"/>
                <w:lang w:eastAsia="sk-SK"/>
              </w:rPr>
            </w:pPr>
            <w:r w:rsidRPr="006977D4">
              <w:rPr>
                <w:sz w:val="18"/>
                <w:szCs w:val="18"/>
                <w:lang w:eastAsia="sk-SK"/>
              </w:rPr>
              <w:t>0</w:t>
            </w:r>
          </w:p>
        </w:tc>
        <w:tc>
          <w:tcPr>
            <w:tcW w:w="621" w:type="pct"/>
            <w:gridSpan w:val="3"/>
            <w:tcBorders>
              <w:top w:val="nil"/>
              <w:left w:val="nil"/>
              <w:bottom w:val="nil"/>
              <w:right w:val="nil"/>
            </w:tcBorders>
            <w:shd w:val="clear" w:color="auto" w:fill="auto"/>
            <w:noWrap/>
            <w:vAlign w:val="bottom"/>
          </w:tcPr>
          <w:p w14:paraId="159DF0ED" w14:textId="212B077F" w:rsidR="003A407F" w:rsidRPr="002746C4" w:rsidRDefault="003A407F" w:rsidP="003A407F">
            <w:pPr>
              <w:spacing w:after="0" w:line="240" w:lineRule="auto"/>
              <w:jc w:val="right"/>
              <w:rPr>
                <w:sz w:val="18"/>
                <w:szCs w:val="18"/>
                <w:highlight w:val="yellow"/>
                <w:lang w:eastAsia="sk-SK"/>
              </w:rPr>
            </w:pPr>
            <w:r w:rsidRPr="006977D4">
              <w:rPr>
                <w:sz w:val="18"/>
                <w:szCs w:val="18"/>
                <w:lang w:eastAsia="sk-SK"/>
              </w:rPr>
              <w:t>0</w:t>
            </w:r>
          </w:p>
        </w:tc>
        <w:tc>
          <w:tcPr>
            <w:tcW w:w="459" w:type="pct"/>
            <w:tcBorders>
              <w:top w:val="nil"/>
              <w:left w:val="nil"/>
              <w:bottom w:val="nil"/>
              <w:right w:val="nil"/>
            </w:tcBorders>
            <w:shd w:val="clear" w:color="auto" w:fill="auto"/>
            <w:noWrap/>
            <w:vAlign w:val="bottom"/>
          </w:tcPr>
          <w:p w14:paraId="6730652C" w14:textId="36DBDE9E"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48704" behindDoc="0" locked="0" layoutInCell="1" allowOverlap="1" wp14:anchorId="2BF82140" wp14:editId="69206386">
                  <wp:simplePos x="0" y="0"/>
                  <wp:positionH relativeFrom="column">
                    <wp:posOffset>0</wp:posOffset>
                  </wp:positionH>
                  <wp:positionV relativeFrom="paragraph">
                    <wp:posOffset>0</wp:posOffset>
                  </wp:positionV>
                  <wp:extent cx="123825" cy="123825"/>
                  <wp:effectExtent l="0" t="0" r="9525" b="9525"/>
                  <wp:wrapNone/>
                  <wp:docPr id="1802332434" name="Obrázok 33" descr="9D4GQ34QB727H10MA3SSAR2R9" hidden="1"/>
                  <wp:cNvGraphicFramePr/>
                  <a:graphic xmlns:a="http://schemas.openxmlformats.org/drawingml/2006/main">
                    <a:graphicData uri="http://schemas.openxmlformats.org/drawingml/2006/picture">
                      <pic:pic xmlns:pic="http://schemas.openxmlformats.org/drawingml/2006/picture">
                        <pic:nvPicPr>
                          <pic:cNvPr id="325"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49728" behindDoc="0" locked="0" layoutInCell="1" allowOverlap="1" wp14:anchorId="1A96EC44" wp14:editId="2AF2A55A">
                  <wp:simplePos x="0" y="0"/>
                  <wp:positionH relativeFrom="column">
                    <wp:posOffset>0</wp:posOffset>
                  </wp:positionH>
                  <wp:positionV relativeFrom="paragraph">
                    <wp:posOffset>0</wp:posOffset>
                  </wp:positionV>
                  <wp:extent cx="123825" cy="123825"/>
                  <wp:effectExtent l="0" t="0" r="9525" b="9525"/>
                  <wp:wrapNone/>
                  <wp:docPr id="234655416" name="Obrázok 32" descr="MEW27CPIFG44B7E7HEQUUF5QF" hidden="1"/>
                  <wp:cNvGraphicFramePr/>
                  <a:graphic xmlns:a="http://schemas.openxmlformats.org/drawingml/2006/main">
                    <a:graphicData uri="http://schemas.openxmlformats.org/drawingml/2006/picture">
                      <pic:pic xmlns:pic="http://schemas.openxmlformats.org/drawingml/2006/picture">
                        <pic:nvPicPr>
                          <pic:cNvPr id="326"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50752" behindDoc="0" locked="0" layoutInCell="1" allowOverlap="1" wp14:anchorId="39BE2D76" wp14:editId="4FE2D172">
                  <wp:simplePos x="0" y="0"/>
                  <wp:positionH relativeFrom="column">
                    <wp:posOffset>0</wp:posOffset>
                  </wp:positionH>
                  <wp:positionV relativeFrom="paragraph">
                    <wp:posOffset>0</wp:posOffset>
                  </wp:positionV>
                  <wp:extent cx="123825" cy="123825"/>
                  <wp:effectExtent l="0" t="0" r="9525" b="9525"/>
                  <wp:wrapNone/>
                  <wp:docPr id="356449172" name="Obrázok 31" descr="9D4GQ34QB727H10MA3SSAR2R9" hidden="1"/>
                  <wp:cNvGraphicFramePr/>
                  <a:graphic xmlns:a="http://schemas.openxmlformats.org/drawingml/2006/main">
                    <a:graphicData uri="http://schemas.openxmlformats.org/drawingml/2006/picture">
                      <pic:pic xmlns:pic="http://schemas.openxmlformats.org/drawingml/2006/picture">
                        <pic:nvPicPr>
                          <pic:cNvPr id="327"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51776" behindDoc="0" locked="0" layoutInCell="1" allowOverlap="1" wp14:anchorId="4B89EA7D" wp14:editId="04F5A2B8">
                  <wp:simplePos x="0" y="0"/>
                  <wp:positionH relativeFrom="column">
                    <wp:posOffset>0</wp:posOffset>
                  </wp:positionH>
                  <wp:positionV relativeFrom="paragraph">
                    <wp:posOffset>0</wp:posOffset>
                  </wp:positionV>
                  <wp:extent cx="123825" cy="123825"/>
                  <wp:effectExtent l="0" t="0" r="9525" b="9525"/>
                  <wp:wrapNone/>
                  <wp:docPr id="873017872" name="Obrázok 30" descr="MEW27CPIFG44B7E7HEQUUF5QF" hidden="1"/>
                  <wp:cNvGraphicFramePr/>
                  <a:graphic xmlns:a="http://schemas.openxmlformats.org/drawingml/2006/main">
                    <a:graphicData uri="http://schemas.openxmlformats.org/drawingml/2006/picture">
                      <pic:pic xmlns:pic="http://schemas.openxmlformats.org/drawingml/2006/picture">
                        <pic:nvPicPr>
                          <pic:cNvPr id="328"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6977D4">
              <w:rPr>
                <w:sz w:val="18"/>
                <w:szCs w:val="18"/>
                <w:lang w:eastAsia="sk-SK"/>
              </w:rPr>
              <w:t>-87</w:t>
            </w:r>
          </w:p>
        </w:tc>
      </w:tr>
      <w:tr w:rsidR="003A407F" w:rsidRPr="002746C4" w14:paraId="2F57A03E"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742D29CA" w14:textId="0B4B8FE5" w:rsidR="003A407F" w:rsidRPr="002746C4" w:rsidRDefault="003A407F" w:rsidP="003A407F">
            <w:pPr>
              <w:spacing w:after="0" w:line="240" w:lineRule="auto"/>
              <w:rPr>
                <w:sz w:val="18"/>
                <w:szCs w:val="18"/>
                <w:highlight w:val="yellow"/>
                <w:lang w:eastAsia="sk-SK"/>
              </w:rPr>
            </w:pPr>
            <w:r w:rsidRPr="00BC2D26">
              <w:rPr>
                <w:sz w:val="18"/>
                <w:szCs w:val="18"/>
                <w:lang w:eastAsia="sk-SK"/>
              </w:rPr>
              <w:t>Všeobecná zdravotná poisťovňa, a.</w:t>
            </w:r>
            <w:r>
              <w:rPr>
                <w:sz w:val="18"/>
                <w:szCs w:val="18"/>
                <w:lang w:eastAsia="sk-SK"/>
              </w:rPr>
              <w:t> </w:t>
            </w:r>
            <w:r w:rsidRPr="00BC2D26">
              <w:rPr>
                <w:sz w:val="18"/>
                <w:szCs w:val="18"/>
                <w:lang w:eastAsia="sk-SK"/>
              </w:rPr>
              <w:t>s.</w:t>
            </w:r>
          </w:p>
        </w:tc>
        <w:tc>
          <w:tcPr>
            <w:tcW w:w="617" w:type="pct"/>
            <w:gridSpan w:val="2"/>
            <w:tcBorders>
              <w:top w:val="nil"/>
              <w:left w:val="nil"/>
              <w:bottom w:val="nil"/>
              <w:right w:val="nil"/>
            </w:tcBorders>
            <w:shd w:val="clear" w:color="auto" w:fill="auto"/>
            <w:noWrap/>
            <w:vAlign w:val="bottom"/>
          </w:tcPr>
          <w:p w14:paraId="03A912FD" w14:textId="0C27D766" w:rsidR="003A407F" w:rsidRPr="002746C4" w:rsidRDefault="003A407F" w:rsidP="003A407F">
            <w:pPr>
              <w:spacing w:after="0" w:line="240" w:lineRule="auto"/>
              <w:jc w:val="right"/>
              <w:rPr>
                <w:sz w:val="18"/>
                <w:szCs w:val="18"/>
                <w:highlight w:val="yellow"/>
                <w:lang w:eastAsia="sk-SK"/>
              </w:rPr>
            </w:pPr>
            <w:r>
              <w:rPr>
                <w:sz w:val="18"/>
                <w:szCs w:val="18"/>
                <w:lang w:eastAsia="sk-SK"/>
              </w:rPr>
              <w:t>7 982</w:t>
            </w:r>
          </w:p>
        </w:tc>
        <w:tc>
          <w:tcPr>
            <w:tcW w:w="695" w:type="pct"/>
            <w:gridSpan w:val="2"/>
            <w:tcBorders>
              <w:top w:val="nil"/>
              <w:left w:val="nil"/>
              <w:bottom w:val="nil"/>
              <w:right w:val="nil"/>
            </w:tcBorders>
            <w:shd w:val="clear" w:color="auto" w:fill="auto"/>
            <w:noWrap/>
            <w:vAlign w:val="bottom"/>
          </w:tcPr>
          <w:p w14:paraId="084A16E8" w14:textId="7AD04167" w:rsidR="003A407F" w:rsidRPr="002746C4" w:rsidRDefault="003A407F" w:rsidP="003A407F">
            <w:pPr>
              <w:spacing w:after="0" w:line="240" w:lineRule="auto"/>
              <w:jc w:val="right"/>
              <w:rPr>
                <w:sz w:val="18"/>
                <w:szCs w:val="18"/>
                <w:highlight w:val="yellow"/>
                <w:lang w:eastAsia="sk-SK"/>
              </w:rPr>
            </w:pPr>
            <w:r>
              <w:rPr>
                <w:sz w:val="18"/>
                <w:szCs w:val="18"/>
                <w:lang w:eastAsia="sk-SK"/>
              </w:rPr>
              <w:t>8 342</w:t>
            </w:r>
          </w:p>
        </w:tc>
        <w:tc>
          <w:tcPr>
            <w:tcW w:w="539" w:type="pct"/>
            <w:gridSpan w:val="2"/>
            <w:tcBorders>
              <w:top w:val="nil"/>
              <w:left w:val="nil"/>
              <w:bottom w:val="nil"/>
              <w:right w:val="nil"/>
            </w:tcBorders>
            <w:shd w:val="clear" w:color="auto" w:fill="auto"/>
            <w:noWrap/>
            <w:vAlign w:val="bottom"/>
          </w:tcPr>
          <w:p w14:paraId="1D5D6F17" w14:textId="5659A534" w:rsidR="003A407F" w:rsidRPr="002746C4" w:rsidRDefault="003A407F" w:rsidP="003A407F">
            <w:pPr>
              <w:spacing w:after="0" w:line="240" w:lineRule="auto"/>
              <w:jc w:val="right"/>
              <w:rPr>
                <w:sz w:val="18"/>
                <w:szCs w:val="18"/>
                <w:highlight w:val="yellow"/>
                <w:lang w:eastAsia="sk-SK"/>
              </w:rPr>
            </w:pPr>
            <w:r w:rsidRPr="00BC2D26">
              <w:rPr>
                <w:sz w:val="18"/>
                <w:szCs w:val="18"/>
                <w:lang w:eastAsia="sk-SK"/>
              </w:rPr>
              <w:t>0</w:t>
            </w:r>
          </w:p>
        </w:tc>
        <w:tc>
          <w:tcPr>
            <w:tcW w:w="540" w:type="pct"/>
            <w:gridSpan w:val="2"/>
            <w:tcBorders>
              <w:top w:val="nil"/>
              <w:left w:val="nil"/>
              <w:bottom w:val="nil"/>
              <w:right w:val="nil"/>
            </w:tcBorders>
            <w:shd w:val="clear" w:color="auto" w:fill="auto"/>
            <w:noWrap/>
            <w:vAlign w:val="bottom"/>
          </w:tcPr>
          <w:p w14:paraId="247B90A9" w14:textId="1728A4A3" w:rsidR="003A407F" w:rsidRPr="002746C4" w:rsidRDefault="003A407F" w:rsidP="003A407F">
            <w:pPr>
              <w:spacing w:after="0" w:line="240" w:lineRule="auto"/>
              <w:jc w:val="right"/>
              <w:rPr>
                <w:sz w:val="18"/>
                <w:szCs w:val="18"/>
                <w:highlight w:val="yellow"/>
                <w:lang w:eastAsia="sk-SK"/>
              </w:rPr>
            </w:pPr>
            <w:r>
              <w:rPr>
                <w:sz w:val="18"/>
                <w:szCs w:val="18"/>
                <w:lang w:eastAsia="sk-SK"/>
              </w:rPr>
              <w:t>-360</w:t>
            </w:r>
          </w:p>
        </w:tc>
        <w:tc>
          <w:tcPr>
            <w:tcW w:w="621" w:type="pct"/>
            <w:gridSpan w:val="3"/>
            <w:tcBorders>
              <w:top w:val="nil"/>
              <w:left w:val="nil"/>
              <w:bottom w:val="nil"/>
              <w:right w:val="nil"/>
            </w:tcBorders>
            <w:shd w:val="clear" w:color="auto" w:fill="auto"/>
            <w:noWrap/>
            <w:vAlign w:val="bottom"/>
          </w:tcPr>
          <w:p w14:paraId="33696BED" w14:textId="06411D66"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459" w:type="pct"/>
            <w:tcBorders>
              <w:top w:val="nil"/>
              <w:left w:val="nil"/>
              <w:bottom w:val="nil"/>
              <w:right w:val="nil"/>
            </w:tcBorders>
            <w:shd w:val="clear" w:color="auto" w:fill="auto"/>
            <w:noWrap/>
            <w:vAlign w:val="bottom"/>
          </w:tcPr>
          <w:p w14:paraId="6E5E3657" w14:textId="3B3698D4"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52800" behindDoc="0" locked="0" layoutInCell="1" allowOverlap="1" wp14:anchorId="3891C925" wp14:editId="4BDE58E6">
                  <wp:simplePos x="0" y="0"/>
                  <wp:positionH relativeFrom="column">
                    <wp:posOffset>0</wp:posOffset>
                  </wp:positionH>
                  <wp:positionV relativeFrom="paragraph">
                    <wp:posOffset>0</wp:posOffset>
                  </wp:positionV>
                  <wp:extent cx="123825" cy="123825"/>
                  <wp:effectExtent l="0" t="0" r="9525" b="9525"/>
                  <wp:wrapNone/>
                  <wp:docPr id="645104237" name="Obrázok 29" descr="9D4GQ34QB727H10MA3SSAR2R9" hidden="1"/>
                  <wp:cNvGraphicFramePr/>
                  <a:graphic xmlns:a="http://schemas.openxmlformats.org/drawingml/2006/main">
                    <a:graphicData uri="http://schemas.openxmlformats.org/drawingml/2006/picture">
                      <pic:pic xmlns:pic="http://schemas.openxmlformats.org/drawingml/2006/picture">
                        <pic:nvPicPr>
                          <pic:cNvPr id="197"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53824" behindDoc="0" locked="0" layoutInCell="1" allowOverlap="1" wp14:anchorId="2C053BD5" wp14:editId="5FD530C5">
                  <wp:simplePos x="0" y="0"/>
                  <wp:positionH relativeFrom="column">
                    <wp:posOffset>0</wp:posOffset>
                  </wp:positionH>
                  <wp:positionV relativeFrom="paragraph">
                    <wp:posOffset>0</wp:posOffset>
                  </wp:positionV>
                  <wp:extent cx="123825" cy="123825"/>
                  <wp:effectExtent l="0" t="0" r="9525" b="9525"/>
                  <wp:wrapNone/>
                  <wp:docPr id="800635542" name="Obrázok 28" descr="MEW27CPIFG44B7E7HEQUUF5QF" hidden="1"/>
                  <wp:cNvGraphicFramePr/>
                  <a:graphic xmlns:a="http://schemas.openxmlformats.org/drawingml/2006/main">
                    <a:graphicData uri="http://schemas.openxmlformats.org/drawingml/2006/picture">
                      <pic:pic xmlns:pic="http://schemas.openxmlformats.org/drawingml/2006/picture">
                        <pic:nvPicPr>
                          <pic:cNvPr id="198"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BC2D26">
              <w:rPr>
                <w:sz w:val="18"/>
                <w:szCs w:val="18"/>
                <w:lang w:eastAsia="sk-SK"/>
              </w:rPr>
              <w:t>0</w:t>
            </w:r>
          </w:p>
        </w:tc>
      </w:tr>
      <w:tr w:rsidR="003A407F" w:rsidRPr="002746C4" w14:paraId="11D27D3F"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4FAB2F15" w14:textId="67320AE3" w:rsidR="003A407F" w:rsidRPr="002746C4" w:rsidRDefault="003A407F" w:rsidP="003A407F">
            <w:pPr>
              <w:spacing w:after="0" w:line="240" w:lineRule="auto"/>
              <w:rPr>
                <w:sz w:val="18"/>
                <w:szCs w:val="18"/>
                <w:highlight w:val="yellow"/>
                <w:lang w:eastAsia="sk-SK"/>
              </w:rPr>
            </w:pPr>
            <w:r>
              <w:rPr>
                <w:sz w:val="18"/>
                <w:szCs w:val="18"/>
                <w:lang w:eastAsia="sk-SK"/>
              </w:rPr>
              <w:t>Valaliky Industrial Park, s. r. o.</w:t>
            </w:r>
          </w:p>
        </w:tc>
        <w:tc>
          <w:tcPr>
            <w:tcW w:w="617" w:type="pct"/>
            <w:gridSpan w:val="2"/>
            <w:tcBorders>
              <w:top w:val="nil"/>
              <w:left w:val="nil"/>
              <w:bottom w:val="nil"/>
              <w:right w:val="nil"/>
            </w:tcBorders>
            <w:shd w:val="clear" w:color="auto" w:fill="auto"/>
            <w:noWrap/>
            <w:vAlign w:val="bottom"/>
          </w:tcPr>
          <w:p w14:paraId="753A1A2F" w14:textId="38E8DDDF" w:rsidR="003A407F" w:rsidRPr="002746C4" w:rsidRDefault="003A407F" w:rsidP="003A407F">
            <w:pPr>
              <w:spacing w:after="0" w:line="240" w:lineRule="auto"/>
              <w:jc w:val="right"/>
              <w:rPr>
                <w:sz w:val="18"/>
                <w:szCs w:val="18"/>
                <w:highlight w:val="yellow"/>
                <w:lang w:eastAsia="sk-SK"/>
              </w:rPr>
            </w:pPr>
            <w:r>
              <w:rPr>
                <w:sz w:val="18"/>
                <w:szCs w:val="18"/>
                <w:lang w:eastAsia="sk-SK"/>
              </w:rPr>
              <w:t>7 559</w:t>
            </w:r>
          </w:p>
        </w:tc>
        <w:tc>
          <w:tcPr>
            <w:tcW w:w="695" w:type="pct"/>
            <w:gridSpan w:val="2"/>
            <w:tcBorders>
              <w:top w:val="nil"/>
              <w:left w:val="nil"/>
              <w:bottom w:val="nil"/>
              <w:right w:val="nil"/>
            </w:tcBorders>
            <w:shd w:val="clear" w:color="auto" w:fill="auto"/>
            <w:noWrap/>
            <w:vAlign w:val="bottom"/>
          </w:tcPr>
          <w:p w14:paraId="510B69F2" w14:textId="577FC571" w:rsidR="003A407F" w:rsidRPr="002746C4" w:rsidRDefault="003A407F" w:rsidP="003A407F">
            <w:pPr>
              <w:spacing w:after="0" w:line="240" w:lineRule="auto"/>
              <w:jc w:val="right"/>
              <w:rPr>
                <w:sz w:val="18"/>
                <w:szCs w:val="18"/>
                <w:highlight w:val="yellow"/>
                <w:lang w:eastAsia="sk-SK"/>
              </w:rPr>
            </w:pPr>
            <w:r>
              <w:rPr>
                <w:sz w:val="18"/>
                <w:szCs w:val="18"/>
                <w:lang w:eastAsia="sk-SK"/>
              </w:rPr>
              <w:t>-81 070</w:t>
            </w:r>
          </w:p>
        </w:tc>
        <w:tc>
          <w:tcPr>
            <w:tcW w:w="539" w:type="pct"/>
            <w:gridSpan w:val="2"/>
            <w:tcBorders>
              <w:top w:val="nil"/>
              <w:left w:val="nil"/>
              <w:bottom w:val="nil"/>
              <w:right w:val="nil"/>
            </w:tcBorders>
            <w:shd w:val="clear" w:color="auto" w:fill="auto"/>
            <w:noWrap/>
            <w:vAlign w:val="bottom"/>
          </w:tcPr>
          <w:p w14:paraId="3DEC3FE8" w14:textId="65701A9B"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540" w:type="pct"/>
            <w:gridSpan w:val="2"/>
            <w:tcBorders>
              <w:top w:val="nil"/>
              <w:left w:val="nil"/>
              <w:bottom w:val="nil"/>
              <w:right w:val="nil"/>
            </w:tcBorders>
            <w:shd w:val="clear" w:color="auto" w:fill="auto"/>
            <w:noWrap/>
            <w:vAlign w:val="bottom"/>
          </w:tcPr>
          <w:p w14:paraId="2B5C7CB3" w14:textId="25F690F2"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621" w:type="pct"/>
            <w:gridSpan w:val="3"/>
            <w:tcBorders>
              <w:top w:val="nil"/>
              <w:left w:val="nil"/>
              <w:bottom w:val="nil"/>
              <w:right w:val="nil"/>
            </w:tcBorders>
            <w:shd w:val="clear" w:color="auto" w:fill="auto"/>
            <w:noWrap/>
            <w:vAlign w:val="bottom"/>
          </w:tcPr>
          <w:p w14:paraId="1628BB91" w14:textId="09ACDF87" w:rsidR="003A407F" w:rsidRPr="002746C4" w:rsidRDefault="003A407F" w:rsidP="003A407F">
            <w:pPr>
              <w:spacing w:after="0" w:line="240" w:lineRule="auto"/>
              <w:jc w:val="right"/>
              <w:rPr>
                <w:sz w:val="18"/>
                <w:szCs w:val="18"/>
                <w:highlight w:val="yellow"/>
                <w:lang w:eastAsia="sk-SK"/>
              </w:rPr>
            </w:pPr>
            <w:r>
              <w:rPr>
                <w:sz w:val="18"/>
                <w:szCs w:val="18"/>
                <w:lang w:eastAsia="sk-SK"/>
              </w:rPr>
              <w:t>88 629</w:t>
            </w:r>
          </w:p>
        </w:tc>
        <w:tc>
          <w:tcPr>
            <w:tcW w:w="459" w:type="pct"/>
            <w:tcBorders>
              <w:top w:val="nil"/>
              <w:left w:val="nil"/>
              <w:bottom w:val="nil"/>
              <w:right w:val="nil"/>
            </w:tcBorders>
            <w:shd w:val="clear" w:color="auto" w:fill="auto"/>
            <w:noWrap/>
            <w:vAlign w:val="bottom"/>
          </w:tcPr>
          <w:p w14:paraId="33B069AA" w14:textId="72CC585E"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r>
      <w:tr w:rsidR="003A407F" w:rsidRPr="002746C4" w14:paraId="1726AC51"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531B8F3C" w14:textId="6EA6B0A9" w:rsidR="003A407F" w:rsidRPr="002746C4" w:rsidRDefault="003A407F" w:rsidP="003A407F">
            <w:pPr>
              <w:spacing w:after="0" w:line="240" w:lineRule="auto"/>
              <w:rPr>
                <w:color w:val="FF0000"/>
                <w:sz w:val="18"/>
                <w:szCs w:val="18"/>
                <w:highlight w:val="yellow"/>
                <w:lang w:eastAsia="sk-SK"/>
              </w:rPr>
            </w:pPr>
            <w:r w:rsidRPr="00EB51C9">
              <w:rPr>
                <w:sz w:val="18"/>
                <w:szCs w:val="18"/>
                <w:lang w:eastAsia="sk-SK"/>
              </w:rPr>
              <w:lastRenderedPageBreak/>
              <w:t>Transpetrol, a.</w:t>
            </w:r>
            <w:r>
              <w:rPr>
                <w:sz w:val="18"/>
                <w:szCs w:val="18"/>
                <w:lang w:eastAsia="sk-SK"/>
              </w:rPr>
              <w:t> </w:t>
            </w:r>
            <w:r w:rsidRPr="00EB51C9">
              <w:rPr>
                <w:sz w:val="18"/>
                <w:szCs w:val="18"/>
                <w:lang w:eastAsia="sk-SK"/>
              </w:rPr>
              <w:t>s</w:t>
            </w:r>
            <w:r>
              <w:rPr>
                <w:sz w:val="18"/>
                <w:szCs w:val="18"/>
                <w:lang w:eastAsia="sk-SK"/>
              </w:rPr>
              <w:t>.</w:t>
            </w:r>
          </w:p>
        </w:tc>
        <w:tc>
          <w:tcPr>
            <w:tcW w:w="617" w:type="pct"/>
            <w:gridSpan w:val="2"/>
            <w:tcBorders>
              <w:top w:val="nil"/>
              <w:left w:val="nil"/>
              <w:bottom w:val="nil"/>
              <w:right w:val="nil"/>
            </w:tcBorders>
            <w:shd w:val="clear" w:color="auto" w:fill="auto"/>
            <w:noWrap/>
            <w:vAlign w:val="center"/>
          </w:tcPr>
          <w:p w14:paraId="6352D739" w14:textId="1D68496F" w:rsidR="003A407F" w:rsidRPr="002746C4" w:rsidRDefault="003A407F" w:rsidP="003A407F">
            <w:pPr>
              <w:spacing w:after="0" w:line="240" w:lineRule="auto"/>
              <w:jc w:val="right"/>
              <w:rPr>
                <w:sz w:val="18"/>
                <w:szCs w:val="18"/>
                <w:highlight w:val="yellow"/>
                <w:lang w:eastAsia="sk-SK"/>
              </w:rPr>
            </w:pPr>
            <w:r w:rsidRPr="00EB51C9">
              <w:rPr>
                <w:sz w:val="18"/>
                <w:szCs w:val="18"/>
                <w:lang w:eastAsia="sk-SK"/>
              </w:rPr>
              <w:t>6 337</w:t>
            </w:r>
          </w:p>
        </w:tc>
        <w:tc>
          <w:tcPr>
            <w:tcW w:w="695" w:type="pct"/>
            <w:gridSpan w:val="2"/>
            <w:tcBorders>
              <w:top w:val="nil"/>
              <w:left w:val="nil"/>
              <w:bottom w:val="nil"/>
              <w:right w:val="nil"/>
            </w:tcBorders>
            <w:shd w:val="clear" w:color="auto" w:fill="auto"/>
            <w:noWrap/>
            <w:vAlign w:val="center"/>
          </w:tcPr>
          <w:p w14:paraId="7C178B28" w14:textId="5A99A342" w:rsidR="003A407F" w:rsidRPr="002746C4" w:rsidRDefault="003A407F" w:rsidP="003A407F">
            <w:pPr>
              <w:spacing w:after="0" w:line="240" w:lineRule="auto"/>
              <w:jc w:val="right"/>
              <w:rPr>
                <w:sz w:val="18"/>
                <w:szCs w:val="18"/>
                <w:highlight w:val="yellow"/>
                <w:lang w:eastAsia="sk-SK"/>
              </w:rPr>
            </w:pPr>
            <w:r w:rsidRPr="00EB51C9">
              <w:rPr>
                <w:sz w:val="18"/>
                <w:szCs w:val="18"/>
                <w:lang w:eastAsia="sk-SK"/>
              </w:rPr>
              <w:t>8 087</w:t>
            </w:r>
          </w:p>
        </w:tc>
        <w:tc>
          <w:tcPr>
            <w:tcW w:w="539" w:type="pct"/>
            <w:gridSpan w:val="2"/>
            <w:tcBorders>
              <w:top w:val="nil"/>
              <w:left w:val="nil"/>
              <w:bottom w:val="nil"/>
              <w:right w:val="nil"/>
            </w:tcBorders>
            <w:shd w:val="clear" w:color="auto" w:fill="auto"/>
            <w:noWrap/>
            <w:vAlign w:val="center"/>
          </w:tcPr>
          <w:p w14:paraId="2E427B7D" w14:textId="7EDC6E73" w:rsidR="003A407F" w:rsidRPr="002746C4" w:rsidRDefault="003A407F" w:rsidP="003A407F">
            <w:pPr>
              <w:spacing w:after="0" w:line="240" w:lineRule="auto"/>
              <w:jc w:val="right"/>
              <w:rPr>
                <w:sz w:val="18"/>
                <w:szCs w:val="18"/>
                <w:highlight w:val="yellow"/>
                <w:lang w:eastAsia="sk-SK"/>
              </w:rPr>
            </w:pPr>
            <w:r>
              <w:rPr>
                <w:sz w:val="18"/>
                <w:szCs w:val="18"/>
                <w:lang w:eastAsia="sk-SK"/>
              </w:rPr>
              <w:t>-1 500</w:t>
            </w:r>
          </w:p>
        </w:tc>
        <w:tc>
          <w:tcPr>
            <w:tcW w:w="540" w:type="pct"/>
            <w:gridSpan w:val="2"/>
            <w:tcBorders>
              <w:top w:val="nil"/>
              <w:left w:val="nil"/>
              <w:bottom w:val="nil"/>
              <w:right w:val="nil"/>
            </w:tcBorders>
            <w:shd w:val="clear" w:color="auto" w:fill="auto"/>
            <w:noWrap/>
            <w:vAlign w:val="center"/>
          </w:tcPr>
          <w:p w14:paraId="47882AEC" w14:textId="5A63B0EF"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621" w:type="pct"/>
            <w:gridSpan w:val="3"/>
            <w:tcBorders>
              <w:top w:val="nil"/>
              <w:left w:val="nil"/>
              <w:bottom w:val="nil"/>
              <w:right w:val="nil"/>
            </w:tcBorders>
            <w:shd w:val="clear" w:color="auto" w:fill="auto"/>
            <w:noWrap/>
            <w:vAlign w:val="center"/>
          </w:tcPr>
          <w:p w14:paraId="4DE388A2" w14:textId="19223C74"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459" w:type="pct"/>
            <w:tcBorders>
              <w:top w:val="nil"/>
              <w:left w:val="nil"/>
              <w:bottom w:val="nil"/>
              <w:right w:val="nil"/>
            </w:tcBorders>
            <w:shd w:val="clear" w:color="auto" w:fill="auto"/>
            <w:noWrap/>
            <w:vAlign w:val="center"/>
          </w:tcPr>
          <w:p w14:paraId="2CFD9415" w14:textId="35C9F4A0"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54848" behindDoc="0" locked="0" layoutInCell="1" allowOverlap="1" wp14:anchorId="1FBA8095" wp14:editId="50E3A187">
                  <wp:simplePos x="0" y="0"/>
                  <wp:positionH relativeFrom="column">
                    <wp:posOffset>0</wp:posOffset>
                  </wp:positionH>
                  <wp:positionV relativeFrom="paragraph">
                    <wp:posOffset>0</wp:posOffset>
                  </wp:positionV>
                  <wp:extent cx="123825" cy="123825"/>
                  <wp:effectExtent l="0" t="0" r="9525" b="9525"/>
                  <wp:wrapNone/>
                  <wp:docPr id="1282592247" name="Obrázok 27" descr="D6ZNRZJ7EX4GZT9RO8LE0C905" hidden="1"/>
                  <wp:cNvGraphicFramePr/>
                  <a:graphic xmlns:a="http://schemas.openxmlformats.org/drawingml/2006/main">
                    <a:graphicData uri="http://schemas.openxmlformats.org/drawingml/2006/picture">
                      <pic:pic xmlns:pic="http://schemas.openxmlformats.org/drawingml/2006/picture">
                        <pic:nvPicPr>
                          <pic:cNvPr id="44" name="BExQEGJP61DL2NZY6LMBHBZ0J5YT" descr="D6ZNRZJ7EX4GZT9RO8LE0C905"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55872" behindDoc="0" locked="0" layoutInCell="1" allowOverlap="1" wp14:anchorId="47B8AA3C" wp14:editId="126792BF">
                  <wp:simplePos x="0" y="0"/>
                  <wp:positionH relativeFrom="column">
                    <wp:posOffset>0</wp:posOffset>
                  </wp:positionH>
                  <wp:positionV relativeFrom="paragraph">
                    <wp:posOffset>0</wp:posOffset>
                  </wp:positionV>
                  <wp:extent cx="123825" cy="123825"/>
                  <wp:effectExtent l="0" t="0" r="9525" b="9525"/>
                  <wp:wrapNone/>
                  <wp:docPr id="105533531" name="Obrázok 26" descr="9D4GQ34QB727H10MA3SSAR2R9" hidden="1"/>
                  <wp:cNvGraphicFramePr/>
                  <a:graphic xmlns:a="http://schemas.openxmlformats.org/drawingml/2006/main">
                    <a:graphicData uri="http://schemas.openxmlformats.org/drawingml/2006/picture">
                      <pic:pic xmlns:pic="http://schemas.openxmlformats.org/drawingml/2006/picture">
                        <pic:nvPicPr>
                          <pic:cNvPr id="211"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56896" behindDoc="0" locked="0" layoutInCell="1" allowOverlap="1" wp14:anchorId="2A755FC9" wp14:editId="73E876E9">
                  <wp:simplePos x="0" y="0"/>
                  <wp:positionH relativeFrom="column">
                    <wp:posOffset>0</wp:posOffset>
                  </wp:positionH>
                  <wp:positionV relativeFrom="paragraph">
                    <wp:posOffset>0</wp:posOffset>
                  </wp:positionV>
                  <wp:extent cx="123825" cy="123825"/>
                  <wp:effectExtent l="0" t="0" r="9525" b="9525"/>
                  <wp:wrapNone/>
                  <wp:docPr id="2146579081" name="Obrázok 25" descr="MEW27CPIFG44B7E7HEQUUF5QF" hidden="1"/>
                  <wp:cNvGraphicFramePr/>
                  <a:graphic xmlns:a="http://schemas.openxmlformats.org/drawingml/2006/main">
                    <a:graphicData uri="http://schemas.openxmlformats.org/drawingml/2006/picture">
                      <pic:pic xmlns:pic="http://schemas.openxmlformats.org/drawingml/2006/picture">
                        <pic:nvPicPr>
                          <pic:cNvPr id="212"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57920" behindDoc="0" locked="0" layoutInCell="1" allowOverlap="1" wp14:anchorId="3826C121" wp14:editId="41CBEBD3">
                  <wp:simplePos x="0" y="0"/>
                  <wp:positionH relativeFrom="column">
                    <wp:posOffset>0</wp:posOffset>
                  </wp:positionH>
                  <wp:positionV relativeFrom="paragraph">
                    <wp:posOffset>0</wp:posOffset>
                  </wp:positionV>
                  <wp:extent cx="123825" cy="123825"/>
                  <wp:effectExtent l="0" t="0" r="9525" b="9525"/>
                  <wp:wrapNone/>
                  <wp:docPr id="360341747" name="Obrázok 24" descr="9D4GQ34QB727H10MA3SSAR2R9" hidden="1"/>
                  <wp:cNvGraphicFramePr/>
                  <a:graphic xmlns:a="http://schemas.openxmlformats.org/drawingml/2006/main">
                    <a:graphicData uri="http://schemas.openxmlformats.org/drawingml/2006/picture">
                      <pic:pic xmlns:pic="http://schemas.openxmlformats.org/drawingml/2006/picture">
                        <pic:nvPicPr>
                          <pic:cNvPr id="213"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58944" behindDoc="0" locked="0" layoutInCell="1" allowOverlap="1" wp14:anchorId="4722D984" wp14:editId="1EFF6AF5">
                  <wp:simplePos x="0" y="0"/>
                  <wp:positionH relativeFrom="column">
                    <wp:posOffset>0</wp:posOffset>
                  </wp:positionH>
                  <wp:positionV relativeFrom="paragraph">
                    <wp:posOffset>0</wp:posOffset>
                  </wp:positionV>
                  <wp:extent cx="123825" cy="123825"/>
                  <wp:effectExtent l="0" t="0" r="9525" b="9525"/>
                  <wp:wrapNone/>
                  <wp:docPr id="267913458" name="Obrázok 23" descr="MEW27CPIFG44B7E7HEQUUF5QF" hidden="1"/>
                  <wp:cNvGraphicFramePr/>
                  <a:graphic xmlns:a="http://schemas.openxmlformats.org/drawingml/2006/main">
                    <a:graphicData uri="http://schemas.openxmlformats.org/drawingml/2006/picture">
                      <pic:pic xmlns:pic="http://schemas.openxmlformats.org/drawingml/2006/picture">
                        <pic:nvPicPr>
                          <pic:cNvPr id="214"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sz w:val="18"/>
                <w:szCs w:val="18"/>
                <w:lang w:eastAsia="sk-SK"/>
              </w:rPr>
              <w:t>-250</w:t>
            </w:r>
          </w:p>
        </w:tc>
      </w:tr>
      <w:tr w:rsidR="003A407F" w:rsidRPr="002746C4" w14:paraId="46EF935D"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41AD6C3A" w14:textId="52A38F40" w:rsidR="003A407F" w:rsidRPr="002746C4" w:rsidRDefault="003A407F" w:rsidP="003A407F">
            <w:pPr>
              <w:spacing w:after="0" w:line="240" w:lineRule="auto"/>
              <w:rPr>
                <w:sz w:val="18"/>
                <w:szCs w:val="18"/>
                <w:highlight w:val="yellow"/>
                <w:lang w:eastAsia="sk-SK"/>
              </w:rPr>
            </w:pPr>
            <w:r>
              <w:rPr>
                <w:sz w:val="18"/>
                <w:szCs w:val="18"/>
                <w:lang w:eastAsia="sk-SK"/>
              </w:rPr>
              <w:t>Letecké opravovne Trenčín, a. s.</w:t>
            </w:r>
          </w:p>
        </w:tc>
        <w:tc>
          <w:tcPr>
            <w:tcW w:w="617" w:type="pct"/>
            <w:gridSpan w:val="2"/>
            <w:tcBorders>
              <w:top w:val="nil"/>
              <w:left w:val="nil"/>
              <w:bottom w:val="nil"/>
              <w:right w:val="nil"/>
            </w:tcBorders>
            <w:shd w:val="clear" w:color="auto" w:fill="auto"/>
            <w:noWrap/>
            <w:vAlign w:val="center"/>
          </w:tcPr>
          <w:p w14:paraId="351DCDE1" w14:textId="501C5689" w:rsidR="003A407F" w:rsidRPr="002746C4" w:rsidRDefault="003A407F" w:rsidP="003A407F">
            <w:pPr>
              <w:spacing w:after="0" w:line="240" w:lineRule="auto"/>
              <w:jc w:val="right"/>
              <w:rPr>
                <w:sz w:val="18"/>
                <w:szCs w:val="18"/>
                <w:highlight w:val="yellow"/>
                <w:lang w:eastAsia="sk-SK"/>
              </w:rPr>
            </w:pPr>
            <w:r>
              <w:rPr>
                <w:sz w:val="18"/>
                <w:szCs w:val="18"/>
                <w:lang w:eastAsia="sk-SK"/>
              </w:rPr>
              <w:t>-4 544</w:t>
            </w:r>
          </w:p>
        </w:tc>
        <w:tc>
          <w:tcPr>
            <w:tcW w:w="695" w:type="pct"/>
            <w:gridSpan w:val="2"/>
            <w:tcBorders>
              <w:top w:val="nil"/>
              <w:left w:val="nil"/>
              <w:bottom w:val="nil"/>
              <w:right w:val="nil"/>
            </w:tcBorders>
            <w:shd w:val="clear" w:color="auto" w:fill="auto"/>
            <w:noWrap/>
            <w:vAlign w:val="center"/>
          </w:tcPr>
          <w:p w14:paraId="536FFE4A" w14:textId="674B0B20" w:rsidR="003A407F" w:rsidRPr="002746C4" w:rsidRDefault="003A407F" w:rsidP="003A407F">
            <w:pPr>
              <w:spacing w:after="0" w:line="240" w:lineRule="auto"/>
              <w:jc w:val="right"/>
              <w:rPr>
                <w:sz w:val="18"/>
                <w:szCs w:val="18"/>
                <w:highlight w:val="yellow"/>
                <w:lang w:eastAsia="sk-SK"/>
              </w:rPr>
            </w:pPr>
            <w:r>
              <w:rPr>
                <w:sz w:val="18"/>
                <w:szCs w:val="18"/>
                <w:lang w:eastAsia="sk-SK"/>
              </w:rPr>
              <w:t>-4 505</w:t>
            </w:r>
          </w:p>
        </w:tc>
        <w:tc>
          <w:tcPr>
            <w:tcW w:w="539" w:type="pct"/>
            <w:gridSpan w:val="2"/>
            <w:tcBorders>
              <w:top w:val="nil"/>
              <w:left w:val="nil"/>
              <w:bottom w:val="nil"/>
              <w:right w:val="nil"/>
            </w:tcBorders>
            <w:shd w:val="clear" w:color="auto" w:fill="auto"/>
            <w:noWrap/>
            <w:vAlign w:val="center"/>
          </w:tcPr>
          <w:p w14:paraId="0A7B36A7" w14:textId="47F2F9AA"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540" w:type="pct"/>
            <w:gridSpan w:val="2"/>
            <w:tcBorders>
              <w:top w:val="nil"/>
              <w:left w:val="nil"/>
              <w:bottom w:val="nil"/>
              <w:right w:val="nil"/>
            </w:tcBorders>
            <w:shd w:val="clear" w:color="auto" w:fill="auto"/>
            <w:noWrap/>
            <w:vAlign w:val="center"/>
          </w:tcPr>
          <w:p w14:paraId="33EC4902" w14:textId="512CEE09"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621" w:type="pct"/>
            <w:gridSpan w:val="3"/>
            <w:tcBorders>
              <w:top w:val="nil"/>
              <w:left w:val="nil"/>
              <w:bottom w:val="nil"/>
              <w:right w:val="nil"/>
            </w:tcBorders>
            <w:shd w:val="clear" w:color="auto" w:fill="auto"/>
            <w:noWrap/>
            <w:vAlign w:val="center"/>
          </w:tcPr>
          <w:p w14:paraId="0AB9AF3E" w14:textId="0504C622"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459" w:type="pct"/>
            <w:tcBorders>
              <w:top w:val="nil"/>
              <w:left w:val="nil"/>
              <w:bottom w:val="nil"/>
              <w:right w:val="nil"/>
            </w:tcBorders>
            <w:shd w:val="clear" w:color="auto" w:fill="auto"/>
            <w:noWrap/>
            <w:vAlign w:val="center"/>
          </w:tcPr>
          <w:p w14:paraId="10848504" w14:textId="4428FD68" w:rsidR="003A407F" w:rsidRPr="002746C4" w:rsidRDefault="003A407F" w:rsidP="003A407F">
            <w:pPr>
              <w:spacing w:after="0" w:line="240" w:lineRule="auto"/>
              <w:jc w:val="right"/>
              <w:rPr>
                <w:sz w:val="18"/>
                <w:szCs w:val="18"/>
                <w:highlight w:val="yellow"/>
                <w:lang w:eastAsia="sk-SK"/>
              </w:rPr>
            </w:pPr>
            <w:r>
              <w:rPr>
                <w:sz w:val="18"/>
                <w:szCs w:val="18"/>
                <w:lang w:eastAsia="sk-SK"/>
              </w:rPr>
              <w:t>-39</w:t>
            </w:r>
          </w:p>
        </w:tc>
      </w:tr>
      <w:tr w:rsidR="003A407F" w:rsidRPr="002746C4" w14:paraId="0D29F605"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6FF5375D" w14:textId="11339F15" w:rsidR="003A407F" w:rsidRPr="002746C4" w:rsidRDefault="003A407F" w:rsidP="003A407F">
            <w:pPr>
              <w:spacing w:after="0" w:line="240" w:lineRule="auto"/>
              <w:rPr>
                <w:sz w:val="18"/>
                <w:szCs w:val="18"/>
                <w:highlight w:val="yellow"/>
                <w:lang w:eastAsia="sk-SK"/>
              </w:rPr>
            </w:pPr>
            <w:r>
              <w:rPr>
                <w:sz w:val="18"/>
                <w:szCs w:val="18"/>
                <w:lang w:eastAsia="sk-SK"/>
              </w:rPr>
              <w:t>Stredosl. energetika Holding, a. s.</w:t>
            </w:r>
          </w:p>
        </w:tc>
        <w:tc>
          <w:tcPr>
            <w:tcW w:w="617" w:type="pct"/>
            <w:gridSpan w:val="2"/>
            <w:tcBorders>
              <w:top w:val="nil"/>
              <w:left w:val="nil"/>
              <w:bottom w:val="nil"/>
              <w:right w:val="nil"/>
            </w:tcBorders>
            <w:shd w:val="clear" w:color="auto" w:fill="auto"/>
            <w:noWrap/>
            <w:vAlign w:val="center"/>
          </w:tcPr>
          <w:p w14:paraId="2D59F029" w14:textId="353890F6" w:rsidR="003A407F" w:rsidRPr="002746C4" w:rsidRDefault="003A407F" w:rsidP="003A407F">
            <w:pPr>
              <w:spacing w:after="0" w:line="240" w:lineRule="auto"/>
              <w:jc w:val="right"/>
              <w:rPr>
                <w:sz w:val="18"/>
                <w:szCs w:val="18"/>
                <w:highlight w:val="yellow"/>
                <w:lang w:eastAsia="sk-SK"/>
              </w:rPr>
            </w:pPr>
            <w:r>
              <w:rPr>
                <w:sz w:val="18"/>
                <w:szCs w:val="18"/>
                <w:lang w:eastAsia="sk-SK"/>
              </w:rPr>
              <w:t>-11 182</w:t>
            </w:r>
          </w:p>
        </w:tc>
        <w:tc>
          <w:tcPr>
            <w:tcW w:w="695" w:type="pct"/>
            <w:gridSpan w:val="2"/>
            <w:tcBorders>
              <w:top w:val="nil"/>
              <w:left w:val="nil"/>
              <w:bottom w:val="nil"/>
              <w:right w:val="nil"/>
            </w:tcBorders>
            <w:shd w:val="clear" w:color="auto" w:fill="auto"/>
            <w:noWrap/>
            <w:vAlign w:val="center"/>
          </w:tcPr>
          <w:p w14:paraId="6E5F14A8" w14:textId="5A3DBFF5" w:rsidR="003A407F" w:rsidRPr="002746C4" w:rsidRDefault="003A407F" w:rsidP="003A407F">
            <w:pPr>
              <w:spacing w:after="0" w:line="240" w:lineRule="auto"/>
              <w:jc w:val="right"/>
              <w:rPr>
                <w:sz w:val="18"/>
                <w:szCs w:val="18"/>
                <w:highlight w:val="yellow"/>
                <w:lang w:eastAsia="sk-SK"/>
              </w:rPr>
            </w:pPr>
            <w:r>
              <w:rPr>
                <w:sz w:val="18"/>
                <w:szCs w:val="18"/>
                <w:lang w:eastAsia="sk-SK"/>
              </w:rPr>
              <w:t>64 865</w:t>
            </w:r>
          </w:p>
        </w:tc>
        <w:tc>
          <w:tcPr>
            <w:tcW w:w="539" w:type="pct"/>
            <w:gridSpan w:val="2"/>
            <w:tcBorders>
              <w:top w:val="nil"/>
              <w:left w:val="nil"/>
              <w:bottom w:val="nil"/>
              <w:right w:val="nil"/>
            </w:tcBorders>
            <w:shd w:val="clear" w:color="auto" w:fill="auto"/>
            <w:noWrap/>
            <w:vAlign w:val="center"/>
          </w:tcPr>
          <w:p w14:paraId="50A860F9" w14:textId="4B459D89" w:rsidR="003A407F" w:rsidRPr="002746C4" w:rsidRDefault="003A407F" w:rsidP="003A407F">
            <w:pPr>
              <w:spacing w:after="0" w:line="240" w:lineRule="auto"/>
              <w:jc w:val="right"/>
              <w:rPr>
                <w:sz w:val="18"/>
                <w:szCs w:val="18"/>
                <w:highlight w:val="yellow"/>
                <w:lang w:eastAsia="sk-SK"/>
              </w:rPr>
            </w:pPr>
            <w:r>
              <w:rPr>
                <w:sz w:val="18"/>
                <w:szCs w:val="18"/>
                <w:lang w:eastAsia="sk-SK"/>
              </w:rPr>
              <w:t>-76 047</w:t>
            </w:r>
          </w:p>
        </w:tc>
        <w:tc>
          <w:tcPr>
            <w:tcW w:w="540" w:type="pct"/>
            <w:gridSpan w:val="2"/>
            <w:tcBorders>
              <w:top w:val="nil"/>
              <w:left w:val="nil"/>
              <w:bottom w:val="nil"/>
              <w:right w:val="nil"/>
            </w:tcBorders>
            <w:shd w:val="clear" w:color="auto" w:fill="auto"/>
            <w:noWrap/>
            <w:vAlign w:val="center"/>
          </w:tcPr>
          <w:p w14:paraId="669D18AE" w14:textId="0A9DC6F8"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621" w:type="pct"/>
            <w:gridSpan w:val="3"/>
            <w:tcBorders>
              <w:top w:val="nil"/>
              <w:left w:val="nil"/>
              <w:bottom w:val="nil"/>
              <w:right w:val="nil"/>
            </w:tcBorders>
            <w:shd w:val="clear" w:color="auto" w:fill="auto"/>
            <w:noWrap/>
            <w:vAlign w:val="center"/>
          </w:tcPr>
          <w:p w14:paraId="33C8BE74" w14:textId="70BD1372"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c>
          <w:tcPr>
            <w:tcW w:w="459" w:type="pct"/>
            <w:tcBorders>
              <w:top w:val="nil"/>
              <w:left w:val="nil"/>
              <w:bottom w:val="nil"/>
              <w:right w:val="nil"/>
            </w:tcBorders>
            <w:shd w:val="clear" w:color="auto" w:fill="auto"/>
            <w:noWrap/>
            <w:vAlign w:val="center"/>
          </w:tcPr>
          <w:p w14:paraId="373F298E" w14:textId="33D094FA" w:rsidR="003A407F" w:rsidRPr="002746C4" w:rsidRDefault="003A407F" w:rsidP="003A407F">
            <w:pPr>
              <w:spacing w:after="0" w:line="240" w:lineRule="auto"/>
              <w:jc w:val="right"/>
              <w:rPr>
                <w:sz w:val="18"/>
                <w:szCs w:val="18"/>
                <w:highlight w:val="yellow"/>
                <w:lang w:eastAsia="sk-SK"/>
              </w:rPr>
            </w:pPr>
            <w:r>
              <w:rPr>
                <w:sz w:val="18"/>
                <w:szCs w:val="18"/>
                <w:lang w:eastAsia="sk-SK"/>
              </w:rPr>
              <w:t>0</w:t>
            </w:r>
          </w:p>
        </w:tc>
      </w:tr>
      <w:tr w:rsidR="003A407F" w:rsidRPr="002746C4" w14:paraId="00C22DB1"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1DCFD198" w14:textId="205BBE81" w:rsidR="003A407F" w:rsidRPr="002746C4" w:rsidRDefault="003A407F" w:rsidP="003A407F">
            <w:pPr>
              <w:spacing w:after="0" w:line="240" w:lineRule="auto"/>
              <w:rPr>
                <w:sz w:val="18"/>
                <w:szCs w:val="18"/>
                <w:highlight w:val="yellow"/>
                <w:lang w:eastAsia="sk-SK"/>
              </w:rPr>
            </w:pPr>
            <w:r w:rsidRPr="00E9700B">
              <w:rPr>
                <w:sz w:val="18"/>
                <w:szCs w:val="18"/>
                <w:lang w:eastAsia="sk-SK"/>
              </w:rPr>
              <w:t>Slov.</w:t>
            </w:r>
            <w:r>
              <w:rPr>
                <w:sz w:val="18"/>
                <w:szCs w:val="18"/>
                <w:lang w:eastAsia="sk-SK"/>
              </w:rPr>
              <w:t> </w:t>
            </w:r>
            <w:r w:rsidR="00C168B6">
              <w:rPr>
                <w:sz w:val="18"/>
                <w:szCs w:val="18"/>
                <w:lang w:eastAsia="sk-SK"/>
              </w:rPr>
              <w:t>elektr.</w:t>
            </w:r>
            <w:r w:rsidRPr="00E9700B">
              <w:rPr>
                <w:sz w:val="18"/>
                <w:szCs w:val="18"/>
                <w:lang w:eastAsia="sk-SK"/>
              </w:rPr>
              <w:t> prenos. sústava, a.</w:t>
            </w:r>
            <w:r>
              <w:rPr>
                <w:sz w:val="18"/>
                <w:szCs w:val="18"/>
                <w:lang w:eastAsia="sk-SK"/>
              </w:rPr>
              <w:t> </w:t>
            </w:r>
            <w:r w:rsidRPr="00E9700B">
              <w:rPr>
                <w:sz w:val="18"/>
                <w:szCs w:val="18"/>
                <w:lang w:eastAsia="sk-SK"/>
              </w:rPr>
              <w:t>s.</w:t>
            </w:r>
          </w:p>
        </w:tc>
        <w:tc>
          <w:tcPr>
            <w:tcW w:w="617" w:type="pct"/>
            <w:gridSpan w:val="2"/>
            <w:tcBorders>
              <w:top w:val="nil"/>
              <w:left w:val="nil"/>
              <w:bottom w:val="nil"/>
              <w:right w:val="nil"/>
            </w:tcBorders>
            <w:shd w:val="clear" w:color="auto" w:fill="auto"/>
            <w:noWrap/>
            <w:vAlign w:val="bottom"/>
          </w:tcPr>
          <w:p w14:paraId="48A87B67" w14:textId="0881352C" w:rsidR="003A407F" w:rsidRPr="002746C4" w:rsidRDefault="003A407F" w:rsidP="003A407F">
            <w:pPr>
              <w:spacing w:after="0" w:line="240" w:lineRule="auto"/>
              <w:jc w:val="right"/>
              <w:rPr>
                <w:sz w:val="18"/>
                <w:szCs w:val="18"/>
                <w:highlight w:val="yellow"/>
                <w:lang w:eastAsia="sk-SK"/>
              </w:rPr>
            </w:pPr>
            <w:r w:rsidRPr="00E9700B">
              <w:rPr>
                <w:sz w:val="18"/>
                <w:szCs w:val="18"/>
                <w:lang w:eastAsia="sk-SK"/>
              </w:rPr>
              <w:t>-13 681</w:t>
            </w:r>
          </w:p>
        </w:tc>
        <w:tc>
          <w:tcPr>
            <w:tcW w:w="695" w:type="pct"/>
            <w:gridSpan w:val="2"/>
            <w:tcBorders>
              <w:top w:val="nil"/>
              <w:left w:val="nil"/>
              <w:bottom w:val="nil"/>
              <w:right w:val="nil"/>
            </w:tcBorders>
            <w:shd w:val="clear" w:color="auto" w:fill="auto"/>
            <w:noWrap/>
            <w:vAlign w:val="bottom"/>
          </w:tcPr>
          <w:p w14:paraId="0292E754" w14:textId="68A5D5C1" w:rsidR="003A407F" w:rsidRPr="002746C4" w:rsidRDefault="003A407F" w:rsidP="003A407F">
            <w:pPr>
              <w:spacing w:after="0" w:line="240" w:lineRule="auto"/>
              <w:jc w:val="right"/>
              <w:rPr>
                <w:sz w:val="18"/>
                <w:szCs w:val="18"/>
                <w:highlight w:val="yellow"/>
                <w:lang w:eastAsia="sk-SK"/>
              </w:rPr>
            </w:pPr>
            <w:r>
              <w:rPr>
                <w:sz w:val="18"/>
                <w:szCs w:val="18"/>
                <w:lang w:eastAsia="sk-SK"/>
              </w:rPr>
              <w:t>71 058</w:t>
            </w:r>
          </w:p>
        </w:tc>
        <w:tc>
          <w:tcPr>
            <w:tcW w:w="539" w:type="pct"/>
            <w:gridSpan w:val="2"/>
            <w:tcBorders>
              <w:top w:val="nil"/>
              <w:left w:val="nil"/>
              <w:bottom w:val="nil"/>
              <w:right w:val="nil"/>
            </w:tcBorders>
            <w:shd w:val="clear" w:color="auto" w:fill="auto"/>
            <w:noWrap/>
            <w:vAlign w:val="bottom"/>
          </w:tcPr>
          <w:p w14:paraId="58C12AE0" w14:textId="3572125E" w:rsidR="003A407F" w:rsidRPr="002746C4" w:rsidRDefault="003A407F" w:rsidP="003A407F">
            <w:pPr>
              <w:spacing w:after="0" w:line="240" w:lineRule="auto"/>
              <w:jc w:val="right"/>
              <w:rPr>
                <w:sz w:val="18"/>
                <w:szCs w:val="18"/>
                <w:highlight w:val="yellow"/>
                <w:lang w:eastAsia="sk-SK"/>
              </w:rPr>
            </w:pPr>
            <w:r>
              <w:rPr>
                <w:sz w:val="18"/>
                <w:szCs w:val="18"/>
                <w:lang w:eastAsia="sk-SK"/>
              </w:rPr>
              <w:t>-79 338</w:t>
            </w:r>
          </w:p>
        </w:tc>
        <w:tc>
          <w:tcPr>
            <w:tcW w:w="540" w:type="pct"/>
            <w:gridSpan w:val="2"/>
            <w:tcBorders>
              <w:top w:val="nil"/>
              <w:left w:val="nil"/>
              <w:bottom w:val="nil"/>
              <w:right w:val="nil"/>
            </w:tcBorders>
            <w:shd w:val="clear" w:color="auto" w:fill="auto"/>
            <w:noWrap/>
            <w:vAlign w:val="bottom"/>
          </w:tcPr>
          <w:p w14:paraId="0596B769" w14:textId="0CA0AF7F"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59968" behindDoc="0" locked="0" layoutInCell="1" allowOverlap="1" wp14:anchorId="0B7941BA" wp14:editId="45DB44F3">
                  <wp:simplePos x="0" y="0"/>
                  <wp:positionH relativeFrom="column">
                    <wp:posOffset>0</wp:posOffset>
                  </wp:positionH>
                  <wp:positionV relativeFrom="paragraph">
                    <wp:posOffset>0</wp:posOffset>
                  </wp:positionV>
                  <wp:extent cx="123825" cy="123825"/>
                  <wp:effectExtent l="0" t="0" r="9525" b="9525"/>
                  <wp:wrapNone/>
                  <wp:docPr id="2132331486" name="Obrázok 22" descr="9D4GQ34QB727H10MA3SSAR2R9" hidden="1"/>
                  <wp:cNvGraphicFramePr/>
                  <a:graphic xmlns:a="http://schemas.openxmlformats.org/drawingml/2006/main">
                    <a:graphicData uri="http://schemas.openxmlformats.org/drawingml/2006/picture">
                      <pic:pic xmlns:pic="http://schemas.openxmlformats.org/drawingml/2006/picture">
                        <pic:nvPicPr>
                          <pic:cNvPr id="536"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60992" behindDoc="0" locked="0" layoutInCell="1" allowOverlap="1" wp14:anchorId="07F109F4" wp14:editId="451789CA">
                  <wp:simplePos x="0" y="0"/>
                  <wp:positionH relativeFrom="column">
                    <wp:posOffset>0</wp:posOffset>
                  </wp:positionH>
                  <wp:positionV relativeFrom="paragraph">
                    <wp:posOffset>0</wp:posOffset>
                  </wp:positionV>
                  <wp:extent cx="123825" cy="123825"/>
                  <wp:effectExtent l="0" t="0" r="9525" b="9525"/>
                  <wp:wrapNone/>
                  <wp:docPr id="311064743" name="Obrázok 21" descr="MEW27CPIFG44B7E7HEQUUF5QF" hidden="1"/>
                  <wp:cNvGraphicFramePr/>
                  <a:graphic xmlns:a="http://schemas.openxmlformats.org/drawingml/2006/main">
                    <a:graphicData uri="http://schemas.openxmlformats.org/drawingml/2006/picture">
                      <pic:pic xmlns:pic="http://schemas.openxmlformats.org/drawingml/2006/picture">
                        <pic:nvPicPr>
                          <pic:cNvPr id="537"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62016" behindDoc="0" locked="0" layoutInCell="1" allowOverlap="1" wp14:anchorId="330DF468" wp14:editId="39661472">
                  <wp:simplePos x="0" y="0"/>
                  <wp:positionH relativeFrom="column">
                    <wp:posOffset>0</wp:posOffset>
                  </wp:positionH>
                  <wp:positionV relativeFrom="paragraph">
                    <wp:posOffset>0</wp:posOffset>
                  </wp:positionV>
                  <wp:extent cx="123825" cy="123825"/>
                  <wp:effectExtent l="0" t="0" r="9525" b="9525"/>
                  <wp:wrapNone/>
                  <wp:docPr id="117700570" name="Obrázok 20" descr="9D4GQ34QB727H10MA3SSAR2R9" hidden="1"/>
                  <wp:cNvGraphicFramePr/>
                  <a:graphic xmlns:a="http://schemas.openxmlformats.org/drawingml/2006/main">
                    <a:graphicData uri="http://schemas.openxmlformats.org/drawingml/2006/picture">
                      <pic:pic xmlns:pic="http://schemas.openxmlformats.org/drawingml/2006/picture">
                        <pic:nvPicPr>
                          <pic:cNvPr id="538"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63040" behindDoc="0" locked="0" layoutInCell="1" allowOverlap="1" wp14:anchorId="1C2B2B03" wp14:editId="3F1DE483">
                  <wp:simplePos x="0" y="0"/>
                  <wp:positionH relativeFrom="column">
                    <wp:posOffset>0</wp:posOffset>
                  </wp:positionH>
                  <wp:positionV relativeFrom="paragraph">
                    <wp:posOffset>0</wp:posOffset>
                  </wp:positionV>
                  <wp:extent cx="123825" cy="123825"/>
                  <wp:effectExtent l="0" t="0" r="9525" b="9525"/>
                  <wp:wrapNone/>
                  <wp:docPr id="31973312" name="Obrázok 19" descr="MEW27CPIFG44B7E7HEQUUF5QF" hidden="1"/>
                  <wp:cNvGraphicFramePr/>
                  <a:graphic xmlns:a="http://schemas.openxmlformats.org/drawingml/2006/main">
                    <a:graphicData uri="http://schemas.openxmlformats.org/drawingml/2006/picture">
                      <pic:pic xmlns:pic="http://schemas.openxmlformats.org/drawingml/2006/picture">
                        <pic:nvPicPr>
                          <pic:cNvPr id="539"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sz w:val="18"/>
                <w:szCs w:val="18"/>
                <w:lang w:eastAsia="sk-SK"/>
              </w:rPr>
              <w:t>-5 401</w:t>
            </w:r>
          </w:p>
        </w:tc>
        <w:tc>
          <w:tcPr>
            <w:tcW w:w="621" w:type="pct"/>
            <w:gridSpan w:val="3"/>
            <w:tcBorders>
              <w:top w:val="nil"/>
              <w:left w:val="nil"/>
              <w:bottom w:val="nil"/>
              <w:right w:val="nil"/>
            </w:tcBorders>
            <w:shd w:val="clear" w:color="auto" w:fill="auto"/>
            <w:noWrap/>
            <w:vAlign w:val="bottom"/>
          </w:tcPr>
          <w:p w14:paraId="0206EE12" w14:textId="02D88D92" w:rsidR="003A407F" w:rsidRPr="002746C4" w:rsidRDefault="003A407F" w:rsidP="003A407F">
            <w:pPr>
              <w:spacing w:after="0" w:line="240" w:lineRule="auto"/>
              <w:jc w:val="right"/>
              <w:rPr>
                <w:sz w:val="18"/>
                <w:szCs w:val="18"/>
                <w:highlight w:val="yellow"/>
                <w:lang w:eastAsia="sk-SK"/>
              </w:rPr>
            </w:pPr>
            <w:r w:rsidRPr="00E9700B">
              <w:rPr>
                <w:sz w:val="18"/>
                <w:szCs w:val="18"/>
                <w:lang w:eastAsia="sk-SK"/>
              </w:rPr>
              <w:t>0</w:t>
            </w:r>
          </w:p>
        </w:tc>
        <w:tc>
          <w:tcPr>
            <w:tcW w:w="459" w:type="pct"/>
            <w:tcBorders>
              <w:top w:val="nil"/>
              <w:left w:val="nil"/>
              <w:bottom w:val="nil"/>
              <w:right w:val="nil"/>
            </w:tcBorders>
            <w:shd w:val="clear" w:color="auto" w:fill="auto"/>
            <w:noWrap/>
            <w:vAlign w:val="bottom"/>
          </w:tcPr>
          <w:p w14:paraId="5EE7E17C" w14:textId="66412437"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64064" behindDoc="0" locked="0" layoutInCell="1" allowOverlap="1" wp14:anchorId="6C173363" wp14:editId="511B3BE6">
                  <wp:simplePos x="0" y="0"/>
                  <wp:positionH relativeFrom="column">
                    <wp:posOffset>0</wp:posOffset>
                  </wp:positionH>
                  <wp:positionV relativeFrom="paragraph">
                    <wp:posOffset>0</wp:posOffset>
                  </wp:positionV>
                  <wp:extent cx="123825" cy="123825"/>
                  <wp:effectExtent l="0" t="0" r="9525" b="9525"/>
                  <wp:wrapNone/>
                  <wp:docPr id="954776021" name="Obrázok 18" descr="9D4GQ34QB727H10MA3SSAR2R9" hidden="1"/>
                  <wp:cNvGraphicFramePr/>
                  <a:graphic xmlns:a="http://schemas.openxmlformats.org/drawingml/2006/main">
                    <a:graphicData uri="http://schemas.openxmlformats.org/drawingml/2006/picture">
                      <pic:pic xmlns:pic="http://schemas.openxmlformats.org/drawingml/2006/picture">
                        <pic:nvPicPr>
                          <pic:cNvPr id="257"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65088" behindDoc="0" locked="0" layoutInCell="1" allowOverlap="1" wp14:anchorId="1CD5C5CB" wp14:editId="5011AB0D">
                  <wp:simplePos x="0" y="0"/>
                  <wp:positionH relativeFrom="column">
                    <wp:posOffset>0</wp:posOffset>
                  </wp:positionH>
                  <wp:positionV relativeFrom="paragraph">
                    <wp:posOffset>0</wp:posOffset>
                  </wp:positionV>
                  <wp:extent cx="123825" cy="123825"/>
                  <wp:effectExtent l="0" t="0" r="9525" b="9525"/>
                  <wp:wrapNone/>
                  <wp:docPr id="656800292" name="Obrázok 17" descr="MEW27CPIFG44B7E7HEQUUF5QF" hidden="1"/>
                  <wp:cNvGraphicFramePr/>
                  <a:graphic xmlns:a="http://schemas.openxmlformats.org/drawingml/2006/main">
                    <a:graphicData uri="http://schemas.openxmlformats.org/drawingml/2006/picture">
                      <pic:pic xmlns:pic="http://schemas.openxmlformats.org/drawingml/2006/picture">
                        <pic:nvPicPr>
                          <pic:cNvPr id="258"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66112" behindDoc="0" locked="0" layoutInCell="1" allowOverlap="1" wp14:anchorId="50DBF54D" wp14:editId="215E742D">
                  <wp:simplePos x="0" y="0"/>
                  <wp:positionH relativeFrom="column">
                    <wp:posOffset>0</wp:posOffset>
                  </wp:positionH>
                  <wp:positionV relativeFrom="paragraph">
                    <wp:posOffset>0</wp:posOffset>
                  </wp:positionV>
                  <wp:extent cx="123825" cy="123825"/>
                  <wp:effectExtent l="0" t="0" r="9525" b="9525"/>
                  <wp:wrapNone/>
                  <wp:docPr id="1693065676" name="Obrázok 16" descr="9D4GQ34QB727H10MA3SSAR2R9" hidden="1"/>
                  <wp:cNvGraphicFramePr/>
                  <a:graphic xmlns:a="http://schemas.openxmlformats.org/drawingml/2006/main">
                    <a:graphicData uri="http://schemas.openxmlformats.org/drawingml/2006/picture">
                      <pic:pic xmlns:pic="http://schemas.openxmlformats.org/drawingml/2006/picture">
                        <pic:nvPicPr>
                          <pic:cNvPr id="259"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67136" behindDoc="0" locked="0" layoutInCell="1" allowOverlap="1" wp14:anchorId="3F9B96B9" wp14:editId="4EF20FC6">
                  <wp:simplePos x="0" y="0"/>
                  <wp:positionH relativeFrom="column">
                    <wp:posOffset>0</wp:posOffset>
                  </wp:positionH>
                  <wp:positionV relativeFrom="paragraph">
                    <wp:posOffset>0</wp:posOffset>
                  </wp:positionV>
                  <wp:extent cx="123825" cy="123825"/>
                  <wp:effectExtent l="0" t="0" r="9525" b="9525"/>
                  <wp:wrapNone/>
                  <wp:docPr id="150910440" name="Obrázok 15" descr="MEW27CPIFG44B7E7HEQUUF5QF" hidden="1"/>
                  <wp:cNvGraphicFramePr/>
                  <a:graphic xmlns:a="http://schemas.openxmlformats.org/drawingml/2006/main">
                    <a:graphicData uri="http://schemas.openxmlformats.org/drawingml/2006/picture">
                      <pic:pic xmlns:pic="http://schemas.openxmlformats.org/drawingml/2006/picture">
                        <pic:nvPicPr>
                          <pic:cNvPr id="260"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9700B">
              <w:rPr>
                <w:sz w:val="18"/>
                <w:szCs w:val="18"/>
                <w:lang w:eastAsia="sk-SK"/>
              </w:rPr>
              <w:t>0</w:t>
            </w:r>
          </w:p>
        </w:tc>
      </w:tr>
      <w:tr w:rsidR="003A407F" w:rsidRPr="002746C4" w14:paraId="353E5A8D"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345F8909" w14:textId="5C785797" w:rsidR="003A407F" w:rsidRPr="002746C4" w:rsidRDefault="003A407F" w:rsidP="003A407F">
            <w:pPr>
              <w:spacing w:after="0" w:line="240" w:lineRule="auto"/>
              <w:rPr>
                <w:sz w:val="18"/>
                <w:szCs w:val="18"/>
                <w:highlight w:val="yellow"/>
                <w:lang w:eastAsia="sk-SK"/>
              </w:rPr>
            </w:pPr>
            <w:r w:rsidRPr="00E9700B">
              <w:rPr>
                <w:sz w:val="18"/>
                <w:szCs w:val="18"/>
                <w:lang w:eastAsia="sk-SK"/>
              </w:rPr>
              <w:t>Slov.</w:t>
            </w:r>
            <w:r>
              <w:rPr>
                <w:sz w:val="18"/>
                <w:szCs w:val="18"/>
                <w:lang w:eastAsia="sk-SK"/>
              </w:rPr>
              <w:t xml:space="preserve"> vodohospodársky podnik, š. p.</w:t>
            </w:r>
          </w:p>
        </w:tc>
        <w:tc>
          <w:tcPr>
            <w:tcW w:w="617" w:type="pct"/>
            <w:gridSpan w:val="2"/>
            <w:tcBorders>
              <w:top w:val="nil"/>
              <w:left w:val="nil"/>
              <w:bottom w:val="nil"/>
              <w:right w:val="nil"/>
            </w:tcBorders>
            <w:shd w:val="clear" w:color="auto" w:fill="auto"/>
            <w:noWrap/>
            <w:vAlign w:val="bottom"/>
          </w:tcPr>
          <w:p w14:paraId="5018FEC7" w14:textId="29C0C328" w:rsidR="003A407F" w:rsidRPr="002746C4" w:rsidRDefault="003A407F" w:rsidP="003A407F">
            <w:pPr>
              <w:spacing w:after="0" w:line="240" w:lineRule="auto"/>
              <w:jc w:val="right"/>
              <w:rPr>
                <w:sz w:val="18"/>
                <w:szCs w:val="18"/>
                <w:highlight w:val="yellow"/>
                <w:lang w:eastAsia="sk-SK"/>
              </w:rPr>
            </w:pPr>
            <w:r w:rsidRPr="00E9700B">
              <w:rPr>
                <w:sz w:val="18"/>
                <w:szCs w:val="18"/>
                <w:lang w:eastAsia="sk-SK"/>
              </w:rPr>
              <w:t>-</w:t>
            </w:r>
            <w:r>
              <w:rPr>
                <w:sz w:val="18"/>
                <w:szCs w:val="18"/>
                <w:lang w:eastAsia="sk-SK"/>
              </w:rPr>
              <w:t>21</w:t>
            </w:r>
            <w:r w:rsidRPr="00E9700B">
              <w:rPr>
                <w:sz w:val="18"/>
                <w:szCs w:val="18"/>
                <w:lang w:eastAsia="sk-SK"/>
              </w:rPr>
              <w:t xml:space="preserve"> </w:t>
            </w:r>
            <w:r>
              <w:rPr>
                <w:sz w:val="18"/>
                <w:szCs w:val="18"/>
                <w:lang w:eastAsia="sk-SK"/>
              </w:rPr>
              <w:t>139</w:t>
            </w:r>
          </w:p>
        </w:tc>
        <w:tc>
          <w:tcPr>
            <w:tcW w:w="695" w:type="pct"/>
            <w:gridSpan w:val="2"/>
            <w:tcBorders>
              <w:top w:val="nil"/>
              <w:left w:val="nil"/>
              <w:bottom w:val="nil"/>
              <w:right w:val="nil"/>
            </w:tcBorders>
            <w:shd w:val="clear" w:color="auto" w:fill="auto"/>
            <w:noWrap/>
            <w:vAlign w:val="bottom"/>
          </w:tcPr>
          <w:p w14:paraId="69F2FBD5" w14:textId="4FA1C039" w:rsidR="003A407F" w:rsidRPr="002746C4" w:rsidRDefault="003A407F" w:rsidP="003A407F">
            <w:pPr>
              <w:spacing w:after="0" w:line="240" w:lineRule="auto"/>
              <w:jc w:val="right"/>
              <w:rPr>
                <w:sz w:val="18"/>
                <w:szCs w:val="18"/>
                <w:highlight w:val="yellow"/>
                <w:lang w:eastAsia="sk-SK"/>
              </w:rPr>
            </w:pPr>
            <w:r>
              <w:rPr>
                <w:sz w:val="18"/>
                <w:szCs w:val="18"/>
                <w:lang w:eastAsia="sk-SK"/>
              </w:rPr>
              <w:t>-11 759</w:t>
            </w:r>
          </w:p>
        </w:tc>
        <w:tc>
          <w:tcPr>
            <w:tcW w:w="539" w:type="pct"/>
            <w:gridSpan w:val="2"/>
            <w:tcBorders>
              <w:top w:val="nil"/>
              <w:left w:val="nil"/>
              <w:bottom w:val="nil"/>
              <w:right w:val="nil"/>
            </w:tcBorders>
            <w:shd w:val="clear" w:color="auto" w:fill="auto"/>
            <w:noWrap/>
            <w:vAlign w:val="bottom"/>
          </w:tcPr>
          <w:p w14:paraId="29B41351" w14:textId="4E2BAFCB" w:rsidR="003A407F" w:rsidRPr="002746C4" w:rsidRDefault="003A407F" w:rsidP="003A407F">
            <w:pPr>
              <w:spacing w:after="0" w:line="240" w:lineRule="auto"/>
              <w:jc w:val="right"/>
              <w:rPr>
                <w:sz w:val="18"/>
                <w:szCs w:val="18"/>
                <w:highlight w:val="yellow"/>
                <w:lang w:eastAsia="sk-SK"/>
              </w:rPr>
            </w:pPr>
            <w:r w:rsidRPr="00FF1C92">
              <w:rPr>
                <w:sz w:val="18"/>
                <w:szCs w:val="18"/>
                <w:lang w:eastAsia="sk-SK"/>
              </w:rPr>
              <w:t>0</w:t>
            </w:r>
          </w:p>
        </w:tc>
        <w:tc>
          <w:tcPr>
            <w:tcW w:w="540" w:type="pct"/>
            <w:gridSpan w:val="2"/>
            <w:tcBorders>
              <w:top w:val="nil"/>
              <w:left w:val="nil"/>
              <w:bottom w:val="nil"/>
              <w:right w:val="nil"/>
            </w:tcBorders>
            <w:shd w:val="clear" w:color="auto" w:fill="auto"/>
            <w:noWrap/>
            <w:vAlign w:val="bottom"/>
          </w:tcPr>
          <w:p w14:paraId="7C55C458" w14:textId="15AA5A69"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68160" behindDoc="0" locked="0" layoutInCell="1" allowOverlap="1" wp14:anchorId="435B339A" wp14:editId="1CD78366">
                  <wp:simplePos x="0" y="0"/>
                  <wp:positionH relativeFrom="column">
                    <wp:posOffset>0</wp:posOffset>
                  </wp:positionH>
                  <wp:positionV relativeFrom="paragraph">
                    <wp:posOffset>0</wp:posOffset>
                  </wp:positionV>
                  <wp:extent cx="123825" cy="123825"/>
                  <wp:effectExtent l="0" t="0" r="9525" b="9525"/>
                  <wp:wrapNone/>
                  <wp:docPr id="1768842914" name="Obrázok 14" descr="9D4GQ34QB727H10MA3SSAR2R9" hidden="1"/>
                  <wp:cNvGraphicFramePr/>
                  <a:graphic xmlns:a="http://schemas.openxmlformats.org/drawingml/2006/main">
                    <a:graphicData uri="http://schemas.openxmlformats.org/drawingml/2006/picture">
                      <pic:pic xmlns:pic="http://schemas.openxmlformats.org/drawingml/2006/picture">
                        <pic:nvPicPr>
                          <pic:cNvPr id="536"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69184" behindDoc="0" locked="0" layoutInCell="1" allowOverlap="1" wp14:anchorId="12D89B7A" wp14:editId="1AD14C5F">
                  <wp:simplePos x="0" y="0"/>
                  <wp:positionH relativeFrom="column">
                    <wp:posOffset>0</wp:posOffset>
                  </wp:positionH>
                  <wp:positionV relativeFrom="paragraph">
                    <wp:posOffset>0</wp:posOffset>
                  </wp:positionV>
                  <wp:extent cx="123825" cy="123825"/>
                  <wp:effectExtent l="0" t="0" r="9525" b="9525"/>
                  <wp:wrapNone/>
                  <wp:docPr id="242397026" name="Obrázok 13" descr="MEW27CPIFG44B7E7HEQUUF5QF" hidden="1"/>
                  <wp:cNvGraphicFramePr/>
                  <a:graphic xmlns:a="http://schemas.openxmlformats.org/drawingml/2006/main">
                    <a:graphicData uri="http://schemas.openxmlformats.org/drawingml/2006/picture">
                      <pic:pic xmlns:pic="http://schemas.openxmlformats.org/drawingml/2006/picture">
                        <pic:nvPicPr>
                          <pic:cNvPr id="537"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70208" behindDoc="0" locked="0" layoutInCell="1" allowOverlap="1" wp14:anchorId="6A6BA310" wp14:editId="3E5B92C0">
                  <wp:simplePos x="0" y="0"/>
                  <wp:positionH relativeFrom="column">
                    <wp:posOffset>0</wp:posOffset>
                  </wp:positionH>
                  <wp:positionV relativeFrom="paragraph">
                    <wp:posOffset>0</wp:posOffset>
                  </wp:positionV>
                  <wp:extent cx="123825" cy="123825"/>
                  <wp:effectExtent l="0" t="0" r="9525" b="9525"/>
                  <wp:wrapNone/>
                  <wp:docPr id="1246352902" name="Obrázok 12" descr="9D4GQ34QB727H10MA3SSAR2R9" hidden="1"/>
                  <wp:cNvGraphicFramePr/>
                  <a:graphic xmlns:a="http://schemas.openxmlformats.org/drawingml/2006/main">
                    <a:graphicData uri="http://schemas.openxmlformats.org/drawingml/2006/picture">
                      <pic:pic xmlns:pic="http://schemas.openxmlformats.org/drawingml/2006/picture">
                        <pic:nvPicPr>
                          <pic:cNvPr id="538"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71232" behindDoc="0" locked="0" layoutInCell="1" allowOverlap="1" wp14:anchorId="5A19A5D7" wp14:editId="24FC1DFF">
                  <wp:simplePos x="0" y="0"/>
                  <wp:positionH relativeFrom="column">
                    <wp:posOffset>0</wp:posOffset>
                  </wp:positionH>
                  <wp:positionV relativeFrom="paragraph">
                    <wp:posOffset>0</wp:posOffset>
                  </wp:positionV>
                  <wp:extent cx="123825" cy="123825"/>
                  <wp:effectExtent l="0" t="0" r="9525" b="9525"/>
                  <wp:wrapNone/>
                  <wp:docPr id="1432396117" name="Obrázok 11" descr="MEW27CPIFG44B7E7HEQUUF5QF" hidden="1"/>
                  <wp:cNvGraphicFramePr/>
                  <a:graphic xmlns:a="http://schemas.openxmlformats.org/drawingml/2006/main">
                    <a:graphicData uri="http://schemas.openxmlformats.org/drawingml/2006/picture">
                      <pic:pic xmlns:pic="http://schemas.openxmlformats.org/drawingml/2006/picture">
                        <pic:nvPicPr>
                          <pic:cNvPr id="539"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1C92">
              <w:rPr>
                <w:sz w:val="18"/>
                <w:szCs w:val="18"/>
                <w:lang w:eastAsia="sk-SK"/>
              </w:rPr>
              <w:t>0</w:t>
            </w:r>
          </w:p>
        </w:tc>
        <w:tc>
          <w:tcPr>
            <w:tcW w:w="621" w:type="pct"/>
            <w:gridSpan w:val="3"/>
            <w:tcBorders>
              <w:top w:val="nil"/>
              <w:left w:val="nil"/>
              <w:bottom w:val="nil"/>
              <w:right w:val="nil"/>
            </w:tcBorders>
            <w:shd w:val="clear" w:color="auto" w:fill="auto"/>
            <w:noWrap/>
            <w:vAlign w:val="bottom"/>
          </w:tcPr>
          <w:p w14:paraId="015A4D79" w14:textId="5BB8D969" w:rsidR="003A407F" w:rsidRPr="002746C4" w:rsidRDefault="003A407F" w:rsidP="003A407F">
            <w:pPr>
              <w:spacing w:after="0" w:line="240" w:lineRule="auto"/>
              <w:jc w:val="right"/>
              <w:rPr>
                <w:sz w:val="18"/>
                <w:szCs w:val="18"/>
                <w:highlight w:val="yellow"/>
                <w:lang w:eastAsia="sk-SK"/>
              </w:rPr>
            </w:pPr>
            <w:r w:rsidRPr="00FF1C92">
              <w:rPr>
                <w:sz w:val="18"/>
                <w:szCs w:val="18"/>
                <w:lang w:eastAsia="sk-SK"/>
              </w:rPr>
              <w:t>0</w:t>
            </w:r>
          </w:p>
        </w:tc>
        <w:tc>
          <w:tcPr>
            <w:tcW w:w="459" w:type="pct"/>
            <w:tcBorders>
              <w:top w:val="nil"/>
              <w:left w:val="nil"/>
              <w:bottom w:val="nil"/>
              <w:right w:val="nil"/>
            </w:tcBorders>
            <w:shd w:val="clear" w:color="auto" w:fill="auto"/>
            <w:noWrap/>
            <w:vAlign w:val="bottom"/>
          </w:tcPr>
          <w:p w14:paraId="005AC4D9" w14:textId="17578838"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72256" behindDoc="0" locked="0" layoutInCell="1" allowOverlap="1" wp14:anchorId="1411940E" wp14:editId="01698A0C">
                  <wp:simplePos x="0" y="0"/>
                  <wp:positionH relativeFrom="column">
                    <wp:posOffset>0</wp:posOffset>
                  </wp:positionH>
                  <wp:positionV relativeFrom="paragraph">
                    <wp:posOffset>0</wp:posOffset>
                  </wp:positionV>
                  <wp:extent cx="123825" cy="123825"/>
                  <wp:effectExtent l="0" t="0" r="9525" b="9525"/>
                  <wp:wrapNone/>
                  <wp:docPr id="929446269" name="Obrázok 10" descr="9D4GQ34QB727H10MA3SSAR2R9" hidden="1"/>
                  <wp:cNvGraphicFramePr/>
                  <a:graphic xmlns:a="http://schemas.openxmlformats.org/drawingml/2006/main">
                    <a:graphicData uri="http://schemas.openxmlformats.org/drawingml/2006/picture">
                      <pic:pic xmlns:pic="http://schemas.openxmlformats.org/drawingml/2006/picture">
                        <pic:nvPicPr>
                          <pic:cNvPr id="257"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73280" behindDoc="0" locked="0" layoutInCell="1" allowOverlap="1" wp14:anchorId="48E1A13C" wp14:editId="12F36174">
                  <wp:simplePos x="0" y="0"/>
                  <wp:positionH relativeFrom="column">
                    <wp:posOffset>0</wp:posOffset>
                  </wp:positionH>
                  <wp:positionV relativeFrom="paragraph">
                    <wp:posOffset>0</wp:posOffset>
                  </wp:positionV>
                  <wp:extent cx="123825" cy="123825"/>
                  <wp:effectExtent l="0" t="0" r="9525" b="9525"/>
                  <wp:wrapNone/>
                  <wp:docPr id="1677767795" name="Obrázok 9" descr="MEW27CPIFG44B7E7HEQUUF5QF" hidden="1"/>
                  <wp:cNvGraphicFramePr/>
                  <a:graphic xmlns:a="http://schemas.openxmlformats.org/drawingml/2006/main">
                    <a:graphicData uri="http://schemas.openxmlformats.org/drawingml/2006/picture">
                      <pic:pic xmlns:pic="http://schemas.openxmlformats.org/drawingml/2006/picture">
                        <pic:nvPicPr>
                          <pic:cNvPr id="258"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74304" behindDoc="0" locked="0" layoutInCell="1" allowOverlap="1" wp14:anchorId="1DEE583D" wp14:editId="5BBBDF5F">
                  <wp:simplePos x="0" y="0"/>
                  <wp:positionH relativeFrom="column">
                    <wp:posOffset>0</wp:posOffset>
                  </wp:positionH>
                  <wp:positionV relativeFrom="paragraph">
                    <wp:posOffset>0</wp:posOffset>
                  </wp:positionV>
                  <wp:extent cx="123825" cy="123825"/>
                  <wp:effectExtent l="0" t="0" r="9525" b="9525"/>
                  <wp:wrapNone/>
                  <wp:docPr id="632289535" name="Obrázok 8" descr="9D4GQ34QB727H10MA3SSAR2R9" hidden="1"/>
                  <wp:cNvGraphicFramePr/>
                  <a:graphic xmlns:a="http://schemas.openxmlformats.org/drawingml/2006/main">
                    <a:graphicData uri="http://schemas.openxmlformats.org/drawingml/2006/picture">
                      <pic:pic xmlns:pic="http://schemas.openxmlformats.org/drawingml/2006/picture">
                        <pic:nvPicPr>
                          <pic:cNvPr id="259"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75328" behindDoc="0" locked="0" layoutInCell="1" allowOverlap="1" wp14:anchorId="517516BA" wp14:editId="13F5C7E6">
                  <wp:simplePos x="0" y="0"/>
                  <wp:positionH relativeFrom="column">
                    <wp:posOffset>0</wp:posOffset>
                  </wp:positionH>
                  <wp:positionV relativeFrom="paragraph">
                    <wp:posOffset>0</wp:posOffset>
                  </wp:positionV>
                  <wp:extent cx="123825" cy="123825"/>
                  <wp:effectExtent l="0" t="0" r="9525" b="9525"/>
                  <wp:wrapNone/>
                  <wp:docPr id="1110920984" name="Obrázok 7" descr="MEW27CPIFG44B7E7HEQUUF5QF" hidden="1"/>
                  <wp:cNvGraphicFramePr/>
                  <a:graphic xmlns:a="http://schemas.openxmlformats.org/drawingml/2006/main">
                    <a:graphicData uri="http://schemas.openxmlformats.org/drawingml/2006/picture">
                      <pic:pic xmlns:pic="http://schemas.openxmlformats.org/drawingml/2006/picture">
                        <pic:nvPicPr>
                          <pic:cNvPr id="260"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1C92">
              <w:rPr>
                <w:sz w:val="18"/>
                <w:szCs w:val="18"/>
                <w:lang w:eastAsia="sk-SK"/>
              </w:rPr>
              <w:t>-9 380</w:t>
            </w:r>
          </w:p>
        </w:tc>
      </w:tr>
      <w:tr w:rsidR="003A407F" w:rsidRPr="002746C4" w14:paraId="780A20FB" w14:textId="77777777" w:rsidTr="00FF497A">
        <w:trPr>
          <w:gridAfter w:val="1"/>
          <w:wAfter w:w="4" w:type="pct"/>
          <w:trHeight w:val="232"/>
        </w:trPr>
        <w:tc>
          <w:tcPr>
            <w:tcW w:w="1525" w:type="pct"/>
            <w:tcBorders>
              <w:top w:val="nil"/>
              <w:left w:val="nil"/>
              <w:bottom w:val="nil"/>
              <w:right w:val="nil"/>
            </w:tcBorders>
            <w:shd w:val="clear" w:color="auto" w:fill="auto"/>
            <w:noWrap/>
            <w:vAlign w:val="bottom"/>
          </w:tcPr>
          <w:p w14:paraId="3424AE86" w14:textId="01226D23" w:rsidR="003A407F" w:rsidRPr="002746C4" w:rsidRDefault="003A407F" w:rsidP="003A407F">
            <w:pPr>
              <w:spacing w:after="0" w:line="240" w:lineRule="auto"/>
              <w:rPr>
                <w:color w:val="FF0000"/>
                <w:sz w:val="18"/>
                <w:szCs w:val="18"/>
                <w:highlight w:val="yellow"/>
                <w:lang w:eastAsia="sk-SK"/>
              </w:rPr>
            </w:pPr>
            <w:r w:rsidRPr="00E9700B">
              <w:rPr>
                <w:sz w:val="18"/>
                <w:szCs w:val="18"/>
                <w:lang w:eastAsia="sk-SK"/>
              </w:rPr>
              <w:t>Tipos, nár.</w:t>
            </w:r>
            <w:r>
              <w:rPr>
                <w:sz w:val="18"/>
                <w:szCs w:val="18"/>
                <w:lang w:eastAsia="sk-SK"/>
              </w:rPr>
              <w:t> </w:t>
            </w:r>
            <w:r w:rsidRPr="00E9700B">
              <w:rPr>
                <w:sz w:val="18"/>
                <w:szCs w:val="18"/>
                <w:lang w:eastAsia="sk-SK"/>
              </w:rPr>
              <w:t>lotériová spol., a.</w:t>
            </w:r>
            <w:r>
              <w:rPr>
                <w:sz w:val="18"/>
                <w:szCs w:val="18"/>
                <w:lang w:eastAsia="sk-SK"/>
              </w:rPr>
              <w:t> </w:t>
            </w:r>
            <w:r w:rsidRPr="00E9700B">
              <w:rPr>
                <w:sz w:val="18"/>
                <w:szCs w:val="18"/>
                <w:lang w:eastAsia="sk-SK"/>
              </w:rPr>
              <w:t>s.</w:t>
            </w:r>
          </w:p>
        </w:tc>
        <w:tc>
          <w:tcPr>
            <w:tcW w:w="617" w:type="pct"/>
            <w:gridSpan w:val="2"/>
            <w:tcBorders>
              <w:top w:val="nil"/>
              <w:left w:val="nil"/>
              <w:bottom w:val="nil"/>
              <w:right w:val="nil"/>
            </w:tcBorders>
            <w:shd w:val="clear" w:color="auto" w:fill="auto"/>
            <w:noWrap/>
            <w:vAlign w:val="bottom"/>
          </w:tcPr>
          <w:p w14:paraId="7E4809D7" w14:textId="13041344" w:rsidR="003A407F" w:rsidRPr="002746C4" w:rsidRDefault="003A407F" w:rsidP="003A407F">
            <w:pPr>
              <w:spacing w:after="0" w:line="240" w:lineRule="auto"/>
              <w:jc w:val="right"/>
              <w:rPr>
                <w:sz w:val="18"/>
                <w:szCs w:val="18"/>
                <w:highlight w:val="yellow"/>
                <w:lang w:eastAsia="sk-SK"/>
              </w:rPr>
            </w:pPr>
            <w:r>
              <w:rPr>
                <w:sz w:val="18"/>
                <w:szCs w:val="18"/>
                <w:lang w:eastAsia="sk-SK"/>
              </w:rPr>
              <w:t>-26 459</w:t>
            </w:r>
          </w:p>
        </w:tc>
        <w:tc>
          <w:tcPr>
            <w:tcW w:w="695" w:type="pct"/>
            <w:gridSpan w:val="2"/>
            <w:tcBorders>
              <w:top w:val="nil"/>
              <w:left w:val="nil"/>
              <w:bottom w:val="nil"/>
              <w:right w:val="nil"/>
            </w:tcBorders>
            <w:shd w:val="clear" w:color="auto" w:fill="auto"/>
            <w:noWrap/>
            <w:vAlign w:val="bottom"/>
          </w:tcPr>
          <w:p w14:paraId="2CAE8208" w14:textId="74935F99" w:rsidR="003A407F" w:rsidRPr="002746C4" w:rsidRDefault="003A407F" w:rsidP="003A407F">
            <w:pPr>
              <w:spacing w:after="0" w:line="240" w:lineRule="auto"/>
              <w:jc w:val="right"/>
              <w:rPr>
                <w:sz w:val="18"/>
                <w:szCs w:val="18"/>
                <w:highlight w:val="yellow"/>
                <w:lang w:eastAsia="sk-SK"/>
              </w:rPr>
            </w:pPr>
            <w:r>
              <w:rPr>
                <w:sz w:val="18"/>
                <w:szCs w:val="18"/>
                <w:lang w:eastAsia="sk-SK"/>
              </w:rPr>
              <w:t>24 570</w:t>
            </w:r>
          </w:p>
        </w:tc>
        <w:tc>
          <w:tcPr>
            <w:tcW w:w="539" w:type="pct"/>
            <w:gridSpan w:val="2"/>
            <w:tcBorders>
              <w:top w:val="nil"/>
              <w:left w:val="nil"/>
              <w:bottom w:val="nil"/>
              <w:right w:val="nil"/>
            </w:tcBorders>
            <w:shd w:val="clear" w:color="auto" w:fill="auto"/>
            <w:noWrap/>
            <w:vAlign w:val="bottom"/>
          </w:tcPr>
          <w:p w14:paraId="3DBF2960" w14:textId="7F3963A0" w:rsidR="003A407F" w:rsidRPr="002746C4" w:rsidRDefault="003A407F" w:rsidP="003A407F">
            <w:pPr>
              <w:spacing w:after="0" w:line="240" w:lineRule="auto"/>
              <w:jc w:val="right"/>
              <w:rPr>
                <w:sz w:val="18"/>
                <w:szCs w:val="18"/>
                <w:highlight w:val="yellow"/>
                <w:lang w:eastAsia="sk-SK"/>
              </w:rPr>
            </w:pPr>
            <w:r>
              <w:rPr>
                <w:sz w:val="18"/>
                <w:szCs w:val="18"/>
                <w:lang w:eastAsia="sk-SK"/>
              </w:rPr>
              <w:t>-50 000</w:t>
            </w:r>
          </w:p>
        </w:tc>
        <w:tc>
          <w:tcPr>
            <w:tcW w:w="540" w:type="pct"/>
            <w:gridSpan w:val="2"/>
            <w:tcBorders>
              <w:top w:val="nil"/>
              <w:left w:val="nil"/>
              <w:bottom w:val="nil"/>
              <w:right w:val="nil"/>
            </w:tcBorders>
            <w:shd w:val="clear" w:color="auto" w:fill="auto"/>
            <w:noWrap/>
            <w:vAlign w:val="bottom"/>
          </w:tcPr>
          <w:p w14:paraId="69A311C1" w14:textId="153704EA" w:rsidR="003A407F" w:rsidRPr="002746C4" w:rsidRDefault="003A407F" w:rsidP="003A407F">
            <w:pPr>
              <w:spacing w:after="0" w:line="240" w:lineRule="auto"/>
              <w:jc w:val="right"/>
              <w:rPr>
                <w:sz w:val="18"/>
                <w:szCs w:val="18"/>
                <w:highlight w:val="yellow"/>
                <w:lang w:eastAsia="sk-SK"/>
              </w:rPr>
            </w:pPr>
            <w:r w:rsidRPr="00E9700B">
              <w:rPr>
                <w:sz w:val="18"/>
                <w:szCs w:val="18"/>
                <w:lang w:eastAsia="sk-SK"/>
              </w:rPr>
              <w:t>0</w:t>
            </w:r>
          </w:p>
        </w:tc>
        <w:tc>
          <w:tcPr>
            <w:tcW w:w="621" w:type="pct"/>
            <w:gridSpan w:val="3"/>
            <w:tcBorders>
              <w:top w:val="nil"/>
              <w:left w:val="nil"/>
              <w:bottom w:val="nil"/>
              <w:right w:val="nil"/>
            </w:tcBorders>
            <w:shd w:val="clear" w:color="auto" w:fill="auto"/>
            <w:noWrap/>
            <w:vAlign w:val="bottom"/>
          </w:tcPr>
          <w:p w14:paraId="2FECF6B3" w14:textId="58CB2FC6" w:rsidR="003A407F" w:rsidRPr="002746C4" w:rsidRDefault="003A407F" w:rsidP="003A407F">
            <w:pPr>
              <w:spacing w:after="0" w:line="240" w:lineRule="auto"/>
              <w:jc w:val="right"/>
              <w:rPr>
                <w:sz w:val="18"/>
                <w:szCs w:val="18"/>
                <w:highlight w:val="yellow"/>
                <w:lang w:eastAsia="sk-SK"/>
              </w:rPr>
            </w:pPr>
            <w:r w:rsidRPr="00E9700B">
              <w:rPr>
                <w:sz w:val="18"/>
                <w:szCs w:val="18"/>
                <w:lang w:eastAsia="sk-SK"/>
              </w:rPr>
              <w:t>0</w:t>
            </w:r>
          </w:p>
        </w:tc>
        <w:tc>
          <w:tcPr>
            <w:tcW w:w="459" w:type="pct"/>
            <w:tcBorders>
              <w:top w:val="nil"/>
              <w:left w:val="nil"/>
              <w:bottom w:val="nil"/>
              <w:right w:val="nil"/>
            </w:tcBorders>
            <w:shd w:val="clear" w:color="auto" w:fill="auto"/>
            <w:noWrap/>
            <w:vAlign w:val="bottom"/>
          </w:tcPr>
          <w:p w14:paraId="30C105D9" w14:textId="138FCF80"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76352" behindDoc="0" locked="0" layoutInCell="1" allowOverlap="1" wp14:anchorId="0F181CC6" wp14:editId="2B147F0B">
                  <wp:simplePos x="0" y="0"/>
                  <wp:positionH relativeFrom="column">
                    <wp:posOffset>0</wp:posOffset>
                  </wp:positionH>
                  <wp:positionV relativeFrom="paragraph">
                    <wp:posOffset>0</wp:posOffset>
                  </wp:positionV>
                  <wp:extent cx="123825" cy="123825"/>
                  <wp:effectExtent l="0" t="0" r="9525" b="9525"/>
                  <wp:wrapNone/>
                  <wp:docPr id="573621623" name="Obrázok 6" descr="9D4GQ34QB727H10MA3SSAR2R9" hidden="1"/>
                  <wp:cNvGraphicFramePr/>
                  <a:graphic xmlns:a="http://schemas.openxmlformats.org/drawingml/2006/main">
                    <a:graphicData uri="http://schemas.openxmlformats.org/drawingml/2006/picture">
                      <pic:pic xmlns:pic="http://schemas.openxmlformats.org/drawingml/2006/picture">
                        <pic:nvPicPr>
                          <pic:cNvPr id="249"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77376" behindDoc="0" locked="0" layoutInCell="1" allowOverlap="1" wp14:anchorId="4C5A9BCB" wp14:editId="4B178992">
                  <wp:simplePos x="0" y="0"/>
                  <wp:positionH relativeFrom="column">
                    <wp:posOffset>0</wp:posOffset>
                  </wp:positionH>
                  <wp:positionV relativeFrom="paragraph">
                    <wp:posOffset>0</wp:posOffset>
                  </wp:positionV>
                  <wp:extent cx="123825" cy="123825"/>
                  <wp:effectExtent l="0" t="0" r="9525" b="9525"/>
                  <wp:wrapNone/>
                  <wp:docPr id="1988039099" name="Obrázok 5" descr="MEW27CPIFG44B7E7HEQUUF5QF" hidden="1"/>
                  <wp:cNvGraphicFramePr/>
                  <a:graphic xmlns:a="http://schemas.openxmlformats.org/drawingml/2006/main">
                    <a:graphicData uri="http://schemas.openxmlformats.org/drawingml/2006/picture">
                      <pic:pic xmlns:pic="http://schemas.openxmlformats.org/drawingml/2006/picture">
                        <pic:nvPicPr>
                          <pic:cNvPr id="250"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78400" behindDoc="0" locked="0" layoutInCell="1" allowOverlap="1" wp14:anchorId="6105832C" wp14:editId="2B8626B9">
                  <wp:simplePos x="0" y="0"/>
                  <wp:positionH relativeFrom="column">
                    <wp:posOffset>0</wp:posOffset>
                  </wp:positionH>
                  <wp:positionV relativeFrom="paragraph">
                    <wp:posOffset>0</wp:posOffset>
                  </wp:positionV>
                  <wp:extent cx="123825" cy="123825"/>
                  <wp:effectExtent l="0" t="0" r="9525" b="9525"/>
                  <wp:wrapNone/>
                  <wp:docPr id="1414653816" name="Obrázok 4" descr="9D4GQ34QB727H10MA3SSAR2R9" hidden="1"/>
                  <wp:cNvGraphicFramePr/>
                  <a:graphic xmlns:a="http://schemas.openxmlformats.org/drawingml/2006/main">
                    <a:graphicData uri="http://schemas.openxmlformats.org/drawingml/2006/picture">
                      <pic:pic xmlns:pic="http://schemas.openxmlformats.org/drawingml/2006/picture">
                        <pic:nvPicPr>
                          <pic:cNvPr id="251"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79424" behindDoc="0" locked="0" layoutInCell="1" allowOverlap="1" wp14:anchorId="548844B9" wp14:editId="0AC14BEC">
                  <wp:simplePos x="0" y="0"/>
                  <wp:positionH relativeFrom="column">
                    <wp:posOffset>0</wp:posOffset>
                  </wp:positionH>
                  <wp:positionV relativeFrom="paragraph">
                    <wp:posOffset>0</wp:posOffset>
                  </wp:positionV>
                  <wp:extent cx="123825" cy="123825"/>
                  <wp:effectExtent l="0" t="0" r="9525" b="9525"/>
                  <wp:wrapNone/>
                  <wp:docPr id="1152795070" name="Obrázok 3" descr="MEW27CPIFG44B7E7HEQUUF5QF" hidden="1"/>
                  <wp:cNvGraphicFramePr/>
                  <a:graphic xmlns:a="http://schemas.openxmlformats.org/drawingml/2006/main">
                    <a:graphicData uri="http://schemas.openxmlformats.org/drawingml/2006/picture">
                      <pic:pic xmlns:pic="http://schemas.openxmlformats.org/drawingml/2006/picture">
                        <pic:nvPicPr>
                          <pic:cNvPr id="252"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9700B">
              <w:rPr>
                <w:sz w:val="18"/>
                <w:szCs w:val="18"/>
                <w:lang w:eastAsia="sk-SK"/>
              </w:rPr>
              <w:t>-1 029</w:t>
            </w:r>
          </w:p>
        </w:tc>
      </w:tr>
      <w:tr w:rsidR="003A407F" w:rsidRPr="002746C4" w14:paraId="2C1429A0" w14:textId="77777777" w:rsidTr="00FF497A">
        <w:trPr>
          <w:gridAfter w:val="1"/>
          <w:wAfter w:w="4" w:type="pct"/>
          <w:trHeight w:val="232"/>
        </w:trPr>
        <w:tc>
          <w:tcPr>
            <w:tcW w:w="1525" w:type="pct"/>
            <w:tcBorders>
              <w:left w:val="nil"/>
              <w:bottom w:val="single" w:sz="4" w:space="0" w:color="auto"/>
              <w:right w:val="nil"/>
            </w:tcBorders>
            <w:shd w:val="clear" w:color="auto" w:fill="auto"/>
            <w:noWrap/>
            <w:vAlign w:val="bottom"/>
          </w:tcPr>
          <w:p w14:paraId="37A04481" w14:textId="6D43150A" w:rsidR="003A407F" w:rsidRPr="002746C4" w:rsidRDefault="003A407F" w:rsidP="003A407F">
            <w:pPr>
              <w:spacing w:after="0" w:line="240" w:lineRule="auto"/>
              <w:rPr>
                <w:color w:val="FF0000"/>
                <w:sz w:val="18"/>
                <w:szCs w:val="18"/>
                <w:highlight w:val="yellow"/>
                <w:lang w:eastAsia="sk-SK"/>
              </w:rPr>
            </w:pPr>
            <w:r w:rsidRPr="00504631">
              <w:rPr>
                <w:sz w:val="18"/>
                <w:szCs w:val="18"/>
                <w:lang w:eastAsia="sk-SK"/>
              </w:rPr>
              <w:t>Slov.</w:t>
            </w:r>
            <w:r>
              <w:rPr>
                <w:sz w:val="18"/>
                <w:szCs w:val="18"/>
                <w:lang w:eastAsia="sk-SK"/>
              </w:rPr>
              <w:t> </w:t>
            </w:r>
            <w:r w:rsidRPr="00504631">
              <w:rPr>
                <w:sz w:val="18"/>
                <w:szCs w:val="18"/>
                <w:lang w:eastAsia="sk-SK"/>
              </w:rPr>
              <w:t>plynárenský priemysel, a.</w:t>
            </w:r>
            <w:r>
              <w:rPr>
                <w:sz w:val="18"/>
                <w:szCs w:val="18"/>
                <w:lang w:eastAsia="sk-SK"/>
              </w:rPr>
              <w:t> </w:t>
            </w:r>
            <w:r w:rsidRPr="00504631">
              <w:rPr>
                <w:sz w:val="18"/>
                <w:szCs w:val="18"/>
                <w:lang w:eastAsia="sk-SK"/>
              </w:rPr>
              <w:t>s.</w:t>
            </w:r>
          </w:p>
        </w:tc>
        <w:tc>
          <w:tcPr>
            <w:tcW w:w="617" w:type="pct"/>
            <w:gridSpan w:val="2"/>
            <w:tcBorders>
              <w:left w:val="nil"/>
              <w:bottom w:val="single" w:sz="4" w:space="0" w:color="auto"/>
              <w:right w:val="nil"/>
            </w:tcBorders>
            <w:shd w:val="clear" w:color="auto" w:fill="auto"/>
            <w:noWrap/>
            <w:vAlign w:val="bottom"/>
          </w:tcPr>
          <w:p w14:paraId="1A70E481" w14:textId="36DE1431" w:rsidR="003A407F" w:rsidRPr="002746C4" w:rsidRDefault="003A407F" w:rsidP="003A407F">
            <w:pPr>
              <w:spacing w:after="0" w:line="240" w:lineRule="auto"/>
              <w:jc w:val="right"/>
              <w:rPr>
                <w:sz w:val="18"/>
                <w:szCs w:val="18"/>
                <w:highlight w:val="yellow"/>
                <w:lang w:eastAsia="sk-SK"/>
              </w:rPr>
            </w:pPr>
            <w:r>
              <w:rPr>
                <w:sz w:val="18"/>
                <w:szCs w:val="18"/>
                <w:lang w:eastAsia="sk-SK"/>
              </w:rPr>
              <w:t>-169 605</w:t>
            </w:r>
          </w:p>
        </w:tc>
        <w:tc>
          <w:tcPr>
            <w:tcW w:w="695" w:type="pct"/>
            <w:gridSpan w:val="2"/>
            <w:tcBorders>
              <w:left w:val="nil"/>
              <w:bottom w:val="single" w:sz="4" w:space="0" w:color="auto"/>
              <w:right w:val="nil"/>
            </w:tcBorders>
            <w:shd w:val="clear" w:color="auto" w:fill="auto"/>
            <w:noWrap/>
            <w:vAlign w:val="bottom"/>
          </w:tcPr>
          <w:p w14:paraId="77FAE1F5" w14:textId="620BD27A" w:rsidR="003A407F" w:rsidRPr="002746C4" w:rsidRDefault="003A407F" w:rsidP="003A407F">
            <w:pPr>
              <w:spacing w:after="0" w:line="240" w:lineRule="auto"/>
              <w:jc w:val="right"/>
              <w:rPr>
                <w:sz w:val="18"/>
                <w:szCs w:val="18"/>
                <w:highlight w:val="yellow"/>
                <w:lang w:eastAsia="sk-SK"/>
              </w:rPr>
            </w:pPr>
            <w:r>
              <w:rPr>
                <w:sz w:val="18"/>
                <w:szCs w:val="18"/>
                <w:lang w:eastAsia="sk-SK"/>
              </w:rPr>
              <w:t>290 306</w:t>
            </w:r>
          </w:p>
        </w:tc>
        <w:tc>
          <w:tcPr>
            <w:tcW w:w="539" w:type="pct"/>
            <w:gridSpan w:val="2"/>
            <w:tcBorders>
              <w:left w:val="nil"/>
              <w:bottom w:val="single" w:sz="4" w:space="0" w:color="auto"/>
              <w:right w:val="nil"/>
            </w:tcBorders>
            <w:shd w:val="clear" w:color="auto" w:fill="auto"/>
            <w:noWrap/>
            <w:vAlign w:val="bottom"/>
          </w:tcPr>
          <w:p w14:paraId="6EBB5D93" w14:textId="7BED8DEB" w:rsidR="003A407F" w:rsidRPr="002746C4" w:rsidRDefault="003A407F" w:rsidP="003A407F">
            <w:pPr>
              <w:spacing w:after="0" w:line="240" w:lineRule="auto"/>
              <w:jc w:val="right"/>
              <w:rPr>
                <w:sz w:val="18"/>
                <w:szCs w:val="18"/>
                <w:highlight w:val="yellow"/>
                <w:lang w:eastAsia="sk-SK"/>
              </w:rPr>
            </w:pPr>
            <w:r w:rsidRPr="00504631">
              <w:rPr>
                <w:sz w:val="18"/>
                <w:szCs w:val="18"/>
                <w:lang w:eastAsia="sk-SK"/>
              </w:rPr>
              <w:t>0</w:t>
            </w:r>
          </w:p>
        </w:tc>
        <w:tc>
          <w:tcPr>
            <w:tcW w:w="540" w:type="pct"/>
            <w:gridSpan w:val="2"/>
            <w:tcBorders>
              <w:left w:val="nil"/>
              <w:bottom w:val="single" w:sz="4" w:space="0" w:color="auto"/>
              <w:right w:val="nil"/>
            </w:tcBorders>
            <w:shd w:val="clear" w:color="auto" w:fill="auto"/>
            <w:noWrap/>
            <w:vAlign w:val="bottom"/>
          </w:tcPr>
          <w:p w14:paraId="2501CE0F" w14:textId="0465150D" w:rsidR="003A407F" w:rsidRPr="002746C4" w:rsidRDefault="003A407F" w:rsidP="003A407F">
            <w:pPr>
              <w:spacing w:after="0" w:line="240" w:lineRule="auto"/>
              <w:jc w:val="right"/>
              <w:rPr>
                <w:sz w:val="18"/>
                <w:szCs w:val="18"/>
                <w:highlight w:val="yellow"/>
                <w:lang w:eastAsia="sk-SK"/>
              </w:rPr>
            </w:pPr>
            <w:r>
              <w:rPr>
                <w:sz w:val="18"/>
                <w:szCs w:val="18"/>
                <w:lang w:eastAsia="sk-SK"/>
              </w:rPr>
              <w:t>-459 911</w:t>
            </w:r>
          </w:p>
        </w:tc>
        <w:tc>
          <w:tcPr>
            <w:tcW w:w="621" w:type="pct"/>
            <w:gridSpan w:val="3"/>
            <w:tcBorders>
              <w:left w:val="nil"/>
              <w:bottom w:val="single" w:sz="4" w:space="0" w:color="auto"/>
              <w:right w:val="nil"/>
            </w:tcBorders>
            <w:shd w:val="clear" w:color="auto" w:fill="auto"/>
            <w:noWrap/>
            <w:vAlign w:val="bottom"/>
          </w:tcPr>
          <w:p w14:paraId="514AE074" w14:textId="5B36DDB5" w:rsidR="003A407F" w:rsidRPr="002746C4" w:rsidRDefault="003A407F" w:rsidP="003A407F">
            <w:pPr>
              <w:spacing w:after="0" w:line="240" w:lineRule="auto"/>
              <w:jc w:val="right"/>
              <w:rPr>
                <w:sz w:val="18"/>
                <w:szCs w:val="18"/>
                <w:highlight w:val="yellow"/>
                <w:lang w:eastAsia="sk-SK"/>
              </w:rPr>
            </w:pPr>
            <w:r w:rsidRPr="00504631">
              <w:rPr>
                <w:sz w:val="18"/>
                <w:szCs w:val="18"/>
                <w:lang w:eastAsia="sk-SK"/>
              </w:rPr>
              <w:t>0</w:t>
            </w:r>
          </w:p>
        </w:tc>
        <w:tc>
          <w:tcPr>
            <w:tcW w:w="459" w:type="pct"/>
            <w:tcBorders>
              <w:left w:val="nil"/>
              <w:bottom w:val="single" w:sz="4" w:space="0" w:color="auto"/>
              <w:right w:val="nil"/>
            </w:tcBorders>
            <w:shd w:val="clear" w:color="auto" w:fill="auto"/>
            <w:noWrap/>
            <w:vAlign w:val="bottom"/>
          </w:tcPr>
          <w:p w14:paraId="40919529" w14:textId="6A5CED12" w:rsidR="003A407F" w:rsidRPr="002746C4" w:rsidRDefault="003A407F" w:rsidP="003A407F">
            <w:pPr>
              <w:spacing w:after="0" w:line="240" w:lineRule="auto"/>
              <w:jc w:val="right"/>
              <w:rPr>
                <w:sz w:val="18"/>
                <w:szCs w:val="18"/>
                <w:highlight w:val="yellow"/>
                <w:lang w:eastAsia="sk-SK"/>
              </w:rPr>
            </w:pPr>
            <w:r>
              <w:rPr>
                <w:noProof/>
                <w:sz w:val="18"/>
                <w:szCs w:val="18"/>
                <w:lang w:eastAsia="sk-SK"/>
              </w:rPr>
              <w:drawing>
                <wp:anchor distT="0" distB="0" distL="114300" distR="114300" simplePos="0" relativeHeight="251880448" behindDoc="0" locked="0" layoutInCell="1" allowOverlap="1" wp14:anchorId="09FFAB4D" wp14:editId="305B61B2">
                  <wp:simplePos x="0" y="0"/>
                  <wp:positionH relativeFrom="column">
                    <wp:posOffset>0</wp:posOffset>
                  </wp:positionH>
                  <wp:positionV relativeFrom="paragraph">
                    <wp:posOffset>0</wp:posOffset>
                  </wp:positionV>
                  <wp:extent cx="123825" cy="123825"/>
                  <wp:effectExtent l="0" t="0" r="9525" b="9525"/>
                  <wp:wrapNone/>
                  <wp:docPr id="1691103030" name="Obrázok 2" descr="9D4GQ34QB727H10MA3SSAR2R9" hidden="1"/>
                  <wp:cNvGraphicFramePr/>
                  <a:graphic xmlns:a="http://schemas.openxmlformats.org/drawingml/2006/main">
                    <a:graphicData uri="http://schemas.openxmlformats.org/drawingml/2006/picture">
                      <pic:pic xmlns:pic="http://schemas.openxmlformats.org/drawingml/2006/picture">
                        <pic:nvPicPr>
                          <pic:cNvPr id="269" name="BExRZO0PLWWMCLGRH7EH6UXYWGAJ" descr="9D4GQ34QB727H10MA3SSAR2R9"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18"/>
                <w:szCs w:val="18"/>
                <w:lang w:eastAsia="sk-SK"/>
              </w:rPr>
              <w:drawing>
                <wp:anchor distT="0" distB="0" distL="114300" distR="114300" simplePos="0" relativeHeight="251881472" behindDoc="0" locked="0" layoutInCell="1" allowOverlap="1" wp14:anchorId="3CBFB066" wp14:editId="20DEFE84">
                  <wp:simplePos x="0" y="0"/>
                  <wp:positionH relativeFrom="column">
                    <wp:posOffset>0</wp:posOffset>
                  </wp:positionH>
                  <wp:positionV relativeFrom="paragraph">
                    <wp:posOffset>0</wp:posOffset>
                  </wp:positionV>
                  <wp:extent cx="123825" cy="123825"/>
                  <wp:effectExtent l="0" t="0" r="9525" b="9525"/>
                  <wp:wrapNone/>
                  <wp:docPr id="538840941" name="Obrázok 1" descr="MEW27CPIFG44B7E7HEQUUF5QF" hidden="1"/>
                  <wp:cNvGraphicFramePr/>
                  <a:graphic xmlns:a="http://schemas.openxmlformats.org/drawingml/2006/main">
                    <a:graphicData uri="http://schemas.openxmlformats.org/drawingml/2006/picture">
                      <pic:pic xmlns:pic="http://schemas.openxmlformats.org/drawingml/2006/picture">
                        <pic:nvPicPr>
                          <pic:cNvPr id="270" name="BEx1QZGQZBAWJ8591VXEIPUOVS7X" descr="MEW27CPIFG44B7E7HEQUUF5QF" hidden="1"/>
                          <pic:cNvPicPr>
                            <a:picLocks noChangeAspect="1" noChangeArrowheads="1"/>
                          </pic:cNvPicPr>
                        </pic:nvPicPr>
                        <pic:blipFill>
                          <a:blip r:embed="rId15"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sz w:val="18"/>
                <w:szCs w:val="18"/>
                <w:lang w:eastAsia="sk-SK"/>
              </w:rPr>
              <w:t>0</w:t>
            </w:r>
          </w:p>
        </w:tc>
      </w:tr>
      <w:tr w:rsidR="003A407F" w:rsidRPr="003A407F" w14:paraId="02A1DD0E" w14:textId="77777777" w:rsidTr="00FF497A">
        <w:trPr>
          <w:trHeight w:val="170"/>
        </w:trPr>
        <w:tc>
          <w:tcPr>
            <w:tcW w:w="5000" w:type="pct"/>
            <w:gridSpan w:val="14"/>
            <w:tcBorders>
              <w:top w:val="nil"/>
              <w:left w:val="nil"/>
              <w:bottom w:val="nil"/>
              <w:right w:val="nil"/>
            </w:tcBorders>
            <w:shd w:val="clear" w:color="auto" w:fill="auto"/>
            <w:noWrap/>
            <w:vAlign w:val="bottom"/>
            <w:hideMark/>
          </w:tcPr>
          <w:p w14:paraId="1C8DAFE6" w14:textId="62E1A012" w:rsidR="003A407F" w:rsidRPr="003A407F" w:rsidRDefault="00FF497A" w:rsidP="003A407F">
            <w:pPr>
              <w:spacing w:after="0" w:line="240" w:lineRule="auto"/>
              <w:ind w:firstLine="5879"/>
              <w:rPr>
                <w:i/>
                <w:iCs/>
                <w:sz w:val="16"/>
                <w:szCs w:val="16"/>
                <w:lang w:eastAsia="sk-SK"/>
              </w:rPr>
            </w:pPr>
            <w:r>
              <w:rPr>
                <w:i/>
                <w:iCs/>
                <w:sz w:val="16"/>
                <w:szCs w:val="16"/>
                <w:lang w:eastAsia="sk-SK"/>
              </w:rPr>
              <w:t xml:space="preserve">    </w:t>
            </w:r>
            <w:r w:rsidR="003A407F" w:rsidRPr="003A407F">
              <w:rPr>
                <w:i/>
                <w:iCs/>
                <w:sz w:val="16"/>
                <w:szCs w:val="16"/>
                <w:lang w:eastAsia="sk-SK"/>
              </w:rPr>
              <w:t>Zdroj: Individuálne účtovné závierky spoločností</w:t>
            </w:r>
          </w:p>
        </w:tc>
      </w:tr>
      <w:tr w:rsidR="003A407F" w:rsidRPr="002746C4" w14:paraId="4FBFE41C" w14:textId="77777777" w:rsidTr="00FF497A">
        <w:trPr>
          <w:trHeight w:val="232"/>
        </w:trPr>
        <w:tc>
          <w:tcPr>
            <w:tcW w:w="1716" w:type="pct"/>
            <w:gridSpan w:val="2"/>
            <w:tcBorders>
              <w:top w:val="nil"/>
              <w:left w:val="nil"/>
              <w:bottom w:val="nil"/>
              <w:right w:val="nil"/>
            </w:tcBorders>
            <w:shd w:val="clear" w:color="auto" w:fill="auto"/>
            <w:noWrap/>
            <w:vAlign w:val="bottom"/>
          </w:tcPr>
          <w:p w14:paraId="16AA150A" w14:textId="77777777" w:rsidR="003A407F" w:rsidRPr="002746C4" w:rsidRDefault="003A407F" w:rsidP="003A407F">
            <w:pPr>
              <w:spacing w:after="0" w:line="240" w:lineRule="auto"/>
              <w:jc w:val="right"/>
              <w:rPr>
                <w:sz w:val="20"/>
                <w:szCs w:val="20"/>
                <w:highlight w:val="yellow"/>
                <w:lang w:eastAsia="sk-SK"/>
              </w:rPr>
            </w:pPr>
          </w:p>
        </w:tc>
        <w:tc>
          <w:tcPr>
            <w:tcW w:w="550" w:type="pct"/>
            <w:gridSpan w:val="2"/>
            <w:tcBorders>
              <w:top w:val="nil"/>
              <w:left w:val="nil"/>
              <w:bottom w:val="nil"/>
              <w:right w:val="nil"/>
            </w:tcBorders>
            <w:shd w:val="clear" w:color="auto" w:fill="auto"/>
            <w:noWrap/>
            <w:vAlign w:val="bottom"/>
          </w:tcPr>
          <w:p w14:paraId="15F5E7E5" w14:textId="77777777" w:rsidR="003A407F" w:rsidRPr="002746C4" w:rsidRDefault="003A407F" w:rsidP="003A407F">
            <w:pPr>
              <w:spacing w:after="0" w:line="240" w:lineRule="auto"/>
              <w:rPr>
                <w:sz w:val="20"/>
                <w:szCs w:val="20"/>
                <w:highlight w:val="yellow"/>
                <w:lang w:eastAsia="sk-SK"/>
              </w:rPr>
            </w:pPr>
          </w:p>
        </w:tc>
        <w:tc>
          <w:tcPr>
            <w:tcW w:w="638" w:type="pct"/>
            <w:gridSpan w:val="2"/>
            <w:tcBorders>
              <w:top w:val="nil"/>
              <w:left w:val="nil"/>
              <w:bottom w:val="nil"/>
              <w:right w:val="nil"/>
            </w:tcBorders>
            <w:shd w:val="clear" w:color="auto" w:fill="auto"/>
            <w:noWrap/>
            <w:vAlign w:val="bottom"/>
          </w:tcPr>
          <w:p w14:paraId="15CDFCB5" w14:textId="77777777" w:rsidR="003A407F" w:rsidRPr="002746C4" w:rsidRDefault="003A407F" w:rsidP="003A407F">
            <w:pPr>
              <w:spacing w:after="0" w:line="240" w:lineRule="auto"/>
              <w:rPr>
                <w:sz w:val="20"/>
                <w:szCs w:val="20"/>
                <w:highlight w:val="yellow"/>
                <w:lang w:eastAsia="sk-SK"/>
              </w:rPr>
            </w:pPr>
          </w:p>
        </w:tc>
        <w:tc>
          <w:tcPr>
            <w:tcW w:w="505" w:type="pct"/>
            <w:gridSpan w:val="2"/>
            <w:tcBorders>
              <w:top w:val="nil"/>
              <w:left w:val="nil"/>
              <w:bottom w:val="nil"/>
              <w:right w:val="nil"/>
            </w:tcBorders>
            <w:shd w:val="clear" w:color="auto" w:fill="auto"/>
            <w:noWrap/>
            <w:vAlign w:val="bottom"/>
          </w:tcPr>
          <w:p w14:paraId="1A646E4B" w14:textId="77777777" w:rsidR="003A407F" w:rsidRPr="002746C4" w:rsidRDefault="003A407F" w:rsidP="003A407F">
            <w:pPr>
              <w:spacing w:after="0" w:line="240" w:lineRule="auto"/>
              <w:rPr>
                <w:sz w:val="20"/>
                <w:szCs w:val="20"/>
                <w:highlight w:val="yellow"/>
                <w:lang w:eastAsia="sk-SK"/>
              </w:rPr>
            </w:pPr>
          </w:p>
        </w:tc>
        <w:tc>
          <w:tcPr>
            <w:tcW w:w="592" w:type="pct"/>
            <w:gridSpan w:val="2"/>
            <w:tcBorders>
              <w:top w:val="nil"/>
              <w:left w:val="nil"/>
              <w:bottom w:val="nil"/>
              <w:right w:val="nil"/>
            </w:tcBorders>
            <w:shd w:val="clear" w:color="auto" w:fill="auto"/>
            <w:noWrap/>
            <w:vAlign w:val="bottom"/>
          </w:tcPr>
          <w:p w14:paraId="19E7F21D" w14:textId="77777777" w:rsidR="003A407F" w:rsidRPr="002746C4" w:rsidRDefault="003A407F" w:rsidP="003A407F">
            <w:pPr>
              <w:spacing w:after="0" w:line="240" w:lineRule="auto"/>
              <w:rPr>
                <w:sz w:val="20"/>
                <w:szCs w:val="20"/>
                <w:highlight w:val="yellow"/>
                <w:lang w:eastAsia="sk-SK"/>
              </w:rPr>
            </w:pPr>
          </w:p>
        </w:tc>
        <w:tc>
          <w:tcPr>
            <w:tcW w:w="466" w:type="pct"/>
            <w:tcBorders>
              <w:top w:val="nil"/>
              <w:left w:val="nil"/>
              <w:bottom w:val="nil"/>
              <w:right w:val="nil"/>
            </w:tcBorders>
            <w:shd w:val="clear" w:color="auto" w:fill="auto"/>
            <w:noWrap/>
            <w:vAlign w:val="bottom"/>
          </w:tcPr>
          <w:p w14:paraId="72400538" w14:textId="77777777" w:rsidR="003A407F" w:rsidRPr="002746C4" w:rsidRDefault="003A407F" w:rsidP="003A407F">
            <w:pPr>
              <w:spacing w:after="0" w:line="240" w:lineRule="auto"/>
              <w:rPr>
                <w:sz w:val="20"/>
                <w:szCs w:val="20"/>
                <w:highlight w:val="yellow"/>
                <w:lang w:eastAsia="sk-SK"/>
              </w:rPr>
            </w:pPr>
          </w:p>
        </w:tc>
        <w:tc>
          <w:tcPr>
            <w:tcW w:w="532" w:type="pct"/>
            <w:gridSpan w:val="3"/>
            <w:tcBorders>
              <w:top w:val="nil"/>
              <w:left w:val="nil"/>
              <w:bottom w:val="nil"/>
              <w:right w:val="nil"/>
            </w:tcBorders>
            <w:shd w:val="clear" w:color="auto" w:fill="auto"/>
            <w:noWrap/>
            <w:vAlign w:val="center"/>
          </w:tcPr>
          <w:p w14:paraId="1D152883" w14:textId="77777777" w:rsidR="003A407F" w:rsidRPr="002746C4" w:rsidRDefault="003A407F" w:rsidP="003A407F">
            <w:pPr>
              <w:spacing w:after="0" w:line="240" w:lineRule="auto"/>
              <w:jc w:val="right"/>
              <w:rPr>
                <w:i/>
                <w:iCs/>
                <w:sz w:val="16"/>
                <w:szCs w:val="16"/>
                <w:highlight w:val="yellow"/>
                <w:lang w:eastAsia="sk-SK"/>
              </w:rPr>
            </w:pPr>
          </w:p>
        </w:tc>
      </w:tr>
    </w:tbl>
    <w:p w14:paraId="5C388DF1" w14:textId="0B01F8BE" w:rsidR="00FA1620" w:rsidRPr="00116016" w:rsidRDefault="00FA1620" w:rsidP="00116016">
      <w:pPr>
        <w:spacing w:after="120" w:line="240" w:lineRule="auto"/>
        <w:jc w:val="both"/>
        <w:rPr>
          <w:szCs w:val="22"/>
        </w:rPr>
      </w:pPr>
      <w:r w:rsidRPr="00116016">
        <w:rPr>
          <w:szCs w:val="22"/>
        </w:rPr>
        <w:t xml:space="preserve">V nasledujúcom texte uvádzame podrobnejšie </w:t>
      </w:r>
      <w:r w:rsidR="00116016" w:rsidRPr="00116016">
        <w:rPr>
          <w:szCs w:val="22"/>
        </w:rPr>
        <w:t>vy</w:t>
      </w:r>
      <w:r w:rsidRPr="00116016">
        <w:rPr>
          <w:szCs w:val="22"/>
        </w:rPr>
        <w:t xml:space="preserve">hodnotenie zmeny vlastného imania </w:t>
      </w:r>
      <w:r w:rsidR="00116016" w:rsidRPr="00116016">
        <w:rPr>
          <w:szCs w:val="22"/>
        </w:rPr>
        <w:t>za vybrané podniky. Príloha č. 1 prezentuje tabuľkový prehľad všetkých podnikov štátnej správy, výšku vlastníckych podielov štátu (</w:t>
      </w:r>
      <w:r w:rsidR="00116016">
        <w:rPr>
          <w:szCs w:val="22"/>
        </w:rPr>
        <w:t>k </w:t>
      </w:r>
      <w:r w:rsidR="00116016" w:rsidRPr="00116016">
        <w:rPr>
          <w:szCs w:val="22"/>
        </w:rPr>
        <w:t>31.12.2023) a výšku ich vlastných imaní a výsledky hospodárenia za posledné tri roky. Príloha č. 2 poskytuje prehľad o štruktúre medziročnej zmeny ich vlastného imania podľa jednotlivých položiek vlastného imania.</w:t>
      </w:r>
      <w:r w:rsidRPr="00116016">
        <w:rPr>
          <w:szCs w:val="22"/>
        </w:rPr>
        <w:t xml:space="preserve"> </w:t>
      </w:r>
    </w:p>
    <w:p w14:paraId="7C1C259F" w14:textId="6F998997" w:rsidR="00116016" w:rsidRPr="00651DFF" w:rsidRDefault="00116016" w:rsidP="00116016">
      <w:pPr>
        <w:spacing w:after="120" w:line="336" w:lineRule="auto"/>
        <w:jc w:val="both"/>
        <w:rPr>
          <w:b/>
          <w:szCs w:val="22"/>
        </w:rPr>
      </w:pPr>
      <w:r w:rsidRPr="00651DFF">
        <w:rPr>
          <w:b/>
          <w:szCs w:val="22"/>
        </w:rPr>
        <w:t>Slovenské elektrárne, a. s. (ďalej „SE“)</w:t>
      </w:r>
    </w:p>
    <w:p w14:paraId="5EDC46FC" w14:textId="209D110D" w:rsidR="00116016" w:rsidRPr="00651DFF" w:rsidRDefault="00116016" w:rsidP="00116016">
      <w:pPr>
        <w:spacing w:after="120" w:line="240" w:lineRule="auto"/>
        <w:jc w:val="both"/>
        <w:rPr>
          <w:szCs w:val="22"/>
        </w:rPr>
      </w:pPr>
      <w:r w:rsidRPr="00651DFF">
        <w:rPr>
          <w:szCs w:val="22"/>
        </w:rPr>
        <w:t>Vlastné imanie SE sa v roku 2023 zvýšilo oproti predchádzajúcemu roku o 2 399 212 tis. eur najmä vplyvom čistej zmeny zabezpečenia peňažných tokov vo výške 1 841 638 tis. eur a vplyvom výsledku hospodárenia za bežné obdobie generovaného vo forme zisku 558 051 tis. eur.</w:t>
      </w:r>
    </w:p>
    <w:p w14:paraId="439C260F" w14:textId="34DA7042" w:rsidR="00116016" w:rsidRPr="00651DFF" w:rsidRDefault="00116016" w:rsidP="00116016">
      <w:pPr>
        <w:spacing w:after="120" w:line="240" w:lineRule="auto"/>
        <w:jc w:val="both"/>
        <w:rPr>
          <w:szCs w:val="22"/>
        </w:rPr>
      </w:pPr>
      <w:r w:rsidRPr="00651DFF">
        <w:rPr>
          <w:szCs w:val="22"/>
        </w:rPr>
        <w:t>Čistá zmena zabezpečenia peňažných tokov, ktorá v rámci zmeny stavu vlastného imania zaznamenala pozitívny vplyv vo výške 1 841 638 tis. eur, bola dô</w:t>
      </w:r>
      <w:r w:rsidR="00645EDA">
        <w:rPr>
          <w:szCs w:val="22"/>
        </w:rPr>
        <w:t>sledkom precenenia forwardov na </w:t>
      </w:r>
      <w:r w:rsidRPr="00651DFF">
        <w:rPr>
          <w:szCs w:val="22"/>
        </w:rPr>
        <w:t>elektrinu</w:t>
      </w:r>
      <w:r w:rsidRPr="00651DFF">
        <w:rPr>
          <w:rStyle w:val="Odkaznapoznmkupodiarou"/>
          <w:szCs w:val="22"/>
        </w:rPr>
        <w:footnoteReference w:id="34"/>
      </w:r>
      <w:r w:rsidRPr="00651DFF">
        <w:rPr>
          <w:szCs w:val="22"/>
        </w:rPr>
        <w:t xml:space="preserve"> (rast z  613 740 tis. eur v roku 2022 na 2 128 200 tis. eur v roku 2023).</w:t>
      </w:r>
    </w:p>
    <w:p w14:paraId="586CF898" w14:textId="68F77758" w:rsidR="00116016" w:rsidRPr="00651DFF" w:rsidRDefault="00116016" w:rsidP="00116016">
      <w:pPr>
        <w:spacing w:after="120" w:line="240" w:lineRule="auto"/>
        <w:jc w:val="both"/>
        <w:rPr>
          <w:color w:val="FF0000"/>
          <w:szCs w:val="22"/>
        </w:rPr>
      </w:pPr>
      <w:r w:rsidRPr="00651DFF">
        <w:rPr>
          <w:szCs w:val="22"/>
        </w:rPr>
        <w:t>Medziročne sa zmenil výsledok hospodárenia zo straty vo výške</w:t>
      </w:r>
      <w:r w:rsidR="00645EDA">
        <w:rPr>
          <w:szCs w:val="22"/>
        </w:rPr>
        <w:t xml:space="preserve"> 216 860 tis. eur (rok 2022) na </w:t>
      </w:r>
      <w:r w:rsidRPr="00651DFF">
        <w:rPr>
          <w:szCs w:val="22"/>
        </w:rPr>
        <w:t>zisk vo výške 558 051 tis. eur (rok 2023).  Pozitívnu medziročnú zmenu vo výške 774 911 tis. eur spôsobil najmä pokles nákladov na nákup elektrickej energie určenej na predaj. Náklady medziročne klesli o 45,0 % vplyvom vývoja cien podkladových komodít a rastu objemu výroby elektrickej energie. Okrem historicky najvyššej výroby v jadrových elektrárňach (posilnenie o výrobu 3. bloku jadrovej elektrárne Mochovce), aj</w:t>
      </w:r>
      <w:r w:rsidR="00645EDA">
        <w:rPr>
          <w:szCs w:val="22"/>
        </w:rPr>
        <w:t> </w:t>
      </w:r>
      <w:r w:rsidRPr="00651DFF">
        <w:rPr>
          <w:szCs w:val="22"/>
        </w:rPr>
        <w:t>dobré hydrologické podmienky pozitívne ovplyvnili obje</w:t>
      </w:r>
      <w:r w:rsidR="00645EDA">
        <w:rPr>
          <w:szCs w:val="22"/>
        </w:rPr>
        <w:t>m výroby elektrickej energie vo </w:t>
      </w:r>
      <w:r w:rsidRPr="00651DFF">
        <w:rPr>
          <w:szCs w:val="22"/>
        </w:rPr>
        <w:t>vodných elektrárňach.</w:t>
      </w:r>
    </w:p>
    <w:p w14:paraId="6789D5AE" w14:textId="2FF343D1" w:rsidR="00116016" w:rsidRPr="00651DFF" w:rsidRDefault="00116016" w:rsidP="00116016">
      <w:pPr>
        <w:spacing w:after="120" w:line="240" w:lineRule="auto"/>
        <w:jc w:val="both"/>
        <w:rPr>
          <w:szCs w:val="22"/>
        </w:rPr>
      </w:pPr>
      <w:r w:rsidRPr="00651DFF">
        <w:rPr>
          <w:szCs w:val="22"/>
        </w:rPr>
        <w:t>Pozitívny vplyv poklesu nákladov na nákup elektrickej energie určenej na predaj iba čiastočne zmiernilo zníženie výnosov z predaja elektrickej energie, ktoré klesli o 3,6 %. Pokles výnosov z predaja elektrickej energie najmä na domácom trhu bol výsledkom hlavne nižšej spotreby (až o 7,0 % oproti priemeru za rok 2021), ako aj nízkych cien pre domácnosti. Pričom 96,5 % dodanej elektriny do sústavy bola elektrina vyrobená bez skleníkových efektov.</w:t>
      </w:r>
    </w:p>
    <w:p w14:paraId="2DD754B8" w14:textId="4BE0237A" w:rsidR="00116016" w:rsidRPr="00651DFF" w:rsidRDefault="00116016" w:rsidP="00116016">
      <w:pPr>
        <w:spacing w:after="120" w:line="240" w:lineRule="auto"/>
        <w:jc w:val="both"/>
        <w:rPr>
          <w:color w:val="FF0000"/>
          <w:szCs w:val="22"/>
        </w:rPr>
      </w:pPr>
      <w:r w:rsidRPr="00651DFF">
        <w:rPr>
          <w:szCs w:val="22"/>
        </w:rPr>
        <w:t>Medziročný negatívny vývoj bol zaznamenaný na položke Jadrové rezervy, ktorých stav sa medziročne zvýšil o 4,5 % vplyvom aktualizácie nákladov do konca roka 2023 na základe dodatku k zmluve o poskytovaní služieb JAVYS</w:t>
      </w:r>
      <w:r w:rsidR="00DD1FFC">
        <w:rPr>
          <w:szCs w:val="22"/>
        </w:rPr>
        <w:t>-om</w:t>
      </w:r>
      <w:r w:rsidRPr="00651DFF">
        <w:rPr>
          <w:szCs w:val="22"/>
        </w:rPr>
        <w:t>). Negatívny vplyv vykázali aj osobné náklady, ktoré sa medziročne zvýšili o 22,1 % z dôvodu zvýšenia počtu zamestnancov o 2,3 % (zintenzívnenie náboru kvalifikovanej pracovnej sily, zároveň sa posilnila spolupráca so strednými školami a univerzitami pre zaistenie kontinuity prevádzky a nástupníctva).</w:t>
      </w:r>
    </w:p>
    <w:p w14:paraId="38D9EEE3" w14:textId="6DFFBF65" w:rsidR="00116016" w:rsidRPr="00E856FA" w:rsidRDefault="00116016" w:rsidP="0057683B">
      <w:pPr>
        <w:spacing w:after="120" w:line="240" w:lineRule="auto"/>
        <w:jc w:val="both"/>
        <w:rPr>
          <w:color w:val="FF0000"/>
          <w:szCs w:val="22"/>
          <w:highlight w:val="green"/>
        </w:rPr>
      </w:pPr>
      <w:r w:rsidRPr="00651DFF">
        <w:rPr>
          <w:szCs w:val="22"/>
        </w:rPr>
        <w:t>V októbri 2023 sa ukončilo energetické spúšťanie 3. bloku jadrovej elektrárne Mochovce poslednou skúškou, pričom počas roka 2023 dodával 3. blok elektrinu do siete. V súvislosti s ukončení uvádzania 3. bloku jadrovej elektrárne Mochovce do prevádzky, SE dňa 12. januára 2024 doplnila podanie na Úrad jadrového dozoru o žiadosť o udelenie súhlasu na dočasné užívanie 3. bloku. Toto podanie bolo podmienkou pre vydanie súhlasu na skúšobnú prevádzku. 4. blok dosiahol postup prác na 92,4 %. Celkový rozpočet sa počas roka 2023 navýšil na 6,4 mld. eur z pôvodných 6,2 mld. eur.</w:t>
      </w:r>
    </w:p>
    <w:p w14:paraId="355DF1F8" w14:textId="0D7E27BA" w:rsidR="00116016" w:rsidRPr="00995DA7" w:rsidRDefault="0057683B" w:rsidP="0057683B">
      <w:pPr>
        <w:spacing w:after="120" w:line="240" w:lineRule="auto"/>
        <w:jc w:val="both"/>
        <w:rPr>
          <w:szCs w:val="22"/>
        </w:rPr>
      </w:pPr>
      <w:r w:rsidRPr="007246AB">
        <w:rPr>
          <w:szCs w:val="22"/>
        </w:rPr>
        <w:t xml:space="preserve">Dňa 14. septembra 2023 uzavreli Ministerstvo hospodárstva SR, Ministerstvo financií SR,  majoritný akcionár SE Slovak Power Holding B.V. a SPP Zmluvu o implementácii mimoriadnych opatrení </w:t>
      </w:r>
      <w:r w:rsidRPr="007246AB">
        <w:rPr>
          <w:szCs w:val="22"/>
        </w:rPr>
        <w:lastRenderedPageBreak/>
        <w:t>na</w:t>
      </w:r>
      <w:r>
        <w:rPr>
          <w:szCs w:val="22"/>
        </w:rPr>
        <w:t> </w:t>
      </w:r>
      <w:r w:rsidRPr="007246AB">
        <w:rPr>
          <w:szCs w:val="22"/>
        </w:rPr>
        <w:t>elimináciu dopadu nárastu cien elektrickej energie na vybrané skupiny odberateľov. Na základe tejto zmluvy sa SE zaviazala ponúknuť elektrinu vyrobenú v zariadeniach  na výrobu elektriny z jadrového paliva a dodať v produkte Baseload</w:t>
      </w:r>
      <w:r w:rsidRPr="007246AB">
        <w:rPr>
          <w:rStyle w:val="Odkaznapoznmkupodiarou"/>
        </w:rPr>
        <w:footnoteReference w:id="35"/>
      </w:r>
      <w:r w:rsidRPr="007246AB">
        <w:rPr>
          <w:szCs w:val="22"/>
        </w:rPr>
        <w:t xml:space="preserve"> v kumulovanom ročnom množstve 5,79</w:t>
      </w:r>
      <w:r>
        <w:rPr>
          <w:szCs w:val="22"/>
        </w:rPr>
        <w:t> </w:t>
      </w:r>
      <w:r w:rsidRPr="007246AB">
        <w:rPr>
          <w:szCs w:val="22"/>
        </w:rPr>
        <w:t>TWh za</w:t>
      </w:r>
      <w:r>
        <w:rPr>
          <w:szCs w:val="22"/>
        </w:rPr>
        <w:t> </w:t>
      </w:r>
      <w:r w:rsidRPr="007246AB">
        <w:rPr>
          <w:szCs w:val="22"/>
        </w:rPr>
        <w:t>cenu 61,2077</w:t>
      </w:r>
      <w:r>
        <w:rPr>
          <w:szCs w:val="22"/>
        </w:rPr>
        <w:t> </w:t>
      </w:r>
      <w:r w:rsidRPr="007246AB">
        <w:rPr>
          <w:szCs w:val="22"/>
        </w:rPr>
        <w:t>EUR/MWh v priebehu roka 2023 a 2024 spoločnosti SPP.</w:t>
      </w:r>
    </w:p>
    <w:p w14:paraId="39D0730D" w14:textId="51649DC1" w:rsidR="00116016" w:rsidRPr="00995DA7" w:rsidRDefault="00116016" w:rsidP="00116016">
      <w:pPr>
        <w:spacing w:after="120" w:line="240" w:lineRule="auto"/>
        <w:jc w:val="both"/>
        <w:rPr>
          <w:b/>
          <w:szCs w:val="22"/>
          <w:lang w:eastAsia="sk-SK"/>
        </w:rPr>
      </w:pPr>
      <w:r w:rsidRPr="00995DA7">
        <w:rPr>
          <w:b/>
          <w:szCs w:val="22"/>
          <w:lang w:eastAsia="sk-SK"/>
        </w:rPr>
        <w:t>Západoslovenská energetika,</w:t>
      </w:r>
      <w:r w:rsidR="00995DA7" w:rsidRPr="00995DA7">
        <w:rPr>
          <w:b/>
          <w:szCs w:val="22"/>
          <w:lang w:eastAsia="sk-SK"/>
        </w:rPr>
        <w:t> </w:t>
      </w:r>
      <w:r w:rsidRPr="00995DA7">
        <w:rPr>
          <w:b/>
          <w:szCs w:val="22"/>
          <w:lang w:eastAsia="sk-SK"/>
        </w:rPr>
        <w:t>a.</w:t>
      </w:r>
      <w:r w:rsidR="00995DA7" w:rsidRPr="00995DA7">
        <w:rPr>
          <w:b/>
          <w:szCs w:val="22"/>
          <w:lang w:eastAsia="sk-SK"/>
        </w:rPr>
        <w:t> </w:t>
      </w:r>
      <w:r w:rsidRPr="00995DA7">
        <w:rPr>
          <w:b/>
          <w:szCs w:val="22"/>
          <w:lang w:eastAsia="sk-SK"/>
        </w:rPr>
        <w:t>s. (ďalej „ZSE“)</w:t>
      </w:r>
    </w:p>
    <w:p w14:paraId="0CDA96C9" w14:textId="3C846DAA" w:rsidR="00116016" w:rsidRPr="00BD0046" w:rsidRDefault="00116016" w:rsidP="00116016">
      <w:pPr>
        <w:spacing w:after="120" w:line="240" w:lineRule="auto"/>
        <w:jc w:val="both"/>
        <w:rPr>
          <w:szCs w:val="22"/>
        </w:rPr>
      </w:pPr>
      <w:r w:rsidRPr="00BD0046">
        <w:rPr>
          <w:szCs w:val="22"/>
        </w:rPr>
        <w:t>Vlastné imanie ZSE sa v roku 2023 zvýšilo oproti predchádzajúcemu roku o</w:t>
      </w:r>
      <w:r w:rsidR="00BD0046" w:rsidRPr="00BD0046">
        <w:rPr>
          <w:szCs w:val="22"/>
        </w:rPr>
        <w:t> </w:t>
      </w:r>
      <w:r w:rsidRPr="00BD0046">
        <w:rPr>
          <w:szCs w:val="22"/>
        </w:rPr>
        <w:t>803</w:t>
      </w:r>
      <w:r w:rsidR="00BD0046" w:rsidRPr="00BD0046">
        <w:rPr>
          <w:szCs w:val="22"/>
        </w:rPr>
        <w:t> </w:t>
      </w:r>
      <w:r w:rsidRPr="00BD0046">
        <w:rPr>
          <w:szCs w:val="22"/>
        </w:rPr>
        <w:t>495</w:t>
      </w:r>
      <w:r w:rsidR="00BD0046" w:rsidRPr="00BD0046">
        <w:rPr>
          <w:szCs w:val="22"/>
        </w:rPr>
        <w:t> </w:t>
      </w:r>
      <w:r w:rsidRPr="00BD0046">
        <w:rPr>
          <w:szCs w:val="22"/>
        </w:rPr>
        <w:t>tis.</w:t>
      </w:r>
      <w:r w:rsidR="00BD0046" w:rsidRPr="00BD0046">
        <w:rPr>
          <w:szCs w:val="22"/>
        </w:rPr>
        <w:t> </w:t>
      </w:r>
      <w:r w:rsidRPr="00BD0046">
        <w:rPr>
          <w:szCs w:val="22"/>
        </w:rPr>
        <w:t>eur vplyvom upísan</w:t>
      </w:r>
      <w:r w:rsidR="00BD0046" w:rsidRPr="00BD0046">
        <w:rPr>
          <w:szCs w:val="22"/>
        </w:rPr>
        <w:t>ia nových akcií vo výške 765 17 </w:t>
      </w:r>
      <w:r w:rsidRPr="00BD0046">
        <w:rPr>
          <w:szCs w:val="22"/>
        </w:rPr>
        <w:t>tis.</w:t>
      </w:r>
      <w:r w:rsidR="00BD0046" w:rsidRPr="00BD0046">
        <w:rPr>
          <w:szCs w:val="22"/>
        </w:rPr>
        <w:t> </w:t>
      </w:r>
      <w:r w:rsidRPr="00BD0046">
        <w:rPr>
          <w:szCs w:val="22"/>
        </w:rPr>
        <w:t>eur, zisku vygenerovaného za bežné obdobie vo</w:t>
      </w:r>
      <w:r w:rsidR="00BD0046" w:rsidRPr="00BD0046">
        <w:rPr>
          <w:szCs w:val="22"/>
        </w:rPr>
        <w:t> </w:t>
      </w:r>
      <w:r w:rsidRPr="00BD0046">
        <w:rPr>
          <w:szCs w:val="22"/>
        </w:rPr>
        <w:t>výške 110</w:t>
      </w:r>
      <w:r w:rsidR="00BD0046" w:rsidRPr="00BD0046">
        <w:rPr>
          <w:szCs w:val="22"/>
        </w:rPr>
        <w:t> </w:t>
      </w:r>
      <w:r w:rsidRPr="00BD0046">
        <w:rPr>
          <w:szCs w:val="22"/>
        </w:rPr>
        <w:t>892</w:t>
      </w:r>
      <w:r w:rsidR="00BD0046" w:rsidRPr="00BD0046">
        <w:rPr>
          <w:szCs w:val="22"/>
        </w:rPr>
        <w:t> </w:t>
      </w:r>
      <w:r w:rsidRPr="00BD0046">
        <w:rPr>
          <w:szCs w:val="22"/>
        </w:rPr>
        <w:t>tis.</w:t>
      </w:r>
      <w:r w:rsidR="00BD0046" w:rsidRPr="00BD0046">
        <w:rPr>
          <w:szCs w:val="22"/>
        </w:rPr>
        <w:t> </w:t>
      </w:r>
      <w:r w:rsidRPr="00BD0046">
        <w:rPr>
          <w:szCs w:val="22"/>
        </w:rPr>
        <w:t>eur. Významne pozitívny vplyv uvedených položiek čiastočne eliminoval negatívny vplyv v</w:t>
      </w:r>
      <w:r w:rsidR="00BD0046" w:rsidRPr="00BD0046">
        <w:rPr>
          <w:szCs w:val="22"/>
        </w:rPr>
        <w:t>yplatených dividend vo výške 72 </w:t>
      </w:r>
      <w:r w:rsidRPr="00BD0046">
        <w:rPr>
          <w:szCs w:val="22"/>
        </w:rPr>
        <w:t>727</w:t>
      </w:r>
      <w:r w:rsidR="00BD0046" w:rsidRPr="00BD0046">
        <w:rPr>
          <w:szCs w:val="22"/>
        </w:rPr>
        <w:t> </w:t>
      </w:r>
      <w:r w:rsidRPr="00BD0046">
        <w:rPr>
          <w:szCs w:val="22"/>
        </w:rPr>
        <w:t>tis.</w:t>
      </w:r>
      <w:r w:rsidR="00BD0046" w:rsidRPr="00BD0046">
        <w:rPr>
          <w:szCs w:val="22"/>
        </w:rPr>
        <w:t> </w:t>
      </w:r>
      <w:r w:rsidRPr="00BD0046">
        <w:rPr>
          <w:szCs w:val="22"/>
        </w:rPr>
        <w:t>eur (dividenda pripadajúca na majetkový podiel štátu vo</w:t>
      </w:r>
      <w:r w:rsidR="00BD0046" w:rsidRPr="00BD0046">
        <w:rPr>
          <w:szCs w:val="22"/>
        </w:rPr>
        <w:t> </w:t>
      </w:r>
      <w:r w:rsidRPr="00BD0046">
        <w:rPr>
          <w:szCs w:val="22"/>
        </w:rPr>
        <w:t>výške 37</w:t>
      </w:r>
      <w:r w:rsidR="00BD0046" w:rsidRPr="00BD0046">
        <w:rPr>
          <w:szCs w:val="22"/>
        </w:rPr>
        <w:t> </w:t>
      </w:r>
      <w:r w:rsidRPr="00BD0046">
        <w:rPr>
          <w:szCs w:val="22"/>
        </w:rPr>
        <w:t>091</w:t>
      </w:r>
      <w:r w:rsidR="00BD0046" w:rsidRPr="00BD0046">
        <w:rPr>
          <w:szCs w:val="22"/>
        </w:rPr>
        <w:t> </w:t>
      </w:r>
      <w:r w:rsidRPr="00BD0046">
        <w:rPr>
          <w:szCs w:val="22"/>
        </w:rPr>
        <w:t>tis.</w:t>
      </w:r>
      <w:r w:rsidR="00BD0046" w:rsidRPr="00BD0046">
        <w:rPr>
          <w:szCs w:val="22"/>
        </w:rPr>
        <w:t> </w:t>
      </w:r>
      <w:r w:rsidRPr="00BD0046">
        <w:rPr>
          <w:szCs w:val="22"/>
        </w:rPr>
        <w:t>eur)</w:t>
      </w:r>
      <w:r w:rsidRPr="00BD0046">
        <w:rPr>
          <w:rStyle w:val="Odkaznapoznmkupodiarou"/>
          <w:szCs w:val="22"/>
        </w:rPr>
        <w:footnoteReference w:id="36"/>
      </w:r>
      <w:r w:rsidR="00BD0046" w:rsidRPr="00BD0046">
        <w:rPr>
          <w:szCs w:val="22"/>
        </w:rPr>
        <w:t>.</w:t>
      </w:r>
    </w:p>
    <w:p w14:paraId="38D7676D" w14:textId="52119CE6" w:rsidR="00116016" w:rsidRPr="00BD0046" w:rsidRDefault="00BD0046" w:rsidP="00116016">
      <w:pPr>
        <w:spacing w:after="120" w:line="240" w:lineRule="auto"/>
        <w:jc w:val="both"/>
        <w:rPr>
          <w:color w:val="FF0000"/>
          <w:szCs w:val="22"/>
        </w:rPr>
      </w:pPr>
      <w:r w:rsidRPr="00BD0046">
        <w:rPr>
          <w:szCs w:val="22"/>
        </w:rPr>
        <w:t>S platnosťou od 23. novembra </w:t>
      </w:r>
      <w:r w:rsidR="00116016" w:rsidRPr="00BD0046">
        <w:rPr>
          <w:szCs w:val="22"/>
        </w:rPr>
        <w:t>2023 bola právne zavŕšená realizácia integrácia skupiny VSE</w:t>
      </w:r>
      <w:r w:rsidRPr="00BD0046">
        <w:rPr>
          <w:szCs w:val="22"/>
        </w:rPr>
        <w:t> </w:t>
      </w:r>
      <w:r w:rsidR="00116016" w:rsidRPr="00BD0046">
        <w:rPr>
          <w:szCs w:val="22"/>
        </w:rPr>
        <w:t>Holding do</w:t>
      </w:r>
      <w:r w:rsidRPr="00BD0046">
        <w:rPr>
          <w:szCs w:val="22"/>
        </w:rPr>
        <w:t> </w:t>
      </w:r>
      <w:r w:rsidR="00116016" w:rsidRPr="00BD0046">
        <w:rPr>
          <w:szCs w:val="22"/>
        </w:rPr>
        <w:t>skupiny ZSE, pričom materskou spoločnosťou novovzniknutého podnikového zoskupenia sa stala spoločnosť ZSE. Integráciu umožnila na jednej strane rovnaká akcionárska štruktúra oboch podnikových zoskupení a strane druhej implementácia tzv. „zimného energetického balíčka“ Európskej únie, ktorá umožnila vznik nových foriem účastníkov energetického trhu (agregátov, energetických spoločenstiev a pod.). Výsledkom integrácie nebolo len začlenenie pôvodnej skupiny VSE Holding pod skupinu ZSE, ale aj vznik novousporiadanej skupiny ZSE (VSEH sa stala dcérskou spoločnosťou ZSE, následne VSEH predala dcérske spoločnosti Východoslovenská distribučná,</w:t>
      </w:r>
      <w:r w:rsidRPr="00BD0046">
        <w:rPr>
          <w:szCs w:val="22"/>
        </w:rPr>
        <w:t> </w:t>
      </w:r>
      <w:r w:rsidR="00116016" w:rsidRPr="00BD0046">
        <w:rPr>
          <w:szCs w:val="22"/>
        </w:rPr>
        <w:t>a.</w:t>
      </w:r>
      <w:r w:rsidRPr="00BD0046">
        <w:rPr>
          <w:szCs w:val="22"/>
        </w:rPr>
        <w:t> </w:t>
      </w:r>
      <w:r w:rsidR="00116016" w:rsidRPr="00BD0046">
        <w:rPr>
          <w:szCs w:val="22"/>
        </w:rPr>
        <w:t>s. a Východoslovenská energetika,</w:t>
      </w:r>
      <w:r w:rsidRPr="00BD0046">
        <w:rPr>
          <w:szCs w:val="22"/>
        </w:rPr>
        <w:t> </w:t>
      </w:r>
      <w:r w:rsidR="00116016" w:rsidRPr="00BD0046">
        <w:rPr>
          <w:szCs w:val="22"/>
        </w:rPr>
        <w:t>a.</w:t>
      </w:r>
      <w:r w:rsidRPr="00BD0046">
        <w:rPr>
          <w:szCs w:val="22"/>
        </w:rPr>
        <w:t> </w:t>
      </w:r>
      <w:r w:rsidR="00116016" w:rsidRPr="00BD0046">
        <w:rPr>
          <w:szCs w:val="22"/>
        </w:rPr>
        <w:t>s. spoločnosti ZSE). Na základe rozhodnutia valného zhromaždenia zo dňa 28.</w:t>
      </w:r>
      <w:r w:rsidRPr="00BD0046">
        <w:rPr>
          <w:szCs w:val="22"/>
        </w:rPr>
        <w:t> </w:t>
      </w:r>
      <w:r w:rsidR="00116016" w:rsidRPr="00BD0046">
        <w:rPr>
          <w:szCs w:val="22"/>
        </w:rPr>
        <w:t>augusta</w:t>
      </w:r>
      <w:r w:rsidRPr="00BD0046">
        <w:rPr>
          <w:szCs w:val="22"/>
        </w:rPr>
        <w:t> </w:t>
      </w:r>
      <w:r w:rsidR="00116016" w:rsidRPr="00BD0046">
        <w:rPr>
          <w:szCs w:val="22"/>
        </w:rPr>
        <w:t>2023 ZSE navýšila základné imanie upísaním nových akcií, ktorých celkový emisný kurz bol vo</w:t>
      </w:r>
      <w:r w:rsidRPr="00BD0046">
        <w:rPr>
          <w:szCs w:val="22"/>
        </w:rPr>
        <w:t> </w:t>
      </w:r>
      <w:r w:rsidR="00116016" w:rsidRPr="00BD0046">
        <w:rPr>
          <w:szCs w:val="22"/>
        </w:rPr>
        <w:t>výške 765</w:t>
      </w:r>
      <w:r w:rsidRPr="00BD0046">
        <w:rPr>
          <w:szCs w:val="22"/>
        </w:rPr>
        <w:t> </w:t>
      </w:r>
      <w:r w:rsidR="00116016" w:rsidRPr="00BD0046">
        <w:rPr>
          <w:szCs w:val="22"/>
        </w:rPr>
        <w:t>178</w:t>
      </w:r>
      <w:r w:rsidRPr="00BD0046">
        <w:rPr>
          <w:szCs w:val="22"/>
        </w:rPr>
        <w:t> </w:t>
      </w:r>
      <w:r w:rsidR="00116016" w:rsidRPr="00BD0046">
        <w:rPr>
          <w:szCs w:val="22"/>
        </w:rPr>
        <w:t>tis.</w:t>
      </w:r>
      <w:r w:rsidRPr="00BD0046">
        <w:rPr>
          <w:szCs w:val="22"/>
        </w:rPr>
        <w:t> </w:t>
      </w:r>
      <w:r w:rsidR="00116016" w:rsidRPr="00BD0046">
        <w:rPr>
          <w:szCs w:val="22"/>
        </w:rPr>
        <w:t>eur. Akcie boli splatené v plnej výške, pričom bola zachovaná pôvodná akcionárska štruktúra aj s výškou ich podielov na základnom imaní a hlasovacích právach.</w:t>
      </w:r>
    </w:p>
    <w:p w14:paraId="3AA7823C" w14:textId="04E2451F" w:rsidR="00116016" w:rsidRPr="00BD0046" w:rsidRDefault="00116016" w:rsidP="00116016">
      <w:pPr>
        <w:spacing w:after="120" w:line="240" w:lineRule="auto"/>
        <w:jc w:val="both"/>
        <w:rPr>
          <w:szCs w:val="22"/>
        </w:rPr>
      </w:pPr>
      <w:r w:rsidRPr="00BD0046">
        <w:rPr>
          <w:szCs w:val="22"/>
          <w:lang w:eastAsia="sk-SK"/>
        </w:rPr>
        <w:t>Čistý zisk vzrástol oproti predchádzajúcemu roku o 52,2 % vplyvom vyšších výnosov z prijatých dividend, ktoré medziročne vzrástli o 44,7</w:t>
      </w:r>
      <w:r w:rsidR="00BD0046" w:rsidRPr="00BD0046">
        <w:rPr>
          <w:szCs w:val="22"/>
          <w:lang w:eastAsia="sk-SK"/>
        </w:rPr>
        <w:t> </w:t>
      </w:r>
      <w:r w:rsidRPr="00BD0046">
        <w:rPr>
          <w:szCs w:val="22"/>
          <w:lang w:eastAsia="sk-SK"/>
        </w:rPr>
        <w:t>% (z dôvodu vyšších dividend vyplatených dcérskou spoločnosťou ZSE Energia,</w:t>
      </w:r>
      <w:r w:rsidR="00BD0046" w:rsidRPr="00BD0046">
        <w:rPr>
          <w:szCs w:val="22"/>
          <w:lang w:eastAsia="sk-SK"/>
        </w:rPr>
        <w:t> </w:t>
      </w:r>
      <w:r w:rsidRPr="00BD0046">
        <w:rPr>
          <w:szCs w:val="22"/>
          <w:lang w:eastAsia="sk-SK"/>
        </w:rPr>
        <w:t>a.</w:t>
      </w:r>
      <w:r w:rsidR="00BD0046" w:rsidRPr="00BD0046">
        <w:rPr>
          <w:szCs w:val="22"/>
          <w:lang w:eastAsia="sk-SK"/>
        </w:rPr>
        <w:t> </w:t>
      </w:r>
      <w:r w:rsidRPr="00BD0046">
        <w:rPr>
          <w:szCs w:val="22"/>
          <w:lang w:eastAsia="sk-SK"/>
        </w:rPr>
        <w:t xml:space="preserve">s. - vyplatenie vyššieho objemu dividend bol spôsobený medziročným zdvojnásobením dosiahnutého zisku vplyvom zvýšenia výnosov z predaja elektrickej energie priemyselným a podnikateľským zákazníkom – rast bol spôsobených rastom predajných cien, pri súčasnom miernom poklese objemu dodanej elektrickej energie). Pozitívny vplyv bol vykázaných aj na položke ostatných prevádzkových výnosov spôsobený ziskom z predaja dlhodobého hmotného </w:t>
      </w:r>
      <w:r w:rsidRPr="00BD0046">
        <w:rPr>
          <w:szCs w:val="22"/>
        </w:rPr>
        <w:t>majetku.</w:t>
      </w:r>
    </w:p>
    <w:p w14:paraId="473C1622" w14:textId="42BD73E2" w:rsidR="00116016" w:rsidRPr="00BD0046" w:rsidRDefault="00116016" w:rsidP="00116016">
      <w:pPr>
        <w:spacing w:after="120" w:line="240" w:lineRule="auto"/>
        <w:jc w:val="both"/>
        <w:rPr>
          <w:szCs w:val="22"/>
        </w:rPr>
      </w:pPr>
      <w:r w:rsidRPr="00BD0046">
        <w:rPr>
          <w:b/>
          <w:szCs w:val="22"/>
        </w:rPr>
        <w:t>Vodohospodárska výstavba,</w:t>
      </w:r>
      <w:r w:rsidR="00BD0046" w:rsidRPr="00BD0046">
        <w:rPr>
          <w:b/>
          <w:szCs w:val="22"/>
        </w:rPr>
        <w:t> </w:t>
      </w:r>
      <w:r w:rsidRPr="00BD0046">
        <w:rPr>
          <w:b/>
          <w:szCs w:val="22"/>
        </w:rPr>
        <w:t>š.</w:t>
      </w:r>
      <w:r w:rsidR="00BD0046" w:rsidRPr="00BD0046">
        <w:rPr>
          <w:b/>
          <w:szCs w:val="22"/>
        </w:rPr>
        <w:t> </w:t>
      </w:r>
      <w:r w:rsidRPr="00BD0046">
        <w:rPr>
          <w:b/>
          <w:szCs w:val="22"/>
        </w:rPr>
        <w:t>p.</w:t>
      </w:r>
      <w:r w:rsidRPr="00BD0046">
        <w:rPr>
          <w:szCs w:val="22"/>
        </w:rPr>
        <w:t xml:space="preserve"> (ďalej „VV“)</w:t>
      </w:r>
    </w:p>
    <w:p w14:paraId="6729E420" w14:textId="02440EC4" w:rsidR="00116016" w:rsidRPr="00BD0046" w:rsidRDefault="00116016" w:rsidP="00116016">
      <w:pPr>
        <w:spacing w:after="120" w:line="240" w:lineRule="auto"/>
        <w:jc w:val="both"/>
        <w:rPr>
          <w:color w:val="FF0000"/>
          <w:szCs w:val="22"/>
        </w:rPr>
      </w:pPr>
      <w:r w:rsidRPr="00BD0046">
        <w:rPr>
          <w:szCs w:val="22"/>
        </w:rPr>
        <w:t>Vlastné imanie VV sa v roku 2023 zvýšilo oproti predchádzajúcemu roku o</w:t>
      </w:r>
      <w:r w:rsidR="00BD0046" w:rsidRPr="00BD0046">
        <w:rPr>
          <w:szCs w:val="22"/>
        </w:rPr>
        <w:t> </w:t>
      </w:r>
      <w:r w:rsidRPr="00BD0046">
        <w:rPr>
          <w:szCs w:val="22"/>
        </w:rPr>
        <w:t>138</w:t>
      </w:r>
      <w:r w:rsidR="00BD0046" w:rsidRPr="00BD0046">
        <w:rPr>
          <w:szCs w:val="22"/>
        </w:rPr>
        <w:t> </w:t>
      </w:r>
      <w:r w:rsidRPr="00BD0046">
        <w:rPr>
          <w:szCs w:val="22"/>
        </w:rPr>
        <w:t>204</w:t>
      </w:r>
      <w:r w:rsidR="00BD0046" w:rsidRPr="00BD0046">
        <w:rPr>
          <w:szCs w:val="22"/>
        </w:rPr>
        <w:t> </w:t>
      </w:r>
      <w:r w:rsidRPr="00BD0046">
        <w:rPr>
          <w:szCs w:val="22"/>
        </w:rPr>
        <w:t>tis.</w:t>
      </w:r>
      <w:r w:rsidR="00BD0046" w:rsidRPr="00BD0046">
        <w:rPr>
          <w:szCs w:val="22"/>
        </w:rPr>
        <w:t> </w:t>
      </w:r>
      <w:r w:rsidRPr="00BD0046">
        <w:rPr>
          <w:szCs w:val="22"/>
        </w:rPr>
        <w:t>eur vplyvom</w:t>
      </w:r>
      <w:r w:rsidR="00BD0046" w:rsidRPr="00BD0046">
        <w:rPr>
          <w:szCs w:val="22"/>
        </w:rPr>
        <w:t xml:space="preserve"> </w:t>
      </w:r>
      <w:r w:rsidRPr="00BD0046">
        <w:rPr>
          <w:szCs w:val="22"/>
        </w:rPr>
        <w:t>dosiahnutého zisku za bežné obdobie vo výške 241 138 tis. eur. Pozitívny vplyv zisku čiastočne zmiernil negatívny vplyv vyplatenia odvodu zo zisku za bežné obdobie vo výške 103</w:t>
      </w:r>
      <w:r w:rsidR="00BD0046" w:rsidRPr="00BD0046">
        <w:rPr>
          <w:szCs w:val="22"/>
        </w:rPr>
        <w:t> 518 </w:t>
      </w:r>
      <w:r w:rsidRPr="00BD0046">
        <w:rPr>
          <w:szCs w:val="22"/>
        </w:rPr>
        <w:t>tis.</w:t>
      </w:r>
      <w:r w:rsidR="00BD0046" w:rsidRPr="00BD0046">
        <w:rPr>
          <w:szCs w:val="22"/>
        </w:rPr>
        <w:t> </w:t>
      </w:r>
      <w:r w:rsidRPr="00BD0046">
        <w:rPr>
          <w:szCs w:val="22"/>
        </w:rPr>
        <w:t>eur</w:t>
      </w:r>
      <w:r w:rsidRPr="00BD0046">
        <w:rPr>
          <w:rStyle w:val="Odkaznapoznmkupodiarou"/>
          <w:szCs w:val="22"/>
        </w:rPr>
        <w:footnoteReference w:id="37"/>
      </w:r>
      <w:r w:rsidRPr="00BD0046">
        <w:rPr>
          <w:szCs w:val="22"/>
        </w:rPr>
        <w:t xml:space="preserve"> (z toho 3</w:t>
      </w:r>
      <w:r w:rsidR="00BD0046" w:rsidRPr="00BD0046">
        <w:rPr>
          <w:szCs w:val="22"/>
        </w:rPr>
        <w:t> </w:t>
      </w:r>
      <w:r w:rsidRPr="00BD0046">
        <w:rPr>
          <w:szCs w:val="22"/>
        </w:rPr>
        <w:t>318</w:t>
      </w:r>
      <w:r w:rsidR="00BD0046" w:rsidRPr="00BD0046">
        <w:rPr>
          <w:szCs w:val="22"/>
        </w:rPr>
        <w:t> </w:t>
      </w:r>
      <w:r w:rsidRPr="00BD0046">
        <w:rPr>
          <w:szCs w:val="22"/>
        </w:rPr>
        <w:t>tis.</w:t>
      </w:r>
      <w:r w:rsidR="00BD0046" w:rsidRPr="00BD0046">
        <w:rPr>
          <w:szCs w:val="22"/>
        </w:rPr>
        <w:t> </w:t>
      </w:r>
      <w:r w:rsidRPr="00BD0046">
        <w:rPr>
          <w:szCs w:val="22"/>
        </w:rPr>
        <w:t>eur predstavoval poskytnutý dar zriaďovateľovi za účelom krytia prevádzkových výdavkov).</w:t>
      </w:r>
    </w:p>
    <w:p w14:paraId="4D218E4B" w14:textId="5D723241" w:rsidR="00116016" w:rsidRPr="00BD0046" w:rsidRDefault="00116016" w:rsidP="00116016">
      <w:pPr>
        <w:spacing w:after="120" w:line="240" w:lineRule="auto"/>
        <w:jc w:val="both"/>
        <w:rPr>
          <w:szCs w:val="22"/>
          <w:lang w:eastAsia="sk-SK"/>
        </w:rPr>
      </w:pPr>
      <w:r w:rsidRPr="00BD0046">
        <w:rPr>
          <w:szCs w:val="22"/>
          <w:lang w:eastAsia="sk-SK"/>
        </w:rPr>
        <w:t>Čistý zisk vzrástol oproti predchádzajúcemu roku viac a</w:t>
      </w:r>
      <w:r w:rsidR="00BD0046" w:rsidRPr="00BD0046">
        <w:rPr>
          <w:szCs w:val="22"/>
          <w:lang w:eastAsia="sk-SK"/>
        </w:rPr>
        <w:t>ko 2,1 násobne z úrovne 113 150 tis. </w:t>
      </w:r>
      <w:r w:rsidRPr="00BD0046">
        <w:rPr>
          <w:szCs w:val="22"/>
          <w:lang w:eastAsia="sk-SK"/>
        </w:rPr>
        <w:t>eur (za</w:t>
      </w:r>
      <w:r w:rsidR="00645EDA">
        <w:rPr>
          <w:szCs w:val="22"/>
          <w:lang w:eastAsia="sk-SK"/>
        </w:rPr>
        <w:t> </w:t>
      </w:r>
      <w:r w:rsidRPr="00BD0046">
        <w:rPr>
          <w:szCs w:val="22"/>
          <w:lang w:eastAsia="sk-SK"/>
        </w:rPr>
        <w:t>rok 2022) na úroveň 241</w:t>
      </w:r>
      <w:r w:rsidR="00BD0046" w:rsidRPr="00BD0046">
        <w:rPr>
          <w:szCs w:val="22"/>
          <w:lang w:eastAsia="sk-SK"/>
        </w:rPr>
        <w:t> </w:t>
      </w:r>
      <w:r w:rsidRPr="00BD0046">
        <w:rPr>
          <w:szCs w:val="22"/>
          <w:lang w:eastAsia="sk-SK"/>
        </w:rPr>
        <w:t>138</w:t>
      </w:r>
      <w:r w:rsidR="00BD0046" w:rsidRPr="00BD0046">
        <w:rPr>
          <w:szCs w:val="22"/>
          <w:lang w:eastAsia="sk-SK"/>
        </w:rPr>
        <w:t> tis. </w:t>
      </w:r>
      <w:r w:rsidRPr="00BD0046">
        <w:rPr>
          <w:szCs w:val="22"/>
          <w:lang w:eastAsia="sk-SK"/>
        </w:rPr>
        <w:t>eur (za rok 2023). Hlavným zdrojom generovania boli tržby z výroby a predaja elektrickej energie, ktoré medziročne vzrástli o 32,1</w:t>
      </w:r>
      <w:r w:rsidR="00BD0046" w:rsidRPr="00BD0046">
        <w:rPr>
          <w:szCs w:val="22"/>
          <w:lang w:eastAsia="sk-SK"/>
        </w:rPr>
        <w:t> </w:t>
      </w:r>
      <w:r w:rsidRPr="00BD0046">
        <w:rPr>
          <w:szCs w:val="22"/>
          <w:lang w:eastAsia="sk-SK"/>
        </w:rPr>
        <w:t>% vplyvom rastu predajných cien elektrickej energie a z dôvodu priaznivých hydrologických podmienok (prevažná časť odbytu pritom bola zrealizovaná na území Slovenskej republiky, odbyt zrealizovaný v zahraničný predstavoval podiel na</w:t>
      </w:r>
      <w:r w:rsidR="00BD0046" w:rsidRPr="00BD0046">
        <w:rPr>
          <w:szCs w:val="22"/>
          <w:lang w:eastAsia="sk-SK"/>
        </w:rPr>
        <w:t> </w:t>
      </w:r>
      <w:r w:rsidRPr="00BD0046">
        <w:rPr>
          <w:szCs w:val="22"/>
          <w:lang w:eastAsia="sk-SK"/>
        </w:rPr>
        <w:t>tržbách vo výške 2,2</w:t>
      </w:r>
      <w:r w:rsidR="00BD0046" w:rsidRPr="00BD0046">
        <w:rPr>
          <w:szCs w:val="22"/>
          <w:lang w:eastAsia="sk-SK"/>
        </w:rPr>
        <w:t> </w:t>
      </w:r>
      <w:r w:rsidRPr="00BD0046">
        <w:rPr>
          <w:szCs w:val="22"/>
          <w:lang w:eastAsia="sk-SK"/>
        </w:rPr>
        <w:t>%).</w:t>
      </w:r>
    </w:p>
    <w:p w14:paraId="1B5CB7F4" w14:textId="207C71FE" w:rsidR="00116016" w:rsidRPr="00412E6B" w:rsidRDefault="00116016" w:rsidP="00116016">
      <w:pPr>
        <w:spacing w:after="120" w:line="240" w:lineRule="auto"/>
        <w:jc w:val="both"/>
        <w:rPr>
          <w:szCs w:val="22"/>
        </w:rPr>
      </w:pPr>
      <w:r w:rsidRPr="00412E6B">
        <w:rPr>
          <w:szCs w:val="22"/>
          <w:lang w:eastAsia="sk-SK"/>
        </w:rPr>
        <w:t>Pozitívny vplyv tržieb z prevádzky ešte viac umocnil pozitívny vplyv medziročného poklesu prevádzkových nákladov o 20,3</w:t>
      </w:r>
      <w:r w:rsidR="00412E6B" w:rsidRPr="00412E6B">
        <w:rPr>
          <w:szCs w:val="22"/>
          <w:lang w:eastAsia="sk-SK"/>
        </w:rPr>
        <w:t> </w:t>
      </w:r>
      <w:r w:rsidRPr="00412E6B">
        <w:rPr>
          <w:szCs w:val="22"/>
          <w:lang w:eastAsia="sk-SK"/>
        </w:rPr>
        <w:t>% vplyvom medziro</w:t>
      </w:r>
      <w:r w:rsidR="00412E6B" w:rsidRPr="00412E6B">
        <w:rPr>
          <w:szCs w:val="22"/>
          <w:lang w:eastAsia="sk-SK"/>
        </w:rPr>
        <w:t>čného poklesu tvorby rezervy na </w:t>
      </w:r>
      <w:r w:rsidRPr="00412E6B">
        <w:rPr>
          <w:szCs w:val="22"/>
          <w:lang w:eastAsia="sk-SK"/>
        </w:rPr>
        <w:t>odstránenie sedimentov zo zdrže Hrušov z dôvodu zaistenia zvýše</w:t>
      </w:r>
      <w:r w:rsidR="001F4EDC">
        <w:rPr>
          <w:szCs w:val="22"/>
          <w:lang w:eastAsia="sk-SK"/>
        </w:rPr>
        <w:t>ných prietokov cez objekty v Čun</w:t>
      </w:r>
      <w:r w:rsidRPr="00412E6B">
        <w:rPr>
          <w:szCs w:val="22"/>
          <w:lang w:eastAsia="sk-SK"/>
        </w:rPr>
        <w:t xml:space="preserve">ove a Gabčíkove (rezerva sa tvorí od roku 2021). Pozitívny vplyv nižšej tvorby rezervy v rámci prevádzkových nákladov </w:t>
      </w:r>
      <w:r w:rsidRPr="00412E6B">
        <w:rPr>
          <w:szCs w:val="22"/>
          <w:lang w:eastAsia="sk-SK"/>
        </w:rPr>
        <w:lastRenderedPageBreak/>
        <w:t>čiastočne eliminoval medziročný rast na položkách osobné náklady (z dôvodu valorizácie miezd od</w:t>
      </w:r>
      <w:r w:rsidR="00645EDA">
        <w:rPr>
          <w:szCs w:val="22"/>
          <w:lang w:eastAsia="sk-SK"/>
        </w:rPr>
        <w:t> </w:t>
      </w:r>
      <w:r w:rsidRPr="00412E6B">
        <w:rPr>
          <w:szCs w:val="22"/>
        </w:rPr>
        <w:t>01. júla</w:t>
      </w:r>
      <w:r w:rsidR="00412E6B" w:rsidRPr="00412E6B">
        <w:rPr>
          <w:szCs w:val="22"/>
        </w:rPr>
        <w:t> </w:t>
      </w:r>
      <w:r w:rsidRPr="00412E6B">
        <w:rPr>
          <w:szCs w:val="22"/>
        </w:rPr>
        <w:t>2023 a vplyvom medziročného zv</w:t>
      </w:r>
      <w:r w:rsidR="00412E6B" w:rsidRPr="00412E6B">
        <w:rPr>
          <w:szCs w:val="22"/>
        </w:rPr>
        <w:t>ýšenia počtu zamestnancov o 5,1 </w:t>
      </w:r>
      <w:r w:rsidRPr="00412E6B">
        <w:rPr>
          <w:szCs w:val="22"/>
        </w:rPr>
        <w:t>%), dane a poplatky.</w:t>
      </w:r>
    </w:p>
    <w:p w14:paraId="4F09C3E9" w14:textId="1B1626DD" w:rsidR="00116016" w:rsidRPr="00412E6B" w:rsidRDefault="00116016" w:rsidP="00116016">
      <w:pPr>
        <w:spacing w:after="120" w:line="240" w:lineRule="auto"/>
        <w:jc w:val="both"/>
        <w:rPr>
          <w:b/>
          <w:szCs w:val="22"/>
        </w:rPr>
      </w:pPr>
      <w:r w:rsidRPr="00412E6B">
        <w:rPr>
          <w:b/>
          <w:szCs w:val="22"/>
        </w:rPr>
        <w:t>Tipos</w:t>
      </w:r>
      <w:r w:rsidR="00412E6B" w:rsidRPr="00412E6B">
        <w:rPr>
          <w:b/>
          <w:szCs w:val="22"/>
        </w:rPr>
        <w:t>, národná lotériová spoločnosť, </w:t>
      </w:r>
      <w:r w:rsidRPr="00412E6B">
        <w:rPr>
          <w:b/>
          <w:szCs w:val="22"/>
        </w:rPr>
        <w:t>a.</w:t>
      </w:r>
      <w:r w:rsidR="00412E6B" w:rsidRPr="00412E6B">
        <w:rPr>
          <w:b/>
          <w:szCs w:val="22"/>
        </w:rPr>
        <w:t> </w:t>
      </w:r>
      <w:r w:rsidRPr="00412E6B">
        <w:rPr>
          <w:b/>
          <w:szCs w:val="22"/>
        </w:rPr>
        <w:t>s. (ďalej „Tipos“)</w:t>
      </w:r>
    </w:p>
    <w:p w14:paraId="44ADAB4B" w14:textId="6A866EDA" w:rsidR="00116016" w:rsidRPr="00412E6B" w:rsidRDefault="00116016" w:rsidP="00116016">
      <w:pPr>
        <w:spacing w:after="120" w:line="240" w:lineRule="auto"/>
        <w:jc w:val="both"/>
        <w:rPr>
          <w:szCs w:val="22"/>
          <w:lang w:eastAsia="sk-SK"/>
        </w:rPr>
      </w:pPr>
      <w:r w:rsidRPr="00412E6B">
        <w:rPr>
          <w:szCs w:val="22"/>
          <w:lang w:eastAsia="sk-SK"/>
        </w:rPr>
        <w:t>Vlastné imanie Tiposu sa v roku 2023 znížilo oproti</w:t>
      </w:r>
      <w:r w:rsidR="00412E6B" w:rsidRPr="00412E6B">
        <w:rPr>
          <w:szCs w:val="22"/>
          <w:lang w:eastAsia="sk-SK"/>
        </w:rPr>
        <w:t xml:space="preserve"> predchádzajúcemu roku o 26 459 </w:t>
      </w:r>
      <w:r w:rsidRPr="00412E6B">
        <w:rPr>
          <w:szCs w:val="22"/>
          <w:lang w:eastAsia="sk-SK"/>
        </w:rPr>
        <w:t>tis.</w:t>
      </w:r>
      <w:r w:rsidR="00412E6B" w:rsidRPr="00412E6B">
        <w:rPr>
          <w:szCs w:val="22"/>
          <w:lang w:eastAsia="sk-SK"/>
        </w:rPr>
        <w:t> </w:t>
      </w:r>
      <w:r w:rsidRPr="00412E6B">
        <w:rPr>
          <w:szCs w:val="22"/>
          <w:lang w:eastAsia="sk-SK"/>
        </w:rPr>
        <w:t>eur najmä vplyvom vypl</w:t>
      </w:r>
      <w:r w:rsidR="00412E6B" w:rsidRPr="00412E6B">
        <w:rPr>
          <w:szCs w:val="22"/>
          <w:lang w:eastAsia="sk-SK"/>
        </w:rPr>
        <w:t>atenia dividend vo výške 50 000 tis. </w:t>
      </w:r>
      <w:r w:rsidRPr="00412E6B">
        <w:rPr>
          <w:szCs w:val="22"/>
          <w:lang w:eastAsia="sk-SK"/>
        </w:rPr>
        <w:t>eur</w:t>
      </w:r>
      <w:r w:rsidRPr="00412E6B">
        <w:rPr>
          <w:rStyle w:val="Odkaznapoznmkupodiarou"/>
          <w:szCs w:val="22"/>
          <w:lang w:eastAsia="sk-SK"/>
        </w:rPr>
        <w:footnoteReference w:id="38"/>
      </w:r>
      <w:r w:rsidRPr="00412E6B">
        <w:rPr>
          <w:szCs w:val="22"/>
          <w:lang w:eastAsia="sk-SK"/>
        </w:rPr>
        <w:t>. Negatívny vplyv výplaty dividend čiastočne zmiernil pozitívny vplyv výsledku hospodárenia za bežné obdobie</w:t>
      </w:r>
      <w:r w:rsidR="00412E6B" w:rsidRPr="00412E6B">
        <w:rPr>
          <w:szCs w:val="22"/>
          <w:lang w:eastAsia="sk-SK"/>
        </w:rPr>
        <w:t xml:space="preserve"> generovaného vo forme zisku vo </w:t>
      </w:r>
      <w:r w:rsidRPr="00412E6B">
        <w:rPr>
          <w:szCs w:val="22"/>
          <w:lang w:eastAsia="sk-SK"/>
        </w:rPr>
        <w:t>výške 24 570 tis. eur.</w:t>
      </w:r>
    </w:p>
    <w:p w14:paraId="55913A6E" w14:textId="346A6F41" w:rsidR="00116016" w:rsidRPr="00412E6B" w:rsidRDefault="00116016" w:rsidP="00116016">
      <w:pPr>
        <w:spacing w:after="120" w:line="240" w:lineRule="auto"/>
        <w:jc w:val="both"/>
        <w:rPr>
          <w:szCs w:val="22"/>
          <w:lang w:eastAsia="sk-SK"/>
        </w:rPr>
      </w:pPr>
      <w:r w:rsidRPr="00412E6B">
        <w:rPr>
          <w:szCs w:val="22"/>
          <w:lang w:eastAsia="sk-SK"/>
        </w:rPr>
        <w:t>Zisk za bežné obdobie medziročne vzrástol o 2,2</w:t>
      </w:r>
      <w:r w:rsidR="00412E6B" w:rsidRPr="00412E6B">
        <w:rPr>
          <w:szCs w:val="22"/>
          <w:lang w:eastAsia="sk-SK"/>
        </w:rPr>
        <w:t> </w:t>
      </w:r>
      <w:r w:rsidRPr="00412E6B">
        <w:rPr>
          <w:szCs w:val="22"/>
          <w:lang w:eastAsia="sk-SK"/>
        </w:rPr>
        <w:t>% v dôsledku vyšších výnosových úrokov, ktoré čiastočne zmiernili negatívny vplyv medziročného poklesu zisku z prevádzkovej činnosti o 3,8</w:t>
      </w:r>
      <w:r w:rsidR="00412E6B" w:rsidRPr="00412E6B">
        <w:rPr>
          <w:szCs w:val="22"/>
          <w:lang w:eastAsia="sk-SK"/>
        </w:rPr>
        <w:t> </w:t>
      </w:r>
      <w:r w:rsidRPr="00412E6B">
        <w:rPr>
          <w:szCs w:val="22"/>
          <w:lang w:eastAsia="sk-SK"/>
        </w:rPr>
        <w:t>%. Medziročne bol síce zaznamenaný rast výnosov o 9,7</w:t>
      </w:r>
      <w:r w:rsidR="00412E6B" w:rsidRPr="00412E6B">
        <w:rPr>
          <w:szCs w:val="22"/>
          <w:lang w:eastAsia="sk-SK"/>
        </w:rPr>
        <w:t> </w:t>
      </w:r>
      <w:r w:rsidRPr="00412E6B">
        <w:rPr>
          <w:szCs w:val="22"/>
          <w:lang w:eastAsia="sk-SK"/>
        </w:rPr>
        <w:t>% (z dôvodu rastu výnosov z hazardných hier prevádzkovaných prostredníctvom internetu), no zároveň vplyvom ich rastu sa zvýšili aj náklady na výhry o 10,5</w:t>
      </w:r>
      <w:r w:rsidR="00412E6B" w:rsidRPr="00412E6B">
        <w:rPr>
          <w:szCs w:val="22"/>
          <w:lang w:eastAsia="sk-SK"/>
        </w:rPr>
        <w:t> </w:t>
      </w:r>
      <w:r w:rsidRPr="00412E6B">
        <w:rPr>
          <w:szCs w:val="22"/>
          <w:lang w:eastAsia="sk-SK"/>
        </w:rPr>
        <w:t>%, náklady na spotrebované služby o 5,1 % (vplyvom vyšších náklado</w:t>
      </w:r>
      <w:r w:rsidR="00412E6B" w:rsidRPr="00412E6B">
        <w:rPr>
          <w:szCs w:val="22"/>
          <w:lang w:eastAsia="sk-SK"/>
        </w:rPr>
        <w:t>v na reklamu a využitie práv na </w:t>
      </w:r>
      <w:r w:rsidRPr="00412E6B">
        <w:rPr>
          <w:szCs w:val="22"/>
          <w:lang w:eastAsia="sk-SK"/>
        </w:rPr>
        <w:t>prezentáciu a prevádzkovanie centrálneho systému hazardných hier), ako aj náklady na dane a poplatky o 7,5</w:t>
      </w:r>
      <w:r w:rsidR="00412E6B" w:rsidRPr="00412E6B">
        <w:rPr>
          <w:szCs w:val="22"/>
          <w:lang w:eastAsia="sk-SK"/>
        </w:rPr>
        <w:t> </w:t>
      </w:r>
      <w:r w:rsidRPr="00412E6B">
        <w:rPr>
          <w:szCs w:val="22"/>
          <w:lang w:eastAsia="sk-SK"/>
        </w:rPr>
        <w:t>% (vplyvom vyšších odvodov z hazardných hier).</w:t>
      </w:r>
    </w:p>
    <w:p w14:paraId="3F7B742A" w14:textId="4321947F" w:rsidR="00116016" w:rsidRPr="00412E6B" w:rsidRDefault="00116016" w:rsidP="00116016">
      <w:pPr>
        <w:spacing w:after="120" w:line="240" w:lineRule="auto"/>
        <w:jc w:val="both"/>
        <w:rPr>
          <w:szCs w:val="22"/>
          <w:lang w:eastAsia="sk-SK"/>
        </w:rPr>
      </w:pPr>
      <w:r w:rsidRPr="00412E6B">
        <w:rPr>
          <w:szCs w:val="22"/>
          <w:lang w:eastAsia="sk-SK"/>
        </w:rPr>
        <w:t>Tipos pre podporu rast objemu výnosov z hazardných hier pristúpil k využívaniu moderných technológií nielen pro</w:t>
      </w:r>
      <w:r w:rsidR="00412E6B" w:rsidRPr="00412E6B">
        <w:rPr>
          <w:szCs w:val="22"/>
          <w:lang w:eastAsia="sk-SK"/>
        </w:rPr>
        <w:t xml:space="preserve">stredníctvom internetu, ale aj </w:t>
      </w:r>
      <w:r w:rsidRPr="00412E6B">
        <w:rPr>
          <w:szCs w:val="22"/>
          <w:lang w:eastAsia="sk-SK"/>
        </w:rPr>
        <w:t>spustením mobilnej aplikácie pre možnosť realizácie číselných lotérií a hier vo virtuálnom kasíne aj prostredníctvom mobilných telefónov.</w:t>
      </w:r>
    </w:p>
    <w:p w14:paraId="7E243FCD" w14:textId="44889BDC" w:rsidR="00116016" w:rsidRPr="00412E6B" w:rsidRDefault="00116016" w:rsidP="00116016">
      <w:pPr>
        <w:spacing w:after="120" w:line="240" w:lineRule="auto"/>
        <w:jc w:val="both"/>
        <w:rPr>
          <w:szCs w:val="22"/>
        </w:rPr>
      </w:pPr>
      <w:r w:rsidRPr="00412E6B">
        <w:rPr>
          <w:szCs w:val="22"/>
          <w:lang w:eastAsia="sk-SK"/>
        </w:rPr>
        <w:t>Vďaka efektívnemu fungovaniu môže Tipos každoročne prispievať na podporu športu na</w:t>
      </w:r>
      <w:r w:rsidR="001915D2">
        <w:rPr>
          <w:szCs w:val="22"/>
          <w:lang w:eastAsia="sk-SK"/>
        </w:rPr>
        <w:t> </w:t>
      </w:r>
      <w:r w:rsidRPr="00412E6B">
        <w:rPr>
          <w:szCs w:val="22"/>
          <w:lang w:eastAsia="sk-SK"/>
        </w:rPr>
        <w:t xml:space="preserve">Slovensku. </w:t>
      </w:r>
      <w:r w:rsidRPr="00412E6B">
        <w:rPr>
          <w:szCs w:val="22"/>
        </w:rPr>
        <w:t>V roku 2023 prispel Tipos z hazardných hier priamo na financovanie športu sumou vo výške 50 500 tis. eur.</w:t>
      </w:r>
    </w:p>
    <w:p w14:paraId="4FB0A5CA" w14:textId="6D8547D6" w:rsidR="00116016" w:rsidRPr="0022731F" w:rsidRDefault="00116016" w:rsidP="00116016">
      <w:pPr>
        <w:spacing w:after="120" w:line="240" w:lineRule="auto"/>
        <w:jc w:val="both"/>
        <w:rPr>
          <w:b/>
          <w:szCs w:val="22"/>
        </w:rPr>
      </w:pPr>
      <w:r w:rsidRPr="0022731F">
        <w:rPr>
          <w:b/>
          <w:szCs w:val="22"/>
        </w:rPr>
        <w:t>Slovenský plynárenský priemysel,</w:t>
      </w:r>
      <w:r w:rsidR="0022731F" w:rsidRPr="0022731F">
        <w:rPr>
          <w:b/>
          <w:szCs w:val="22"/>
        </w:rPr>
        <w:t> </w:t>
      </w:r>
      <w:r w:rsidRPr="0022731F">
        <w:rPr>
          <w:b/>
          <w:szCs w:val="22"/>
        </w:rPr>
        <w:t>a.</w:t>
      </w:r>
      <w:r w:rsidR="0022731F" w:rsidRPr="0022731F">
        <w:rPr>
          <w:b/>
          <w:szCs w:val="22"/>
        </w:rPr>
        <w:t> </w:t>
      </w:r>
      <w:r w:rsidRPr="0022731F">
        <w:rPr>
          <w:b/>
          <w:szCs w:val="22"/>
        </w:rPr>
        <w:t>s. (ďalej „SPP“)</w:t>
      </w:r>
    </w:p>
    <w:p w14:paraId="46D51C36" w14:textId="2D3974F4" w:rsidR="00116016" w:rsidRPr="0022731F" w:rsidRDefault="00116016" w:rsidP="00116016">
      <w:pPr>
        <w:spacing w:after="120" w:line="240" w:lineRule="auto"/>
        <w:jc w:val="both"/>
        <w:rPr>
          <w:szCs w:val="22"/>
        </w:rPr>
      </w:pPr>
      <w:r w:rsidRPr="0022731F">
        <w:rPr>
          <w:szCs w:val="22"/>
        </w:rPr>
        <w:t>Vlastné imanie SPP sa v roku 2023 znížilo o</w:t>
      </w:r>
      <w:r w:rsidR="0022731F" w:rsidRPr="0022731F">
        <w:rPr>
          <w:szCs w:val="22"/>
        </w:rPr>
        <w:t> </w:t>
      </w:r>
      <w:r w:rsidRPr="0022731F">
        <w:rPr>
          <w:szCs w:val="22"/>
        </w:rPr>
        <w:t>169</w:t>
      </w:r>
      <w:r w:rsidR="0022731F" w:rsidRPr="0022731F">
        <w:rPr>
          <w:szCs w:val="22"/>
        </w:rPr>
        <w:t> 605 </w:t>
      </w:r>
      <w:r w:rsidRPr="0022731F">
        <w:rPr>
          <w:szCs w:val="22"/>
        </w:rPr>
        <w:t>tis.</w:t>
      </w:r>
      <w:r w:rsidR="0022731F" w:rsidRPr="0022731F">
        <w:rPr>
          <w:szCs w:val="22"/>
        </w:rPr>
        <w:t> </w:t>
      </w:r>
      <w:r w:rsidRPr="0022731F">
        <w:rPr>
          <w:szCs w:val="22"/>
        </w:rPr>
        <w:t>eur najmä vplyvom aktualizácie ocenenie zabezpečovacích derivátov vykazovaných v rámci vlastného imania (vo výške 459</w:t>
      </w:r>
      <w:r w:rsidR="0022731F" w:rsidRPr="0022731F">
        <w:rPr>
          <w:szCs w:val="22"/>
        </w:rPr>
        <w:t> </w:t>
      </w:r>
      <w:r w:rsidRPr="0022731F">
        <w:rPr>
          <w:szCs w:val="22"/>
        </w:rPr>
        <w:t>901</w:t>
      </w:r>
      <w:r w:rsidR="0022731F" w:rsidRPr="0022731F">
        <w:rPr>
          <w:szCs w:val="22"/>
        </w:rPr>
        <w:t> </w:t>
      </w:r>
      <w:r w:rsidRPr="0022731F">
        <w:rPr>
          <w:szCs w:val="22"/>
        </w:rPr>
        <w:t>tis.</w:t>
      </w:r>
      <w:r w:rsidR="0022731F" w:rsidRPr="0022731F">
        <w:rPr>
          <w:szCs w:val="22"/>
        </w:rPr>
        <w:t> </w:t>
      </w:r>
      <w:r w:rsidRPr="0022731F">
        <w:rPr>
          <w:szCs w:val="22"/>
        </w:rPr>
        <w:t>eur). Negatívny vplyv precenenia čiastočne zmiernil dosiahnutý zisk bežného obdobia vo výške 290 306 tis. eur.</w:t>
      </w:r>
    </w:p>
    <w:p w14:paraId="78A817AF" w14:textId="3E6D6CF5" w:rsidR="00116016" w:rsidRPr="0022731F" w:rsidRDefault="00116016" w:rsidP="00116016">
      <w:pPr>
        <w:spacing w:after="120" w:line="240" w:lineRule="auto"/>
        <w:jc w:val="both"/>
        <w:rPr>
          <w:szCs w:val="22"/>
        </w:rPr>
      </w:pPr>
      <w:r w:rsidRPr="0022731F">
        <w:rPr>
          <w:szCs w:val="22"/>
        </w:rPr>
        <w:t>Zisk bežného ob</w:t>
      </w:r>
      <w:r w:rsidR="0022731F" w:rsidRPr="0022731F">
        <w:rPr>
          <w:szCs w:val="22"/>
        </w:rPr>
        <w:t>dobia vzrástol z úrovne 24 978 </w:t>
      </w:r>
      <w:r w:rsidRPr="0022731F">
        <w:rPr>
          <w:szCs w:val="22"/>
        </w:rPr>
        <w:t>tis.</w:t>
      </w:r>
      <w:r w:rsidR="0022731F" w:rsidRPr="0022731F">
        <w:rPr>
          <w:szCs w:val="22"/>
        </w:rPr>
        <w:t> </w:t>
      </w:r>
      <w:r w:rsidRPr="0022731F">
        <w:rPr>
          <w:szCs w:val="22"/>
        </w:rPr>
        <w:t>eur (za rok 2022)</w:t>
      </w:r>
      <w:r w:rsidR="0022731F" w:rsidRPr="0022731F">
        <w:rPr>
          <w:szCs w:val="22"/>
        </w:rPr>
        <w:t xml:space="preserve"> </w:t>
      </w:r>
      <w:r w:rsidRPr="0022731F">
        <w:rPr>
          <w:szCs w:val="22"/>
        </w:rPr>
        <w:t>na</w:t>
      </w:r>
      <w:r w:rsidR="0022731F" w:rsidRPr="0022731F">
        <w:rPr>
          <w:szCs w:val="22"/>
        </w:rPr>
        <w:t> </w:t>
      </w:r>
      <w:r w:rsidRPr="0022731F">
        <w:rPr>
          <w:szCs w:val="22"/>
        </w:rPr>
        <w:t>úroveň 290</w:t>
      </w:r>
      <w:r w:rsidR="0022731F" w:rsidRPr="0022731F">
        <w:rPr>
          <w:szCs w:val="22"/>
        </w:rPr>
        <w:t> </w:t>
      </w:r>
      <w:r w:rsidRPr="0022731F">
        <w:rPr>
          <w:szCs w:val="22"/>
        </w:rPr>
        <w:t>306</w:t>
      </w:r>
      <w:r w:rsidR="0022731F" w:rsidRPr="0022731F">
        <w:rPr>
          <w:szCs w:val="22"/>
        </w:rPr>
        <w:t> </w:t>
      </w:r>
      <w:r w:rsidRPr="0022731F">
        <w:rPr>
          <w:szCs w:val="22"/>
        </w:rPr>
        <w:t>tis.</w:t>
      </w:r>
      <w:r w:rsidR="0022731F" w:rsidRPr="0022731F">
        <w:rPr>
          <w:szCs w:val="22"/>
        </w:rPr>
        <w:t> </w:t>
      </w:r>
      <w:r w:rsidRPr="0022731F">
        <w:rPr>
          <w:szCs w:val="22"/>
        </w:rPr>
        <w:t>eur (za</w:t>
      </w:r>
      <w:r w:rsidR="0022731F" w:rsidRPr="0022731F">
        <w:rPr>
          <w:szCs w:val="22"/>
        </w:rPr>
        <w:t> </w:t>
      </w:r>
      <w:r w:rsidRPr="0022731F">
        <w:rPr>
          <w:szCs w:val="22"/>
        </w:rPr>
        <w:t>rok 2023) vplyvom priznania dividend zo spoločností sk</w:t>
      </w:r>
      <w:r w:rsidR="0022731F" w:rsidRPr="0022731F">
        <w:rPr>
          <w:szCs w:val="22"/>
        </w:rPr>
        <w:t>upiny SPP vo výške 291 228 tis. </w:t>
      </w:r>
      <w:r w:rsidRPr="0022731F">
        <w:rPr>
          <w:szCs w:val="22"/>
        </w:rPr>
        <w:t>eur (valné z</w:t>
      </w:r>
      <w:r w:rsidR="0022731F" w:rsidRPr="0022731F">
        <w:rPr>
          <w:szCs w:val="22"/>
        </w:rPr>
        <w:t>hromaždenie SPP Infrastructure, </w:t>
      </w:r>
      <w:r w:rsidRPr="0022731F">
        <w:rPr>
          <w:szCs w:val="22"/>
        </w:rPr>
        <w:t>a.</w:t>
      </w:r>
      <w:r w:rsidR="0022731F" w:rsidRPr="0022731F">
        <w:rPr>
          <w:szCs w:val="22"/>
        </w:rPr>
        <w:t> </w:t>
      </w:r>
      <w:r w:rsidRPr="0022731F">
        <w:rPr>
          <w:szCs w:val="22"/>
        </w:rPr>
        <w:t>s. počas roka 2</w:t>
      </w:r>
      <w:r w:rsidR="0022731F" w:rsidRPr="0022731F">
        <w:rPr>
          <w:szCs w:val="22"/>
        </w:rPr>
        <w:t>023 rozhodlo o použití zisku za </w:t>
      </w:r>
      <w:r w:rsidRPr="0022731F">
        <w:rPr>
          <w:szCs w:val="22"/>
        </w:rPr>
        <w:t>obdobie končiace 30.09.2022 a 30.09.2023).</w:t>
      </w:r>
    </w:p>
    <w:p w14:paraId="1A8BAD4B" w14:textId="05CC32B2" w:rsidR="00FA1620" w:rsidRDefault="00116016" w:rsidP="00116016">
      <w:pPr>
        <w:spacing w:after="120" w:line="240" w:lineRule="auto"/>
        <w:jc w:val="both"/>
        <w:rPr>
          <w:szCs w:val="22"/>
        </w:rPr>
      </w:pPr>
      <w:r w:rsidRPr="0022731F">
        <w:rPr>
          <w:szCs w:val="22"/>
        </w:rPr>
        <w:t>K pozitívnemu vplyvu vyšších výnosov z prijatých dividend prispel svojím pozitívnym vplyvom aj medziročný rast prevádzkového výsledku hospodárenia, ktorý vzrástol takmer 2 násobne. Zisk z prevádzkovej činnosti bol pozitívne ovplyvnený najmä výsledkom z obchodovania s energiami.</w:t>
      </w:r>
      <w:r w:rsidR="0022731F" w:rsidRPr="0022731F">
        <w:rPr>
          <w:color w:val="FF0000"/>
          <w:szCs w:val="22"/>
        </w:rPr>
        <w:t xml:space="preserve"> </w:t>
      </w:r>
      <w:r w:rsidRPr="0022731F">
        <w:rPr>
          <w:szCs w:val="22"/>
        </w:rPr>
        <w:t>Napriek medziročnému poklesu spotreby energií na Slovensku (vplyvom teplého počasia a úsporných opatrení odberateľov) sa trhový podiel SPP na trhu s plynom medziročne zvýšil o 6,0</w:t>
      </w:r>
      <w:r w:rsidR="0022731F" w:rsidRPr="0022731F">
        <w:rPr>
          <w:szCs w:val="22"/>
        </w:rPr>
        <w:t> </w:t>
      </w:r>
      <w:r w:rsidRPr="0022731F">
        <w:rPr>
          <w:szCs w:val="22"/>
        </w:rPr>
        <w:t>%, čo sa prejavilo aj vo</w:t>
      </w:r>
      <w:r w:rsidR="0022731F" w:rsidRPr="0022731F">
        <w:rPr>
          <w:szCs w:val="22"/>
        </w:rPr>
        <w:t> </w:t>
      </w:r>
      <w:r w:rsidRPr="0022731F">
        <w:rPr>
          <w:szCs w:val="22"/>
        </w:rPr>
        <w:t>zvýšenej dodávke zemného plynu o 11,0</w:t>
      </w:r>
      <w:r w:rsidR="0022731F" w:rsidRPr="0022731F">
        <w:rPr>
          <w:szCs w:val="22"/>
        </w:rPr>
        <w:t> </w:t>
      </w:r>
      <w:r w:rsidRPr="0022731F">
        <w:rPr>
          <w:szCs w:val="22"/>
        </w:rPr>
        <w:t>% a elektrickej energie o 20,0</w:t>
      </w:r>
      <w:r w:rsidR="0022731F" w:rsidRPr="0022731F">
        <w:rPr>
          <w:szCs w:val="22"/>
        </w:rPr>
        <w:t> </w:t>
      </w:r>
      <w:r w:rsidRPr="0022731F">
        <w:rPr>
          <w:szCs w:val="22"/>
        </w:rPr>
        <w:t xml:space="preserve">%. Výsledok tvorený výnosmi z predaja plynu a elektriny, ktoré </w:t>
      </w:r>
      <w:r w:rsidR="0022731F" w:rsidRPr="0022731F">
        <w:rPr>
          <w:szCs w:val="22"/>
        </w:rPr>
        <w:t xml:space="preserve">medziročne vzrástli (o 19,2 %) </w:t>
      </w:r>
      <w:r w:rsidRPr="0022731F">
        <w:rPr>
          <w:szCs w:val="22"/>
        </w:rPr>
        <w:t>nielen vplyvom zvýšeného objemu dodávky energií, ale aj vplyvom kompenzácii poskytnutých M</w:t>
      </w:r>
      <w:r w:rsidR="001915D2">
        <w:rPr>
          <w:szCs w:val="22"/>
        </w:rPr>
        <w:t>H SR na krytie rozdielu ceny za </w:t>
      </w:r>
      <w:r w:rsidRPr="0022731F">
        <w:rPr>
          <w:szCs w:val="22"/>
        </w:rPr>
        <w:t>dodávku energií určenú Úradom pre reguláciu sieťových odvetví a maximálnej ceny za dodávku energií určenú Nariadením vlády 465/2022 a 19/2023 (určenie zastropovanej maximálnej ceny energií pre</w:t>
      </w:r>
      <w:r w:rsidR="0022731F" w:rsidRPr="0022731F">
        <w:rPr>
          <w:szCs w:val="22"/>
        </w:rPr>
        <w:t> </w:t>
      </w:r>
      <w:r w:rsidRPr="0022731F">
        <w:rPr>
          <w:szCs w:val="22"/>
        </w:rPr>
        <w:t>domácnosti a zraniteľných odberateľov). Kompenzácie boli prijaté vo výške 777 016 tis</w:t>
      </w:r>
      <w:r w:rsidR="0022731F" w:rsidRPr="0022731F">
        <w:rPr>
          <w:szCs w:val="22"/>
        </w:rPr>
        <w:t>. </w:t>
      </w:r>
      <w:r w:rsidRPr="0022731F">
        <w:rPr>
          <w:szCs w:val="22"/>
        </w:rPr>
        <w:t>eur a tvorili tak 16,5</w:t>
      </w:r>
      <w:r w:rsidR="0022731F" w:rsidRPr="0022731F">
        <w:rPr>
          <w:szCs w:val="22"/>
        </w:rPr>
        <w:t> </w:t>
      </w:r>
      <w:r w:rsidRPr="0022731F">
        <w:rPr>
          <w:szCs w:val="22"/>
        </w:rPr>
        <w:t>% výnosov za dodávku energií. Náklady na nákup e</w:t>
      </w:r>
      <w:r w:rsidR="0022731F" w:rsidRPr="0022731F">
        <w:rPr>
          <w:szCs w:val="22"/>
        </w:rPr>
        <w:t>nergií medziročne klesli o 10,2 </w:t>
      </w:r>
      <w:r w:rsidRPr="0022731F">
        <w:rPr>
          <w:szCs w:val="22"/>
        </w:rPr>
        <w:t xml:space="preserve">% (vplyvom postupnej stabilizácie trhu s plynom a elektrinou, kde po rekordnom roku 2022 sa veľkoobchodné ceny postupne vrátili na úroveň spred dvoch rokov a ich volatilita sa zmiernila, pričom nezanedbateľný vplyv zaznamenala aj diverzifikácia zdrojov). Počas roku 2023 malo pozitívny vplyv na pokles cien energií aj pokles cien </w:t>
      </w:r>
      <w:r w:rsidRPr="002F4E39">
        <w:rPr>
          <w:szCs w:val="22"/>
        </w:rPr>
        <w:t>ostatných energetických komodít, emisných povoleniek a rast podielu obnoviteľných zdrojov energií na</w:t>
      </w:r>
      <w:r w:rsidR="00C97BE7" w:rsidRPr="002F4E39">
        <w:rPr>
          <w:szCs w:val="22"/>
        </w:rPr>
        <w:t> </w:t>
      </w:r>
      <w:r w:rsidRPr="002F4E39">
        <w:rPr>
          <w:szCs w:val="22"/>
        </w:rPr>
        <w:t>dostupných výrobných kapacitách. V dôsledku nadštandardne vysokých zásob plynu (takmer 100,0</w:t>
      </w:r>
      <w:r w:rsidR="00C97BE7" w:rsidRPr="002F4E39">
        <w:rPr>
          <w:szCs w:val="22"/>
        </w:rPr>
        <w:t> </w:t>
      </w:r>
      <w:r w:rsidRPr="002F4E39">
        <w:rPr>
          <w:szCs w:val="22"/>
        </w:rPr>
        <w:t>%) medziročne vzrástli náklady na skladovanie a ostatné služby (vo výške 16,0</w:t>
      </w:r>
      <w:r w:rsidR="00C97BE7" w:rsidRPr="002F4E39">
        <w:rPr>
          <w:szCs w:val="22"/>
        </w:rPr>
        <w:t> </w:t>
      </w:r>
      <w:r w:rsidRPr="002F4E39">
        <w:rPr>
          <w:szCs w:val="22"/>
        </w:rPr>
        <w:t xml:space="preserve">%). Celkovo medziročne pozitívnu zmenu vplyvu obchodovania s plynom výrazne eliminoval negatívny vplyv reklasifikácie časti </w:t>
      </w:r>
      <w:r w:rsidRPr="002F4E39">
        <w:rPr>
          <w:szCs w:val="22"/>
        </w:rPr>
        <w:lastRenderedPageBreak/>
        <w:t>zabezpečovaných derivátov z vlastného imania na nezabezpečené, ktorý sa medziročne zmenil zo</w:t>
      </w:r>
      <w:r w:rsidR="00C97BE7" w:rsidRPr="002F4E39">
        <w:rPr>
          <w:szCs w:val="22"/>
        </w:rPr>
        <w:t> </w:t>
      </w:r>
      <w:r w:rsidRPr="002F4E39">
        <w:rPr>
          <w:szCs w:val="22"/>
        </w:rPr>
        <w:t>zisku vo výšky 1 004</w:t>
      </w:r>
      <w:r w:rsidR="00C97BE7" w:rsidRPr="002F4E39">
        <w:rPr>
          <w:szCs w:val="22"/>
        </w:rPr>
        <w:t> </w:t>
      </w:r>
      <w:r w:rsidRPr="002F4E39">
        <w:rPr>
          <w:szCs w:val="22"/>
        </w:rPr>
        <w:t>557</w:t>
      </w:r>
      <w:r w:rsidR="00C97BE7" w:rsidRPr="002F4E39">
        <w:rPr>
          <w:szCs w:val="22"/>
        </w:rPr>
        <w:t> </w:t>
      </w:r>
      <w:r w:rsidRPr="002F4E39">
        <w:rPr>
          <w:szCs w:val="22"/>
        </w:rPr>
        <w:t>tis.</w:t>
      </w:r>
      <w:r w:rsidR="00C97BE7" w:rsidRPr="002F4E39">
        <w:rPr>
          <w:szCs w:val="22"/>
        </w:rPr>
        <w:t> </w:t>
      </w:r>
      <w:r w:rsidRPr="002F4E39">
        <w:rPr>
          <w:szCs w:val="22"/>
        </w:rPr>
        <w:t xml:space="preserve">eur (v roku 2022) </w:t>
      </w:r>
      <w:r w:rsidR="00C97BE7" w:rsidRPr="002F4E39">
        <w:rPr>
          <w:szCs w:val="22"/>
        </w:rPr>
        <w:t>na stratu vo výške -92 </w:t>
      </w:r>
      <w:r w:rsidRPr="002F4E39">
        <w:rPr>
          <w:szCs w:val="22"/>
        </w:rPr>
        <w:t>052 tis. eur (v roku 2023).</w:t>
      </w:r>
    </w:p>
    <w:p w14:paraId="5BE1009B" w14:textId="4E351E89" w:rsidR="008117A9" w:rsidRPr="00D6178C" w:rsidRDefault="008117A9" w:rsidP="00AA46C8">
      <w:pPr>
        <w:pStyle w:val="Nadpis3"/>
      </w:pPr>
      <w:bookmarkStart w:id="69" w:name="_Toc495990498"/>
      <w:bookmarkStart w:id="70" w:name="_Toc181095978"/>
      <w:r w:rsidRPr="00D6178C">
        <w:t>Implicitné záväzky</w:t>
      </w:r>
      <w:bookmarkEnd w:id="69"/>
      <w:bookmarkEnd w:id="70"/>
    </w:p>
    <w:p w14:paraId="2F7B9EE6" w14:textId="12CDE18A" w:rsidR="00DD0DA5" w:rsidRPr="002746C4" w:rsidRDefault="00661B40" w:rsidP="00DD0DA5">
      <w:pPr>
        <w:spacing w:after="120" w:line="240" w:lineRule="auto"/>
        <w:jc w:val="both"/>
        <w:rPr>
          <w:szCs w:val="22"/>
          <w:highlight w:val="yellow"/>
        </w:rPr>
      </w:pPr>
      <w:r w:rsidRPr="00046146">
        <w:rPr>
          <w:b/>
          <w:szCs w:val="22"/>
        </w:rPr>
        <w:t xml:space="preserve">Ústavný zákon o rozpočtovej zodpovednosti definuje implicitné záväzky ako rozdiel medzi očakávanými budúcimi výdavkami a očakávanými budúcimi príjmami subjektov verejnej správy. </w:t>
      </w:r>
      <w:r w:rsidRPr="00046146">
        <w:rPr>
          <w:szCs w:val="22"/>
        </w:rPr>
        <w:t>Implicitné záväzky vznikajú ako finančné nároky spôsobené budúcim uplatňovaním práv a</w:t>
      </w:r>
      <w:r w:rsidR="00645EDA">
        <w:rPr>
          <w:szCs w:val="22"/>
        </w:rPr>
        <w:t> </w:t>
      </w:r>
      <w:r w:rsidRPr="00046146">
        <w:rPr>
          <w:szCs w:val="22"/>
        </w:rPr>
        <w:t>povinností vyplývajúcim z legislatívy, ak tieto nie sú súčasťou dlhu verejnej správy. Z dôvodu ich problematického oceňovania a absencie vykazovania v súvahe subjektov verejnej správy dochádza k ich odhadu pomocou analytického postupu určenia súčasnej hodnoty budúcich záväzkov. Od roku 2020 sa medzi implicitné záväzky zaradila aj projekcia zvýšených platieb do rozpočtu EÚ súvisiacich so sp</w:t>
      </w:r>
      <w:r>
        <w:rPr>
          <w:szCs w:val="22"/>
        </w:rPr>
        <w:t>lácaním grantov získaných z Plánu obnovy, keďže o spôsobe ich splátok zatiaľ nie je v EÚ definitívne rozhodnuté.</w:t>
      </w:r>
    </w:p>
    <w:p w14:paraId="069DB3FC" w14:textId="42F64292" w:rsidR="00FD652C" w:rsidRPr="004C4360" w:rsidRDefault="00661B40" w:rsidP="00661B40">
      <w:pPr>
        <w:spacing w:after="120" w:line="240" w:lineRule="auto"/>
        <w:jc w:val="both"/>
        <w:rPr>
          <w:rFonts w:eastAsia="Arial Narrow"/>
          <w:b/>
          <w:bCs/>
          <w:noProof/>
          <w:color w:val="4F81BD" w:themeColor="accent1"/>
          <w:sz w:val="20"/>
          <w:szCs w:val="20"/>
          <w:lang w:eastAsia="sk-SK"/>
        </w:rPr>
      </w:pPr>
      <w:r w:rsidRPr="00494029">
        <w:rPr>
          <w:b/>
        </w:rPr>
        <w:t>Implicitné záväzky v minulom roku medziročne poklesli po druhýkrát od 2016.</w:t>
      </w:r>
      <w:r w:rsidRPr="00494029">
        <w:t xml:space="preserve"> </w:t>
      </w:r>
      <w:r>
        <w:t>Najväčší pozitívny vplyv na ich výšku mala aktualizácia dlhodobých úrokových mier. Obdobný vplyv s opačným znamienkom možno pozorovať v roku 2020, kedy v dôsledku poklesu dlhodobej projekcie úrokových mier došlo k výraznému nárastu implicitných záväzkov. Zapracovaním nových dlhodobých predpokladov vývoja úrokových mier, ktoré sú aktualizované pravidelne v trojročnom cykle</w:t>
      </w:r>
      <w:r>
        <w:rPr>
          <w:rStyle w:val="Odkaznapoznmkupodiarou"/>
        </w:rPr>
        <w:footnoteReference w:id="39"/>
      </w:r>
      <w:r>
        <w:t>, došlo v roku 2023 naopak k návratu bližšie k úrovni z roku 2019, teda spred poslednej revízie. Významný vplyv mal aj každoročný posun východiskového roku výpočtu. Dôvodom je, že medzi rokmi 2022 a 2023 došlo k výraznému nárastu najmä pri výdavkoch dôchodkového systému, keďže inflácia z roku 2022 sa s oneskorením prejavila vo vyššej valorizácii dôchodkových dávok v roku 2023. Vzhľadom na to, že implicitné záväzky zohľadňujú len budúce záväzky, je tento vplyv zohľadnený v implicitných záväzkoch za rok 2022, avšak v roku 2023 s</w:t>
      </w:r>
      <w:r w:rsidRPr="004C4360">
        <w:t>a už stáva súčasťou počiatočnej rozpočtovej pozície.</w:t>
      </w:r>
      <w:r w:rsidR="00DD0DA5" w:rsidRPr="004C4360">
        <w:rPr>
          <w:szCs w:val="22"/>
        </w:rPr>
        <w:t xml:space="preserve"> </w:t>
      </w:r>
    </w:p>
    <w:p w14:paraId="0B06F25F" w14:textId="24AFCA3D" w:rsidR="0082592B" w:rsidRDefault="0082592B" w:rsidP="00536917">
      <w:pPr>
        <w:pStyle w:val="Popis"/>
        <w:framePr w:wrap="around"/>
      </w:pPr>
      <w:r>
        <w:t xml:space="preserve">Graf </w:t>
      </w:r>
      <w:r w:rsidR="001F05DE">
        <w:fldChar w:fldCharType="begin"/>
      </w:r>
      <w:r w:rsidR="001F05DE">
        <w:instrText xml:space="preserve"> SEQ Graf \* ARABIC </w:instrText>
      </w:r>
      <w:r w:rsidR="001F05DE">
        <w:fldChar w:fldCharType="separate"/>
      </w:r>
      <w:r w:rsidR="001348DE">
        <w:rPr>
          <w:noProof/>
        </w:rPr>
        <w:t>5</w:t>
      </w:r>
      <w:r w:rsidR="001F05DE">
        <w:rPr>
          <w:noProof/>
        </w:rPr>
        <w:fldChar w:fldCharType="end"/>
      </w:r>
      <w:r>
        <w:t xml:space="preserve"> - </w:t>
      </w:r>
      <w:r w:rsidRPr="00AE15F8">
        <w:t>Vývoj a štruktúra implicitných záväzkov na konečnom horizonte (% HDP)</w:t>
      </w:r>
    </w:p>
    <w:p w14:paraId="49D359A1" w14:textId="71C20C70" w:rsidR="004C4360" w:rsidRPr="002D19D1" w:rsidRDefault="004C4360" w:rsidP="002D19D1">
      <w:pPr>
        <w:spacing w:after="0"/>
        <w:jc w:val="both"/>
        <w:rPr>
          <w:rFonts w:eastAsia="Calibri"/>
          <w:i/>
          <w:sz w:val="16"/>
          <w:szCs w:val="16"/>
        </w:rPr>
      </w:pPr>
      <w:r w:rsidRPr="004C4360">
        <w:rPr>
          <w:noProof/>
          <w:lang w:eastAsia="sk-SK"/>
        </w:rPr>
        <w:drawing>
          <wp:inline distT="0" distB="0" distL="0" distR="0" wp14:anchorId="2F6D850A" wp14:editId="7BD9CDF0">
            <wp:extent cx="5890260" cy="2036445"/>
            <wp:effectExtent l="0" t="0" r="0" b="0"/>
            <wp:docPr id="7" name="Graf 7">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4C4360">
        <w:rPr>
          <w:rFonts w:eastAsia="Calibri"/>
          <w:i/>
          <w:sz w:val="14"/>
          <w:szCs w:val="22"/>
        </w:rPr>
        <w:t xml:space="preserve"> </w:t>
      </w:r>
      <w:r w:rsidRPr="00DF6058">
        <w:rPr>
          <w:rFonts w:eastAsia="Calibri"/>
          <w:i/>
          <w:sz w:val="16"/>
          <w:szCs w:val="16"/>
        </w:rPr>
        <w:t>Pozn.: Nárast implicitných záväzkov predovšetkým zo starnutia populácie v roku 2020 oproti 2019 je spôsobený zmenou diskontovania pod vplyvom zníženia nominálnych úrokových mier v projekcii AWG 2021. Pokles hodnoty implicitných záväzkov v roku 2023 vyplýva najmä  z návratu projekcie nominálnych úrokových mier na vyššie úrovne.</w:t>
      </w:r>
      <w:r w:rsidR="00DD0DA5" w:rsidRPr="00DF6058">
        <w:rPr>
          <w:rFonts w:eastAsia="Calibri"/>
          <w:i/>
          <w:sz w:val="16"/>
          <w:szCs w:val="16"/>
        </w:rPr>
        <w:t xml:space="preserve">           </w:t>
      </w:r>
      <w:r w:rsidR="00DF6058">
        <w:rPr>
          <w:rFonts w:eastAsia="Calibri"/>
          <w:i/>
          <w:sz w:val="16"/>
          <w:szCs w:val="16"/>
        </w:rPr>
        <w:tab/>
      </w:r>
      <w:r w:rsidR="00DF6058">
        <w:rPr>
          <w:rFonts w:eastAsia="Calibri"/>
          <w:i/>
          <w:sz w:val="16"/>
          <w:szCs w:val="16"/>
        </w:rPr>
        <w:tab/>
      </w:r>
      <w:r w:rsidR="00DF6058">
        <w:rPr>
          <w:rFonts w:eastAsia="Calibri"/>
          <w:i/>
          <w:sz w:val="16"/>
          <w:szCs w:val="16"/>
        </w:rPr>
        <w:tab/>
      </w:r>
      <w:r w:rsidR="00DF6058">
        <w:rPr>
          <w:rFonts w:eastAsia="Calibri"/>
          <w:i/>
          <w:sz w:val="16"/>
          <w:szCs w:val="16"/>
        </w:rPr>
        <w:tab/>
      </w:r>
      <w:r w:rsidR="00DF6058">
        <w:rPr>
          <w:rFonts w:eastAsia="Calibri"/>
          <w:i/>
          <w:sz w:val="16"/>
          <w:szCs w:val="16"/>
        </w:rPr>
        <w:tab/>
      </w:r>
      <w:r w:rsidR="00DF6058">
        <w:rPr>
          <w:rFonts w:eastAsia="Calibri"/>
          <w:i/>
          <w:sz w:val="16"/>
          <w:szCs w:val="16"/>
        </w:rPr>
        <w:tab/>
      </w:r>
      <w:r w:rsidR="00DF6058">
        <w:rPr>
          <w:rFonts w:eastAsia="Calibri"/>
          <w:i/>
          <w:sz w:val="16"/>
          <w:szCs w:val="16"/>
        </w:rPr>
        <w:tab/>
      </w:r>
      <w:r w:rsidR="00B458C3">
        <w:rPr>
          <w:rFonts w:eastAsia="Calibri"/>
          <w:i/>
          <w:sz w:val="16"/>
          <w:szCs w:val="16"/>
        </w:rPr>
        <w:t xml:space="preserve">                </w:t>
      </w:r>
      <w:r w:rsidR="00DF6058" w:rsidRPr="00DF6058">
        <w:rPr>
          <w:rFonts w:eastAsia="Calibri"/>
          <w:i/>
          <w:sz w:val="16"/>
          <w:szCs w:val="16"/>
        </w:rPr>
        <w:t>Zdroj:</w:t>
      </w:r>
      <w:r w:rsidR="00B458C3">
        <w:rPr>
          <w:rFonts w:eastAsia="Calibri"/>
          <w:i/>
          <w:sz w:val="16"/>
          <w:szCs w:val="16"/>
        </w:rPr>
        <w:t> </w:t>
      </w:r>
      <w:r w:rsidR="00DF6058" w:rsidRPr="00DF6058">
        <w:rPr>
          <w:rFonts w:eastAsia="Calibri"/>
          <w:i/>
          <w:sz w:val="16"/>
          <w:szCs w:val="16"/>
        </w:rPr>
        <w:t>MF</w:t>
      </w:r>
      <w:r w:rsidR="00B458C3">
        <w:rPr>
          <w:rFonts w:eastAsia="Calibri"/>
          <w:i/>
          <w:sz w:val="16"/>
          <w:szCs w:val="16"/>
        </w:rPr>
        <w:t> </w:t>
      </w:r>
      <w:r w:rsidR="00DF6058" w:rsidRPr="00DF6058">
        <w:rPr>
          <w:rFonts w:eastAsia="Calibri"/>
          <w:i/>
          <w:sz w:val="16"/>
          <w:szCs w:val="16"/>
        </w:rPr>
        <w:t>SR</w:t>
      </w:r>
      <w:r w:rsidR="00DD0DA5" w:rsidRPr="00DF6058">
        <w:rPr>
          <w:rFonts w:eastAsia="Calibri"/>
          <w:i/>
          <w:sz w:val="16"/>
          <w:szCs w:val="16"/>
        </w:rPr>
        <w:t xml:space="preserve">                                                                                                                  </w:t>
      </w:r>
      <w:r w:rsidRPr="00BC61D6">
        <w:rPr>
          <w:rFonts w:eastAsia="Calibri"/>
          <w:i/>
          <w:sz w:val="14"/>
          <w:szCs w:val="22"/>
        </w:rPr>
        <w:tab/>
      </w:r>
      <w:r w:rsidRPr="00BC61D6">
        <w:rPr>
          <w:rFonts w:eastAsia="Calibri"/>
          <w:i/>
          <w:sz w:val="14"/>
          <w:szCs w:val="22"/>
        </w:rPr>
        <w:tab/>
      </w:r>
      <w:r w:rsidRPr="00BC61D6">
        <w:rPr>
          <w:rFonts w:eastAsia="Calibri"/>
          <w:i/>
          <w:sz w:val="14"/>
          <w:szCs w:val="22"/>
        </w:rPr>
        <w:tab/>
        <w:t xml:space="preserve">    </w:t>
      </w:r>
      <w:r w:rsidR="00DD0DA5" w:rsidRPr="00BC61D6">
        <w:rPr>
          <w:rFonts w:eastAsia="Calibri"/>
          <w:i/>
          <w:sz w:val="14"/>
          <w:szCs w:val="22"/>
        </w:rPr>
        <w:t xml:space="preserve"> </w:t>
      </w:r>
      <w:r w:rsidRPr="00BC61D6">
        <w:rPr>
          <w:rFonts w:eastAsia="Calibri"/>
          <w:i/>
          <w:sz w:val="14"/>
          <w:szCs w:val="22"/>
        </w:rPr>
        <w:t xml:space="preserve">            </w:t>
      </w:r>
      <w:r w:rsidR="00DD0DA5" w:rsidRPr="00BC61D6">
        <w:rPr>
          <w:rFonts w:eastAsia="Calibri"/>
          <w:i/>
          <w:sz w:val="14"/>
          <w:szCs w:val="22"/>
        </w:rPr>
        <w:t xml:space="preserve">     </w:t>
      </w:r>
    </w:p>
    <w:p w14:paraId="0C185A08" w14:textId="715C0992" w:rsidR="00D33788" w:rsidRDefault="00F1110A" w:rsidP="0066019A">
      <w:pPr>
        <w:spacing w:after="120" w:line="240" w:lineRule="auto"/>
        <w:jc w:val="both"/>
        <w:rPr>
          <w:rFonts w:eastAsia="Calibri"/>
          <w:szCs w:val="22"/>
        </w:rPr>
      </w:pPr>
      <w:r w:rsidRPr="00733531">
        <w:rPr>
          <w:rFonts w:eastAsia="Calibri"/>
          <w:b/>
          <w:szCs w:val="22"/>
        </w:rPr>
        <w:lastRenderedPageBreak/>
        <w:t>Celkové implicitné záväzky verejnej správy ku koncu roka 2022</w:t>
      </w:r>
      <w:r w:rsidRPr="00733531">
        <w:rPr>
          <w:rFonts w:eastAsia="Calibri"/>
          <w:b/>
          <w:szCs w:val="22"/>
          <w:vertAlign w:val="superscript"/>
        </w:rPr>
        <w:footnoteReference w:id="40"/>
      </w:r>
      <w:r w:rsidRPr="00733531">
        <w:rPr>
          <w:rFonts w:eastAsia="Calibri"/>
          <w:b/>
          <w:szCs w:val="22"/>
        </w:rPr>
        <w:t>, kvantifikované do roku 2066, klesli medziročne na 162</w:t>
      </w:r>
      <w:r w:rsidR="004D1AE4">
        <w:rPr>
          <w:rFonts w:eastAsia="Calibri"/>
          <w:b/>
          <w:szCs w:val="22"/>
        </w:rPr>
        <w:t>,0</w:t>
      </w:r>
      <w:r>
        <w:rPr>
          <w:rFonts w:eastAsia="Calibri"/>
          <w:b/>
          <w:szCs w:val="22"/>
        </w:rPr>
        <w:t> % </w:t>
      </w:r>
      <w:r w:rsidRPr="00733531">
        <w:rPr>
          <w:rFonts w:eastAsia="Calibri"/>
          <w:b/>
          <w:szCs w:val="22"/>
        </w:rPr>
        <w:t>HDP</w:t>
      </w:r>
      <w:r w:rsidRPr="00733531">
        <w:rPr>
          <w:rFonts w:eastAsia="Calibri"/>
          <w:b/>
          <w:szCs w:val="22"/>
          <w:vertAlign w:val="superscript"/>
        </w:rPr>
        <w:footnoteReference w:id="41"/>
      </w:r>
      <w:r w:rsidRPr="00733531">
        <w:rPr>
          <w:rFonts w:eastAsia="Calibri"/>
          <w:b/>
          <w:szCs w:val="22"/>
        </w:rPr>
        <w:t xml:space="preserve">. </w:t>
      </w:r>
      <w:r w:rsidRPr="00733531">
        <w:rPr>
          <w:rFonts w:eastAsia="Calibri"/>
          <w:szCs w:val="22"/>
        </w:rPr>
        <w:t>Oproti roku 2022 sa implicitné záväzky SR znížili o takmer 205</w:t>
      </w:r>
      <w:r>
        <w:rPr>
          <w:rFonts w:eastAsia="Calibri"/>
          <w:szCs w:val="22"/>
        </w:rPr>
        <w:t> </w:t>
      </w:r>
      <w:r w:rsidRPr="00733531">
        <w:rPr>
          <w:rFonts w:eastAsia="Calibri"/>
          <w:szCs w:val="22"/>
        </w:rPr>
        <w:t>p.</w:t>
      </w:r>
      <w:r>
        <w:rPr>
          <w:rFonts w:eastAsia="Calibri"/>
          <w:szCs w:val="22"/>
        </w:rPr>
        <w:t> </w:t>
      </w:r>
      <w:r w:rsidRPr="00733531">
        <w:rPr>
          <w:rFonts w:eastAsia="Calibri"/>
          <w:szCs w:val="22"/>
        </w:rPr>
        <w:t>b., takmer výlučne v rámci zmien v záväzkoch zo starnutia populácie. PPP projekty, Národný jadrový fond a záväzky z Plánu obnovy kumulatívne naopak prispeli k zvýšeniu záväzkov o 0,5</w:t>
      </w:r>
      <w:r>
        <w:rPr>
          <w:rFonts w:eastAsia="Calibri"/>
          <w:szCs w:val="22"/>
        </w:rPr>
        <w:t> </w:t>
      </w:r>
      <w:r w:rsidRPr="00733531">
        <w:rPr>
          <w:rFonts w:eastAsia="Calibri"/>
          <w:szCs w:val="22"/>
        </w:rPr>
        <w:t>p.</w:t>
      </w:r>
      <w:r>
        <w:rPr>
          <w:rFonts w:eastAsia="Calibri"/>
          <w:szCs w:val="22"/>
        </w:rPr>
        <w:t> </w:t>
      </w:r>
      <w:r w:rsidRPr="00733531">
        <w:rPr>
          <w:rFonts w:eastAsia="Calibri"/>
          <w:szCs w:val="22"/>
        </w:rPr>
        <w:t>b., a</w:t>
      </w:r>
      <w:r w:rsidR="001915D2">
        <w:rPr>
          <w:rFonts w:eastAsia="Calibri"/>
          <w:szCs w:val="22"/>
        </w:rPr>
        <w:t> </w:t>
      </w:r>
      <w:r w:rsidRPr="00733531">
        <w:rPr>
          <w:rFonts w:eastAsia="Calibri"/>
          <w:szCs w:val="22"/>
        </w:rPr>
        <w:t>to na</w:t>
      </w:r>
      <w:r>
        <w:rPr>
          <w:rFonts w:eastAsia="Calibri"/>
          <w:szCs w:val="22"/>
        </w:rPr>
        <w:t> </w:t>
      </w:r>
      <w:r w:rsidRPr="00733531">
        <w:rPr>
          <w:rFonts w:eastAsia="Calibri"/>
          <w:szCs w:val="22"/>
        </w:rPr>
        <w:t>celom horizonte do roku 2066.</w:t>
      </w:r>
    </w:p>
    <w:p w14:paraId="70AD0B9C" w14:textId="77777777" w:rsidR="002D19D1" w:rsidRDefault="002D19D1" w:rsidP="00A035B0">
      <w:pPr>
        <w:pStyle w:val="Popis"/>
        <w:framePr w:wrap="around" w:x="856" w:y="114"/>
      </w:pPr>
      <w:r>
        <w:t xml:space="preserve">Tabuľka </w:t>
      </w:r>
      <w:r w:rsidR="001F05DE">
        <w:fldChar w:fldCharType="begin"/>
      </w:r>
      <w:r w:rsidR="001F05DE">
        <w:instrText xml:space="preserve"> SEQ Tabuľka \* ARABIC </w:instrText>
      </w:r>
      <w:r w:rsidR="001F05DE">
        <w:fldChar w:fldCharType="separate"/>
      </w:r>
      <w:r>
        <w:rPr>
          <w:noProof/>
        </w:rPr>
        <w:t>19</w:t>
      </w:r>
      <w:r w:rsidR="001F05DE">
        <w:rPr>
          <w:noProof/>
        </w:rPr>
        <w:fldChar w:fldCharType="end"/>
      </w:r>
      <w:r>
        <w:t xml:space="preserve"> - </w:t>
      </w:r>
      <w:r w:rsidRPr="00B449FE">
        <w:t>Odhad implicitných záväzkov za rok 2023</w:t>
      </w:r>
    </w:p>
    <w:tbl>
      <w:tblPr>
        <w:tblW w:w="5000" w:type="pct"/>
        <w:tblCellMar>
          <w:left w:w="70" w:type="dxa"/>
          <w:right w:w="70" w:type="dxa"/>
        </w:tblCellMar>
        <w:tblLook w:val="04A0" w:firstRow="1" w:lastRow="0" w:firstColumn="1" w:lastColumn="0" w:noHBand="0" w:noVBand="1"/>
      </w:tblPr>
      <w:tblGrid>
        <w:gridCol w:w="2779"/>
        <w:gridCol w:w="67"/>
        <w:gridCol w:w="956"/>
        <w:gridCol w:w="1218"/>
        <w:gridCol w:w="948"/>
        <w:gridCol w:w="1220"/>
        <w:gridCol w:w="999"/>
        <w:gridCol w:w="1167"/>
      </w:tblGrid>
      <w:tr w:rsidR="003569EA" w:rsidRPr="004A19F9" w14:paraId="13EFCAA1" w14:textId="77777777" w:rsidTr="00D35A0F">
        <w:trPr>
          <w:trHeight w:val="264"/>
          <w:tblHeader/>
        </w:trPr>
        <w:tc>
          <w:tcPr>
            <w:tcW w:w="1521" w:type="pct"/>
            <w:gridSpan w:val="2"/>
            <w:tcBorders>
              <w:top w:val="single" w:sz="4" w:space="0" w:color="auto"/>
              <w:left w:val="nil"/>
              <w:bottom w:val="single" w:sz="4" w:space="0" w:color="auto"/>
              <w:right w:val="nil"/>
            </w:tcBorders>
            <w:shd w:val="clear" w:color="auto" w:fill="auto"/>
            <w:noWrap/>
            <w:vAlign w:val="center"/>
            <w:hideMark/>
          </w:tcPr>
          <w:p w14:paraId="29E9189B" w14:textId="77777777" w:rsidR="003569EA" w:rsidRPr="004A19F9" w:rsidRDefault="003569EA" w:rsidP="00FC2B68">
            <w:pPr>
              <w:spacing w:after="0" w:line="240" w:lineRule="auto"/>
              <w:rPr>
                <w:color w:val="000000"/>
                <w:sz w:val="18"/>
                <w:szCs w:val="16"/>
                <w:lang w:eastAsia="sk-SK"/>
              </w:rPr>
            </w:pPr>
            <w:r w:rsidRPr="004A19F9">
              <w:rPr>
                <w:color w:val="000000"/>
                <w:sz w:val="18"/>
                <w:szCs w:val="16"/>
                <w:lang w:eastAsia="sk-SK"/>
              </w:rPr>
              <w:t> </w:t>
            </w:r>
          </w:p>
        </w:tc>
        <w:tc>
          <w:tcPr>
            <w:tcW w:w="1162" w:type="pct"/>
            <w:gridSpan w:val="2"/>
            <w:tcBorders>
              <w:top w:val="single" w:sz="4" w:space="0" w:color="auto"/>
              <w:left w:val="nil"/>
              <w:bottom w:val="single" w:sz="4" w:space="0" w:color="auto"/>
              <w:right w:val="nil"/>
            </w:tcBorders>
            <w:shd w:val="clear" w:color="auto" w:fill="auto"/>
            <w:noWrap/>
            <w:vAlign w:val="center"/>
            <w:hideMark/>
          </w:tcPr>
          <w:p w14:paraId="6E61C720" w14:textId="77777777" w:rsidR="003569EA" w:rsidRPr="004A19F9" w:rsidRDefault="003569EA" w:rsidP="00FC2B68">
            <w:pPr>
              <w:spacing w:after="0" w:line="240" w:lineRule="auto"/>
              <w:jc w:val="center"/>
              <w:rPr>
                <w:b/>
                <w:bCs/>
                <w:color w:val="000000"/>
                <w:sz w:val="18"/>
                <w:szCs w:val="16"/>
                <w:lang w:eastAsia="sk-SK"/>
              </w:rPr>
            </w:pPr>
            <w:r w:rsidRPr="004A19F9">
              <w:rPr>
                <w:b/>
                <w:bCs/>
                <w:color w:val="000000"/>
                <w:sz w:val="18"/>
                <w:szCs w:val="16"/>
                <w:lang w:eastAsia="sk-SK"/>
              </w:rPr>
              <w:t>Hodnota k 31.12.2023 </w:t>
            </w:r>
          </w:p>
        </w:tc>
        <w:tc>
          <w:tcPr>
            <w:tcW w:w="1159" w:type="pct"/>
            <w:gridSpan w:val="2"/>
            <w:tcBorders>
              <w:top w:val="single" w:sz="4" w:space="0" w:color="auto"/>
              <w:left w:val="nil"/>
              <w:bottom w:val="single" w:sz="4" w:space="0" w:color="auto"/>
              <w:right w:val="single" w:sz="4" w:space="0" w:color="auto"/>
            </w:tcBorders>
            <w:shd w:val="clear" w:color="auto" w:fill="auto"/>
            <w:noWrap/>
            <w:vAlign w:val="center"/>
            <w:hideMark/>
          </w:tcPr>
          <w:p w14:paraId="38210824" w14:textId="77777777" w:rsidR="003569EA" w:rsidRPr="004A19F9" w:rsidRDefault="003569EA" w:rsidP="00FC2B68">
            <w:pPr>
              <w:spacing w:after="0" w:line="240" w:lineRule="auto"/>
              <w:jc w:val="center"/>
              <w:rPr>
                <w:b/>
                <w:bCs/>
                <w:color w:val="000000"/>
                <w:sz w:val="18"/>
                <w:szCs w:val="16"/>
                <w:lang w:eastAsia="sk-SK"/>
              </w:rPr>
            </w:pPr>
            <w:r w:rsidRPr="004A19F9">
              <w:rPr>
                <w:b/>
                <w:bCs/>
                <w:color w:val="000000"/>
                <w:sz w:val="18"/>
                <w:szCs w:val="16"/>
                <w:lang w:eastAsia="sk-SK"/>
              </w:rPr>
              <w:t>Hodnota k 31.12.2022</w:t>
            </w:r>
          </w:p>
        </w:tc>
        <w:tc>
          <w:tcPr>
            <w:tcW w:w="1158" w:type="pct"/>
            <w:gridSpan w:val="2"/>
            <w:tcBorders>
              <w:top w:val="single" w:sz="4" w:space="0" w:color="auto"/>
              <w:left w:val="single" w:sz="4" w:space="0" w:color="auto"/>
              <w:bottom w:val="single" w:sz="4" w:space="0" w:color="auto"/>
              <w:right w:val="nil"/>
            </w:tcBorders>
            <w:shd w:val="clear" w:color="auto" w:fill="auto"/>
            <w:noWrap/>
            <w:vAlign w:val="center"/>
            <w:hideMark/>
          </w:tcPr>
          <w:p w14:paraId="66422E1C" w14:textId="77777777" w:rsidR="003569EA" w:rsidRPr="004A19F9" w:rsidRDefault="003569EA" w:rsidP="00FC2B68">
            <w:pPr>
              <w:spacing w:after="0" w:line="240" w:lineRule="auto"/>
              <w:jc w:val="center"/>
              <w:rPr>
                <w:b/>
                <w:bCs/>
                <w:color w:val="000000"/>
                <w:sz w:val="18"/>
                <w:szCs w:val="16"/>
                <w:lang w:eastAsia="sk-SK"/>
              </w:rPr>
            </w:pPr>
            <w:r w:rsidRPr="004A19F9">
              <w:rPr>
                <w:b/>
                <w:bCs/>
                <w:color w:val="000000"/>
                <w:sz w:val="18"/>
                <w:szCs w:val="16"/>
                <w:lang w:eastAsia="sk-SK"/>
              </w:rPr>
              <w:t>Δ 202</w:t>
            </w:r>
            <w:r>
              <w:rPr>
                <w:b/>
                <w:bCs/>
                <w:color w:val="000000"/>
                <w:sz w:val="18"/>
                <w:szCs w:val="16"/>
                <w:lang w:eastAsia="sk-SK"/>
              </w:rPr>
              <w:t>3</w:t>
            </w:r>
            <w:r w:rsidRPr="004A19F9">
              <w:rPr>
                <w:b/>
                <w:bCs/>
                <w:color w:val="000000"/>
                <w:sz w:val="18"/>
                <w:szCs w:val="16"/>
                <w:lang w:eastAsia="sk-SK"/>
              </w:rPr>
              <w:t>-202</w:t>
            </w:r>
            <w:r>
              <w:rPr>
                <w:b/>
                <w:bCs/>
                <w:color w:val="000000"/>
                <w:sz w:val="18"/>
                <w:szCs w:val="16"/>
                <w:lang w:eastAsia="sk-SK"/>
              </w:rPr>
              <w:t>2</w:t>
            </w:r>
            <w:r w:rsidRPr="004A19F9">
              <w:rPr>
                <w:b/>
                <w:bCs/>
                <w:color w:val="000000"/>
                <w:sz w:val="18"/>
                <w:szCs w:val="16"/>
                <w:lang w:eastAsia="sk-SK"/>
              </w:rPr>
              <w:t> </w:t>
            </w:r>
          </w:p>
        </w:tc>
      </w:tr>
      <w:tr w:rsidR="003569EA" w:rsidRPr="004A19F9" w14:paraId="054C8B11" w14:textId="77777777" w:rsidTr="00D35A0F">
        <w:trPr>
          <w:trHeight w:val="264"/>
        </w:trPr>
        <w:tc>
          <w:tcPr>
            <w:tcW w:w="1521" w:type="pct"/>
            <w:gridSpan w:val="2"/>
            <w:tcBorders>
              <w:top w:val="single" w:sz="4" w:space="0" w:color="auto"/>
              <w:left w:val="nil"/>
              <w:bottom w:val="nil"/>
              <w:right w:val="nil"/>
            </w:tcBorders>
            <w:shd w:val="clear" w:color="auto" w:fill="auto"/>
            <w:noWrap/>
            <w:vAlign w:val="center"/>
            <w:hideMark/>
          </w:tcPr>
          <w:p w14:paraId="713D4FE3" w14:textId="77777777" w:rsidR="003569EA" w:rsidRPr="004A19F9" w:rsidRDefault="003569EA" w:rsidP="00FC2B68">
            <w:pPr>
              <w:spacing w:after="0" w:line="240" w:lineRule="auto"/>
              <w:jc w:val="center"/>
              <w:rPr>
                <w:color w:val="000000"/>
                <w:sz w:val="16"/>
                <w:szCs w:val="16"/>
                <w:lang w:eastAsia="sk-SK"/>
              </w:rPr>
            </w:pPr>
          </w:p>
        </w:tc>
        <w:tc>
          <w:tcPr>
            <w:tcW w:w="511" w:type="pct"/>
            <w:tcBorders>
              <w:top w:val="single" w:sz="4" w:space="0" w:color="auto"/>
              <w:left w:val="nil"/>
              <w:bottom w:val="nil"/>
              <w:right w:val="nil"/>
            </w:tcBorders>
            <w:shd w:val="clear" w:color="auto" w:fill="auto"/>
            <w:noWrap/>
            <w:vAlign w:val="center"/>
            <w:hideMark/>
          </w:tcPr>
          <w:p w14:paraId="582EA9A8" w14:textId="77777777" w:rsidR="003569EA" w:rsidRPr="004A19F9" w:rsidRDefault="003569EA" w:rsidP="00FC2B68">
            <w:pPr>
              <w:spacing w:after="0" w:line="240" w:lineRule="auto"/>
              <w:jc w:val="center"/>
              <w:rPr>
                <w:b/>
                <w:bCs/>
                <w:color w:val="000000"/>
                <w:sz w:val="16"/>
                <w:szCs w:val="16"/>
                <w:lang w:eastAsia="sk-SK"/>
              </w:rPr>
            </w:pPr>
            <w:r w:rsidRPr="004A19F9">
              <w:rPr>
                <w:b/>
                <w:bCs/>
                <w:color w:val="000000"/>
                <w:sz w:val="16"/>
                <w:szCs w:val="16"/>
                <w:lang w:eastAsia="sk-SK"/>
              </w:rPr>
              <w:t>% HDP</w:t>
            </w:r>
          </w:p>
        </w:tc>
        <w:tc>
          <w:tcPr>
            <w:tcW w:w="651" w:type="pct"/>
            <w:tcBorders>
              <w:top w:val="single" w:sz="4" w:space="0" w:color="auto"/>
              <w:left w:val="nil"/>
              <w:bottom w:val="nil"/>
              <w:right w:val="nil"/>
            </w:tcBorders>
            <w:shd w:val="clear" w:color="auto" w:fill="auto"/>
            <w:noWrap/>
            <w:vAlign w:val="center"/>
            <w:hideMark/>
          </w:tcPr>
          <w:p w14:paraId="112F64FB" w14:textId="77777777" w:rsidR="003569EA" w:rsidRPr="004A19F9" w:rsidRDefault="003569EA" w:rsidP="00FC2B68">
            <w:pPr>
              <w:spacing w:after="0" w:line="240" w:lineRule="auto"/>
              <w:jc w:val="center"/>
              <w:rPr>
                <w:b/>
                <w:bCs/>
                <w:color w:val="000000"/>
                <w:sz w:val="16"/>
                <w:szCs w:val="16"/>
                <w:lang w:eastAsia="sk-SK"/>
              </w:rPr>
            </w:pPr>
            <w:r w:rsidRPr="004A19F9">
              <w:rPr>
                <w:b/>
                <w:bCs/>
                <w:color w:val="000000"/>
                <w:sz w:val="16"/>
                <w:szCs w:val="16"/>
                <w:lang w:eastAsia="sk-SK"/>
              </w:rPr>
              <w:t>tis. eur</w:t>
            </w:r>
          </w:p>
        </w:tc>
        <w:tc>
          <w:tcPr>
            <w:tcW w:w="507" w:type="pct"/>
            <w:tcBorders>
              <w:top w:val="single" w:sz="4" w:space="0" w:color="auto"/>
              <w:left w:val="nil"/>
              <w:bottom w:val="nil"/>
              <w:right w:val="nil"/>
            </w:tcBorders>
            <w:shd w:val="clear" w:color="auto" w:fill="auto"/>
            <w:noWrap/>
            <w:vAlign w:val="center"/>
            <w:hideMark/>
          </w:tcPr>
          <w:p w14:paraId="6241A794" w14:textId="77777777" w:rsidR="003569EA" w:rsidRPr="004A19F9" w:rsidRDefault="003569EA" w:rsidP="00FC2B68">
            <w:pPr>
              <w:spacing w:after="0" w:line="240" w:lineRule="auto"/>
              <w:jc w:val="center"/>
              <w:rPr>
                <w:b/>
                <w:bCs/>
                <w:color w:val="000000"/>
                <w:sz w:val="16"/>
                <w:szCs w:val="16"/>
                <w:lang w:eastAsia="sk-SK"/>
              </w:rPr>
            </w:pPr>
            <w:r w:rsidRPr="004A19F9">
              <w:rPr>
                <w:b/>
                <w:bCs/>
                <w:color w:val="000000"/>
                <w:sz w:val="16"/>
                <w:szCs w:val="16"/>
                <w:lang w:eastAsia="sk-SK"/>
              </w:rPr>
              <w:t>% HDP</w:t>
            </w:r>
          </w:p>
        </w:tc>
        <w:tc>
          <w:tcPr>
            <w:tcW w:w="652" w:type="pct"/>
            <w:tcBorders>
              <w:top w:val="single" w:sz="4" w:space="0" w:color="auto"/>
              <w:left w:val="nil"/>
              <w:bottom w:val="nil"/>
              <w:right w:val="single" w:sz="4" w:space="0" w:color="auto"/>
            </w:tcBorders>
            <w:shd w:val="clear" w:color="auto" w:fill="auto"/>
            <w:noWrap/>
            <w:vAlign w:val="center"/>
            <w:hideMark/>
          </w:tcPr>
          <w:p w14:paraId="0BC6D407" w14:textId="77777777" w:rsidR="003569EA" w:rsidRPr="004A19F9" w:rsidRDefault="003569EA" w:rsidP="00FC2B68">
            <w:pPr>
              <w:spacing w:after="0" w:line="240" w:lineRule="auto"/>
              <w:jc w:val="center"/>
              <w:rPr>
                <w:b/>
                <w:bCs/>
                <w:color w:val="000000"/>
                <w:sz w:val="16"/>
                <w:szCs w:val="16"/>
                <w:lang w:eastAsia="sk-SK"/>
              </w:rPr>
            </w:pPr>
            <w:r w:rsidRPr="004A19F9">
              <w:rPr>
                <w:b/>
                <w:bCs/>
                <w:color w:val="000000"/>
                <w:sz w:val="16"/>
                <w:szCs w:val="16"/>
                <w:lang w:eastAsia="sk-SK"/>
              </w:rPr>
              <w:t>tis. eur</w:t>
            </w:r>
          </w:p>
        </w:tc>
        <w:tc>
          <w:tcPr>
            <w:tcW w:w="534" w:type="pct"/>
            <w:tcBorders>
              <w:top w:val="single" w:sz="4" w:space="0" w:color="auto"/>
              <w:left w:val="single" w:sz="4" w:space="0" w:color="auto"/>
              <w:bottom w:val="nil"/>
              <w:right w:val="nil"/>
            </w:tcBorders>
            <w:shd w:val="clear" w:color="auto" w:fill="auto"/>
            <w:noWrap/>
            <w:vAlign w:val="center"/>
            <w:hideMark/>
          </w:tcPr>
          <w:p w14:paraId="65C0BC4D" w14:textId="7F736601" w:rsidR="003569EA" w:rsidRPr="004A19F9" w:rsidRDefault="003569EA" w:rsidP="00FC2B68">
            <w:pPr>
              <w:spacing w:after="0" w:line="240" w:lineRule="auto"/>
              <w:jc w:val="center"/>
              <w:rPr>
                <w:b/>
                <w:bCs/>
                <w:color w:val="000000"/>
                <w:sz w:val="16"/>
                <w:szCs w:val="16"/>
                <w:lang w:eastAsia="sk-SK"/>
              </w:rPr>
            </w:pPr>
            <w:r w:rsidRPr="004A19F9">
              <w:rPr>
                <w:b/>
                <w:bCs/>
                <w:color w:val="000000"/>
                <w:sz w:val="16"/>
                <w:szCs w:val="16"/>
                <w:lang w:eastAsia="sk-SK"/>
              </w:rPr>
              <w:t>p.</w:t>
            </w:r>
            <w:r>
              <w:rPr>
                <w:b/>
                <w:bCs/>
                <w:color w:val="000000"/>
                <w:sz w:val="16"/>
                <w:szCs w:val="16"/>
                <w:lang w:eastAsia="sk-SK"/>
              </w:rPr>
              <w:t> </w:t>
            </w:r>
            <w:r w:rsidRPr="004A19F9">
              <w:rPr>
                <w:b/>
                <w:bCs/>
                <w:color w:val="000000"/>
                <w:sz w:val="16"/>
                <w:szCs w:val="16"/>
                <w:lang w:eastAsia="sk-SK"/>
              </w:rPr>
              <w:t>b.</w:t>
            </w:r>
          </w:p>
        </w:tc>
        <w:tc>
          <w:tcPr>
            <w:tcW w:w="624" w:type="pct"/>
            <w:tcBorders>
              <w:top w:val="single" w:sz="4" w:space="0" w:color="auto"/>
              <w:left w:val="nil"/>
              <w:bottom w:val="nil"/>
              <w:right w:val="nil"/>
            </w:tcBorders>
            <w:shd w:val="clear" w:color="auto" w:fill="auto"/>
            <w:noWrap/>
            <w:vAlign w:val="center"/>
            <w:hideMark/>
          </w:tcPr>
          <w:p w14:paraId="2E04B2CF" w14:textId="77777777" w:rsidR="003569EA" w:rsidRPr="004A19F9" w:rsidRDefault="003569EA" w:rsidP="00FC2B68">
            <w:pPr>
              <w:spacing w:after="0" w:line="240" w:lineRule="auto"/>
              <w:jc w:val="center"/>
              <w:rPr>
                <w:b/>
                <w:bCs/>
                <w:color w:val="000000"/>
                <w:sz w:val="16"/>
                <w:szCs w:val="16"/>
                <w:lang w:eastAsia="sk-SK"/>
              </w:rPr>
            </w:pPr>
            <w:r w:rsidRPr="004A19F9">
              <w:rPr>
                <w:b/>
                <w:bCs/>
                <w:color w:val="000000"/>
                <w:sz w:val="16"/>
                <w:szCs w:val="16"/>
                <w:lang w:eastAsia="sk-SK"/>
              </w:rPr>
              <w:t>tis. eur</w:t>
            </w:r>
          </w:p>
        </w:tc>
      </w:tr>
      <w:tr w:rsidR="003569EA" w:rsidRPr="004A19F9" w14:paraId="44B3CADC" w14:textId="77777777" w:rsidTr="00D35A0F">
        <w:trPr>
          <w:trHeight w:val="264"/>
        </w:trPr>
        <w:tc>
          <w:tcPr>
            <w:tcW w:w="1485" w:type="pct"/>
            <w:tcBorders>
              <w:top w:val="nil"/>
              <w:left w:val="nil"/>
              <w:bottom w:val="nil"/>
              <w:right w:val="nil"/>
            </w:tcBorders>
            <w:shd w:val="clear" w:color="auto" w:fill="auto"/>
            <w:noWrap/>
            <w:vAlign w:val="center"/>
            <w:hideMark/>
          </w:tcPr>
          <w:p w14:paraId="647FB2D0" w14:textId="77777777" w:rsidR="003569EA" w:rsidRPr="004A19F9" w:rsidRDefault="003569EA" w:rsidP="00FC2B68">
            <w:pPr>
              <w:spacing w:after="0" w:line="240" w:lineRule="auto"/>
              <w:rPr>
                <w:b/>
                <w:bCs/>
                <w:color w:val="000000"/>
                <w:sz w:val="18"/>
                <w:szCs w:val="18"/>
                <w:lang w:eastAsia="sk-SK"/>
              </w:rPr>
            </w:pPr>
            <w:r w:rsidRPr="004A19F9">
              <w:rPr>
                <w:b/>
                <w:bCs/>
                <w:color w:val="000000"/>
                <w:sz w:val="18"/>
                <w:szCs w:val="18"/>
                <w:lang w:eastAsia="sk-SK"/>
              </w:rPr>
              <w:t>Starnutie obyvateľstva</w:t>
            </w:r>
          </w:p>
        </w:tc>
        <w:tc>
          <w:tcPr>
            <w:tcW w:w="547" w:type="pct"/>
            <w:gridSpan w:val="2"/>
            <w:tcBorders>
              <w:top w:val="nil"/>
              <w:left w:val="nil"/>
              <w:bottom w:val="nil"/>
              <w:right w:val="nil"/>
            </w:tcBorders>
            <w:shd w:val="clear" w:color="auto" w:fill="auto"/>
            <w:noWrap/>
            <w:vAlign w:val="center"/>
          </w:tcPr>
          <w:p w14:paraId="11FBB2C7" w14:textId="77777777" w:rsidR="003569EA" w:rsidRPr="004A19F9" w:rsidRDefault="003569EA" w:rsidP="00FC2B68">
            <w:pPr>
              <w:spacing w:after="0" w:line="240" w:lineRule="auto"/>
              <w:jc w:val="right"/>
              <w:rPr>
                <w:b/>
                <w:sz w:val="18"/>
                <w:szCs w:val="18"/>
              </w:rPr>
            </w:pPr>
            <w:r w:rsidRPr="004A19F9">
              <w:rPr>
                <w:b/>
                <w:bCs/>
                <w:color w:val="000000"/>
                <w:sz w:val="18"/>
                <w:szCs w:val="18"/>
              </w:rPr>
              <w:t>-158,9%</w:t>
            </w:r>
          </w:p>
        </w:tc>
        <w:tc>
          <w:tcPr>
            <w:tcW w:w="651" w:type="pct"/>
            <w:tcBorders>
              <w:top w:val="nil"/>
              <w:left w:val="nil"/>
              <w:bottom w:val="nil"/>
              <w:right w:val="nil"/>
            </w:tcBorders>
            <w:shd w:val="clear" w:color="auto" w:fill="auto"/>
            <w:noWrap/>
            <w:vAlign w:val="center"/>
          </w:tcPr>
          <w:p w14:paraId="00062E46" w14:textId="77777777" w:rsidR="003569EA" w:rsidRPr="004A19F9" w:rsidRDefault="003569EA" w:rsidP="00FC2B68">
            <w:pPr>
              <w:spacing w:after="0" w:line="240" w:lineRule="auto"/>
              <w:jc w:val="right"/>
              <w:rPr>
                <w:b/>
                <w:sz w:val="18"/>
                <w:szCs w:val="18"/>
              </w:rPr>
            </w:pPr>
            <w:r w:rsidRPr="004A19F9">
              <w:rPr>
                <w:b/>
                <w:bCs/>
                <w:color w:val="000000"/>
                <w:sz w:val="18"/>
                <w:szCs w:val="18"/>
              </w:rPr>
              <w:t xml:space="preserve">-195 176 915   </w:t>
            </w:r>
          </w:p>
        </w:tc>
        <w:tc>
          <w:tcPr>
            <w:tcW w:w="507" w:type="pct"/>
            <w:tcBorders>
              <w:top w:val="nil"/>
              <w:left w:val="nil"/>
              <w:bottom w:val="nil"/>
              <w:right w:val="nil"/>
            </w:tcBorders>
            <w:shd w:val="clear" w:color="auto" w:fill="auto"/>
            <w:noWrap/>
            <w:vAlign w:val="center"/>
            <w:hideMark/>
          </w:tcPr>
          <w:p w14:paraId="0829ECD4" w14:textId="77777777" w:rsidR="003569EA" w:rsidRPr="004A19F9" w:rsidRDefault="003569EA" w:rsidP="00FC2B68">
            <w:pPr>
              <w:spacing w:after="0" w:line="240" w:lineRule="auto"/>
              <w:jc w:val="right"/>
              <w:rPr>
                <w:b/>
                <w:sz w:val="18"/>
                <w:szCs w:val="18"/>
              </w:rPr>
            </w:pPr>
            <w:r w:rsidRPr="004A19F9">
              <w:rPr>
                <w:b/>
                <w:bCs/>
                <w:color w:val="000000"/>
                <w:sz w:val="18"/>
                <w:szCs w:val="20"/>
              </w:rPr>
              <w:t>-363,5%</w:t>
            </w:r>
          </w:p>
        </w:tc>
        <w:tc>
          <w:tcPr>
            <w:tcW w:w="652" w:type="pct"/>
            <w:tcBorders>
              <w:top w:val="nil"/>
              <w:left w:val="nil"/>
              <w:bottom w:val="nil"/>
              <w:right w:val="single" w:sz="4" w:space="0" w:color="auto"/>
            </w:tcBorders>
            <w:shd w:val="clear" w:color="auto" w:fill="auto"/>
            <w:noWrap/>
            <w:vAlign w:val="center"/>
            <w:hideMark/>
          </w:tcPr>
          <w:p w14:paraId="4B6F39BD" w14:textId="77777777" w:rsidR="003569EA" w:rsidRPr="004A19F9" w:rsidRDefault="003569EA" w:rsidP="00FC2B68">
            <w:pPr>
              <w:spacing w:after="0" w:line="240" w:lineRule="auto"/>
              <w:jc w:val="right"/>
              <w:rPr>
                <w:b/>
                <w:sz w:val="18"/>
                <w:szCs w:val="18"/>
              </w:rPr>
            </w:pPr>
            <w:r w:rsidRPr="004A19F9">
              <w:rPr>
                <w:b/>
                <w:bCs/>
                <w:color w:val="000000"/>
                <w:sz w:val="18"/>
                <w:szCs w:val="20"/>
              </w:rPr>
              <w:t>-398 555 583</w:t>
            </w:r>
          </w:p>
        </w:tc>
        <w:tc>
          <w:tcPr>
            <w:tcW w:w="534" w:type="pct"/>
            <w:tcBorders>
              <w:top w:val="nil"/>
              <w:left w:val="single" w:sz="4" w:space="0" w:color="auto"/>
              <w:bottom w:val="nil"/>
              <w:right w:val="nil"/>
            </w:tcBorders>
            <w:shd w:val="clear" w:color="auto" w:fill="auto"/>
            <w:noWrap/>
            <w:vAlign w:val="center"/>
            <w:hideMark/>
          </w:tcPr>
          <w:p w14:paraId="0506DC0D" w14:textId="77777777" w:rsidR="003569EA" w:rsidRPr="004A19F9" w:rsidRDefault="003569EA" w:rsidP="00FC2B68">
            <w:pPr>
              <w:spacing w:after="0" w:line="240" w:lineRule="auto"/>
              <w:jc w:val="center"/>
              <w:rPr>
                <w:b/>
                <w:sz w:val="18"/>
                <w:szCs w:val="18"/>
              </w:rPr>
            </w:pPr>
            <w:r w:rsidRPr="004A19F9">
              <w:rPr>
                <w:b/>
                <w:bCs/>
                <w:color w:val="000000"/>
                <w:sz w:val="18"/>
                <w:szCs w:val="18"/>
              </w:rPr>
              <w:t>204,6%</w:t>
            </w:r>
          </w:p>
        </w:tc>
        <w:tc>
          <w:tcPr>
            <w:tcW w:w="624" w:type="pct"/>
            <w:tcBorders>
              <w:top w:val="nil"/>
              <w:left w:val="nil"/>
              <w:bottom w:val="nil"/>
              <w:right w:val="nil"/>
            </w:tcBorders>
            <w:shd w:val="clear" w:color="auto" w:fill="auto"/>
            <w:noWrap/>
            <w:vAlign w:val="center"/>
            <w:hideMark/>
          </w:tcPr>
          <w:p w14:paraId="73349E8F" w14:textId="77777777" w:rsidR="003569EA" w:rsidRPr="004A19F9" w:rsidRDefault="003569EA" w:rsidP="00FC2B68">
            <w:pPr>
              <w:spacing w:after="0" w:line="240" w:lineRule="auto"/>
              <w:jc w:val="right"/>
              <w:rPr>
                <w:b/>
                <w:sz w:val="18"/>
                <w:szCs w:val="18"/>
              </w:rPr>
            </w:pPr>
            <w:r w:rsidRPr="004A19F9">
              <w:rPr>
                <w:b/>
                <w:bCs/>
                <w:color w:val="000000"/>
                <w:sz w:val="18"/>
                <w:szCs w:val="18"/>
              </w:rPr>
              <w:t xml:space="preserve">203 378 667   </w:t>
            </w:r>
          </w:p>
        </w:tc>
      </w:tr>
      <w:tr w:rsidR="003569EA" w:rsidRPr="004A19F9" w14:paraId="56C37705" w14:textId="77777777" w:rsidTr="00D35A0F">
        <w:trPr>
          <w:trHeight w:val="264"/>
        </w:trPr>
        <w:tc>
          <w:tcPr>
            <w:tcW w:w="1521" w:type="pct"/>
            <w:gridSpan w:val="2"/>
            <w:tcBorders>
              <w:top w:val="nil"/>
              <w:left w:val="nil"/>
              <w:bottom w:val="nil"/>
              <w:right w:val="nil"/>
            </w:tcBorders>
            <w:shd w:val="clear" w:color="auto" w:fill="auto"/>
            <w:noWrap/>
            <w:vAlign w:val="center"/>
            <w:hideMark/>
          </w:tcPr>
          <w:p w14:paraId="407A3DF4" w14:textId="77777777" w:rsidR="003569EA" w:rsidRPr="004A19F9" w:rsidRDefault="003569EA" w:rsidP="00FC2B68">
            <w:pPr>
              <w:spacing w:after="0" w:line="240" w:lineRule="auto"/>
              <w:ind w:firstLineChars="100" w:firstLine="180"/>
              <w:rPr>
                <w:color w:val="000000"/>
                <w:sz w:val="18"/>
                <w:szCs w:val="18"/>
                <w:lang w:eastAsia="sk-SK"/>
              </w:rPr>
            </w:pPr>
            <w:r w:rsidRPr="004A19F9">
              <w:rPr>
                <w:color w:val="000000"/>
                <w:sz w:val="18"/>
                <w:szCs w:val="18"/>
                <w:lang w:eastAsia="sk-SK"/>
              </w:rPr>
              <w:t xml:space="preserve"> - dôchodkový systém</w:t>
            </w:r>
          </w:p>
        </w:tc>
        <w:tc>
          <w:tcPr>
            <w:tcW w:w="511" w:type="pct"/>
            <w:tcBorders>
              <w:top w:val="nil"/>
              <w:left w:val="nil"/>
              <w:bottom w:val="nil"/>
              <w:right w:val="nil"/>
            </w:tcBorders>
            <w:shd w:val="clear" w:color="auto" w:fill="auto"/>
            <w:noWrap/>
            <w:vAlign w:val="center"/>
          </w:tcPr>
          <w:p w14:paraId="2CA77FED" w14:textId="77777777" w:rsidR="003569EA" w:rsidRPr="004A19F9" w:rsidRDefault="003569EA" w:rsidP="00FC2B68">
            <w:pPr>
              <w:spacing w:after="0" w:line="240" w:lineRule="auto"/>
              <w:jc w:val="right"/>
              <w:rPr>
                <w:color w:val="000000"/>
                <w:sz w:val="18"/>
                <w:szCs w:val="20"/>
              </w:rPr>
            </w:pPr>
            <w:r w:rsidRPr="004A19F9">
              <w:rPr>
                <w:color w:val="000000"/>
                <w:sz w:val="18"/>
                <w:szCs w:val="20"/>
              </w:rPr>
              <w:t>-88,0%</w:t>
            </w:r>
          </w:p>
        </w:tc>
        <w:tc>
          <w:tcPr>
            <w:tcW w:w="651" w:type="pct"/>
            <w:tcBorders>
              <w:top w:val="nil"/>
              <w:left w:val="nil"/>
              <w:bottom w:val="nil"/>
              <w:right w:val="nil"/>
            </w:tcBorders>
            <w:shd w:val="clear" w:color="auto" w:fill="auto"/>
            <w:noWrap/>
            <w:vAlign w:val="center"/>
          </w:tcPr>
          <w:p w14:paraId="30E3691C" w14:textId="77777777" w:rsidR="003569EA" w:rsidRPr="004A19F9" w:rsidRDefault="003569EA" w:rsidP="00FC2B68">
            <w:pPr>
              <w:spacing w:after="0" w:line="240" w:lineRule="auto"/>
              <w:jc w:val="right"/>
              <w:rPr>
                <w:color w:val="000000"/>
                <w:sz w:val="18"/>
                <w:szCs w:val="20"/>
              </w:rPr>
            </w:pPr>
            <w:r w:rsidRPr="004A19F9">
              <w:rPr>
                <w:color w:val="000000"/>
                <w:sz w:val="18"/>
                <w:szCs w:val="20"/>
              </w:rPr>
              <w:t xml:space="preserve">-108 015 570   </w:t>
            </w:r>
          </w:p>
        </w:tc>
        <w:tc>
          <w:tcPr>
            <w:tcW w:w="507" w:type="pct"/>
            <w:tcBorders>
              <w:top w:val="nil"/>
              <w:left w:val="nil"/>
              <w:bottom w:val="nil"/>
              <w:right w:val="nil"/>
            </w:tcBorders>
            <w:shd w:val="clear" w:color="auto" w:fill="auto"/>
            <w:noWrap/>
            <w:vAlign w:val="center"/>
            <w:hideMark/>
          </w:tcPr>
          <w:p w14:paraId="1F4431FD" w14:textId="77777777" w:rsidR="003569EA" w:rsidRPr="004A19F9" w:rsidRDefault="003569EA" w:rsidP="00FC2B68">
            <w:pPr>
              <w:spacing w:after="0" w:line="240" w:lineRule="auto"/>
              <w:jc w:val="right"/>
              <w:rPr>
                <w:sz w:val="18"/>
                <w:szCs w:val="18"/>
              </w:rPr>
            </w:pPr>
            <w:r w:rsidRPr="004A19F9">
              <w:rPr>
                <w:color w:val="000000"/>
                <w:sz w:val="18"/>
                <w:szCs w:val="20"/>
              </w:rPr>
              <w:t>-195,7%</w:t>
            </w:r>
          </w:p>
        </w:tc>
        <w:tc>
          <w:tcPr>
            <w:tcW w:w="652" w:type="pct"/>
            <w:tcBorders>
              <w:top w:val="nil"/>
              <w:left w:val="nil"/>
              <w:bottom w:val="nil"/>
              <w:right w:val="single" w:sz="4" w:space="0" w:color="auto"/>
            </w:tcBorders>
            <w:shd w:val="clear" w:color="auto" w:fill="auto"/>
            <w:noWrap/>
            <w:vAlign w:val="center"/>
            <w:hideMark/>
          </w:tcPr>
          <w:p w14:paraId="163E7015" w14:textId="77777777" w:rsidR="003569EA" w:rsidRPr="004A19F9" w:rsidRDefault="003569EA" w:rsidP="00FC2B68">
            <w:pPr>
              <w:spacing w:after="0" w:line="240" w:lineRule="auto"/>
              <w:jc w:val="right"/>
              <w:rPr>
                <w:sz w:val="18"/>
                <w:szCs w:val="18"/>
              </w:rPr>
            </w:pPr>
            <w:r w:rsidRPr="004A19F9">
              <w:rPr>
                <w:color w:val="000000"/>
                <w:sz w:val="18"/>
                <w:szCs w:val="20"/>
              </w:rPr>
              <w:t>-214 635 681</w:t>
            </w:r>
          </w:p>
        </w:tc>
        <w:tc>
          <w:tcPr>
            <w:tcW w:w="534" w:type="pct"/>
            <w:tcBorders>
              <w:top w:val="nil"/>
              <w:left w:val="single" w:sz="4" w:space="0" w:color="auto"/>
              <w:bottom w:val="nil"/>
              <w:right w:val="nil"/>
            </w:tcBorders>
            <w:shd w:val="clear" w:color="auto" w:fill="auto"/>
            <w:noWrap/>
            <w:vAlign w:val="center"/>
            <w:hideMark/>
          </w:tcPr>
          <w:p w14:paraId="745E9FCE" w14:textId="77777777" w:rsidR="003569EA" w:rsidRPr="004A19F9" w:rsidRDefault="003569EA" w:rsidP="00FC2B68">
            <w:pPr>
              <w:spacing w:after="0" w:line="240" w:lineRule="auto"/>
              <w:jc w:val="center"/>
              <w:rPr>
                <w:color w:val="000000"/>
                <w:sz w:val="18"/>
                <w:szCs w:val="20"/>
              </w:rPr>
            </w:pPr>
            <w:r w:rsidRPr="004A19F9">
              <w:rPr>
                <w:color w:val="000000"/>
                <w:sz w:val="18"/>
                <w:szCs w:val="20"/>
              </w:rPr>
              <w:t>107,8%</w:t>
            </w:r>
          </w:p>
        </w:tc>
        <w:tc>
          <w:tcPr>
            <w:tcW w:w="624" w:type="pct"/>
            <w:tcBorders>
              <w:top w:val="nil"/>
              <w:left w:val="nil"/>
              <w:bottom w:val="nil"/>
              <w:right w:val="nil"/>
            </w:tcBorders>
            <w:shd w:val="clear" w:color="auto" w:fill="auto"/>
            <w:noWrap/>
            <w:vAlign w:val="center"/>
            <w:hideMark/>
          </w:tcPr>
          <w:p w14:paraId="6D259B4B" w14:textId="77777777" w:rsidR="003569EA" w:rsidRPr="004A19F9" w:rsidRDefault="003569EA" w:rsidP="00FC2B68">
            <w:pPr>
              <w:spacing w:after="0" w:line="240" w:lineRule="auto"/>
              <w:jc w:val="right"/>
              <w:rPr>
                <w:color w:val="000000"/>
                <w:sz w:val="18"/>
                <w:szCs w:val="20"/>
              </w:rPr>
            </w:pPr>
            <w:r w:rsidRPr="004A19F9">
              <w:rPr>
                <w:color w:val="000000"/>
                <w:sz w:val="18"/>
                <w:szCs w:val="20"/>
              </w:rPr>
              <w:t xml:space="preserve"> 106 620 111   </w:t>
            </w:r>
          </w:p>
        </w:tc>
      </w:tr>
      <w:tr w:rsidR="003569EA" w:rsidRPr="004A19F9" w14:paraId="51C9137E" w14:textId="77777777" w:rsidTr="00D35A0F">
        <w:trPr>
          <w:trHeight w:val="264"/>
        </w:trPr>
        <w:tc>
          <w:tcPr>
            <w:tcW w:w="1521" w:type="pct"/>
            <w:gridSpan w:val="2"/>
            <w:tcBorders>
              <w:top w:val="nil"/>
              <w:left w:val="nil"/>
              <w:bottom w:val="nil"/>
              <w:right w:val="nil"/>
            </w:tcBorders>
            <w:shd w:val="clear" w:color="auto" w:fill="auto"/>
            <w:noWrap/>
            <w:vAlign w:val="center"/>
            <w:hideMark/>
          </w:tcPr>
          <w:p w14:paraId="23B9CE83" w14:textId="77777777" w:rsidR="003569EA" w:rsidRPr="004A19F9" w:rsidRDefault="003569EA" w:rsidP="00FC2B68">
            <w:pPr>
              <w:spacing w:after="0" w:line="240" w:lineRule="auto"/>
              <w:ind w:firstLineChars="100" w:firstLine="180"/>
              <w:rPr>
                <w:color w:val="000000"/>
                <w:sz w:val="18"/>
                <w:szCs w:val="18"/>
                <w:lang w:eastAsia="sk-SK"/>
              </w:rPr>
            </w:pPr>
            <w:r w:rsidRPr="004A19F9">
              <w:rPr>
                <w:color w:val="000000"/>
                <w:sz w:val="18"/>
                <w:szCs w:val="18"/>
                <w:lang w:eastAsia="sk-SK"/>
              </w:rPr>
              <w:t xml:space="preserve"> - zdravotníctvo</w:t>
            </w:r>
          </w:p>
        </w:tc>
        <w:tc>
          <w:tcPr>
            <w:tcW w:w="511" w:type="pct"/>
            <w:tcBorders>
              <w:top w:val="nil"/>
              <w:left w:val="nil"/>
              <w:bottom w:val="nil"/>
              <w:right w:val="nil"/>
            </w:tcBorders>
            <w:shd w:val="clear" w:color="auto" w:fill="auto"/>
            <w:noWrap/>
            <w:vAlign w:val="center"/>
          </w:tcPr>
          <w:p w14:paraId="2A344D4F" w14:textId="77777777" w:rsidR="003569EA" w:rsidRPr="004A19F9" w:rsidRDefault="003569EA" w:rsidP="00FC2B68">
            <w:pPr>
              <w:spacing w:after="0" w:line="240" w:lineRule="auto"/>
              <w:jc w:val="right"/>
              <w:rPr>
                <w:color w:val="000000"/>
                <w:sz w:val="18"/>
                <w:szCs w:val="20"/>
              </w:rPr>
            </w:pPr>
            <w:r w:rsidRPr="004A19F9">
              <w:rPr>
                <w:color w:val="000000"/>
                <w:sz w:val="18"/>
                <w:szCs w:val="20"/>
              </w:rPr>
              <w:t>-35,7%</w:t>
            </w:r>
          </w:p>
        </w:tc>
        <w:tc>
          <w:tcPr>
            <w:tcW w:w="651" w:type="pct"/>
            <w:tcBorders>
              <w:top w:val="nil"/>
              <w:left w:val="nil"/>
              <w:bottom w:val="nil"/>
              <w:right w:val="nil"/>
            </w:tcBorders>
            <w:shd w:val="clear" w:color="auto" w:fill="auto"/>
            <w:noWrap/>
            <w:vAlign w:val="center"/>
          </w:tcPr>
          <w:p w14:paraId="3386A1BF" w14:textId="77777777" w:rsidR="003569EA" w:rsidRPr="004A19F9" w:rsidRDefault="003569EA" w:rsidP="00FC2B68">
            <w:pPr>
              <w:spacing w:after="0" w:line="240" w:lineRule="auto"/>
              <w:jc w:val="right"/>
              <w:rPr>
                <w:color w:val="000000"/>
                <w:sz w:val="18"/>
                <w:szCs w:val="20"/>
              </w:rPr>
            </w:pPr>
            <w:r w:rsidRPr="004A19F9">
              <w:rPr>
                <w:color w:val="000000"/>
                <w:sz w:val="18"/>
                <w:szCs w:val="20"/>
              </w:rPr>
              <w:t xml:space="preserve">-43 810 723   </w:t>
            </w:r>
          </w:p>
        </w:tc>
        <w:tc>
          <w:tcPr>
            <w:tcW w:w="507" w:type="pct"/>
            <w:tcBorders>
              <w:top w:val="nil"/>
              <w:left w:val="nil"/>
              <w:bottom w:val="nil"/>
              <w:right w:val="nil"/>
            </w:tcBorders>
            <w:shd w:val="clear" w:color="auto" w:fill="auto"/>
            <w:noWrap/>
            <w:vAlign w:val="center"/>
            <w:hideMark/>
          </w:tcPr>
          <w:p w14:paraId="4EF7F241" w14:textId="77777777" w:rsidR="003569EA" w:rsidRPr="004A19F9" w:rsidRDefault="003569EA" w:rsidP="00FC2B68">
            <w:pPr>
              <w:spacing w:after="0" w:line="240" w:lineRule="auto"/>
              <w:jc w:val="right"/>
              <w:rPr>
                <w:sz w:val="18"/>
                <w:szCs w:val="18"/>
              </w:rPr>
            </w:pPr>
            <w:r w:rsidRPr="004A19F9">
              <w:rPr>
                <w:color w:val="000000"/>
                <w:sz w:val="18"/>
                <w:szCs w:val="20"/>
              </w:rPr>
              <w:t>-88,0%</w:t>
            </w:r>
          </w:p>
        </w:tc>
        <w:tc>
          <w:tcPr>
            <w:tcW w:w="652" w:type="pct"/>
            <w:tcBorders>
              <w:top w:val="nil"/>
              <w:left w:val="nil"/>
              <w:bottom w:val="nil"/>
              <w:right w:val="single" w:sz="4" w:space="0" w:color="auto"/>
            </w:tcBorders>
            <w:shd w:val="clear" w:color="auto" w:fill="auto"/>
            <w:noWrap/>
            <w:vAlign w:val="center"/>
            <w:hideMark/>
          </w:tcPr>
          <w:p w14:paraId="19158799" w14:textId="77777777" w:rsidR="003569EA" w:rsidRPr="004A19F9" w:rsidRDefault="003569EA" w:rsidP="00FC2B68">
            <w:pPr>
              <w:spacing w:after="0" w:line="240" w:lineRule="auto"/>
              <w:jc w:val="right"/>
              <w:rPr>
                <w:sz w:val="18"/>
                <w:szCs w:val="18"/>
              </w:rPr>
            </w:pPr>
            <w:r w:rsidRPr="004A19F9">
              <w:rPr>
                <w:color w:val="000000"/>
                <w:sz w:val="18"/>
                <w:szCs w:val="20"/>
              </w:rPr>
              <w:t>-96 466 132</w:t>
            </w:r>
          </w:p>
        </w:tc>
        <w:tc>
          <w:tcPr>
            <w:tcW w:w="534" w:type="pct"/>
            <w:tcBorders>
              <w:top w:val="nil"/>
              <w:left w:val="single" w:sz="4" w:space="0" w:color="auto"/>
              <w:bottom w:val="nil"/>
              <w:right w:val="nil"/>
            </w:tcBorders>
            <w:shd w:val="clear" w:color="auto" w:fill="auto"/>
            <w:noWrap/>
            <w:vAlign w:val="center"/>
            <w:hideMark/>
          </w:tcPr>
          <w:p w14:paraId="69FFC635" w14:textId="77777777" w:rsidR="003569EA" w:rsidRPr="004A19F9" w:rsidRDefault="003569EA" w:rsidP="00FC2B68">
            <w:pPr>
              <w:spacing w:after="0" w:line="240" w:lineRule="auto"/>
              <w:jc w:val="center"/>
              <w:rPr>
                <w:color w:val="000000"/>
                <w:sz w:val="18"/>
                <w:szCs w:val="20"/>
              </w:rPr>
            </w:pPr>
            <w:r w:rsidRPr="004A19F9">
              <w:rPr>
                <w:color w:val="000000"/>
                <w:sz w:val="18"/>
                <w:szCs w:val="20"/>
              </w:rPr>
              <w:t>52,3%</w:t>
            </w:r>
          </w:p>
        </w:tc>
        <w:tc>
          <w:tcPr>
            <w:tcW w:w="624" w:type="pct"/>
            <w:tcBorders>
              <w:top w:val="nil"/>
              <w:left w:val="nil"/>
              <w:bottom w:val="nil"/>
              <w:right w:val="nil"/>
            </w:tcBorders>
            <w:shd w:val="clear" w:color="auto" w:fill="auto"/>
            <w:noWrap/>
            <w:vAlign w:val="center"/>
            <w:hideMark/>
          </w:tcPr>
          <w:p w14:paraId="1463BFFD" w14:textId="77777777" w:rsidR="003569EA" w:rsidRPr="004A19F9" w:rsidRDefault="003569EA" w:rsidP="00FC2B68">
            <w:pPr>
              <w:spacing w:after="0" w:line="240" w:lineRule="auto"/>
              <w:jc w:val="right"/>
              <w:rPr>
                <w:color w:val="000000"/>
                <w:sz w:val="18"/>
                <w:szCs w:val="20"/>
              </w:rPr>
            </w:pPr>
            <w:r w:rsidRPr="004A19F9">
              <w:rPr>
                <w:color w:val="000000"/>
                <w:sz w:val="18"/>
                <w:szCs w:val="20"/>
              </w:rPr>
              <w:t xml:space="preserve"> 52 655 408   </w:t>
            </w:r>
          </w:p>
        </w:tc>
      </w:tr>
      <w:tr w:rsidR="003569EA" w:rsidRPr="004A19F9" w14:paraId="4E3F9F62" w14:textId="77777777" w:rsidTr="00D35A0F">
        <w:trPr>
          <w:trHeight w:val="264"/>
        </w:trPr>
        <w:tc>
          <w:tcPr>
            <w:tcW w:w="1521" w:type="pct"/>
            <w:gridSpan w:val="2"/>
            <w:tcBorders>
              <w:top w:val="nil"/>
              <w:left w:val="nil"/>
              <w:bottom w:val="nil"/>
              <w:right w:val="nil"/>
            </w:tcBorders>
            <w:shd w:val="clear" w:color="auto" w:fill="auto"/>
            <w:noWrap/>
            <w:vAlign w:val="center"/>
            <w:hideMark/>
          </w:tcPr>
          <w:p w14:paraId="29FDA6A9" w14:textId="77777777" w:rsidR="003569EA" w:rsidRPr="004A19F9" w:rsidRDefault="003569EA" w:rsidP="00FC2B68">
            <w:pPr>
              <w:spacing w:after="0" w:line="240" w:lineRule="auto"/>
              <w:ind w:firstLineChars="100" w:firstLine="180"/>
              <w:rPr>
                <w:color w:val="000000"/>
                <w:sz w:val="18"/>
                <w:szCs w:val="18"/>
                <w:lang w:eastAsia="sk-SK"/>
              </w:rPr>
            </w:pPr>
            <w:r w:rsidRPr="004A19F9">
              <w:rPr>
                <w:color w:val="000000"/>
                <w:sz w:val="18"/>
                <w:szCs w:val="18"/>
                <w:lang w:eastAsia="sk-SK"/>
              </w:rPr>
              <w:t xml:space="preserve"> - dlhodobá starostlivosť</w:t>
            </w:r>
          </w:p>
        </w:tc>
        <w:tc>
          <w:tcPr>
            <w:tcW w:w="511" w:type="pct"/>
            <w:tcBorders>
              <w:top w:val="nil"/>
              <w:left w:val="nil"/>
              <w:bottom w:val="nil"/>
              <w:right w:val="nil"/>
            </w:tcBorders>
            <w:shd w:val="clear" w:color="auto" w:fill="auto"/>
            <w:noWrap/>
            <w:vAlign w:val="center"/>
          </w:tcPr>
          <w:p w14:paraId="02EF6BBA" w14:textId="77777777" w:rsidR="003569EA" w:rsidRPr="004A19F9" w:rsidRDefault="003569EA" w:rsidP="00FC2B68">
            <w:pPr>
              <w:spacing w:after="0" w:line="240" w:lineRule="auto"/>
              <w:jc w:val="right"/>
              <w:rPr>
                <w:color w:val="000000"/>
                <w:sz w:val="18"/>
                <w:szCs w:val="20"/>
              </w:rPr>
            </w:pPr>
            <w:r w:rsidRPr="004A19F9">
              <w:rPr>
                <w:color w:val="000000"/>
                <w:sz w:val="18"/>
                <w:szCs w:val="20"/>
              </w:rPr>
              <w:t>-29,0%</w:t>
            </w:r>
          </w:p>
        </w:tc>
        <w:tc>
          <w:tcPr>
            <w:tcW w:w="651" w:type="pct"/>
            <w:tcBorders>
              <w:top w:val="nil"/>
              <w:left w:val="nil"/>
              <w:bottom w:val="nil"/>
              <w:right w:val="nil"/>
            </w:tcBorders>
            <w:shd w:val="clear" w:color="auto" w:fill="auto"/>
            <w:noWrap/>
            <w:vAlign w:val="center"/>
          </w:tcPr>
          <w:p w14:paraId="3604793D" w14:textId="77777777" w:rsidR="003569EA" w:rsidRPr="004A19F9" w:rsidRDefault="003569EA" w:rsidP="00FC2B68">
            <w:pPr>
              <w:spacing w:after="0" w:line="240" w:lineRule="auto"/>
              <w:jc w:val="right"/>
              <w:rPr>
                <w:color w:val="000000"/>
                <w:sz w:val="18"/>
                <w:szCs w:val="20"/>
              </w:rPr>
            </w:pPr>
            <w:r w:rsidRPr="004A19F9">
              <w:rPr>
                <w:color w:val="000000"/>
                <w:sz w:val="18"/>
                <w:szCs w:val="20"/>
              </w:rPr>
              <w:t xml:space="preserve">-35 611 783   </w:t>
            </w:r>
          </w:p>
        </w:tc>
        <w:tc>
          <w:tcPr>
            <w:tcW w:w="507" w:type="pct"/>
            <w:tcBorders>
              <w:top w:val="nil"/>
              <w:left w:val="nil"/>
              <w:bottom w:val="nil"/>
              <w:right w:val="nil"/>
            </w:tcBorders>
            <w:shd w:val="clear" w:color="auto" w:fill="auto"/>
            <w:noWrap/>
            <w:vAlign w:val="center"/>
            <w:hideMark/>
          </w:tcPr>
          <w:p w14:paraId="64ABFB9E" w14:textId="77777777" w:rsidR="003569EA" w:rsidRPr="004A19F9" w:rsidRDefault="003569EA" w:rsidP="00FC2B68">
            <w:pPr>
              <w:spacing w:after="0" w:line="240" w:lineRule="auto"/>
              <w:jc w:val="right"/>
              <w:rPr>
                <w:sz w:val="18"/>
                <w:szCs w:val="18"/>
              </w:rPr>
            </w:pPr>
            <w:r w:rsidRPr="004A19F9">
              <w:rPr>
                <w:color w:val="000000"/>
                <w:sz w:val="18"/>
                <w:szCs w:val="20"/>
              </w:rPr>
              <w:t>-65,2%</w:t>
            </w:r>
          </w:p>
        </w:tc>
        <w:tc>
          <w:tcPr>
            <w:tcW w:w="652" w:type="pct"/>
            <w:tcBorders>
              <w:top w:val="nil"/>
              <w:left w:val="nil"/>
              <w:bottom w:val="nil"/>
              <w:right w:val="single" w:sz="4" w:space="0" w:color="auto"/>
            </w:tcBorders>
            <w:shd w:val="clear" w:color="auto" w:fill="auto"/>
            <w:noWrap/>
            <w:vAlign w:val="center"/>
            <w:hideMark/>
          </w:tcPr>
          <w:p w14:paraId="34E0C0CE" w14:textId="77777777" w:rsidR="003569EA" w:rsidRPr="004A19F9" w:rsidRDefault="003569EA" w:rsidP="00FC2B68">
            <w:pPr>
              <w:spacing w:after="0" w:line="240" w:lineRule="auto"/>
              <w:jc w:val="right"/>
              <w:rPr>
                <w:sz w:val="18"/>
                <w:szCs w:val="18"/>
              </w:rPr>
            </w:pPr>
            <w:r w:rsidRPr="004A19F9">
              <w:rPr>
                <w:color w:val="000000"/>
                <w:sz w:val="18"/>
                <w:szCs w:val="20"/>
              </w:rPr>
              <w:t>-71 503 739</w:t>
            </w:r>
          </w:p>
        </w:tc>
        <w:tc>
          <w:tcPr>
            <w:tcW w:w="534" w:type="pct"/>
            <w:tcBorders>
              <w:top w:val="nil"/>
              <w:left w:val="single" w:sz="4" w:space="0" w:color="auto"/>
              <w:bottom w:val="nil"/>
              <w:right w:val="nil"/>
            </w:tcBorders>
            <w:shd w:val="clear" w:color="auto" w:fill="auto"/>
            <w:noWrap/>
            <w:vAlign w:val="center"/>
            <w:hideMark/>
          </w:tcPr>
          <w:p w14:paraId="2D516199" w14:textId="77777777" w:rsidR="003569EA" w:rsidRPr="004A19F9" w:rsidRDefault="003569EA" w:rsidP="00FC2B68">
            <w:pPr>
              <w:spacing w:after="0" w:line="240" w:lineRule="auto"/>
              <w:jc w:val="center"/>
              <w:rPr>
                <w:color w:val="000000"/>
                <w:sz w:val="18"/>
                <w:szCs w:val="20"/>
              </w:rPr>
            </w:pPr>
            <w:r w:rsidRPr="004A19F9">
              <w:rPr>
                <w:color w:val="000000"/>
                <w:sz w:val="18"/>
                <w:szCs w:val="20"/>
              </w:rPr>
              <w:t>36,2%</w:t>
            </w:r>
          </w:p>
        </w:tc>
        <w:tc>
          <w:tcPr>
            <w:tcW w:w="624" w:type="pct"/>
            <w:tcBorders>
              <w:top w:val="nil"/>
              <w:left w:val="nil"/>
              <w:bottom w:val="nil"/>
              <w:right w:val="nil"/>
            </w:tcBorders>
            <w:shd w:val="clear" w:color="auto" w:fill="auto"/>
            <w:noWrap/>
            <w:vAlign w:val="center"/>
            <w:hideMark/>
          </w:tcPr>
          <w:p w14:paraId="2619FE5B" w14:textId="77777777" w:rsidR="003569EA" w:rsidRPr="004A19F9" w:rsidRDefault="003569EA" w:rsidP="00FC2B68">
            <w:pPr>
              <w:spacing w:after="0" w:line="240" w:lineRule="auto"/>
              <w:jc w:val="right"/>
              <w:rPr>
                <w:color w:val="000000"/>
                <w:sz w:val="18"/>
                <w:szCs w:val="20"/>
              </w:rPr>
            </w:pPr>
            <w:r w:rsidRPr="004A19F9">
              <w:rPr>
                <w:color w:val="000000"/>
                <w:sz w:val="18"/>
                <w:szCs w:val="20"/>
              </w:rPr>
              <w:t xml:space="preserve"> 35 891 956   </w:t>
            </w:r>
          </w:p>
        </w:tc>
      </w:tr>
      <w:tr w:rsidR="003569EA" w:rsidRPr="004A19F9" w14:paraId="3F89CE37" w14:textId="77777777" w:rsidTr="00D35A0F">
        <w:trPr>
          <w:trHeight w:val="264"/>
        </w:trPr>
        <w:tc>
          <w:tcPr>
            <w:tcW w:w="1521" w:type="pct"/>
            <w:gridSpan w:val="2"/>
            <w:tcBorders>
              <w:top w:val="nil"/>
              <w:left w:val="nil"/>
              <w:bottom w:val="nil"/>
              <w:right w:val="nil"/>
            </w:tcBorders>
            <w:shd w:val="clear" w:color="auto" w:fill="auto"/>
            <w:noWrap/>
            <w:vAlign w:val="center"/>
            <w:hideMark/>
          </w:tcPr>
          <w:p w14:paraId="79D24086" w14:textId="77777777" w:rsidR="003569EA" w:rsidRPr="004A19F9" w:rsidRDefault="003569EA" w:rsidP="00FC2B68">
            <w:pPr>
              <w:spacing w:after="0" w:line="240" w:lineRule="auto"/>
              <w:ind w:firstLineChars="100" w:firstLine="180"/>
              <w:rPr>
                <w:color w:val="000000"/>
                <w:sz w:val="18"/>
                <w:szCs w:val="18"/>
                <w:lang w:eastAsia="sk-SK"/>
              </w:rPr>
            </w:pPr>
            <w:r w:rsidRPr="004A19F9">
              <w:rPr>
                <w:color w:val="000000"/>
                <w:sz w:val="18"/>
                <w:szCs w:val="18"/>
                <w:lang w:eastAsia="sk-SK"/>
              </w:rPr>
              <w:t xml:space="preserve"> - poistenie v nezamestnanosti</w:t>
            </w:r>
          </w:p>
        </w:tc>
        <w:tc>
          <w:tcPr>
            <w:tcW w:w="511" w:type="pct"/>
            <w:tcBorders>
              <w:top w:val="nil"/>
              <w:left w:val="nil"/>
              <w:bottom w:val="nil"/>
              <w:right w:val="nil"/>
            </w:tcBorders>
            <w:shd w:val="clear" w:color="auto" w:fill="auto"/>
            <w:noWrap/>
            <w:vAlign w:val="center"/>
          </w:tcPr>
          <w:p w14:paraId="1202514A" w14:textId="77777777" w:rsidR="003569EA" w:rsidRPr="004A19F9" w:rsidRDefault="003569EA" w:rsidP="00FC2B68">
            <w:pPr>
              <w:spacing w:after="0" w:line="240" w:lineRule="auto"/>
              <w:jc w:val="right"/>
              <w:rPr>
                <w:color w:val="000000"/>
                <w:sz w:val="18"/>
                <w:szCs w:val="20"/>
              </w:rPr>
            </w:pPr>
            <w:r w:rsidRPr="004A19F9">
              <w:rPr>
                <w:color w:val="000000"/>
                <w:sz w:val="18"/>
                <w:szCs w:val="20"/>
              </w:rPr>
              <w:t>0,9%</w:t>
            </w:r>
          </w:p>
        </w:tc>
        <w:tc>
          <w:tcPr>
            <w:tcW w:w="651" w:type="pct"/>
            <w:tcBorders>
              <w:top w:val="nil"/>
              <w:left w:val="nil"/>
              <w:bottom w:val="nil"/>
              <w:right w:val="nil"/>
            </w:tcBorders>
            <w:shd w:val="clear" w:color="auto" w:fill="auto"/>
            <w:noWrap/>
            <w:vAlign w:val="center"/>
          </w:tcPr>
          <w:p w14:paraId="7DF53A0D" w14:textId="77777777" w:rsidR="003569EA" w:rsidRPr="004A19F9" w:rsidRDefault="003569EA" w:rsidP="00FC2B68">
            <w:pPr>
              <w:spacing w:after="0" w:line="240" w:lineRule="auto"/>
              <w:jc w:val="right"/>
              <w:rPr>
                <w:color w:val="000000"/>
                <w:sz w:val="18"/>
                <w:szCs w:val="20"/>
              </w:rPr>
            </w:pPr>
            <w:r w:rsidRPr="004A19F9">
              <w:rPr>
                <w:color w:val="000000"/>
                <w:sz w:val="18"/>
                <w:szCs w:val="20"/>
              </w:rPr>
              <w:t xml:space="preserve"> 1 117 827   </w:t>
            </w:r>
          </w:p>
        </w:tc>
        <w:tc>
          <w:tcPr>
            <w:tcW w:w="507" w:type="pct"/>
            <w:tcBorders>
              <w:top w:val="nil"/>
              <w:left w:val="nil"/>
              <w:bottom w:val="nil"/>
              <w:right w:val="nil"/>
            </w:tcBorders>
            <w:shd w:val="clear" w:color="auto" w:fill="auto"/>
            <w:noWrap/>
            <w:vAlign w:val="center"/>
            <w:hideMark/>
          </w:tcPr>
          <w:p w14:paraId="43C11170" w14:textId="77777777" w:rsidR="003569EA" w:rsidRPr="004A19F9" w:rsidRDefault="003569EA" w:rsidP="00FC2B68">
            <w:pPr>
              <w:spacing w:after="0" w:line="240" w:lineRule="auto"/>
              <w:jc w:val="right"/>
              <w:rPr>
                <w:sz w:val="18"/>
                <w:szCs w:val="18"/>
              </w:rPr>
            </w:pPr>
            <w:r w:rsidRPr="004A19F9">
              <w:rPr>
                <w:color w:val="000000"/>
                <w:sz w:val="18"/>
                <w:szCs w:val="18"/>
              </w:rPr>
              <w:t>-1,3%</w:t>
            </w:r>
          </w:p>
        </w:tc>
        <w:tc>
          <w:tcPr>
            <w:tcW w:w="652" w:type="pct"/>
            <w:tcBorders>
              <w:top w:val="nil"/>
              <w:left w:val="nil"/>
              <w:bottom w:val="nil"/>
              <w:right w:val="single" w:sz="4" w:space="0" w:color="auto"/>
            </w:tcBorders>
            <w:shd w:val="clear" w:color="auto" w:fill="auto"/>
            <w:noWrap/>
            <w:vAlign w:val="center"/>
            <w:hideMark/>
          </w:tcPr>
          <w:p w14:paraId="60C6D452" w14:textId="77777777" w:rsidR="003569EA" w:rsidRPr="004A19F9" w:rsidRDefault="003569EA" w:rsidP="00FC2B68">
            <w:pPr>
              <w:spacing w:after="0" w:line="240" w:lineRule="auto"/>
              <w:jc w:val="right"/>
              <w:rPr>
                <w:sz w:val="18"/>
                <w:szCs w:val="18"/>
              </w:rPr>
            </w:pPr>
            <w:r w:rsidRPr="004A19F9">
              <w:rPr>
                <w:color w:val="000000"/>
                <w:sz w:val="18"/>
                <w:szCs w:val="18"/>
              </w:rPr>
              <w:t>-1 385 332</w:t>
            </w:r>
          </w:p>
        </w:tc>
        <w:tc>
          <w:tcPr>
            <w:tcW w:w="534" w:type="pct"/>
            <w:tcBorders>
              <w:top w:val="nil"/>
              <w:left w:val="single" w:sz="4" w:space="0" w:color="auto"/>
              <w:bottom w:val="nil"/>
              <w:right w:val="nil"/>
            </w:tcBorders>
            <w:shd w:val="clear" w:color="auto" w:fill="auto"/>
            <w:noWrap/>
            <w:vAlign w:val="center"/>
            <w:hideMark/>
          </w:tcPr>
          <w:p w14:paraId="46CC3770" w14:textId="77777777" w:rsidR="003569EA" w:rsidRPr="004A19F9" w:rsidRDefault="003569EA" w:rsidP="00FC2B68">
            <w:pPr>
              <w:spacing w:after="0" w:line="240" w:lineRule="auto"/>
              <w:jc w:val="center"/>
              <w:rPr>
                <w:color w:val="000000"/>
                <w:sz w:val="18"/>
                <w:szCs w:val="20"/>
              </w:rPr>
            </w:pPr>
            <w:r w:rsidRPr="004A19F9">
              <w:rPr>
                <w:color w:val="000000"/>
                <w:sz w:val="18"/>
                <w:szCs w:val="20"/>
              </w:rPr>
              <w:t>2,2%</w:t>
            </w:r>
          </w:p>
        </w:tc>
        <w:tc>
          <w:tcPr>
            <w:tcW w:w="624" w:type="pct"/>
            <w:tcBorders>
              <w:top w:val="nil"/>
              <w:left w:val="nil"/>
              <w:bottom w:val="nil"/>
              <w:right w:val="nil"/>
            </w:tcBorders>
            <w:shd w:val="clear" w:color="auto" w:fill="auto"/>
            <w:noWrap/>
            <w:vAlign w:val="center"/>
            <w:hideMark/>
          </w:tcPr>
          <w:p w14:paraId="2377A1E0" w14:textId="77777777" w:rsidR="003569EA" w:rsidRPr="004A19F9" w:rsidRDefault="003569EA" w:rsidP="00FC2B68">
            <w:pPr>
              <w:spacing w:after="0" w:line="240" w:lineRule="auto"/>
              <w:jc w:val="right"/>
              <w:rPr>
                <w:color w:val="000000"/>
                <w:sz w:val="18"/>
                <w:szCs w:val="20"/>
              </w:rPr>
            </w:pPr>
            <w:r w:rsidRPr="004A19F9">
              <w:rPr>
                <w:color w:val="000000"/>
                <w:sz w:val="18"/>
                <w:szCs w:val="20"/>
              </w:rPr>
              <w:t xml:space="preserve"> 2 503 159   </w:t>
            </w:r>
          </w:p>
        </w:tc>
      </w:tr>
      <w:tr w:rsidR="003569EA" w:rsidRPr="004A19F9" w14:paraId="1DE7BB2C" w14:textId="77777777" w:rsidTr="00D35A0F">
        <w:trPr>
          <w:trHeight w:val="56"/>
        </w:trPr>
        <w:tc>
          <w:tcPr>
            <w:tcW w:w="1521" w:type="pct"/>
            <w:gridSpan w:val="2"/>
            <w:tcBorders>
              <w:top w:val="nil"/>
              <w:left w:val="nil"/>
              <w:bottom w:val="nil"/>
              <w:right w:val="nil"/>
            </w:tcBorders>
            <w:shd w:val="clear" w:color="auto" w:fill="auto"/>
            <w:noWrap/>
            <w:vAlign w:val="center"/>
            <w:hideMark/>
          </w:tcPr>
          <w:p w14:paraId="24B8E488" w14:textId="77777777" w:rsidR="003569EA" w:rsidRPr="004A19F9" w:rsidRDefault="003569EA" w:rsidP="00FC2B68">
            <w:pPr>
              <w:spacing w:after="0" w:line="240" w:lineRule="auto"/>
              <w:ind w:firstLineChars="100" w:firstLine="180"/>
              <w:rPr>
                <w:color w:val="000000"/>
                <w:sz w:val="18"/>
                <w:szCs w:val="18"/>
                <w:lang w:eastAsia="sk-SK"/>
              </w:rPr>
            </w:pPr>
            <w:r w:rsidRPr="004A19F9">
              <w:rPr>
                <w:color w:val="000000"/>
                <w:sz w:val="18"/>
                <w:szCs w:val="18"/>
                <w:lang w:eastAsia="sk-SK"/>
              </w:rPr>
              <w:t xml:space="preserve"> - školstvo</w:t>
            </w:r>
          </w:p>
        </w:tc>
        <w:tc>
          <w:tcPr>
            <w:tcW w:w="511" w:type="pct"/>
            <w:tcBorders>
              <w:top w:val="nil"/>
              <w:left w:val="nil"/>
              <w:bottom w:val="nil"/>
              <w:right w:val="nil"/>
            </w:tcBorders>
            <w:shd w:val="clear" w:color="auto" w:fill="auto"/>
            <w:noWrap/>
            <w:vAlign w:val="center"/>
          </w:tcPr>
          <w:p w14:paraId="6423F2FF" w14:textId="77777777" w:rsidR="003569EA" w:rsidRPr="004A19F9" w:rsidRDefault="003569EA" w:rsidP="00FC2B68">
            <w:pPr>
              <w:spacing w:after="0" w:line="240" w:lineRule="auto"/>
              <w:jc w:val="right"/>
              <w:rPr>
                <w:color w:val="000000"/>
                <w:sz w:val="18"/>
                <w:szCs w:val="20"/>
              </w:rPr>
            </w:pPr>
            <w:r w:rsidRPr="004A19F9">
              <w:rPr>
                <w:color w:val="000000"/>
                <w:sz w:val="18"/>
                <w:szCs w:val="20"/>
              </w:rPr>
              <w:t>-7,2%</w:t>
            </w:r>
          </w:p>
        </w:tc>
        <w:tc>
          <w:tcPr>
            <w:tcW w:w="651" w:type="pct"/>
            <w:tcBorders>
              <w:top w:val="nil"/>
              <w:left w:val="nil"/>
              <w:bottom w:val="nil"/>
              <w:right w:val="nil"/>
            </w:tcBorders>
            <w:shd w:val="clear" w:color="auto" w:fill="auto"/>
            <w:noWrap/>
            <w:vAlign w:val="center"/>
          </w:tcPr>
          <w:p w14:paraId="522E0650" w14:textId="77777777" w:rsidR="003569EA" w:rsidRPr="004A19F9" w:rsidRDefault="003569EA" w:rsidP="00FC2B68">
            <w:pPr>
              <w:spacing w:after="0" w:line="240" w:lineRule="auto"/>
              <w:jc w:val="right"/>
              <w:rPr>
                <w:color w:val="000000"/>
                <w:sz w:val="18"/>
                <w:szCs w:val="20"/>
              </w:rPr>
            </w:pPr>
            <w:r w:rsidRPr="004A19F9">
              <w:rPr>
                <w:color w:val="000000"/>
                <w:sz w:val="18"/>
                <w:szCs w:val="20"/>
              </w:rPr>
              <w:t xml:space="preserve">-8 856 666   </w:t>
            </w:r>
          </w:p>
        </w:tc>
        <w:tc>
          <w:tcPr>
            <w:tcW w:w="507" w:type="pct"/>
            <w:tcBorders>
              <w:top w:val="nil"/>
              <w:left w:val="nil"/>
              <w:bottom w:val="nil"/>
              <w:right w:val="nil"/>
            </w:tcBorders>
            <w:shd w:val="clear" w:color="auto" w:fill="auto"/>
            <w:noWrap/>
            <w:vAlign w:val="center"/>
            <w:hideMark/>
          </w:tcPr>
          <w:p w14:paraId="4AB5178F" w14:textId="77777777" w:rsidR="003569EA" w:rsidRPr="004A19F9" w:rsidRDefault="003569EA" w:rsidP="00FC2B68">
            <w:pPr>
              <w:spacing w:after="0" w:line="240" w:lineRule="auto"/>
              <w:jc w:val="right"/>
              <w:rPr>
                <w:sz w:val="18"/>
                <w:szCs w:val="18"/>
              </w:rPr>
            </w:pPr>
            <w:r w:rsidRPr="004A19F9">
              <w:rPr>
                <w:color w:val="000000"/>
                <w:sz w:val="18"/>
                <w:szCs w:val="18"/>
              </w:rPr>
              <w:t>-13,3%</w:t>
            </w:r>
          </w:p>
        </w:tc>
        <w:tc>
          <w:tcPr>
            <w:tcW w:w="652" w:type="pct"/>
            <w:tcBorders>
              <w:top w:val="nil"/>
              <w:left w:val="nil"/>
              <w:bottom w:val="nil"/>
              <w:right w:val="single" w:sz="4" w:space="0" w:color="auto"/>
            </w:tcBorders>
            <w:shd w:val="clear" w:color="auto" w:fill="auto"/>
            <w:noWrap/>
            <w:vAlign w:val="center"/>
            <w:hideMark/>
          </w:tcPr>
          <w:p w14:paraId="2055A364" w14:textId="77777777" w:rsidR="003569EA" w:rsidRPr="004A19F9" w:rsidRDefault="003569EA" w:rsidP="00FC2B68">
            <w:pPr>
              <w:spacing w:after="0" w:line="240" w:lineRule="auto"/>
              <w:jc w:val="right"/>
              <w:rPr>
                <w:sz w:val="18"/>
                <w:szCs w:val="18"/>
              </w:rPr>
            </w:pPr>
            <w:r w:rsidRPr="004A19F9">
              <w:rPr>
                <w:color w:val="000000"/>
                <w:sz w:val="18"/>
                <w:szCs w:val="18"/>
              </w:rPr>
              <w:t>-14 564 700</w:t>
            </w:r>
          </w:p>
        </w:tc>
        <w:tc>
          <w:tcPr>
            <w:tcW w:w="534" w:type="pct"/>
            <w:tcBorders>
              <w:top w:val="nil"/>
              <w:left w:val="single" w:sz="4" w:space="0" w:color="auto"/>
              <w:bottom w:val="nil"/>
              <w:right w:val="nil"/>
            </w:tcBorders>
            <w:shd w:val="clear" w:color="auto" w:fill="auto"/>
            <w:noWrap/>
            <w:vAlign w:val="center"/>
            <w:hideMark/>
          </w:tcPr>
          <w:p w14:paraId="1069F006" w14:textId="77777777" w:rsidR="003569EA" w:rsidRPr="004A19F9" w:rsidRDefault="003569EA" w:rsidP="00FC2B68">
            <w:pPr>
              <w:spacing w:after="0" w:line="240" w:lineRule="auto"/>
              <w:jc w:val="center"/>
              <w:rPr>
                <w:color w:val="000000"/>
                <w:sz w:val="18"/>
                <w:szCs w:val="20"/>
              </w:rPr>
            </w:pPr>
            <w:r w:rsidRPr="004A19F9">
              <w:rPr>
                <w:color w:val="000000"/>
                <w:sz w:val="18"/>
                <w:szCs w:val="20"/>
              </w:rPr>
              <w:t>6,1%</w:t>
            </w:r>
          </w:p>
        </w:tc>
        <w:tc>
          <w:tcPr>
            <w:tcW w:w="624" w:type="pct"/>
            <w:tcBorders>
              <w:top w:val="nil"/>
              <w:left w:val="nil"/>
              <w:bottom w:val="nil"/>
              <w:right w:val="nil"/>
            </w:tcBorders>
            <w:shd w:val="clear" w:color="auto" w:fill="auto"/>
            <w:noWrap/>
            <w:vAlign w:val="center"/>
            <w:hideMark/>
          </w:tcPr>
          <w:p w14:paraId="4B29CE9A" w14:textId="77777777" w:rsidR="003569EA" w:rsidRPr="004A19F9" w:rsidRDefault="003569EA" w:rsidP="00FC2B68">
            <w:pPr>
              <w:spacing w:after="0" w:line="240" w:lineRule="auto"/>
              <w:jc w:val="right"/>
              <w:rPr>
                <w:color w:val="000000"/>
                <w:sz w:val="18"/>
                <w:szCs w:val="20"/>
              </w:rPr>
            </w:pPr>
            <w:r w:rsidRPr="004A19F9">
              <w:rPr>
                <w:color w:val="000000"/>
                <w:sz w:val="18"/>
                <w:szCs w:val="20"/>
              </w:rPr>
              <w:t xml:space="preserve"> 5 708 034   </w:t>
            </w:r>
          </w:p>
        </w:tc>
      </w:tr>
      <w:tr w:rsidR="003569EA" w:rsidRPr="004A19F9" w14:paraId="40244329" w14:textId="77777777" w:rsidTr="00D35A0F">
        <w:trPr>
          <w:trHeight w:val="264"/>
        </w:trPr>
        <w:tc>
          <w:tcPr>
            <w:tcW w:w="1521" w:type="pct"/>
            <w:gridSpan w:val="2"/>
            <w:tcBorders>
              <w:top w:val="nil"/>
              <w:left w:val="nil"/>
              <w:bottom w:val="nil"/>
              <w:right w:val="nil"/>
            </w:tcBorders>
            <w:shd w:val="clear" w:color="auto" w:fill="auto"/>
            <w:noWrap/>
            <w:vAlign w:val="center"/>
            <w:hideMark/>
          </w:tcPr>
          <w:p w14:paraId="5E043690" w14:textId="77777777" w:rsidR="003569EA" w:rsidRPr="004A19F9" w:rsidRDefault="003569EA" w:rsidP="00FC2B68">
            <w:pPr>
              <w:spacing w:after="0" w:line="240" w:lineRule="auto"/>
              <w:rPr>
                <w:b/>
                <w:bCs/>
                <w:color w:val="000000"/>
                <w:sz w:val="18"/>
                <w:szCs w:val="18"/>
                <w:lang w:eastAsia="sk-SK"/>
              </w:rPr>
            </w:pPr>
            <w:r w:rsidRPr="004A19F9">
              <w:rPr>
                <w:b/>
                <w:bCs/>
                <w:color w:val="000000"/>
                <w:sz w:val="18"/>
                <w:szCs w:val="18"/>
                <w:lang w:eastAsia="sk-SK"/>
              </w:rPr>
              <w:t>PPP projekty</w:t>
            </w:r>
          </w:p>
        </w:tc>
        <w:tc>
          <w:tcPr>
            <w:tcW w:w="511" w:type="pct"/>
            <w:tcBorders>
              <w:top w:val="nil"/>
              <w:left w:val="nil"/>
              <w:bottom w:val="nil"/>
              <w:right w:val="nil"/>
            </w:tcBorders>
            <w:shd w:val="clear" w:color="auto" w:fill="auto"/>
            <w:noWrap/>
            <w:vAlign w:val="center"/>
          </w:tcPr>
          <w:p w14:paraId="62AE1943" w14:textId="77777777" w:rsidR="003569EA" w:rsidRPr="004A19F9" w:rsidRDefault="003569EA" w:rsidP="00FC2B68">
            <w:pPr>
              <w:spacing w:after="0" w:line="240" w:lineRule="auto"/>
              <w:jc w:val="right"/>
              <w:rPr>
                <w:b/>
                <w:bCs/>
                <w:color w:val="000000"/>
                <w:sz w:val="18"/>
                <w:szCs w:val="18"/>
              </w:rPr>
            </w:pPr>
            <w:r w:rsidRPr="004A19F9">
              <w:rPr>
                <w:b/>
                <w:bCs/>
                <w:color w:val="000000"/>
                <w:sz w:val="18"/>
                <w:szCs w:val="18"/>
              </w:rPr>
              <w:t>-2,5%</w:t>
            </w:r>
          </w:p>
        </w:tc>
        <w:tc>
          <w:tcPr>
            <w:tcW w:w="651" w:type="pct"/>
            <w:tcBorders>
              <w:top w:val="nil"/>
              <w:left w:val="nil"/>
              <w:bottom w:val="nil"/>
              <w:right w:val="nil"/>
            </w:tcBorders>
            <w:shd w:val="clear" w:color="auto" w:fill="auto"/>
            <w:noWrap/>
            <w:vAlign w:val="center"/>
          </w:tcPr>
          <w:p w14:paraId="4C0C0F35" w14:textId="77777777" w:rsidR="003569EA" w:rsidRPr="004A19F9" w:rsidRDefault="003569EA" w:rsidP="00FC2B68">
            <w:pPr>
              <w:spacing w:after="0" w:line="240" w:lineRule="auto"/>
              <w:jc w:val="right"/>
              <w:rPr>
                <w:b/>
                <w:bCs/>
                <w:color w:val="000000"/>
                <w:sz w:val="18"/>
                <w:szCs w:val="18"/>
              </w:rPr>
            </w:pPr>
            <w:r w:rsidRPr="004A19F9">
              <w:rPr>
                <w:b/>
                <w:bCs/>
                <w:color w:val="000000"/>
                <w:sz w:val="18"/>
                <w:szCs w:val="18"/>
              </w:rPr>
              <w:t xml:space="preserve">-3 033 398   </w:t>
            </w:r>
          </w:p>
        </w:tc>
        <w:tc>
          <w:tcPr>
            <w:tcW w:w="507" w:type="pct"/>
            <w:tcBorders>
              <w:top w:val="nil"/>
              <w:left w:val="nil"/>
              <w:bottom w:val="nil"/>
              <w:right w:val="nil"/>
            </w:tcBorders>
            <w:shd w:val="clear" w:color="auto" w:fill="auto"/>
            <w:noWrap/>
            <w:vAlign w:val="center"/>
            <w:hideMark/>
          </w:tcPr>
          <w:p w14:paraId="05B0455D" w14:textId="77777777" w:rsidR="003569EA" w:rsidRPr="004A19F9" w:rsidRDefault="003569EA" w:rsidP="00FC2B68">
            <w:pPr>
              <w:spacing w:after="0" w:line="240" w:lineRule="auto"/>
              <w:jc w:val="right"/>
              <w:rPr>
                <w:b/>
                <w:sz w:val="18"/>
                <w:szCs w:val="18"/>
              </w:rPr>
            </w:pPr>
            <w:r w:rsidRPr="004A19F9">
              <w:rPr>
                <w:b/>
                <w:bCs/>
                <w:color w:val="000000"/>
                <w:sz w:val="18"/>
                <w:szCs w:val="18"/>
              </w:rPr>
              <w:t>-3,4%</w:t>
            </w:r>
          </w:p>
        </w:tc>
        <w:tc>
          <w:tcPr>
            <w:tcW w:w="652" w:type="pct"/>
            <w:tcBorders>
              <w:top w:val="nil"/>
              <w:left w:val="nil"/>
              <w:bottom w:val="nil"/>
              <w:right w:val="single" w:sz="4" w:space="0" w:color="auto"/>
            </w:tcBorders>
            <w:shd w:val="clear" w:color="auto" w:fill="auto"/>
            <w:noWrap/>
            <w:vAlign w:val="center"/>
            <w:hideMark/>
          </w:tcPr>
          <w:p w14:paraId="5661C3D8" w14:textId="77777777" w:rsidR="003569EA" w:rsidRPr="004A19F9" w:rsidRDefault="003569EA" w:rsidP="00FC2B68">
            <w:pPr>
              <w:spacing w:after="0" w:line="240" w:lineRule="auto"/>
              <w:jc w:val="right"/>
              <w:rPr>
                <w:b/>
                <w:sz w:val="18"/>
                <w:szCs w:val="18"/>
              </w:rPr>
            </w:pPr>
            <w:r w:rsidRPr="004A19F9">
              <w:rPr>
                <w:b/>
                <w:bCs/>
                <w:color w:val="000000"/>
                <w:sz w:val="18"/>
                <w:szCs w:val="18"/>
              </w:rPr>
              <w:t>-3 718 145</w:t>
            </w:r>
          </w:p>
        </w:tc>
        <w:tc>
          <w:tcPr>
            <w:tcW w:w="534" w:type="pct"/>
            <w:tcBorders>
              <w:top w:val="nil"/>
              <w:left w:val="single" w:sz="4" w:space="0" w:color="auto"/>
              <w:bottom w:val="nil"/>
              <w:right w:val="nil"/>
            </w:tcBorders>
            <w:shd w:val="clear" w:color="auto" w:fill="auto"/>
            <w:noWrap/>
            <w:vAlign w:val="center"/>
            <w:hideMark/>
          </w:tcPr>
          <w:p w14:paraId="7FA3251C" w14:textId="77777777" w:rsidR="003569EA" w:rsidRPr="004A19F9" w:rsidRDefault="003569EA" w:rsidP="00FC2B68">
            <w:pPr>
              <w:spacing w:after="0" w:line="240" w:lineRule="auto"/>
              <w:jc w:val="center"/>
              <w:rPr>
                <w:b/>
                <w:bCs/>
                <w:color w:val="000000"/>
                <w:sz w:val="18"/>
                <w:szCs w:val="18"/>
              </w:rPr>
            </w:pPr>
            <w:r w:rsidRPr="004A19F9">
              <w:rPr>
                <w:b/>
                <w:bCs/>
                <w:color w:val="000000"/>
                <w:sz w:val="18"/>
                <w:szCs w:val="18"/>
              </w:rPr>
              <w:t>0,9%</w:t>
            </w:r>
          </w:p>
        </w:tc>
        <w:tc>
          <w:tcPr>
            <w:tcW w:w="624" w:type="pct"/>
            <w:tcBorders>
              <w:top w:val="nil"/>
              <w:left w:val="nil"/>
              <w:bottom w:val="nil"/>
              <w:right w:val="nil"/>
            </w:tcBorders>
            <w:shd w:val="clear" w:color="auto" w:fill="auto"/>
            <w:noWrap/>
            <w:vAlign w:val="center"/>
            <w:hideMark/>
          </w:tcPr>
          <w:p w14:paraId="30D395BD" w14:textId="77777777" w:rsidR="003569EA" w:rsidRPr="004A19F9" w:rsidRDefault="003569EA" w:rsidP="00FC2B68">
            <w:pPr>
              <w:spacing w:after="0" w:line="240" w:lineRule="auto"/>
              <w:jc w:val="right"/>
              <w:rPr>
                <w:b/>
                <w:bCs/>
                <w:color w:val="000000"/>
                <w:sz w:val="18"/>
                <w:szCs w:val="18"/>
              </w:rPr>
            </w:pPr>
            <w:r w:rsidRPr="004A19F9">
              <w:rPr>
                <w:b/>
                <w:bCs/>
                <w:color w:val="000000"/>
                <w:sz w:val="18"/>
                <w:szCs w:val="18"/>
              </w:rPr>
              <w:t xml:space="preserve"> 684 748   </w:t>
            </w:r>
          </w:p>
        </w:tc>
      </w:tr>
      <w:tr w:rsidR="003569EA" w:rsidRPr="004A19F9" w14:paraId="35AFA1D3" w14:textId="77777777" w:rsidTr="00D35A0F">
        <w:trPr>
          <w:trHeight w:val="264"/>
        </w:trPr>
        <w:tc>
          <w:tcPr>
            <w:tcW w:w="1521" w:type="pct"/>
            <w:gridSpan w:val="2"/>
            <w:tcBorders>
              <w:top w:val="nil"/>
              <w:left w:val="nil"/>
              <w:bottom w:val="nil"/>
              <w:right w:val="nil"/>
            </w:tcBorders>
            <w:shd w:val="clear" w:color="auto" w:fill="auto"/>
            <w:noWrap/>
            <w:vAlign w:val="center"/>
            <w:hideMark/>
          </w:tcPr>
          <w:p w14:paraId="4A314B05" w14:textId="77777777" w:rsidR="003569EA" w:rsidRPr="004A19F9" w:rsidRDefault="003569EA" w:rsidP="00FC2B68">
            <w:pPr>
              <w:spacing w:after="0" w:line="240" w:lineRule="auto"/>
              <w:rPr>
                <w:b/>
                <w:bCs/>
                <w:color w:val="000000"/>
                <w:sz w:val="18"/>
                <w:szCs w:val="18"/>
                <w:lang w:eastAsia="sk-SK"/>
              </w:rPr>
            </w:pPr>
            <w:r w:rsidRPr="004A19F9">
              <w:rPr>
                <w:b/>
                <w:bCs/>
                <w:color w:val="000000"/>
                <w:sz w:val="18"/>
                <w:szCs w:val="18"/>
                <w:lang w:eastAsia="sk-SK"/>
              </w:rPr>
              <w:t>Vplyv Národného jadrového fondu</w:t>
            </w:r>
          </w:p>
        </w:tc>
        <w:tc>
          <w:tcPr>
            <w:tcW w:w="511" w:type="pct"/>
            <w:tcBorders>
              <w:top w:val="nil"/>
              <w:left w:val="nil"/>
              <w:bottom w:val="nil"/>
              <w:right w:val="nil"/>
            </w:tcBorders>
            <w:shd w:val="clear" w:color="auto" w:fill="auto"/>
            <w:noWrap/>
            <w:vAlign w:val="center"/>
          </w:tcPr>
          <w:p w14:paraId="6017D176" w14:textId="77777777" w:rsidR="003569EA" w:rsidRPr="004A19F9" w:rsidRDefault="003569EA" w:rsidP="00FC2B68">
            <w:pPr>
              <w:spacing w:after="0" w:line="240" w:lineRule="auto"/>
              <w:jc w:val="right"/>
              <w:rPr>
                <w:b/>
                <w:bCs/>
                <w:color w:val="000000"/>
                <w:sz w:val="18"/>
                <w:szCs w:val="18"/>
              </w:rPr>
            </w:pPr>
            <w:r w:rsidRPr="004A19F9">
              <w:rPr>
                <w:b/>
                <w:bCs/>
                <w:color w:val="000000"/>
                <w:sz w:val="18"/>
                <w:szCs w:val="18"/>
              </w:rPr>
              <w:t>3,0%</w:t>
            </w:r>
          </w:p>
        </w:tc>
        <w:tc>
          <w:tcPr>
            <w:tcW w:w="651" w:type="pct"/>
            <w:tcBorders>
              <w:top w:val="nil"/>
              <w:left w:val="nil"/>
              <w:bottom w:val="nil"/>
              <w:right w:val="nil"/>
            </w:tcBorders>
            <w:shd w:val="clear" w:color="auto" w:fill="auto"/>
            <w:noWrap/>
            <w:vAlign w:val="center"/>
          </w:tcPr>
          <w:p w14:paraId="0CCB831F" w14:textId="77777777" w:rsidR="003569EA" w:rsidRPr="004A19F9" w:rsidRDefault="003569EA" w:rsidP="00FC2B68">
            <w:pPr>
              <w:spacing w:after="0" w:line="240" w:lineRule="auto"/>
              <w:jc w:val="right"/>
              <w:rPr>
                <w:b/>
                <w:bCs/>
                <w:color w:val="000000"/>
                <w:sz w:val="18"/>
                <w:szCs w:val="18"/>
              </w:rPr>
            </w:pPr>
            <w:r w:rsidRPr="004A19F9">
              <w:rPr>
                <w:b/>
                <w:bCs/>
                <w:color w:val="000000"/>
                <w:sz w:val="18"/>
                <w:szCs w:val="18"/>
              </w:rPr>
              <w:t xml:space="preserve"> 3 715 253   </w:t>
            </w:r>
          </w:p>
        </w:tc>
        <w:tc>
          <w:tcPr>
            <w:tcW w:w="507" w:type="pct"/>
            <w:tcBorders>
              <w:top w:val="nil"/>
              <w:left w:val="nil"/>
              <w:bottom w:val="nil"/>
              <w:right w:val="nil"/>
            </w:tcBorders>
            <w:shd w:val="clear" w:color="auto" w:fill="auto"/>
            <w:noWrap/>
            <w:vAlign w:val="center"/>
            <w:hideMark/>
          </w:tcPr>
          <w:p w14:paraId="7671FB46" w14:textId="77777777" w:rsidR="003569EA" w:rsidRPr="004A19F9" w:rsidRDefault="003569EA" w:rsidP="00FC2B68">
            <w:pPr>
              <w:spacing w:after="0" w:line="240" w:lineRule="auto"/>
              <w:jc w:val="right"/>
              <w:rPr>
                <w:b/>
                <w:sz w:val="18"/>
                <w:szCs w:val="18"/>
              </w:rPr>
            </w:pPr>
            <w:r w:rsidRPr="004A19F9">
              <w:rPr>
                <w:b/>
                <w:bCs/>
                <w:color w:val="000000"/>
                <w:sz w:val="18"/>
                <w:szCs w:val="18"/>
              </w:rPr>
              <w:t>4,3%</w:t>
            </w:r>
          </w:p>
        </w:tc>
        <w:tc>
          <w:tcPr>
            <w:tcW w:w="652" w:type="pct"/>
            <w:tcBorders>
              <w:top w:val="nil"/>
              <w:left w:val="nil"/>
              <w:bottom w:val="nil"/>
              <w:right w:val="single" w:sz="4" w:space="0" w:color="auto"/>
            </w:tcBorders>
            <w:shd w:val="clear" w:color="auto" w:fill="auto"/>
            <w:noWrap/>
            <w:vAlign w:val="center"/>
            <w:hideMark/>
          </w:tcPr>
          <w:p w14:paraId="0DC1A36B" w14:textId="77777777" w:rsidR="003569EA" w:rsidRPr="004A19F9" w:rsidRDefault="003569EA" w:rsidP="00FC2B68">
            <w:pPr>
              <w:spacing w:after="0" w:line="240" w:lineRule="auto"/>
              <w:jc w:val="right"/>
              <w:rPr>
                <w:b/>
                <w:sz w:val="18"/>
                <w:szCs w:val="18"/>
              </w:rPr>
            </w:pPr>
            <w:r w:rsidRPr="004A19F9">
              <w:rPr>
                <w:b/>
                <w:bCs/>
                <w:color w:val="000000"/>
                <w:sz w:val="18"/>
                <w:szCs w:val="18"/>
              </w:rPr>
              <w:t>4 734 861</w:t>
            </w:r>
          </w:p>
        </w:tc>
        <w:tc>
          <w:tcPr>
            <w:tcW w:w="534" w:type="pct"/>
            <w:tcBorders>
              <w:top w:val="nil"/>
              <w:left w:val="single" w:sz="4" w:space="0" w:color="auto"/>
              <w:bottom w:val="nil"/>
              <w:right w:val="nil"/>
            </w:tcBorders>
            <w:shd w:val="clear" w:color="auto" w:fill="auto"/>
            <w:noWrap/>
            <w:vAlign w:val="center"/>
            <w:hideMark/>
          </w:tcPr>
          <w:p w14:paraId="58A7046E" w14:textId="77777777" w:rsidR="003569EA" w:rsidRPr="004A19F9" w:rsidRDefault="003569EA" w:rsidP="00FC2B68">
            <w:pPr>
              <w:spacing w:after="0" w:line="240" w:lineRule="auto"/>
              <w:jc w:val="center"/>
              <w:rPr>
                <w:b/>
                <w:bCs/>
                <w:color w:val="000000"/>
                <w:sz w:val="18"/>
                <w:szCs w:val="18"/>
              </w:rPr>
            </w:pPr>
            <w:r w:rsidRPr="004A19F9">
              <w:rPr>
                <w:b/>
                <w:bCs/>
                <w:color w:val="000000"/>
                <w:sz w:val="18"/>
                <w:szCs w:val="18"/>
              </w:rPr>
              <w:t>-1,3%</w:t>
            </w:r>
          </w:p>
        </w:tc>
        <w:tc>
          <w:tcPr>
            <w:tcW w:w="624" w:type="pct"/>
            <w:tcBorders>
              <w:top w:val="nil"/>
              <w:left w:val="nil"/>
              <w:bottom w:val="nil"/>
              <w:right w:val="nil"/>
            </w:tcBorders>
            <w:shd w:val="clear" w:color="auto" w:fill="auto"/>
            <w:noWrap/>
            <w:vAlign w:val="center"/>
            <w:hideMark/>
          </w:tcPr>
          <w:p w14:paraId="1A61D185" w14:textId="77777777" w:rsidR="003569EA" w:rsidRPr="004A19F9" w:rsidRDefault="003569EA" w:rsidP="00FC2B68">
            <w:pPr>
              <w:spacing w:after="0" w:line="240" w:lineRule="auto"/>
              <w:jc w:val="right"/>
              <w:rPr>
                <w:b/>
                <w:bCs/>
                <w:color w:val="000000"/>
                <w:sz w:val="18"/>
                <w:szCs w:val="18"/>
              </w:rPr>
            </w:pPr>
            <w:r w:rsidRPr="004A19F9">
              <w:rPr>
                <w:b/>
                <w:bCs/>
                <w:color w:val="000000"/>
                <w:sz w:val="18"/>
                <w:szCs w:val="18"/>
              </w:rPr>
              <w:t xml:space="preserve">-1 019 608   </w:t>
            </w:r>
          </w:p>
        </w:tc>
      </w:tr>
      <w:tr w:rsidR="003569EA" w:rsidRPr="004A19F9" w14:paraId="37B0BA9D" w14:textId="77777777" w:rsidTr="00D35A0F">
        <w:trPr>
          <w:trHeight w:val="264"/>
        </w:trPr>
        <w:tc>
          <w:tcPr>
            <w:tcW w:w="1521" w:type="pct"/>
            <w:gridSpan w:val="2"/>
            <w:tcBorders>
              <w:top w:val="nil"/>
              <w:left w:val="nil"/>
              <w:bottom w:val="nil"/>
              <w:right w:val="nil"/>
            </w:tcBorders>
            <w:shd w:val="clear" w:color="auto" w:fill="auto"/>
            <w:noWrap/>
            <w:vAlign w:val="center"/>
          </w:tcPr>
          <w:p w14:paraId="2DDFF292" w14:textId="77777777" w:rsidR="003569EA" w:rsidRPr="004A19F9" w:rsidRDefault="003569EA" w:rsidP="00FC2B68">
            <w:pPr>
              <w:spacing w:after="0" w:line="240" w:lineRule="auto"/>
              <w:rPr>
                <w:b/>
                <w:bCs/>
                <w:color w:val="000000"/>
                <w:sz w:val="18"/>
                <w:szCs w:val="18"/>
                <w:lang w:eastAsia="sk-SK"/>
              </w:rPr>
            </w:pPr>
            <w:r w:rsidRPr="004A19F9">
              <w:rPr>
                <w:b/>
                <w:bCs/>
                <w:color w:val="000000"/>
                <w:sz w:val="18"/>
                <w:szCs w:val="18"/>
                <w:lang w:eastAsia="sk-SK"/>
              </w:rPr>
              <w:t>Vplyv NGEU</w:t>
            </w:r>
          </w:p>
        </w:tc>
        <w:tc>
          <w:tcPr>
            <w:tcW w:w="511" w:type="pct"/>
            <w:tcBorders>
              <w:top w:val="nil"/>
              <w:left w:val="nil"/>
              <w:bottom w:val="nil"/>
              <w:right w:val="nil"/>
            </w:tcBorders>
            <w:shd w:val="clear" w:color="auto" w:fill="auto"/>
            <w:noWrap/>
            <w:vAlign w:val="center"/>
          </w:tcPr>
          <w:p w14:paraId="0369997E" w14:textId="77777777" w:rsidR="003569EA" w:rsidRPr="004A19F9" w:rsidRDefault="003569EA" w:rsidP="00FC2B68">
            <w:pPr>
              <w:spacing w:after="0" w:line="240" w:lineRule="auto"/>
              <w:jc w:val="right"/>
              <w:rPr>
                <w:b/>
                <w:bCs/>
                <w:color w:val="000000"/>
                <w:sz w:val="18"/>
                <w:szCs w:val="18"/>
              </w:rPr>
            </w:pPr>
            <w:r w:rsidRPr="004A19F9">
              <w:rPr>
                <w:b/>
                <w:bCs/>
                <w:color w:val="000000"/>
                <w:sz w:val="18"/>
                <w:szCs w:val="18"/>
              </w:rPr>
              <w:t>-3,6%</w:t>
            </w:r>
          </w:p>
        </w:tc>
        <w:tc>
          <w:tcPr>
            <w:tcW w:w="651" w:type="pct"/>
            <w:tcBorders>
              <w:top w:val="nil"/>
              <w:left w:val="nil"/>
              <w:bottom w:val="nil"/>
              <w:right w:val="nil"/>
            </w:tcBorders>
            <w:shd w:val="clear" w:color="auto" w:fill="auto"/>
            <w:noWrap/>
            <w:vAlign w:val="center"/>
          </w:tcPr>
          <w:p w14:paraId="05323112" w14:textId="77777777" w:rsidR="003569EA" w:rsidRPr="004A19F9" w:rsidRDefault="003569EA" w:rsidP="00FC2B68">
            <w:pPr>
              <w:spacing w:after="0" w:line="240" w:lineRule="auto"/>
              <w:jc w:val="right"/>
              <w:rPr>
                <w:b/>
                <w:bCs/>
                <w:color w:val="000000"/>
                <w:sz w:val="18"/>
                <w:szCs w:val="18"/>
              </w:rPr>
            </w:pPr>
            <w:r w:rsidRPr="004A19F9">
              <w:rPr>
                <w:b/>
                <w:bCs/>
                <w:color w:val="000000"/>
                <w:sz w:val="18"/>
                <w:szCs w:val="18"/>
              </w:rPr>
              <w:t xml:space="preserve">-4 405 875   </w:t>
            </w:r>
          </w:p>
        </w:tc>
        <w:tc>
          <w:tcPr>
            <w:tcW w:w="507" w:type="pct"/>
            <w:tcBorders>
              <w:top w:val="nil"/>
              <w:left w:val="nil"/>
              <w:bottom w:val="nil"/>
              <w:right w:val="nil"/>
            </w:tcBorders>
            <w:shd w:val="clear" w:color="auto" w:fill="auto"/>
            <w:noWrap/>
            <w:vAlign w:val="center"/>
          </w:tcPr>
          <w:p w14:paraId="71913F27" w14:textId="77777777" w:rsidR="003569EA" w:rsidRPr="004A19F9" w:rsidRDefault="003569EA" w:rsidP="00FC2B68">
            <w:pPr>
              <w:spacing w:after="0" w:line="240" w:lineRule="auto"/>
              <w:jc w:val="right"/>
              <w:rPr>
                <w:b/>
                <w:sz w:val="18"/>
                <w:szCs w:val="18"/>
              </w:rPr>
            </w:pPr>
            <w:r w:rsidRPr="004A19F9">
              <w:rPr>
                <w:b/>
                <w:bCs/>
                <w:color w:val="000000"/>
                <w:sz w:val="18"/>
                <w:szCs w:val="18"/>
              </w:rPr>
              <w:t>-3,5%</w:t>
            </w:r>
          </w:p>
        </w:tc>
        <w:tc>
          <w:tcPr>
            <w:tcW w:w="652" w:type="pct"/>
            <w:tcBorders>
              <w:top w:val="nil"/>
              <w:left w:val="nil"/>
              <w:bottom w:val="nil"/>
              <w:right w:val="single" w:sz="4" w:space="0" w:color="auto"/>
            </w:tcBorders>
            <w:shd w:val="clear" w:color="auto" w:fill="auto"/>
            <w:noWrap/>
            <w:vAlign w:val="center"/>
          </w:tcPr>
          <w:p w14:paraId="6C309D2C" w14:textId="77777777" w:rsidR="003569EA" w:rsidRPr="004A19F9" w:rsidRDefault="003569EA" w:rsidP="00FC2B68">
            <w:pPr>
              <w:spacing w:after="0" w:line="240" w:lineRule="auto"/>
              <w:jc w:val="right"/>
              <w:rPr>
                <w:b/>
                <w:sz w:val="18"/>
                <w:szCs w:val="18"/>
              </w:rPr>
            </w:pPr>
            <w:r w:rsidRPr="004A19F9">
              <w:rPr>
                <w:b/>
                <w:bCs/>
                <w:color w:val="000000"/>
                <w:sz w:val="18"/>
                <w:szCs w:val="18"/>
              </w:rPr>
              <w:t>-3 820 255</w:t>
            </w:r>
          </w:p>
        </w:tc>
        <w:tc>
          <w:tcPr>
            <w:tcW w:w="534" w:type="pct"/>
            <w:tcBorders>
              <w:top w:val="nil"/>
              <w:left w:val="single" w:sz="4" w:space="0" w:color="auto"/>
              <w:bottom w:val="nil"/>
              <w:right w:val="nil"/>
            </w:tcBorders>
            <w:shd w:val="clear" w:color="auto" w:fill="auto"/>
            <w:noWrap/>
            <w:vAlign w:val="center"/>
          </w:tcPr>
          <w:p w14:paraId="200A914E" w14:textId="77777777" w:rsidR="003569EA" w:rsidRPr="004A19F9" w:rsidRDefault="003569EA" w:rsidP="00FC2B68">
            <w:pPr>
              <w:spacing w:after="0" w:line="240" w:lineRule="auto"/>
              <w:jc w:val="center"/>
              <w:rPr>
                <w:b/>
                <w:bCs/>
                <w:color w:val="000000"/>
                <w:sz w:val="18"/>
                <w:szCs w:val="18"/>
              </w:rPr>
            </w:pPr>
            <w:r w:rsidRPr="004A19F9">
              <w:rPr>
                <w:b/>
                <w:bCs/>
                <w:color w:val="000000"/>
                <w:sz w:val="18"/>
                <w:szCs w:val="18"/>
              </w:rPr>
              <w:t>-0,1%</w:t>
            </w:r>
          </w:p>
        </w:tc>
        <w:tc>
          <w:tcPr>
            <w:tcW w:w="624" w:type="pct"/>
            <w:tcBorders>
              <w:top w:val="nil"/>
              <w:left w:val="nil"/>
              <w:bottom w:val="nil"/>
              <w:right w:val="nil"/>
            </w:tcBorders>
            <w:shd w:val="clear" w:color="auto" w:fill="auto"/>
            <w:noWrap/>
            <w:vAlign w:val="center"/>
          </w:tcPr>
          <w:p w14:paraId="50751B9A" w14:textId="77777777" w:rsidR="003569EA" w:rsidRPr="004A19F9" w:rsidRDefault="003569EA" w:rsidP="00FC2B68">
            <w:pPr>
              <w:spacing w:after="0" w:line="240" w:lineRule="auto"/>
              <w:jc w:val="right"/>
              <w:rPr>
                <w:b/>
                <w:bCs/>
                <w:color w:val="000000"/>
                <w:sz w:val="18"/>
                <w:szCs w:val="18"/>
              </w:rPr>
            </w:pPr>
            <w:r w:rsidRPr="004A19F9">
              <w:rPr>
                <w:b/>
                <w:bCs/>
                <w:color w:val="000000"/>
                <w:sz w:val="18"/>
                <w:szCs w:val="18"/>
              </w:rPr>
              <w:t xml:space="preserve">-585 620   </w:t>
            </w:r>
          </w:p>
        </w:tc>
      </w:tr>
      <w:tr w:rsidR="003569EA" w:rsidRPr="003569EA" w14:paraId="49D60EB2" w14:textId="77777777" w:rsidTr="00D35A0F">
        <w:trPr>
          <w:trHeight w:val="275"/>
        </w:trPr>
        <w:tc>
          <w:tcPr>
            <w:tcW w:w="1521" w:type="pct"/>
            <w:gridSpan w:val="2"/>
            <w:tcBorders>
              <w:top w:val="single" w:sz="4" w:space="0" w:color="auto"/>
              <w:left w:val="nil"/>
              <w:bottom w:val="single" w:sz="8" w:space="0" w:color="auto"/>
              <w:right w:val="nil"/>
            </w:tcBorders>
            <w:shd w:val="clear" w:color="auto" w:fill="auto"/>
            <w:noWrap/>
            <w:vAlign w:val="center"/>
            <w:hideMark/>
          </w:tcPr>
          <w:p w14:paraId="11F3E072" w14:textId="77777777" w:rsidR="003569EA" w:rsidRPr="003569EA" w:rsidRDefault="003569EA" w:rsidP="00FC2B68">
            <w:pPr>
              <w:spacing w:after="0" w:line="240" w:lineRule="auto"/>
              <w:rPr>
                <w:b/>
                <w:bCs/>
                <w:color w:val="000000"/>
                <w:sz w:val="18"/>
                <w:szCs w:val="18"/>
                <w:lang w:eastAsia="sk-SK"/>
              </w:rPr>
            </w:pPr>
            <w:r w:rsidRPr="003569EA">
              <w:rPr>
                <w:b/>
                <w:bCs/>
                <w:color w:val="000000"/>
                <w:sz w:val="18"/>
                <w:szCs w:val="18"/>
                <w:lang w:eastAsia="sk-SK"/>
              </w:rPr>
              <w:t>Implicitné záväzky spolu</w:t>
            </w:r>
          </w:p>
        </w:tc>
        <w:tc>
          <w:tcPr>
            <w:tcW w:w="511" w:type="pct"/>
            <w:tcBorders>
              <w:top w:val="single" w:sz="4" w:space="0" w:color="auto"/>
              <w:left w:val="nil"/>
              <w:bottom w:val="single" w:sz="8" w:space="0" w:color="auto"/>
              <w:right w:val="nil"/>
            </w:tcBorders>
            <w:shd w:val="clear" w:color="auto" w:fill="auto"/>
            <w:noWrap/>
            <w:vAlign w:val="center"/>
          </w:tcPr>
          <w:p w14:paraId="53F62CDC" w14:textId="77777777" w:rsidR="003569EA" w:rsidRPr="003569EA" w:rsidRDefault="003569EA" w:rsidP="00FC2B68">
            <w:pPr>
              <w:spacing w:after="0" w:line="240" w:lineRule="auto"/>
              <w:jc w:val="right"/>
              <w:rPr>
                <w:b/>
                <w:bCs/>
                <w:color w:val="000000"/>
                <w:sz w:val="18"/>
                <w:szCs w:val="18"/>
              </w:rPr>
            </w:pPr>
            <w:r w:rsidRPr="003569EA">
              <w:rPr>
                <w:b/>
                <w:bCs/>
                <w:color w:val="000000"/>
                <w:sz w:val="18"/>
                <w:szCs w:val="18"/>
              </w:rPr>
              <w:t>-162,0%</w:t>
            </w:r>
          </w:p>
        </w:tc>
        <w:tc>
          <w:tcPr>
            <w:tcW w:w="651" w:type="pct"/>
            <w:tcBorders>
              <w:top w:val="single" w:sz="4" w:space="0" w:color="auto"/>
              <w:left w:val="nil"/>
              <w:bottom w:val="single" w:sz="8" w:space="0" w:color="auto"/>
              <w:right w:val="nil"/>
            </w:tcBorders>
            <w:shd w:val="clear" w:color="auto" w:fill="auto"/>
            <w:noWrap/>
            <w:vAlign w:val="center"/>
          </w:tcPr>
          <w:p w14:paraId="2623DDA6" w14:textId="77777777" w:rsidR="003569EA" w:rsidRPr="003569EA" w:rsidRDefault="003569EA" w:rsidP="00FC2B68">
            <w:pPr>
              <w:spacing w:after="0" w:line="240" w:lineRule="auto"/>
              <w:jc w:val="right"/>
              <w:rPr>
                <w:b/>
                <w:bCs/>
                <w:color w:val="000000"/>
                <w:sz w:val="18"/>
                <w:szCs w:val="18"/>
              </w:rPr>
            </w:pPr>
            <w:r w:rsidRPr="003569EA">
              <w:rPr>
                <w:b/>
                <w:bCs/>
                <w:color w:val="000000"/>
                <w:sz w:val="18"/>
                <w:szCs w:val="18"/>
              </w:rPr>
              <w:t xml:space="preserve">-198 900 935   </w:t>
            </w:r>
          </w:p>
        </w:tc>
        <w:tc>
          <w:tcPr>
            <w:tcW w:w="507" w:type="pct"/>
            <w:tcBorders>
              <w:top w:val="single" w:sz="4" w:space="0" w:color="auto"/>
              <w:left w:val="nil"/>
              <w:bottom w:val="single" w:sz="8" w:space="0" w:color="auto"/>
              <w:right w:val="nil"/>
            </w:tcBorders>
            <w:shd w:val="clear" w:color="auto" w:fill="auto"/>
            <w:noWrap/>
            <w:vAlign w:val="center"/>
            <w:hideMark/>
          </w:tcPr>
          <w:p w14:paraId="48FAE818" w14:textId="77777777" w:rsidR="003569EA" w:rsidRPr="003569EA" w:rsidRDefault="003569EA" w:rsidP="00FC2B68">
            <w:pPr>
              <w:spacing w:after="0" w:line="240" w:lineRule="auto"/>
              <w:jc w:val="right"/>
              <w:rPr>
                <w:b/>
                <w:sz w:val="18"/>
                <w:szCs w:val="18"/>
              </w:rPr>
            </w:pPr>
            <w:r w:rsidRPr="003569EA">
              <w:rPr>
                <w:b/>
                <w:bCs/>
                <w:color w:val="000000"/>
                <w:sz w:val="18"/>
                <w:szCs w:val="18"/>
              </w:rPr>
              <w:t>-366,0%</w:t>
            </w:r>
          </w:p>
        </w:tc>
        <w:tc>
          <w:tcPr>
            <w:tcW w:w="652" w:type="pct"/>
            <w:tcBorders>
              <w:top w:val="single" w:sz="4" w:space="0" w:color="auto"/>
              <w:left w:val="nil"/>
              <w:bottom w:val="single" w:sz="8" w:space="0" w:color="auto"/>
              <w:right w:val="single" w:sz="4" w:space="0" w:color="auto"/>
            </w:tcBorders>
            <w:shd w:val="clear" w:color="auto" w:fill="auto"/>
            <w:noWrap/>
            <w:vAlign w:val="center"/>
            <w:hideMark/>
          </w:tcPr>
          <w:p w14:paraId="5CA6C2CC" w14:textId="77777777" w:rsidR="003569EA" w:rsidRPr="003569EA" w:rsidRDefault="003569EA" w:rsidP="00FC2B68">
            <w:pPr>
              <w:spacing w:after="0" w:line="240" w:lineRule="auto"/>
              <w:jc w:val="right"/>
              <w:rPr>
                <w:b/>
                <w:sz w:val="18"/>
                <w:szCs w:val="18"/>
              </w:rPr>
            </w:pPr>
            <w:r w:rsidRPr="003569EA">
              <w:rPr>
                <w:b/>
                <w:bCs/>
                <w:color w:val="000000"/>
                <w:sz w:val="18"/>
                <w:szCs w:val="18"/>
              </w:rPr>
              <w:t>-401 359 121</w:t>
            </w:r>
          </w:p>
        </w:tc>
        <w:tc>
          <w:tcPr>
            <w:tcW w:w="534" w:type="pct"/>
            <w:tcBorders>
              <w:top w:val="single" w:sz="4" w:space="0" w:color="auto"/>
              <w:left w:val="single" w:sz="4" w:space="0" w:color="auto"/>
              <w:bottom w:val="single" w:sz="8" w:space="0" w:color="auto"/>
              <w:right w:val="nil"/>
            </w:tcBorders>
            <w:shd w:val="clear" w:color="auto" w:fill="auto"/>
            <w:noWrap/>
            <w:vAlign w:val="center"/>
            <w:hideMark/>
          </w:tcPr>
          <w:p w14:paraId="048C0366" w14:textId="77777777" w:rsidR="003569EA" w:rsidRPr="003569EA" w:rsidRDefault="003569EA" w:rsidP="00FC2B68">
            <w:pPr>
              <w:spacing w:after="0" w:line="240" w:lineRule="auto"/>
              <w:jc w:val="center"/>
              <w:rPr>
                <w:b/>
                <w:bCs/>
                <w:color w:val="000000"/>
                <w:sz w:val="18"/>
                <w:szCs w:val="18"/>
              </w:rPr>
            </w:pPr>
            <w:r w:rsidRPr="003569EA">
              <w:rPr>
                <w:b/>
                <w:bCs/>
                <w:color w:val="000000"/>
                <w:sz w:val="18"/>
                <w:szCs w:val="18"/>
              </w:rPr>
              <w:t>204,1%</w:t>
            </w:r>
          </w:p>
        </w:tc>
        <w:tc>
          <w:tcPr>
            <w:tcW w:w="624" w:type="pct"/>
            <w:tcBorders>
              <w:top w:val="single" w:sz="4" w:space="0" w:color="auto"/>
              <w:left w:val="nil"/>
              <w:bottom w:val="single" w:sz="8" w:space="0" w:color="auto"/>
              <w:right w:val="nil"/>
            </w:tcBorders>
            <w:shd w:val="clear" w:color="auto" w:fill="auto"/>
            <w:noWrap/>
            <w:vAlign w:val="center"/>
            <w:hideMark/>
          </w:tcPr>
          <w:p w14:paraId="0A6B1A21" w14:textId="77777777" w:rsidR="003569EA" w:rsidRPr="003569EA" w:rsidRDefault="003569EA" w:rsidP="00FC2B68">
            <w:pPr>
              <w:spacing w:after="0" w:line="240" w:lineRule="auto"/>
              <w:jc w:val="right"/>
              <w:rPr>
                <w:b/>
                <w:bCs/>
                <w:color w:val="000000"/>
                <w:sz w:val="18"/>
                <w:szCs w:val="18"/>
              </w:rPr>
            </w:pPr>
            <w:r w:rsidRPr="003569EA">
              <w:rPr>
                <w:b/>
                <w:bCs/>
                <w:color w:val="000000"/>
                <w:sz w:val="18"/>
                <w:szCs w:val="18"/>
              </w:rPr>
              <w:t xml:space="preserve"> 202 458 186   </w:t>
            </w:r>
          </w:p>
        </w:tc>
      </w:tr>
    </w:tbl>
    <w:p w14:paraId="0A750B70" w14:textId="52FA7C9C" w:rsidR="00DD0DA5" w:rsidRPr="003569EA" w:rsidRDefault="000B1F5C" w:rsidP="000B1F5C">
      <w:pPr>
        <w:spacing w:after="120" w:line="240" w:lineRule="auto"/>
        <w:jc w:val="center"/>
        <w:rPr>
          <w:i/>
          <w:sz w:val="16"/>
          <w:szCs w:val="16"/>
        </w:rPr>
      </w:pPr>
      <w:r w:rsidRPr="003569EA">
        <w:rPr>
          <w:i/>
          <w:sz w:val="16"/>
          <w:szCs w:val="16"/>
        </w:rPr>
        <w:t xml:space="preserve">                                                                                                                               </w:t>
      </w:r>
      <w:r w:rsidRPr="003569EA">
        <w:rPr>
          <w:i/>
          <w:sz w:val="16"/>
          <w:szCs w:val="16"/>
        </w:rPr>
        <w:tab/>
      </w:r>
      <w:r w:rsidRPr="003569EA">
        <w:rPr>
          <w:i/>
          <w:sz w:val="16"/>
          <w:szCs w:val="16"/>
        </w:rPr>
        <w:tab/>
      </w:r>
      <w:r w:rsidRPr="003569EA">
        <w:rPr>
          <w:i/>
          <w:sz w:val="16"/>
          <w:szCs w:val="16"/>
        </w:rPr>
        <w:tab/>
      </w:r>
      <w:r w:rsidRPr="003569EA">
        <w:rPr>
          <w:i/>
          <w:sz w:val="16"/>
          <w:szCs w:val="16"/>
        </w:rPr>
        <w:tab/>
      </w:r>
      <w:r w:rsidR="008A488A" w:rsidRPr="003569EA">
        <w:rPr>
          <w:i/>
          <w:sz w:val="16"/>
          <w:szCs w:val="16"/>
        </w:rPr>
        <w:t xml:space="preserve">    </w:t>
      </w:r>
      <w:r w:rsidR="003569EA" w:rsidRPr="003569EA">
        <w:rPr>
          <w:i/>
          <w:sz w:val="16"/>
          <w:szCs w:val="16"/>
        </w:rPr>
        <w:t xml:space="preserve">        </w:t>
      </w:r>
      <w:r w:rsidR="008A488A" w:rsidRPr="003569EA">
        <w:rPr>
          <w:i/>
          <w:sz w:val="16"/>
          <w:szCs w:val="16"/>
        </w:rPr>
        <w:t xml:space="preserve">   </w:t>
      </w:r>
      <w:r w:rsidR="00DD0DA5" w:rsidRPr="003569EA">
        <w:rPr>
          <w:i/>
          <w:sz w:val="16"/>
          <w:szCs w:val="16"/>
        </w:rPr>
        <w:t>Zdroj: MF SR</w:t>
      </w:r>
    </w:p>
    <w:p w14:paraId="48B8B033" w14:textId="7BC2AE9B" w:rsidR="00DD0DA5" w:rsidRDefault="00AA15A2" w:rsidP="00DD0DA5">
      <w:pPr>
        <w:spacing w:after="120" w:line="240" w:lineRule="auto"/>
        <w:jc w:val="both"/>
        <w:rPr>
          <w:rFonts w:eastAsia="Calibri"/>
          <w:szCs w:val="22"/>
        </w:rPr>
      </w:pPr>
      <w:r w:rsidRPr="009A2C72">
        <w:rPr>
          <w:rFonts w:eastAsia="Calibri"/>
          <w:b/>
          <w:bCs/>
          <w:szCs w:val="22"/>
        </w:rPr>
        <w:t>Vláda v závere roka 2023 predstavila nové opatrenia v dôchodkovom systéme, ktorých súhrnný vplyv na implicitné záväzky do roku 2066 je približne neutrálny.</w:t>
      </w:r>
      <w:r w:rsidRPr="009A2C72">
        <w:rPr>
          <w:rFonts w:eastAsia="Calibri"/>
          <w:szCs w:val="22"/>
        </w:rPr>
        <w:t xml:space="preserve"> </w:t>
      </w:r>
      <w:r>
        <w:rPr>
          <w:rFonts w:eastAsia="Calibri"/>
          <w:szCs w:val="22"/>
        </w:rPr>
        <w:t>Transformácia 13. dôchodku zo </w:t>
      </w:r>
      <w:r w:rsidRPr="009A2C72">
        <w:rPr>
          <w:rFonts w:eastAsia="Calibri"/>
          <w:szCs w:val="22"/>
        </w:rPr>
        <w:t>štátnej sociálnej dávky na dôchodkovú dávku vo výške priemerného dôchodku poberateľa zakladá na</w:t>
      </w:r>
      <w:r w:rsidR="00645EDA">
        <w:rPr>
          <w:rFonts w:eastAsia="Calibri"/>
          <w:szCs w:val="22"/>
        </w:rPr>
        <w:t> </w:t>
      </w:r>
      <w:r w:rsidRPr="009A2C72">
        <w:rPr>
          <w:rFonts w:eastAsia="Calibri"/>
          <w:szCs w:val="22"/>
        </w:rPr>
        <w:t xml:space="preserve">dodatočné trvalé výdavky penzijného systému a zhoršuje </w:t>
      </w:r>
      <w:r>
        <w:rPr>
          <w:rFonts w:eastAsia="Calibri"/>
          <w:szCs w:val="22"/>
        </w:rPr>
        <w:t>implicitné záväzky približne o </w:t>
      </w:r>
      <w:r w:rsidRPr="009A2C72">
        <w:rPr>
          <w:rFonts w:eastAsia="Calibri"/>
          <w:szCs w:val="22"/>
        </w:rPr>
        <w:t>22</w:t>
      </w:r>
      <w:r>
        <w:rPr>
          <w:rFonts w:eastAsia="Calibri"/>
          <w:szCs w:val="22"/>
        </w:rPr>
        <w:t> </w:t>
      </w:r>
      <w:r w:rsidRPr="009A2C72">
        <w:rPr>
          <w:rFonts w:eastAsia="Calibri"/>
          <w:szCs w:val="22"/>
        </w:rPr>
        <w:t>p.</w:t>
      </w:r>
      <w:r>
        <w:rPr>
          <w:rFonts w:eastAsia="Calibri"/>
          <w:szCs w:val="22"/>
        </w:rPr>
        <w:t> </w:t>
      </w:r>
      <w:r w:rsidRPr="009A2C72">
        <w:rPr>
          <w:rFonts w:eastAsia="Calibri"/>
          <w:szCs w:val="22"/>
        </w:rPr>
        <w:t>b. Negatí</w:t>
      </w:r>
      <w:r>
        <w:rPr>
          <w:rFonts w:eastAsia="Calibri"/>
          <w:szCs w:val="22"/>
        </w:rPr>
        <w:t>vny vplyv nového 13. </w:t>
      </w:r>
      <w:r w:rsidRPr="009A2C72">
        <w:rPr>
          <w:rFonts w:eastAsia="Calibri"/>
          <w:szCs w:val="22"/>
        </w:rPr>
        <w:t>dôchodku na implicitné záväzky je kompenzovaný zn</w:t>
      </w:r>
      <w:r>
        <w:rPr>
          <w:rFonts w:eastAsia="Calibri"/>
          <w:szCs w:val="22"/>
        </w:rPr>
        <w:t>ížením sadzby príspevkov do</w:t>
      </w:r>
      <w:r w:rsidR="00645EDA">
        <w:rPr>
          <w:rFonts w:eastAsia="Calibri"/>
          <w:szCs w:val="22"/>
        </w:rPr>
        <w:t> </w:t>
      </w:r>
      <w:r>
        <w:rPr>
          <w:rFonts w:eastAsia="Calibri"/>
          <w:szCs w:val="22"/>
        </w:rPr>
        <w:t>II. </w:t>
      </w:r>
      <w:r w:rsidRPr="009A2C72">
        <w:rPr>
          <w:rFonts w:eastAsia="Calibri"/>
          <w:szCs w:val="22"/>
        </w:rPr>
        <w:t>piliera na 4</w:t>
      </w:r>
      <w:r w:rsidR="00FD250C">
        <w:rPr>
          <w:rFonts w:eastAsia="Calibri"/>
          <w:szCs w:val="22"/>
        </w:rPr>
        <w:t>,0</w:t>
      </w:r>
      <w:r>
        <w:rPr>
          <w:rFonts w:eastAsia="Calibri"/>
          <w:szCs w:val="22"/>
        </w:rPr>
        <w:t> </w:t>
      </w:r>
      <w:r w:rsidRPr="009A2C72">
        <w:rPr>
          <w:rFonts w:eastAsia="Calibri"/>
          <w:szCs w:val="22"/>
        </w:rPr>
        <w:t>%. Podobne ako v prípade reformy II.</w:t>
      </w:r>
      <w:r>
        <w:rPr>
          <w:rFonts w:eastAsia="Calibri"/>
          <w:szCs w:val="22"/>
        </w:rPr>
        <w:t> </w:t>
      </w:r>
      <w:r w:rsidRPr="009A2C72">
        <w:rPr>
          <w:rFonts w:eastAsia="Calibri"/>
          <w:szCs w:val="22"/>
        </w:rPr>
        <w:t>piliera je však po</w:t>
      </w:r>
      <w:r>
        <w:rPr>
          <w:rFonts w:eastAsia="Calibri"/>
          <w:szCs w:val="22"/>
        </w:rPr>
        <w:t>zitívny vplyv tohto opatrenia z </w:t>
      </w:r>
      <w:r w:rsidRPr="009A2C72">
        <w:rPr>
          <w:rFonts w:eastAsia="Calibri"/>
          <w:szCs w:val="22"/>
        </w:rPr>
        <w:t>veľkej časti dôsledkom toho, že dodatočné náklady na v</w:t>
      </w:r>
      <w:r>
        <w:rPr>
          <w:rFonts w:eastAsia="Calibri"/>
          <w:szCs w:val="22"/>
        </w:rPr>
        <w:t>ýplatu dôchodkov z I. </w:t>
      </w:r>
      <w:r w:rsidRPr="009A2C72">
        <w:rPr>
          <w:rFonts w:eastAsia="Calibri"/>
          <w:szCs w:val="22"/>
        </w:rPr>
        <w:t>pi</w:t>
      </w:r>
      <w:r>
        <w:rPr>
          <w:rFonts w:eastAsia="Calibri"/>
          <w:szCs w:val="22"/>
        </w:rPr>
        <w:t>liera sa začnú prejavovať až po </w:t>
      </w:r>
      <w:r w:rsidRPr="009A2C72">
        <w:rPr>
          <w:rFonts w:eastAsia="Calibri"/>
          <w:szCs w:val="22"/>
        </w:rPr>
        <w:t>roku 2066. To znamená, že časť nákladov spojenýc</w:t>
      </w:r>
      <w:r>
        <w:rPr>
          <w:rFonts w:eastAsia="Calibri"/>
          <w:szCs w:val="22"/>
        </w:rPr>
        <w:t xml:space="preserve">h s opatrením metodika výpočtu </w:t>
      </w:r>
      <w:r w:rsidRPr="009A2C72">
        <w:rPr>
          <w:rFonts w:eastAsia="Calibri"/>
          <w:szCs w:val="22"/>
        </w:rPr>
        <w:t>implicitných záväzkov nezohľadňuje.</w:t>
      </w:r>
    </w:p>
    <w:p w14:paraId="3BC3CFF3" w14:textId="40A821AC" w:rsidR="00861EEF" w:rsidRDefault="00861EEF" w:rsidP="003724FD">
      <w:pPr>
        <w:pStyle w:val="Popis"/>
        <w:framePr w:wrap="around" w:x="916" w:y="269"/>
      </w:pPr>
      <w:r>
        <w:t xml:space="preserve">Graf </w:t>
      </w:r>
      <w:r w:rsidR="001F05DE">
        <w:fldChar w:fldCharType="begin"/>
      </w:r>
      <w:r w:rsidR="001F05DE">
        <w:instrText xml:space="preserve"> SEQ Graf \* ARABIC </w:instrText>
      </w:r>
      <w:r w:rsidR="001F05DE">
        <w:fldChar w:fldCharType="separate"/>
      </w:r>
      <w:r w:rsidR="001348DE">
        <w:rPr>
          <w:noProof/>
        </w:rPr>
        <w:t>6</w:t>
      </w:r>
      <w:r w:rsidR="001F05DE">
        <w:rPr>
          <w:noProof/>
        </w:rPr>
        <w:fldChar w:fldCharType="end"/>
      </w:r>
      <w:r>
        <w:t xml:space="preserve"> - </w:t>
      </w:r>
      <w:r w:rsidRPr="000B36BB">
        <w:t>Aktualizácia implicitných záväzkov v 2023 súvisiacich so starnutím populácie (do 2066; % HDP)</w:t>
      </w:r>
    </w:p>
    <w:tbl>
      <w:tblPr>
        <w:tblpPr w:leftFromText="141" w:rightFromText="141" w:vertAnchor="text" w:horzAnchor="margin" w:tblpY="61"/>
        <w:tblOverlap w:val="never"/>
        <w:tblW w:w="4997"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9348"/>
      </w:tblGrid>
      <w:tr w:rsidR="009E7882" w:rsidRPr="00CE3A7D" w14:paraId="1A58EA15" w14:textId="77777777" w:rsidTr="00861EEF">
        <w:trPr>
          <w:trHeight w:val="913"/>
        </w:trPr>
        <w:tc>
          <w:tcPr>
            <w:tcW w:w="5000" w:type="pct"/>
            <w:tcBorders>
              <w:top w:val="nil"/>
              <w:left w:val="nil"/>
              <w:bottom w:val="nil"/>
              <w:right w:val="nil"/>
            </w:tcBorders>
            <w:vAlign w:val="center"/>
          </w:tcPr>
          <w:p w14:paraId="5319A843" w14:textId="77777777" w:rsidR="009E7882" w:rsidRPr="00CE3A7D" w:rsidRDefault="009E7882" w:rsidP="00FC2B68">
            <w:pPr>
              <w:spacing w:before="40" w:after="40"/>
              <w:jc w:val="center"/>
              <w:rPr>
                <w:rFonts w:ascii="Arial Narrow" w:hAnsi="Arial Narrow" w:cs="Arial"/>
                <w:b/>
                <w:sz w:val="20"/>
                <w:szCs w:val="20"/>
                <w:highlight w:val="yellow"/>
              </w:rPr>
            </w:pPr>
            <w:r>
              <w:rPr>
                <w:noProof/>
                <w:lang w:eastAsia="sk-SK"/>
              </w:rPr>
              <w:drawing>
                <wp:inline distT="0" distB="0" distL="0" distR="0" wp14:anchorId="59351236" wp14:editId="64087469">
                  <wp:extent cx="5541010" cy="1375410"/>
                  <wp:effectExtent l="0" t="0" r="2540" b="15240"/>
                  <wp:docPr id="15619766" name="Graf 1">
                    <a:extLst xmlns:a="http://schemas.openxmlformats.org/drawingml/2006/main">
                      <a:ext uri="{FF2B5EF4-FFF2-40B4-BE49-F238E27FC236}">
                        <a16:creationId xmlns:a16="http://schemas.microsoft.com/office/drawing/2014/main" id="{C1D146C6-EAF2-49C8-88ED-AE250E6CAD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9E7882" w:rsidRPr="00CE3A7D" w14:paraId="38A25E0E" w14:textId="77777777" w:rsidTr="00861EEF">
        <w:trPr>
          <w:trHeight w:val="114"/>
        </w:trPr>
        <w:tc>
          <w:tcPr>
            <w:tcW w:w="5000" w:type="pct"/>
            <w:tcBorders>
              <w:top w:val="nil"/>
              <w:left w:val="nil"/>
              <w:bottom w:val="nil"/>
              <w:right w:val="nil"/>
            </w:tcBorders>
          </w:tcPr>
          <w:p w14:paraId="6018F601" w14:textId="77777777" w:rsidR="009E7882" w:rsidRPr="00044AB2" w:rsidRDefault="009E7882" w:rsidP="00FC2B68">
            <w:pPr>
              <w:spacing w:before="40" w:after="40"/>
              <w:jc w:val="both"/>
              <w:rPr>
                <w:i/>
                <w:sz w:val="16"/>
                <w:szCs w:val="14"/>
              </w:rPr>
            </w:pPr>
            <w:r w:rsidRPr="00044AB2">
              <w:rPr>
                <w:i/>
                <w:sz w:val="16"/>
                <w:szCs w:val="14"/>
              </w:rPr>
              <w:t>Pozn:. *</w:t>
            </w:r>
            <w:r>
              <w:rPr>
                <w:i/>
                <w:sz w:val="16"/>
                <w:szCs w:val="14"/>
              </w:rPr>
              <w:t xml:space="preserve"> </w:t>
            </w:r>
            <w:r w:rsidRPr="00044AB2">
              <w:rPr>
                <w:i/>
                <w:sz w:val="16"/>
                <w:szCs w:val="14"/>
              </w:rPr>
              <w:t>Štandardný posun sledovaného horizontu o 1 rok;</w:t>
            </w:r>
            <w:r>
              <w:t xml:space="preserve"> </w:t>
            </w:r>
            <w:r w:rsidRPr="003D08E1">
              <w:rPr>
                <w:i/>
                <w:sz w:val="16"/>
                <w:szCs w:val="14"/>
              </w:rPr>
              <w:t>aktualizácia HDP a ďalších makroekonomických ukazovateľov do roku 2028</w:t>
            </w:r>
            <w:r w:rsidRPr="00044AB2">
              <w:rPr>
                <w:i/>
                <w:sz w:val="16"/>
                <w:szCs w:val="14"/>
              </w:rPr>
              <w:t>;</w:t>
            </w:r>
            <w:r>
              <w:rPr>
                <w:i/>
                <w:sz w:val="16"/>
                <w:szCs w:val="14"/>
              </w:rPr>
              <w:t xml:space="preserve"> aktualizácia projekcie dlhodobých výdavkov citlivých na starnutie (zdravotníctvo, školstvo, dlhodobá starostlivosť) podľa Ageing report 2024</w:t>
            </w:r>
            <w:r w:rsidRPr="00044AB2">
              <w:rPr>
                <w:i/>
                <w:sz w:val="16"/>
                <w:szCs w:val="14"/>
              </w:rPr>
              <w:t>.</w:t>
            </w:r>
          </w:p>
        </w:tc>
      </w:tr>
      <w:tr w:rsidR="009E7882" w:rsidRPr="00CE3A7D" w14:paraId="1D1C13EC" w14:textId="77777777" w:rsidTr="00861EEF">
        <w:trPr>
          <w:trHeight w:val="114"/>
        </w:trPr>
        <w:tc>
          <w:tcPr>
            <w:tcW w:w="5000" w:type="pct"/>
            <w:tcBorders>
              <w:top w:val="nil"/>
              <w:left w:val="nil"/>
              <w:bottom w:val="nil"/>
              <w:right w:val="nil"/>
            </w:tcBorders>
          </w:tcPr>
          <w:p w14:paraId="47FF02D2" w14:textId="77777777" w:rsidR="009E7882" w:rsidRPr="00CE3A7D" w:rsidRDefault="009E7882" w:rsidP="00FC2B68">
            <w:pPr>
              <w:spacing w:before="40" w:after="40"/>
              <w:jc w:val="right"/>
              <w:rPr>
                <w:i/>
                <w:sz w:val="16"/>
                <w:szCs w:val="14"/>
                <w:highlight w:val="yellow"/>
              </w:rPr>
            </w:pPr>
            <w:r w:rsidRPr="00044AB2">
              <w:rPr>
                <w:i/>
                <w:sz w:val="16"/>
                <w:szCs w:val="14"/>
              </w:rPr>
              <w:t>Zdroj: MF SR</w:t>
            </w:r>
          </w:p>
        </w:tc>
      </w:tr>
    </w:tbl>
    <w:p w14:paraId="137E7E4B" w14:textId="77777777" w:rsidR="009E7882" w:rsidRPr="002746C4" w:rsidRDefault="009E7882" w:rsidP="00DD0DA5">
      <w:pPr>
        <w:spacing w:after="120" w:line="240" w:lineRule="auto"/>
        <w:jc w:val="both"/>
        <w:rPr>
          <w:szCs w:val="22"/>
          <w:highlight w:val="yellow"/>
        </w:rPr>
      </w:pPr>
    </w:p>
    <w:p w14:paraId="12A90B91" w14:textId="77777777" w:rsidR="007723D2" w:rsidRDefault="007723D2">
      <w:pPr>
        <w:rPr>
          <w:rFonts w:eastAsia="Calibri"/>
          <w:b/>
          <w:szCs w:val="22"/>
        </w:rPr>
      </w:pPr>
      <w:r>
        <w:rPr>
          <w:rFonts w:eastAsia="Calibri"/>
          <w:b/>
          <w:szCs w:val="22"/>
        </w:rPr>
        <w:br w:type="page"/>
      </w:r>
    </w:p>
    <w:p w14:paraId="7C9EC432" w14:textId="77777777" w:rsidR="00A035B0" w:rsidRDefault="00A035B0" w:rsidP="00A035B0">
      <w:pPr>
        <w:pStyle w:val="Popis"/>
        <w:framePr w:wrap="around" w:x="1684" w:y="1535"/>
      </w:pPr>
      <w:r>
        <w:lastRenderedPageBreak/>
        <w:t xml:space="preserve">Tabuľka </w:t>
      </w:r>
      <w:r w:rsidR="001F05DE">
        <w:fldChar w:fldCharType="begin"/>
      </w:r>
      <w:r w:rsidR="001F05DE">
        <w:instrText xml:space="preserve"> SEQ Tabuľka \* ARABIC </w:instrText>
      </w:r>
      <w:r w:rsidR="001F05DE">
        <w:fldChar w:fldCharType="separate"/>
      </w:r>
      <w:r>
        <w:rPr>
          <w:noProof/>
        </w:rPr>
        <w:t>20</w:t>
      </w:r>
      <w:r w:rsidR="001F05DE">
        <w:rPr>
          <w:noProof/>
        </w:rPr>
        <w:fldChar w:fldCharType="end"/>
      </w:r>
      <w:r>
        <w:t xml:space="preserve"> - </w:t>
      </w:r>
      <w:r w:rsidRPr="007020EC">
        <w:t>Vplyv PPP projektov</w:t>
      </w:r>
      <w:r>
        <w:t xml:space="preserve"> </w:t>
      </w:r>
      <w:r>
        <w:tab/>
      </w:r>
      <w:r>
        <w:tab/>
      </w:r>
      <w:r>
        <w:tab/>
      </w:r>
      <w:r>
        <w:tab/>
      </w:r>
      <w:r>
        <w:tab/>
      </w:r>
      <w:r>
        <w:tab/>
      </w:r>
      <w:r>
        <w:tab/>
      </w:r>
      <w:r>
        <w:tab/>
        <w:t>v % HDP</w:t>
      </w:r>
    </w:p>
    <w:p w14:paraId="209B35D8" w14:textId="5C1AFEAD" w:rsidR="001E15B5" w:rsidRPr="002746C4" w:rsidRDefault="006B03EA" w:rsidP="000B1F5C">
      <w:pPr>
        <w:spacing w:after="120" w:line="240" w:lineRule="auto"/>
        <w:jc w:val="both"/>
        <w:rPr>
          <w:szCs w:val="22"/>
          <w:highlight w:val="yellow"/>
        </w:rPr>
      </w:pPr>
      <w:r w:rsidRPr="009117D3">
        <w:rPr>
          <w:rFonts w:eastAsia="Calibri"/>
          <w:b/>
          <w:szCs w:val="22"/>
        </w:rPr>
        <w:t>Záväzky vyplývajúce z PPP projektov predstavovali ku koncu roka 2023 hodnotu 2,</w:t>
      </w:r>
      <w:r>
        <w:rPr>
          <w:rFonts w:eastAsia="Calibri"/>
          <w:b/>
          <w:szCs w:val="22"/>
        </w:rPr>
        <w:t>5% </w:t>
      </w:r>
      <w:r w:rsidRPr="009117D3">
        <w:rPr>
          <w:rFonts w:eastAsia="Calibri"/>
          <w:b/>
          <w:szCs w:val="22"/>
        </w:rPr>
        <w:t>HDP, medziročne klesli o 0,</w:t>
      </w:r>
      <w:r>
        <w:rPr>
          <w:rFonts w:eastAsia="Calibri"/>
          <w:b/>
          <w:szCs w:val="22"/>
        </w:rPr>
        <w:t xml:space="preserve">9 p. b. </w:t>
      </w:r>
      <w:r w:rsidRPr="009117D3">
        <w:rPr>
          <w:rFonts w:eastAsia="Calibri"/>
          <w:b/>
          <w:szCs w:val="22"/>
        </w:rPr>
        <w:t xml:space="preserve">HDP. </w:t>
      </w:r>
      <w:r w:rsidRPr="009117D3">
        <w:rPr>
          <w:rFonts w:eastAsia="Calibri"/>
          <w:szCs w:val="22"/>
        </w:rPr>
        <w:t>Záväzky sú kvantifikované na základe odhadu platieb štátu za</w:t>
      </w:r>
      <w:r>
        <w:rPr>
          <w:rFonts w:eastAsia="Calibri"/>
          <w:szCs w:val="22"/>
        </w:rPr>
        <w:t> </w:t>
      </w:r>
      <w:r w:rsidRPr="009117D3">
        <w:rPr>
          <w:rFonts w:eastAsia="Calibri"/>
          <w:szCs w:val="22"/>
        </w:rPr>
        <w:t>dostupnosť počas ich celej doby trvania koncesie.</w:t>
      </w:r>
      <w:r w:rsidRPr="009117D3">
        <w:rPr>
          <w:rFonts w:eastAsia="Calibri"/>
          <w:szCs w:val="22"/>
          <w:vertAlign w:val="superscript"/>
        </w:rPr>
        <w:footnoteReference w:id="42"/>
      </w:r>
      <w:r w:rsidRPr="009117D3">
        <w:rPr>
          <w:rFonts w:eastAsia="Calibri"/>
          <w:szCs w:val="22"/>
        </w:rPr>
        <w:t xml:space="preserve"> Medziročné zníženie odhadovaných budúcich záväzkov o 0,</w:t>
      </w:r>
      <w:r>
        <w:rPr>
          <w:rFonts w:eastAsia="Calibri"/>
          <w:szCs w:val="22"/>
        </w:rPr>
        <w:t>5 p. </w:t>
      </w:r>
      <w:r w:rsidRPr="009117D3">
        <w:rPr>
          <w:rFonts w:eastAsia="Calibri"/>
          <w:szCs w:val="22"/>
        </w:rPr>
        <w:t>b. vyplýva predovšetkým z aktualizácie makroekonomických predpokladov pri</w:t>
      </w:r>
      <w:r>
        <w:rPr>
          <w:rFonts w:eastAsia="Calibri"/>
          <w:szCs w:val="22"/>
        </w:rPr>
        <w:t> </w:t>
      </w:r>
      <w:r w:rsidRPr="009117D3">
        <w:rPr>
          <w:rFonts w:eastAsia="Calibri"/>
          <w:szCs w:val="22"/>
        </w:rPr>
        <w:t>objemovo najväčšom projekte rýchlostnej cesty R1.</w:t>
      </w:r>
    </w:p>
    <w:tbl>
      <w:tblPr>
        <w:tblW w:w="5000" w:type="pct"/>
        <w:tblCellMar>
          <w:left w:w="70" w:type="dxa"/>
          <w:right w:w="70" w:type="dxa"/>
        </w:tblCellMar>
        <w:tblLook w:val="04A0" w:firstRow="1" w:lastRow="0" w:firstColumn="1" w:lastColumn="0" w:noHBand="0" w:noVBand="1"/>
      </w:tblPr>
      <w:tblGrid>
        <w:gridCol w:w="3959"/>
        <w:gridCol w:w="1051"/>
        <w:gridCol w:w="1051"/>
        <w:gridCol w:w="51"/>
        <w:gridCol w:w="211"/>
        <w:gridCol w:w="812"/>
        <w:gridCol w:w="1050"/>
        <w:gridCol w:w="1169"/>
      </w:tblGrid>
      <w:tr w:rsidR="00996A89" w:rsidRPr="00996A89" w14:paraId="071FE137" w14:textId="77777777" w:rsidTr="00777298">
        <w:trPr>
          <w:trHeight w:val="332"/>
          <w:tblHeader/>
        </w:trPr>
        <w:tc>
          <w:tcPr>
            <w:tcW w:w="2116" w:type="pct"/>
            <w:tcBorders>
              <w:top w:val="single" w:sz="4" w:space="0" w:color="auto"/>
              <w:left w:val="nil"/>
              <w:bottom w:val="single" w:sz="4" w:space="0" w:color="auto"/>
              <w:right w:val="nil"/>
            </w:tcBorders>
            <w:shd w:val="clear" w:color="auto" w:fill="auto"/>
            <w:noWrap/>
            <w:vAlign w:val="center"/>
            <w:hideMark/>
          </w:tcPr>
          <w:p w14:paraId="519FF07C" w14:textId="77777777" w:rsidR="00996A89" w:rsidRPr="00996A89" w:rsidRDefault="00996A89" w:rsidP="00996A89">
            <w:pPr>
              <w:spacing w:after="0" w:line="240" w:lineRule="auto"/>
              <w:jc w:val="center"/>
              <w:rPr>
                <w:color w:val="000000"/>
                <w:sz w:val="18"/>
                <w:szCs w:val="18"/>
                <w:lang w:eastAsia="sk-SK"/>
              </w:rPr>
            </w:pPr>
            <w:r w:rsidRPr="00996A89">
              <w:rPr>
                <w:color w:val="000000"/>
                <w:sz w:val="18"/>
                <w:szCs w:val="18"/>
                <w:lang w:eastAsia="sk-SK"/>
              </w:rPr>
              <w:t> </w:t>
            </w:r>
          </w:p>
        </w:tc>
        <w:tc>
          <w:tcPr>
            <w:tcW w:w="562" w:type="pct"/>
            <w:tcBorders>
              <w:top w:val="single" w:sz="4" w:space="0" w:color="auto"/>
              <w:left w:val="nil"/>
              <w:bottom w:val="single" w:sz="4" w:space="0" w:color="auto"/>
              <w:right w:val="nil"/>
            </w:tcBorders>
            <w:shd w:val="clear" w:color="auto" w:fill="auto"/>
            <w:noWrap/>
            <w:vAlign w:val="center"/>
            <w:hideMark/>
          </w:tcPr>
          <w:p w14:paraId="7FD9A8C6" w14:textId="0CA64E23" w:rsidR="00996A89" w:rsidRPr="00996A89" w:rsidRDefault="00996A89" w:rsidP="00996A89">
            <w:pPr>
              <w:spacing w:after="0" w:line="240" w:lineRule="auto"/>
              <w:jc w:val="center"/>
              <w:rPr>
                <w:b/>
                <w:bCs/>
                <w:color w:val="000000"/>
                <w:sz w:val="18"/>
                <w:szCs w:val="18"/>
                <w:lang w:eastAsia="sk-SK"/>
              </w:rPr>
            </w:pPr>
            <w:r w:rsidRPr="00996A89">
              <w:rPr>
                <w:b/>
                <w:bCs/>
                <w:color w:val="000000"/>
                <w:sz w:val="18"/>
                <w:szCs w:val="18"/>
                <w:lang w:eastAsia="sk-SK"/>
              </w:rPr>
              <w:t>2023</w:t>
            </w:r>
          </w:p>
        </w:tc>
        <w:tc>
          <w:tcPr>
            <w:tcW w:w="562" w:type="pct"/>
            <w:tcBorders>
              <w:top w:val="single" w:sz="4" w:space="0" w:color="auto"/>
              <w:left w:val="nil"/>
              <w:bottom w:val="single" w:sz="4" w:space="0" w:color="auto"/>
              <w:right w:val="nil"/>
            </w:tcBorders>
            <w:shd w:val="clear" w:color="auto" w:fill="auto"/>
            <w:noWrap/>
            <w:vAlign w:val="center"/>
            <w:hideMark/>
          </w:tcPr>
          <w:p w14:paraId="5C2CAB10" w14:textId="044C3EDB" w:rsidR="00996A89" w:rsidRPr="00996A89" w:rsidRDefault="00996A89" w:rsidP="00996A89">
            <w:pPr>
              <w:spacing w:after="0" w:line="240" w:lineRule="auto"/>
              <w:jc w:val="center"/>
              <w:rPr>
                <w:b/>
                <w:bCs/>
                <w:color w:val="000000"/>
                <w:sz w:val="18"/>
                <w:szCs w:val="18"/>
                <w:lang w:eastAsia="sk-SK"/>
              </w:rPr>
            </w:pPr>
            <w:r w:rsidRPr="00996A89">
              <w:rPr>
                <w:b/>
                <w:bCs/>
                <w:color w:val="000000"/>
                <w:sz w:val="18"/>
                <w:szCs w:val="18"/>
                <w:lang w:eastAsia="sk-SK"/>
              </w:rPr>
              <w:t>2030</w:t>
            </w:r>
          </w:p>
        </w:tc>
        <w:tc>
          <w:tcPr>
            <w:tcW w:w="574" w:type="pct"/>
            <w:gridSpan w:val="3"/>
            <w:tcBorders>
              <w:top w:val="single" w:sz="4" w:space="0" w:color="auto"/>
              <w:left w:val="nil"/>
              <w:bottom w:val="single" w:sz="4" w:space="0" w:color="auto"/>
              <w:right w:val="nil"/>
            </w:tcBorders>
            <w:shd w:val="clear" w:color="auto" w:fill="auto"/>
            <w:noWrap/>
            <w:vAlign w:val="center"/>
            <w:hideMark/>
          </w:tcPr>
          <w:p w14:paraId="38AB7DD3" w14:textId="253509C2" w:rsidR="00996A89" w:rsidRPr="00996A89" w:rsidRDefault="00996A89" w:rsidP="00996A89">
            <w:pPr>
              <w:spacing w:after="0" w:line="240" w:lineRule="auto"/>
              <w:jc w:val="center"/>
              <w:rPr>
                <w:b/>
                <w:bCs/>
                <w:color w:val="000000"/>
                <w:sz w:val="18"/>
                <w:szCs w:val="18"/>
                <w:lang w:eastAsia="sk-SK"/>
              </w:rPr>
            </w:pPr>
            <w:r w:rsidRPr="00996A89">
              <w:rPr>
                <w:b/>
                <w:bCs/>
                <w:color w:val="000000"/>
                <w:sz w:val="18"/>
                <w:szCs w:val="18"/>
                <w:lang w:eastAsia="sk-SK"/>
              </w:rPr>
              <w:t>2040</w:t>
            </w:r>
          </w:p>
        </w:tc>
        <w:tc>
          <w:tcPr>
            <w:tcW w:w="561" w:type="pct"/>
            <w:tcBorders>
              <w:top w:val="single" w:sz="4" w:space="0" w:color="auto"/>
              <w:left w:val="nil"/>
              <w:bottom w:val="single" w:sz="4" w:space="0" w:color="auto"/>
            </w:tcBorders>
            <w:shd w:val="clear" w:color="auto" w:fill="auto"/>
            <w:vAlign w:val="center"/>
            <w:hideMark/>
          </w:tcPr>
          <w:p w14:paraId="2606C88B" w14:textId="444668E5" w:rsidR="00996A89" w:rsidRPr="00996A89" w:rsidRDefault="00996A89" w:rsidP="00996A89">
            <w:pPr>
              <w:spacing w:after="0" w:line="240" w:lineRule="auto"/>
              <w:jc w:val="center"/>
              <w:rPr>
                <w:b/>
                <w:bCs/>
                <w:color w:val="000000"/>
                <w:sz w:val="18"/>
                <w:szCs w:val="18"/>
                <w:lang w:eastAsia="sk-SK"/>
              </w:rPr>
            </w:pPr>
            <w:r w:rsidRPr="00996A89">
              <w:rPr>
                <w:b/>
                <w:bCs/>
                <w:color w:val="000000"/>
                <w:sz w:val="18"/>
                <w:szCs w:val="18"/>
                <w:lang w:eastAsia="sk-SK"/>
              </w:rPr>
              <w:t>2050</w:t>
            </w:r>
          </w:p>
        </w:tc>
        <w:tc>
          <w:tcPr>
            <w:tcW w:w="625" w:type="pct"/>
            <w:tcBorders>
              <w:top w:val="single" w:sz="4" w:space="0" w:color="auto"/>
              <w:bottom w:val="single" w:sz="4" w:space="0" w:color="auto"/>
              <w:right w:val="nil"/>
            </w:tcBorders>
            <w:shd w:val="clear" w:color="auto" w:fill="auto"/>
            <w:noWrap/>
            <w:vAlign w:val="center"/>
            <w:hideMark/>
          </w:tcPr>
          <w:p w14:paraId="6D483B82" w14:textId="2AE43D18" w:rsidR="00996A89" w:rsidRPr="00996A89" w:rsidRDefault="00996A89" w:rsidP="00996A89">
            <w:pPr>
              <w:spacing w:after="0" w:line="240" w:lineRule="auto"/>
              <w:jc w:val="center"/>
              <w:rPr>
                <w:b/>
                <w:bCs/>
                <w:color w:val="000000"/>
                <w:sz w:val="18"/>
                <w:szCs w:val="18"/>
                <w:lang w:eastAsia="sk-SK"/>
              </w:rPr>
            </w:pPr>
            <w:r w:rsidRPr="00996A89">
              <w:rPr>
                <w:b/>
                <w:bCs/>
                <w:color w:val="000000"/>
                <w:sz w:val="18"/>
                <w:szCs w:val="18"/>
                <w:lang w:eastAsia="sk-SK"/>
              </w:rPr>
              <w:t>Spolu</w:t>
            </w:r>
          </w:p>
        </w:tc>
      </w:tr>
      <w:tr w:rsidR="00996A89" w:rsidRPr="00996A89" w14:paraId="1AA2D380" w14:textId="77777777" w:rsidTr="00777298">
        <w:trPr>
          <w:trHeight w:val="295"/>
        </w:trPr>
        <w:tc>
          <w:tcPr>
            <w:tcW w:w="2116" w:type="pct"/>
            <w:tcBorders>
              <w:top w:val="single" w:sz="4" w:space="0" w:color="auto"/>
              <w:left w:val="nil"/>
              <w:bottom w:val="nil"/>
              <w:right w:val="nil"/>
            </w:tcBorders>
            <w:shd w:val="clear" w:color="auto" w:fill="auto"/>
            <w:noWrap/>
            <w:vAlign w:val="center"/>
            <w:hideMark/>
          </w:tcPr>
          <w:p w14:paraId="6D0FBF8A" w14:textId="77777777" w:rsidR="00996A89" w:rsidRPr="00996A89" w:rsidRDefault="00996A89" w:rsidP="00996A89">
            <w:pPr>
              <w:spacing w:after="0" w:line="240" w:lineRule="auto"/>
              <w:rPr>
                <w:color w:val="000000"/>
                <w:sz w:val="18"/>
                <w:szCs w:val="18"/>
                <w:lang w:eastAsia="sk-SK"/>
              </w:rPr>
            </w:pPr>
            <w:r w:rsidRPr="00996A89">
              <w:rPr>
                <w:color w:val="000000"/>
                <w:sz w:val="18"/>
                <w:szCs w:val="18"/>
                <w:lang w:eastAsia="sk-SK"/>
              </w:rPr>
              <w:t>Platba za dostupnosť R1*</w:t>
            </w:r>
          </w:p>
        </w:tc>
        <w:tc>
          <w:tcPr>
            <w:tcW w:w="562" w:type="pct"/>
            <w:tcBorders>
              <w:top w:val="single" w:sz="4" w:space="0" w:color="auto"/>
              <w:left w:val="nil"/>
              <w:bottom w:val="nil"/>
              <w:right w:val="nil"/>
            </w:tcBorders>
            <w:shd w:val="clear" w:color="auto" w:fill="auto"/>
            <w:noWrap/>
            <w:hideMark/>
          </w:tcPr>
          <w:p w14:paraId="1033F2B1" w14:textId="15172F4D" w:rsidR="00996A89" w:rsidRPr="00996A89" w:rsidRDefault="00996A89" w:rsidP="00996A89">
            <w:pPr>
              <w:spacing w:after="0" w:line="240" w:lineRule="auto"/>
              <w:jc w:val="center"/>
              <w:rPr>
                <w:rFonts w:eastAsia="Calibri"/>
                <w:bCs/>
                <w:color w:val="000000"/>
                <w:sz w:val="18"/>
                <w:szCs w:val="18"/>
              </w:rPr>
            </w:pPr>
            <w:r w:rsidRPr="00996A89">
              <w:rPr>
                <w:rFonts w:eastAsia="Calibri"/>
                <w:bCs/>
                <w:color w:val="000000"/>
                <w:sz w:val="18"/>
                <w:szCs w:val="18"/>
              </w:rPr>
              <w:t>0,10</w:t>
            </w:r>
          </w:p>
        </w:tc>
        <w:tc>
          <w:tcPr>
            <w:tcW w:w="562" w:type="pct"/>
            <w:tcBorders>
              <w:top w:val="single" w:sz="4" w:space="0" w:color="auto"/>
              <w:left w:val="nil"/>
              <w:bottom w:val="nil"/>
              <w:right w:val="nil"/>
            </w:tcBorders>
            <w:shd w:val="clear" w:color="auto" w:fill="auto"/>
            <w:noWrap/>
            <w:hideMark/>
          </w:tcPr>
          <w:p w14:paraId="33F236F6" w14:textId="48D8A959" w:rsidR="00996A89" w:rsidRPr="00996A89" w:rsidRDefault="00996A89" w:rsidP="00996A89">
            <w:pPr>
              <w:spacing w:after="0" w:line="240" w:lineRule="auto"/>
              <w:jc w:val="center"/>
              <w:rPr>
                <w:rFonts w:eastAsia="Calibri"/>
                <w:bCs/>
                <w:color w:val="000000"/>
                <w:sz w:val="18"/>
                <w:szCs w:val="18"/>
              </w:rPr>
            </w:pPr>
            <w:r w:rsidRPr="00996A89">
              <w:rPr>
                <w:rFonts w:eastAsia="Calibri"/>
                <w:bCs/>
                <w:color w:val="000000"/>
                <w:sz w:val="18"/>
                <w:szCs w:val="18"/>
              </w:rPr>
              <w:t>0,09</w:t>
            </w:r>
          </w:p>
        </w:tc>
        <w:tc>
          <w:tcPr>
            <w:tcW w:w="574" w:type="pct"/>
            <w:gridSpan w:val="3"/>
            <w:tcBorders>
              <w:top w:val="single" w:sz="4" w:space="0" w:color="auto"/>
              <w:left w:val="nil"/>
              <w:bottom w:val="nil"/>
              <w:right w:val="nil"/>
            </w:tcBorders>
            <w:shd w:val="clear" w:color="auto" w:fill="auto"/>
            <w:noWrap/>
            <w:hideMark/>
          </w:tcPr>
          <w:p w14:paraId="6E3339DB" w14:textId="13DAD332" w:rsidR="00996A89" w:rsidRPr="00996A89" w:rsidRDefault="00996A89" w:rsidP="00996A89">
            <w:pPr>
              <w:spacing w:after="0" w:line="240" w:lineRule="auto"/>
              <w:jc w:val="center"/>
              <w:rPr>
                <w:rFonts w:eastAsia="Calibri"/>
                <w:bCs/>
                <w:color w:val="000000"/>
                <w:sz w:val="18"/>
                <w:szCs w:val="18"/>
              </w:rPr>
            </w:pPr>
            <w:r w:rsidRPr="00996A89">
              <w:rPr>
                <w:rFonts w:eastAsia="Calibri"/>
                <w:bCs/>
                <w:color w:val="000000"/>
                <w:sz w:val="18"/>
                <w:szCs w:val="18"/>
              </w:rPr>
              <w:t>0,06</w:t>
            </w:r>
          </w:p>
        </w:tc>
        <w:tc>
          <w:tcPr>
            <w:tcW w:w="561" w:type="pct"/>
            <w:tcBorders>
              <w:top w:val="single" w:sz="4" w:space="0" w:color="auto"/>
              <w:left w:val="nil"/>
              <w:bottom w:val="nil"/>
            </w:tcBorders>
            <w:shd w:val="clear" w:color="auto" w:fill="auto"/>
            <w:hideMark/>
          </w:tcPr>
          <w:p w14:paraId="3E3F7321" w14:textId="02CAD815" w:rsidR="00996A89" w:rsidRPr="00996A89" w:rsidRDefault="00996A89" w:rsidP="00996A89">
            <w:pPr>
              <w:spacing w:after="0" w:line="240" w:lineRule="auto"/>
              <w:jc w:val="center"/>
              <w:rPr>
                <w:rFonts w:eastAsia="Calibri"/>
                <w:bCs/>
                <w:color w:val="000000"/>
                <w:sz w:val="18"/>
                <w:szCs w:val="18"/>
              </w:rPr>
            </w:pPr>
            <w:r w:rsidRPr="00996A89">
              <w:rPr>
                <w:rFonts w:eastAsia="Calibri"/>
                <w:bCs/>
                <w:color w:val="000000"/>
                <w:sz w:val="18"/>
                <w:szCs w:val="18"/>
              </w:rPr>
              <w:t>0,00</w:t>
            </w:r>
          </w:p>
        </w:tc>
        <w:tc>
          <w:tcPr>
            <w:tcW w:w="625" w:type="pct"/>
            <w:tcBorders>
              <w:top w:val="single" w:sz="4" w:space="0" w:color="auto"/>
              <w:bottom w:val="nil"/>
              <w:right w:val="nil"/>
            </w:tcBorders>
            <w:shd w:val="clear" w:color="auto" w:fill="auto"/>
            <w:noWrap/>
            <w:hideMark/>
          </w:tcPr>
          <w:p w14:paraId="23309A79" w14:textId="62FE1EEA" w:rsidR="00996A89" w:rsidRPr="00996A89" w:rsidRDefault="00996A89" w:rsidP="00996A89">
            <w:pPr>
              <w:spacing w:after="0" w:line="240" w:lineRule="auto"/>
              <w:jc w:val="center"/>
              <w:rPr>
                <w:rFonts w:eastAsia="Calibri"/>
                <w:bCs/>
                <w:color w:val="000000"/>
                <w:sz w:val="18"/>
                <w:szCs w:val="18"/>
              </w:rPr>
            </w:pPr>
            <w:r w:rsidRPr="00996A89">
              <w:rPr>
                <w:rFonts w:eastAsia="Calibri"/>
                <w:bCs/>
                <w:color w:val="000000"/>
                <w:sz w:val="18"/>
                <w:szCs w:val="18"/>
              </w:rPr>
              <w:t>1,5</w:t>
            </w:r>
          </w:p>
        </w:tc>
      </w:tr>
      <w:tr w:rsidR="00996A89" w:rsidRPr="00996A89" w14:paraId="057339DF" w14:textId="77777777" w:rsidTr="00777298">
        <w:trPr>
          <w:trHeight w:val="295"/>
        </w:trPr>
        <w:tc>
          <w:tcPr>
            <w:tcW w:w="2116" w:type="pct"/>
            <w:tcBorders>
              <w:top w:val="nil"/>
              <w:left w:val="nil"/>
              <w:right w:val="nil"/>
            </w:tcBorders>
            <w:shd w:val="clear" w:color="auto" w:fill="auto"/>
            <w:noWrap/>
            <w:vAlign w:val="center"/>
            <w:hideMark/>
          </w:tcPr>
          <w:p w14:paraId="73988A2C" w14:textId="77777777" w:rsidR="00996A89" w:rsidRPr="00996A89" w:rsidRDefault="00996A89" w:rsidP="00996A89">
            <w:pPr>
              <w:spacing w:after="0" w:line="240" w:lineRule="auto"/>
              <w:rPr>
                <w:color w:val="000000"/>
                <w:sz w:val="18"/>
                <w:szCs w:val="18"/>
                <w:lang w:eastAsia="sk-SK"/>
              </w:rPr>
            </w:pPr>
            <w:r w:rsidRPr="00996A89">
              <w:rPr>
                <w:color w:val="000000"/>
                <w:sz w:val="18"/>
                <w:szCs w:val="18"/>
                <w:lang w:eastAsia="sk-SK"/>
              </w:rPr>
              <w:t>Platba za dostupnosť D4 a R7</w:t>
            </w:r>
          </w:p>
        </w:tc>
        <w:tc>
          <w:tcPr>
            <w:tcW w:w="562" w:type="pct"/>
            <w:tcBorders>
              <w:top w:val="nil"/>
              <w:left w:val="nil"/>
              <w:right w:val="nil"/>
            </w:tcBorders>
            <w:shd w:val="clear" w:color="auto" w:fill="auto"/>
            <w:noWrap/>
            <w:hideMark/>
          </w:tcPr>
          <w:p w14:paraId="3DF9AE6C" w14:textId="5335E163" w:rsidR="00996A89" w:rsidRPr="00996A89" w:rsidRDefault="00996A89" w:rsidP="00996A89">
            <w:pPr>
              <w:spacing w:after="0" w:line="240" w:lineRule="auto"/>
              <w:jc w:val="center"/>
              <w:rPr>
                <w:color w:val="000000"/>
                <w:sz w:val="18"/>
                <w:szCs w:val="18"/>
                <w:lang w:eastAsia="sk-SK"/>
              </w:rPr>
            </w:pPr>
            <w:r w:rsidRPr="00996A89">
              <w:rPr>
                <w:rFonts w:eastAsia="Calibri"/>
                <w:bCs/>
                <w:color w:val="000000"/>
                <w:sz w:val="18"/>
                <w:szCs w:val="18"/>
              </w:rPr>
              <w:t>0,04</w:t>
            </w:r>
          </w:p>
        </w:tc>
        <w:tc>
          <w:tcPr>
            <w:tcW w:w="562" w:type="pct"/>
            <w:tcBorders>
              <w:top w:val="nil"/>
              <w:left w:val="nil"/>
              <w:right w:val="nil"/>
            </w:tcBorders>
            <w:shd w:val="clear" w:color="auto" w:fill="auto"/>
            <w:noWrap/>
            <w:hideMark/>
          </w:tcPr>
          <w:p w14:paraId="2EA54991" w14:textId="0C87C209" w:rsidR="00996A89" w:rsidRPr="00996A89" w:rsidRDefault="00996A89" w:rsidP="00996A89">
            <w:pPr>
              <w:spacing w:after="0" w:line="240" w:lineRule="auto"/>
              <w:jc w:val="center"/>
              <w:rPr>
                <w:color w:val="000000"/>
                <w:sz w:val="18"/>
                <w:szCs w:val="18"/>
                <w:lang w:eastAsia="sk-SK"/>
              </w:rPr>
            </w:pPr>
            <w:r w:rsidRPr="00996A89">
              <w:rPr>
                <w:rFonts w:eastAsia="Calibri"/>
                <w:bCs/>
                <w:color w:val="000000"/>
                <w:sz w:val="18"/>
                <w:szCs w:val="18"/>
              </w:rPr>
              <w:t>0,03</w:t>
            </w:r>
          </w:p>
        </w:tc>
        <w:tc>
          <w:tcPr>
            <w:tcW w:w="574" w:type="pct"/>
            <w:gridSpan w:val="3"/>
            <w:tcBorders>
              <w:top w:val="nil"/>
              <w:left w:val="nil"/>
              <w:right w:val="nil"/>
            </w:tcBorders>
            <w:shd w:val="clear" w:color="auto" w:fill="auto"/>
            <w:noWrap/>
            <w:hideMark/>
          </w:tcPr>
          <w:p w14:paraId="1603FB79" w14:textId="5583AC0C" w:rsidR="00996A89" w:rsidRPr="00996A89" w:rsidRDefault="00996A89" w:rsidP="00996A89">
            <w:pPr>
              <w:spacing w:after="0" w:line="240" w:lineRule="auto"/>
              <w:jc w:val="center"/>
              <w:rPr>
                <w:color w:val="000000"/>
                <w:sz w:val="18"/>
                <w:szCs w:val="18"/>
                <w:lang w:eastAsia="sk-SK"/>
              </w:rPr>
            </w:pPr>
            <w:r w:rsidRPr="00996A89">
              <w:rPr>
                <w:rFonts w:eastAsia="Calibri"/>
                <w:bCs/>
                <w:color w:val="000000"/>
                <w:sz w:val="18"/>
                <w:szCs w:val="18"/>
              </w:rPr>
              <w:t>0,02</w:t>
            </w:r>
          </w:p>
        </w:tc>
        <w:tc>
          <w:tcPr>
            <w:tcW w:w="561" w:type="pct"/>
            <w:tcBorders>
              <w:top w:val="nil"/>
              <w:left w:val="nil"/>
            </w:tcBorders>
            <w:shd w:val="clear" w:color="auto" w:fill="auto"/>
            <w:hideMark/>
          </w:tcPr>
          <w:p w14:paraId="31D3027C" w14:textId="4B8B2323" w:rsidR="00996A89" w:rsidRPr="00996A89" w:rsidRDefault="00996A89" w:rsidP="00996A89">
            <w:pPr>
              <w:spacing w:after="0" w:line="240" w:lineRule="auto"/>
              <w:jc w:val="center"/>
              <w:rPr>
                <w:color w:val="000000"/>
                <w:sz w:val="18"/>
                <w:szCs w:val="18"/>
                <w:lang w:eastAsia="sk-SK"/>
              </w:rPr>
            </w:pPr>
            <w:r w:rsidRPr="00996A89">
              <w:rPr>
                <w:rFonts w:eastAsia="Calibri"/>
                <w:bCs/>
                <w:color w:val="000000"/>
                <w:sz w:val="18"/>
                <w:szCs w:val="18"/>
              </w:rPr>
              <w:t>0,01</w:t>
            </w:r>
          </w:p>
        </w:tc>
        <w:tc>
          <w:tcPr>
            <w:tcW w:w="625" w:type="pct"/>
            <w:tcBorders>
              <w:top w:val="nil"/>
              <w:right w:val="nil"/>
            </w:tcBorders>
            <w:shd w:val="clear" w:color="auto" w:fill="auto"/>
            <w:noWrap/>
            <w:hideMark/>
          </w:tcPr>
          <w:p w14:paraId="07132B5D" w14:textId="47266313" w:rsidR="00996A89" w:rsidRPr="00996A89" w:rsidRDefault="00996A89" w:rsidP="00996A89">
            <w:pPr>
              <w:spacing w:after="0" w:line="240" w:lineRule="auto"/>
              <w:jc w:val="center"/>
              <w:rPr>
                <w:color w:val="000000"/>
                <w:sz w:val="18"/>
                <w:szCs w:val="18"/>
                <w:lang w:eastAsia="sk-SK"/>
              </w:rPr>
            </w:pPr>
            <w:r w:rsidRPr="00996A89">
              <w:rPr>
                <w:rFonts w:eastAsia="Calibri"/>
                <w:bCs/>
                <w:color w:val="000000"/>
                <w:sz w:val="18"/>
                <w:szCs w:val="18"/>
              </w:rPr>
              <w:t>0,8</w:t>
            </w:r>
          </w:p>
        </w:tc>
      </w:tr>
      <w:tr w:rsidR="00996A89" w:rsidRPr="00996A89" w14:paraId="637BA296" w14:textId="77777777" w:rsidTr="00777298">
        <w:trPr>
          <w:trHeight w:val="295"/>
        </w:trPr>
        <w:tc>
          <w:tcPr>
            <w:tcW w:w="2116" w:type="pct"/>
            <w:tcBorders>
              <w:top w:val="nil"/>
              <w:left w:val="nil"/>
              <w:bottom w:val="single" w:sz="4" w:space="0" w:color="auto"/>
              <w:right w:val="nil"/>
            </w:tcBorders>
            <w:shd w:val="clear" w:color="auto" w:fill="auto"/>
            <w:noWrap/>
            <w:vAlign w:val="center"/>
            <w:hideMark/>
          </w:tcPr>
          <w:p w14:paraId="307FE47F" w14:textId="77777777" w:rsidR="00996A89" w:rsidRPr="00996A89" w:rsidRDefault="00996A89" w:rsidP="00996A89">
            <w:pPr>
              <w:spacing w:after="0" w:line="240" w:lineRule="auto"/>
              <w:rPr>
                <w:color w:val="000000"/>
                <w:sz w:val="18"/>
                <w:szCs w:val="18"/>
                <w:lang w:eastAsia="sk-SK"/>
              </w:rPr>
            </w:pPr>
            <w:r w:rsidRPr="00996A89">
              <w:rPr>
                <w:color w:val="000000"/>
                <w:sz w:val="18"/>
                <w:szCs w:val="18"/>
                <w:lang w:eastAsia="sk-SK"/>
              </w:rPr>
              <w:t>Platba za dostupnosť - väznica Rimavská Sobota</w:t>
            </w:r>
          </w:p>
        </w:tc>
        <w:tc>
          <w:tcPr>
            <w:tcW w:w="562" w:type="pct"/>
            <w:tcBorders>
              <w:top w:val="nil"/>
              <w:left w:val="nil"/>
              <w:bottom w:val="single" w:sz="4" w:space="0" w:color="auto"/>
              <w:right w:val="nil"/>
            </w:tcBorders>
            <w:shd w:val="clear" w:color="auto" w:fill="auto"/>
            <w:noWrap/>
            <w:hideMark/>
          </w:tcPr>
          <w:p w14:paraId="356DB6BA" w14:textId="579777C5" w:rsidR="00996A89" w:rsidRPr="00996A89" w:rsidRDefault="00996A89" w:rsidP="00996A89">
            <w:pPr>
              <w:spacing w:after="0" w:line="240" w:lineRule="auto"/>
              <w:jc w:val="center"/>
              <w:rPr>
                <w:color w:val="000000"/>
                <w:sz w:val="18"/>
                <w:szCs w:val="18"/>
                <w:lang w:eastAsia="sk-SK"/>
              </w:rPr>
            </w:pPr>
            <w:r w:rsidRPr="00996A89">
              <w:rPr>
                <w:rFonts w:eastAsia="Calibri"/>
                <w:bCs/>
                <w:color w:val="000000"/>
                <w:sz w:val="18"/>
                <w:szCs w:val="18"/>
              </w:rPr>
              <w:t>0,00</w:t>
            </w:r>
          </w:p>
        </w:tc>
        <w:tc>
          <w:tcPr>
            <w:tcW w:w="562" w:type="pct"/>
            <w:tcBorders>
              <w:top w:val="nil"/>
              <w:left w:val="nil"/>
              <w:bottom w:val="single" w:sz="4" w:space="0" w:color="auto"/>
              <w:right w:val="nil"/>
            </w:tcBorders>
            <w:shd w:val="clear" w:color="auto" w:fill="auto"/>
            <w:noWrap/>
            <w:hideMark/>
          </w:tcPr>
          <w:p w14:paraId="4D07C833" w14:textId="260BF1D3" w:rsidR="00996A89" w:rsidRPr="00996A89" w:rsidRDefault="00996A89" w:rsidP="00996A89">
            <w:pPr>
              <w:spacing w:after="0" w:line="240" w:lineRule="auto"/>
              <w:jc w:val="center"/>
              <w:rPr>
                <w:color w:val="000000"/>
                <w:sz w:val="18"/>
                <w:szCs w:val="18"/>
                <w:lang w:eastAsia="sk-SK"/>
              </w:rPr>
            </w:pPr>
            <w:r w:rsidRPr="00996A89">
              <w:rPr>
                <w:rFonts w:eastAsia="Calibri"/>
                <w:bCs/>
                <w:color w:val="000000"/>
                <w:sz w:val="18"/>
                <w:szCs w:val="18"/>
              </w:rPr>
              <w:t>0,01</w:t>
            </w:r>
          </w:p>
        </w:tc>
        <w:tc>
          <w:tcPr>
            <w:tcW w:w="574" w:type="pct"/>
            <w:gridSpan w:val="3"/>
            <w:tcBorders>
              <w:top w:val="nil"/>
              <w:left w:val="nil"/>
              <w:bottom w:val="single" w:sz="4" w:space="0" w:color="auto"/>
              <w:right w:val="nil"/>
            </w:tcBorders>
            <w:shd w:val="clear" w:color="auto" w:fill="auto"/>
            <w:noWrap/>
            <w:hideMark/>
          </w:tcPr>
          <w:p w14:paraId="3E982312" w14:textId="1161FB99" w:rsidR="00996A89" w:rsidRPr="00996A89" w:rsidRDefault="00996A89" w:rsidP="00996A89">
            <w:pPr>
              <w:spacing w:after="0" w:line="240" w:lineRule="auto"/>
              <w:jc w:val="center"/>
              <w:rPr>
                <w:color w:val="000000"/>
                <w:sz w:val="18"/>
                <w:szCs w:val="18"/>
                <w:lang w:eastAsia="sk-SK"/>
              </w:rPr>
            </w:pPr>
            <w:r w:rsidRPr="00996A89">
              <w:rPr>
                <w:rFonts w:eastAsia="Calibri"/>
                <w:bCs/>
                <w:color w:val="000000"/>
                <w:sz w:val="18"/>
                <w:szCs w:val="18"/>
              </w:rPr>
              <w:t>0,01</w:t>
            </w:r>
          </w:p>
        </w:tc>
        <w:tc>
          <w:tcPr>
            <w:tcW w:w="561" w:type="pct"/>
            <w:tcBorders>
              <w:top w:val="nil"/>
              <w:left w:val="nil"/>
              <w:bottom w:val="single" w:sz="4" w:space="0" w:color="auto"/>
            </w:tcBorders>
            <w:shd w:val="clear" w:color="auto" w:fill="auto"/>
            <w:hideMark/>
          </w:tcPr>
          <w:p w14:paraId="6D863B82" w14:textId="0362B2C5" w:rsidR="00996A89" w:rsidRPr="00996A89" w:rsidRDefault="00996A89" w:rsidP="00996A89">
            <w:pPr>
              <w:spacing w:after="0" w:line="240" w:lineRule="auto"/>
              <w:jc w:val="center"/>
              <w:rPr>
                <w:color w:val="000000"/>
                <w:sz w:val="18"/>
                <w:szCs w:val="18"/>
                <w:lang w:eastAsia="sk-SK"/>
              </w:rPr>
            </w:pPr>
            <w:r w:rsidRPr="00996A89">
              <w:rPr>
                <w:rFonts w:eastAsia="Calibri"/>
                <w:bCs/>
                <w:color w:val="000000"/>
                <w:sz w:val="18"/>
                <w:szCs w:val="18"/>
              </w:rPr>
              <w:t>0,00</w:t>
            </w:r>
          </w:p>
        </w:tc>
        <w:tc>
          <w:tcPr>
            <w:tcW w:w="625" w:type="pct"/>
            <w:tcBorders>
              <w:top w:val="nil"/>
              <w:bottom w:val="single" w:sz="4" w:space="0" w:color="auto"/>
              <w:right w:val="nil"/>
            </w:tcBorders>
            <w:shd w:val="clear" w:color="auto" w:fill="auto"/>
            <w:noWrap/>
            <w:hideMark/>
          </w:tcPr>
          <w:p w14:paraId="51A5DF7D" w14:textId="1224AA46" w:rsidR="00996A89" w:rsidRPr="00996A89" w:rsidRDefault="00996A89" w:rsidP="00996A89">
            <w:pPr>
              <w:spacing w:after="0" w:line="240" w:lineRule="auto"/>
              <w:jc w:val="center"/>
              <w:rPr>
                <w:color w:val="000000"/>
                <w:sz w:val="18"/>
                <w:szCs w:val="18"/>
                <w:lang w:eastAsia="sk-SK"/>
              </w:rPr>
            </w:pPr>
            <w:r w:rsidRPr="00996A89">
              <w:rPr>
                <w:rFonts w:eastAsia="Calibri"/>
                <w:bCs/>
                <w:color w:val="000000"/>
                <w:sz w:val="18"/>
                <w:szCs w:val="18"/>
              </w:rPr>
              <w:t>0,2</w:t>
            </w:r>
          </w:p>
        </w:tc>
      </w:tr>
      <w:tr w:rsidR="00DD0DA5" w:rsidRPr="00996A89" w14:paraId="041B4287" w14:textId="77777777" w:rsidTr="00777298">
        <w:trPr>
          <w:trHeight w:val="166"/>
        </w:trPr>
        <w:tc>
          <w:tcPr>
            <w:tcW w:w="2116" w:type="pct"/>
            <w:tcBorders>
              <w:top w:val="single" w:sz="4" w:space="0" w:color="auto"/>
              <w:left w:val="nil"/>
              <w:bottom w:val="single" w:sz="4" w:space="0" w:color="auto"/>
              <w:right w:val="nil"/>
            </w:tcBorders>
            <w:shd w:val="clear" w:color="auto" w:fill="auto"/>
            <w:noWrap/>
            <w:vAlign w:val="center"/>
            <w:hideMark/>
          </w:tcPr>
          <w:p w14:paraId="19194F14" w14:textId="77777777" w:rsidR="00DD0DA5" w:rsidRPr="00996A89" w:rsidRDefault="00DD0DA5" w:rsidP="00CA4C99">
            <w:pPr>
              <w:spacing w:after="0" w:line="240" w:lineRule="auto"/>
              <w:rPr>
                <w:b/>
                <w:bCs/>
                <w:color w:val="000000"/>
                <w:sz w:val="18"/>
                <w:szCs w:val="18"/>
                <w:lang w:eastAsia="sk-SK"/>
              </w:rPr>
            </w:pPr>
            <w:r w:rsidRPr="00996A89">
              <w:rPr>
                <w:b/>
                <w:bCs/>
                <w:color w:val="000000"/>
                <w:sz w:val="18"/>
                <w:szCs w:val="18"/>
                <w:lang w:eastAsia="sk-SK"/>
              </w:rPr>
              <w:t>Spolu</w:t>
            </w:r>
          </w:p>
        </w:tc>
        <w:tc>
          <w:tcPr>
            <w:tcW w:w="562" w:type="pct"/>
            <w:tcBorders>
              <w:top w:val="single" w:sz="4" w:space="0" w:color="auto"/>
              <w:left w:val="nil"/>
              <w:bottom w:val="single" w:sz="4" w:space="0" w:color="auto"/>
              <w:right w:val="nil"/>
            </w:tcBorders>
            <w:shd w:val="clear" w:color="auto" w:fill="auto"/>
            <w:noWrap/>
            <w:vAlign w:val="center"/>
            <w:hideMark/>
          </w:tcPr>
          <w:p w14:paraId="7AFB6C08" w14:textId="77777777" w:rsidR="00DD0DA5" w:rsidRPr="00996A89" w:rsidRDefault="00DD0DA5" w:rsidP="00CA4C99">
            <w:pPr>
              <w:spacing w:after="0" w:line="240" w:lineRule="auto"/>
              <w:jc w:val="center"/>
              <w:rPr>
                <w:b/>
                <w:bCs/>
                <w:color w:val="000000"/>
                <w:sz w:val="18"/>
                <w:szCs w:val="18"/>
                <w:lang w:eastAsia="sk-SK"/>
              </w:rPr>
            </w:pPr>
          </w:p>
        </w:tc>
        <w:tc>
          <w:tcPr>
            <w:tcW w:w="562" w:type="pct"/>
            <w:tcBorders>
              <w:top w:val="single" w:sz="4" w:space="0" w:color="auto"/>
              <w:left w:val="nil"/>
              <w:bottom w:val="single" w:sz="4" w:space="0" w:color="auto"/>
              <w:right w:val="nil"/>
            </w:tcBorders>
            <w:shd w:val="clear" w:color="auto" w:fill="auto"/>
            <w:noWrap/>
            <w:vAlign w:val="center"/>
            <w:hideMark/>
          </w:tcPr>
          <w:p w14:paraId="1A6C70D6" w14:textId="77777777" w:rsidR="00DD0DA5" w:rsidRPr="00996A89" w:rsidRDefault="00DD0DA5" w:rsidP="00CA4C99">
            <w:pPr>
              <w:spacing w:after="0" w:line="240" w:lineRule="auto"/>
              <w:jc w:val="center"/>
              <w:rPr>
                <w:b/>
                <w:bCs/>
                <w:color w:val="000000"/>
                <w:sz w:val="18"/>
                <w:szCs w:val="18"/>
                <w:lang w:eastAsia="sk-SK"/>
              </w:rPr>
            </w:pPr>
          </w:p>
        </w:tc>
        <w:tc>
          <w:tcPr>
            <w:tcW w:w="574" w:type="pct"/>
            <w:gridSpan w:val="3"/>
            <w:tcBorders>
              <w:top w:val="single" w:sz="4" w:space="0" w:color="auto"/>
              <w:left w:val="nil"/>
              <w:bottom w:val="single" w:sz="4" w:space="0" w:color="auto"/>
              <w:right w:val="nil"/>
            </w:tcBorders>
            <w:shd w:val="clear" w:color="auto" w:fill="auto"/>
            <w:noWrap/>
            <w:vAlign w:val="center"/>
            <w:hideMark/>
          </w:tcPr>
          <w:p w14:paraId="4D317405" w14:textId="77777777" w:rsidR="00DD0DA5" w:rsidRPr="00996A89" w:rsidRDefault="00DD0DA5" w:rsidP="00CA4C99">
            <w:pPr>
              <w:spacing w:after="0" w:line="240" w:lineRule="auto"/>
              <w:jc w:val="center"/>
              <w:rPr>
                <w:b/>
                <w:bCs/>
                <w:color w:val="000000"/>
                <w:sz w:val="18"/>
                <w:szCs w:val="18"/>
                <w:lang w:eastAsia="sk-SK"/>
              </w:rPr>
            </w:pPr>
          </w:p>
        </w:tc>
        <w:tc>
          <w:tcPr>
            <w:tcW w:w="561" w:type="pct"/>
            <w:tcBorders>
              <w:top w:val="single" w:sz="4" w:space="0" w:color="auto"/>
              <w:left w:val="nil"/>
              <w:bottom w:val="single" w:sz="4" w:space="0" w:color="auto"/>
            </w:tcBorders>
            <w:shd w:val="clear" w:color="auto" w:fill="auto"/>
            <w:vAlign w:val="center"/>
            <w:hideMark/>
          </w:tcPr>
          <w:p w14:paraId="7D3CB915" w14:textId="77777777" w:rsidR="00DD0DA5" w:rsidRPr="00996A89" w:rsidRDefault="00DD0DA5" w:rsidP="00CA4C99">
            <w:pPr>
              <w:spacing w:after="0" w:line="240" w:lineRule="auto"/>
              <w:jc w:val="center"/>
              <w:rPr>
                <w:b/>
                <w:bCs/>
                <w:color w:val="000000"/>
                <w:sz w:val="18"/>
                <w:szCs w:val="18"/>
                <w:lang w:eastAsia="sk-SK"/>
              </w:rPr>
            </w:pPr>
          </w:p>
        </w:tc>
        <w:tc>
          <w:tcPr>
            <w:tcW w:w="625" w:type="pct"/>
            <w:tcBorders>
              <w:top w:val="single" w:sz="4" w:space="0" w:color="auto"/>
              <w:bottom w:val="single" w:sz="4" w:space="0" w:color="auto"/>
              <w:right w:val="nil"/>
            </w:tcBorders>
            <w:shd w:val="clear" w:color="auto" w:fill="auto"/>
            <w:noWrap/>
            <w:vAlign w:val="center"/>
            <w:hideMark/>
          </w:tcPr>
          <w:p w14:paraId="1D954F98" w14:textId="2DBA7253" w:rsidR="00DD0DA5" w:rsidRPr="00996A89" w:rsidRDefault="00996A89" w:rsidP="00CA4C99">
            <w:pPr>
              <w:spacing w:after="0" w:line="240" w:lineRule="auto"/>
              <w:jc w:val="center"/>
              <w:rPr>
                <w:b/>
                <w:bCs/>
                <w:color w:val="000000"/>
                <w:sz w:val="18"/>
                <w:szCs w:val="18"/>
                <w:lang w:eastAsia="sk-SK"/>
              </w:rPr>
            </w:pPr>
            <w:r w:rsidRPr="00996A89">
              <w:rPr>
                <w:rFonts w:eastAsia="Calibri"/>
                <w:b/>
                <w:bCs/>
                <w:color w:val="000000"/>
                <w:sz w:val="18"/>
                <w:szCs w:val="18"/>
              </w:rPr>
              <w:t>2,5</w:t>
            </w:r>
          </w:p>
        </w:tc>
      </w:tr>
      <w:tr w:rsidR="00DD0DA5" w:rsidRPr="002746C4" w14:paraId="422A9D59" w14:textId="77777777" w:rsidTr="00777298">
        <w:trPr>
          <w:trHeight w:val="344"/>
        </w:trPr>
        <w:tc>
          <w:tcPr>
            <w:tcW w:w="3267" w:type="pct"/>
            <w:gridSpan w:val="4"/>
            <w:tcBorders>
              <w:top w:val="single" w:sz="4" w:space="0" w:color="auto"/>
              <w:left w:val="nil"/>
              <w:bottom w:val="nil"/>
              <w:right w:val="nil"/>
            </w:tcBorders>
            <w:shd w:val="clear" w:color="auto" w:fill="auto"/>
            <w:noWrap/>
            <w:hideMark/>
          </w:tcPr>
          <w:p w14:paraId="24D3F363" w14:textId="651EE060" w:rsidR="00DD0DA5" w:rsidRPr="00996A89" w:rsidRDefault="00DD0DA5" w:rsidP="00CA4C99">
            <w:pPr>
              <w:spacing w:after="0" w:line="240" w:lineRule="auto"/>
              <w:rPr>
                <w:i/>
                <w:color w:val="000000"/>
                <w:sz w:val="16"/>
                <w:szCs w:val="18"/>
                <w:lang w:eastAsia="sk-SK"/>
              </w:rPr>
            </w:pPr>
            <w:r w:rsidRPr="00996A89">
              <w:rPr>
                <w:i/>
                <w:color w:val="000000"/>
                <w:sz w:val="16"/>
                <w:szCs w:val="18"/>
                <w:lang w:eastAsia="sk-SK"/>
              </w:rPr>
              <w:t xml:space="preserve">* </w:t>
            </w:r>
            <w:r w:rsidR="00996A89" w:rsidRPr="00996A89">
              <w:rPr>
                <w:i/>
                <w:color w:val="000000"/>
                <w:sz w:val="16"/>
                <w:szCs w:val="18"/>
                <w:lang w:eastAsia="sk-SK"/>
              </w:rPr>
              <w:t>Pozn.: Diskontované k roku 2023, bez započítania DPH za služby.</w:t>
            </w:r>
          </w:p>
          <w:p w14:paraId="722CD53C" w14:textId="77777777" w:rsidR="00DD0DA5" w:rsidRPr="00996A89" w:rsidRDefault="00DD0DA5" w:rsidP="00CA4C99">
            <w:pPr>
              <w:spacing w:after="0" w:line="240" w:lineRule="auto"/>
              <w:rPr>
                <w:color w:val="000000"/>
                <w:sz w:val="16"/>
                <w:szCs w:val="18"/>
                <w:lang w:eastAsia="sk-SK"/>
              </w:rPr>
            </w:pPr>
          </w:p>
        </w:tc>
        <w:tc>
          <w:tcPr>
            <w:tcW w:w="113" w:type="pct"/>
            <w:tcBorders>
              <w:top w:val="single" w:sz="4" w:space="0" w:color="auto"/>
              <w:left w:val="nil"/>
              <w:bottom w:val="nil"/>
              <w:right w:val="nil"/>
            </w:tcBorders>
            <w:shd w:val="clear" w:color="auto" w:fill="auto"/>
            <w:noWrap/>
            <w:vAlign w:val="center"/>
            <w:hideMark/>
          </w:tcPr>
          <w:p w14:paraId="3CFD4872" w14:textId="77777777" w:rsidR="00DD0DA5" w:rsidRPr="00996A89" w:rsidRDefault="00DD0DA5" w:rsidP="00CA4C99">
            <w:pPr>
              <w:spacing w:after="0" w:line="240" w:lineRule="auto"/>
              <w:rPr>
                <w:color w:val="000000"/>
                <w:sz w:val="16"/>
                <w:szCs w:val="18"/>
                <w:lang w:eastAsia="sk-SK"/>
              </w:rPr>
            </w:pPr>
            <w:r w:rsidRPr="00996A89">
              <w:rPr>
                <w:color w:val="000000"/>
                <w:sz w:val="16"/>
                <w:szCs w:val="18"/>
                <w:lang w:eastAsia="sk-SK"/>
              </w:rPr>
              <w:t> </w:t>
            </w:r>
          </w:p>
        </w:tc>
        <w:tc>
          <w:tcPr>
            <w:tcW w:w="434" w:type="pct"/>
            <w:tcBorders>
              <w:top w:val="single" w:sz="4" w:space="0" w:color="auto"/>
              <w:left w:val="nil"/>
              <w:bottom w:val="nil"/>
              <w:right w:val="nil"/>
            </w:tcBorders>
            <w:shd w:val="clear" w:color="auto" w:fill="auto"/>
            <w:vAlign w:val="center"/>
            <w:hideMark/>
          </w:tcPr>
          <w:p w14:paraId="5BD11BBF" w14:textId="77777777" w:rsidR="00DD0DA5" w:rsidRPr="00996A89" w:rsidRDefault="00DD0DA5" w:rsidP="00CA4C99">
            <w:pPr>
              <w:spacing w:after="0" w:line="240" w:lineRule="auto"/>
              <w:jc w:val="right"/>
              <w:rPr>
                <w:color w:val="000000"/>
                <w:sz w:val="16"/>
                <w:szCs w:val="18"/>
                <w:lang w:eastAsia="sk-SK"/>
              </w:rPr>
            </w:pPr>
            <w:r w:rsidRPr="00996A89">
              <w:rPr>
                <w:color w:val="000000"/>
                <w:sz w:val="16"/>
                <w:szCs w:val="18"/>
                <w:lang w:eastAsia="sk-SK"/>
              </w:rPr>
              <w:t> </w:t>
            </w:r>
          </w:p>
        </w:tc>
        <w:tc>
          <w:tcPr>
            <w:tcW w:w="1186" w:type="pct"/>
            <w:gridSpan w:val="2"/>
            <w:tcBorders>
              <w:top w:val="single" w:sz="4" w:space="0" w:color="auto"/>
              <w:left w:val="nil"/>
              <w:bottom w:val="nil"/>
              <w:right w:val="nil"/>
            </w:tcBorders>
            <w:shd w:val="clear" w:color="auto" w:fill="auto"/>
            <w:hideMark/>
          </w:tcPr>
          <w:p w14:paraId="00226288" w14:textId="77777777" w:rsidR="00DD0DA5" w:rsidRPr="00996A89" w:rsidRDefault="00DD0DA5" w:rsidP="00CA4C99">
            <w:pPr>
              <w:spacing w:after="0" w:line="240" w:lineRule="auto"/>
              <w:jc w:val="right"/>
              <w:rPr>
                <w:i/>
                <w:color w:val="000000"/>
                <w:sz w:val="16"/>
                <w:szCs w:val="18"/>
                <w:lang w:eastAsia="sk-SK"/>
              </w:rPr>
            </w:pPr>
            <w:r w:rsidRPr="00996A89">
              <w:rPr>
                <w:i/>
                <w:color w:val="000000"/>
                <w:sz w:val="16"/>
                <w:szCs w:val="18"/>
                <w:lang w:eastAsia="sk-SK"/>
              </w:rPr>
              <w:t>Zdroj: MF SR</w:t>
            </w:r>
          </w:p>
        </w:tc>
      </w:tr>
    </w:tbl>
    <w:p w14:paraId="3F0BDE7E" w14:textId="77777777" w:rsidR="00A035B0" w:rsidRDefault="00A035B0" w:rsidP="00A035B0">
      <w:pPr>
        <w:pStyle w:val="Popis"/>
        <w:framePr w:wrap="around" w:y="1574"/>
      </w:pPr>
      <w:r>
        <w:t xml:space="preserve">Tabuľka </w:t>
      </w:r>
      <w:r w:rsidR="001F05DE">
        <w:fldChar w:fldCharType="begin"/>
      </w:r>
      <w:r w:rsidR="001F05DE">
        <w:instrText xml:space="preserve"> SEQ Tabuľka \* ARABIC </w:instrText>
      </w:r>
      <w:r w:rsidR="001F05DE">
        <w:fldChar w:fldCharType="separate"/>
      </w:r>
      <w:r>
        <w:rPr>
          <w:noProof/>
        </w:rPr>
        <w:t>21</w:t>
      </w:r>
      <w:r w:rsidR="001F05DE">
        <w:rPr>
          <w:noProof/>
        </w:rPr>
        <w:fldChar w:fldCharType="end"/>
      </w:r>
      <w:r>
        <w:t xml:space="preserve"> - </w:t>
      </w:r>
      <w:r w:rsidRPr="000F45A0">
        <w:t>Vplyv Národného jadrového fondu</w:t>
      </w:r>
      <w:r>
        <w:t xml:space="preserve"> </w:t>
      </w:r>
      <w:r>
        <w:tab/>
      </w:r>
      <w:r>
        <w:tab/>
      </w:r>
      <w:r>
        <w:tab/>
      </w:r>
      <w:r>
        <w:tab/>
      </w:r>
      <w:r>
        <w:tab/>
      </w:r>
      <w:r>
        <w:tab/>
      </w:r>
      <w:r>
        <w:tab/>
        <w:t>v % HDP</w:t>
      </w:r>
    </w:p>
    <w:p w14:paraId="254175A9" w14:textId="1866BA0E" w:rsidR="0084488D" w:rsidRPr="009117D3" w:rsidRDefault="0084488D" w:rsidP="0084488D">
      <w:pPr>
        <w:autoSpaceDE w:val="0"/>
        <w:autoSpaceDN w:val="0"/>
        <w:adjustRightInd w:val="0"/>
        <w:spacing w:before="120" w:after="120" w:line="240" w:lineRule="auto"/>
        <w:jc w:val="both"/>
        <w:rPr>
          <w:rFonts w:eastAsia="Calibri"/>
          <w:szCs w:val="22"/>
        </w:rPr>
      </w:pPr>
      <w:r w:rsidRPr="009117D3">
        <w:rPr>
          <w:b/>
          <w:szCs w:val="22"/>
        </w:rPr>
        <w:t>Vplyv PPP projektov na celkových implicitných záväzkoch plne kompenzuje schéma vyraďovania jadrových zaradení vo výške 3,</w:t>
      </w:r>
      <w:r>
        <w:rPr>
          <w:b/>
          <w:szCs w:val="22"/>
        </w:rPr>
        <w:t>0% </w:t>
      </w:r>
      <w:r w:rsidRPr="009117D3">
        <w:rPr>
          <w:b/>
          <w:szCs w:val="22"/>
        </w:rPr>
        <w:t>HDP.</w:t>
      </w:r>
      <w:r w:rsidRPr="009117D3">
        <w:rPr>
          <w:rStyle w:val="Odkaznapoznmkupodiarou"/>
        </w:rPr>
        <w:footnoteReference w:id="43"/>
      </w:r>
      <w:r w:rsidRPr="009117D3">
        <w:rPr>
          <w:b/>
          <w:szCs w:val="22"/>
        </w:rPr>
        <w:t xml:space="preserve"> </w:t>
      </w:r>
      <w:r w:rsidRPr="009117D3">
        <w:rPr>
          <w:szCs w:val="22"/>
        </w:rPr>
        <w:t>Medziročne došlo pri záväzkoch k zníženiu pozitívneho príspevku o </w:t>
      </w:r>
      <w:r>
        <w:rPr>
          <w:szCs w:val="22"/>
        </w:rPr>
        <w:t>1</w:t>
      </w:r>
      <w:r w:rsidRPr="009117D3">
        <w:rPr>
          <w:szCs w:val="22"/>
        </w:rPr>
        <w:t>,</w:t>
      </w:r>
      <w:r>
        <w:rPr>
          <w:szCs w:val="22"/>
        </w:rPr>
        <w:t>3</w:t>
      </w:r>
      <w:r w:rsidR="006E5A16">
        <w:rPr>
          <w:szCs w:val="22"/>
        </w:rPr>
        <w:t> </w:t>
      </w:r>
      <w:r w:rsidRPr="009117D3">
        <w:rPr>
          <w:szCs w:val="22"/>
        </w:rPr>
        <w:t>p.</w:t>
      </w:r>
      <w:r w:rsidR="006E5A16">
        <w:rPr>
          <w:szCs w:val="22"/>
        </w:rPr>
        <w:t> </w:t>
      </w:r>
      <w:r w:rsidRPr="009117D3">
        <w:rPr>
          <w:szCs w:val="22"/>
        </w:rPr>
        <w:t>b. z dôvodov aktualizácie schémy očakávaných príjmov a nákladov Národného jadrového fondu na strednodobom horizonte, aktualizácie makroekonomických predpokladov a pod vplyvom zmeny diskontovaného obdobia</w:t>
      </w:r>
      <w:r w:rsidRPr="009117D3">
        <w:rPr>
          <w:rFonts w:eastAsia="Calibri"/>
          <w:szCs w:val="22"/>
        </w:rPr>
        <w:t>.</w:t>
      </w:r>
      <w:r w:rsidRPr="009117D3">
        <w:rPr>
          <w:rFonts w:eastAsia="Calibri"/>
          <w:szCs w:val="22"/>
          <w:vertAlign w:val="superscript"/>
        </w:rPr>
        <w:footnoteReference w:id="44"/>
      </w:r>
    </w:p>
    <w:tbl>
      <w:tblPr>
        <w:tblW w:w="5000" w:type="pct"/>
        <w:tblCellMar>
          <w:left w:w="70" w:type="dxa"/>
          <w:right w:w="70" w:type="dxa"/>
        </w:tblCellMar>
        <w:tblLook w:val="04A0" w:firstRow="1" w:lastRow="0" w:firstColumn="1" w:lastColumn="0" w:noHBand="0" w:noVBand="1"/>
      </w:tblPr>
      <w:tblGrid>
        <w:gridCol w:w="3755"/>
        <w:gridCol w:w="621"/>
        <w:gridCol w:w="1087"/>
        <w:gridCol w:w="1152"/>
        <w:gridCol w:w="1016"/>
        <w:gridCol w:w="859"/>
        <w:gridCol w:w="864"/>
      </w:tblGrid>
      <w:tr w:rsidR="006E5A16" w:rsidRPr="006E5A16" w14:paraId="1E902700" w14:textId="77777777" w:rsidTr="00777298">
        <w:trPr>
          <w:trHeight w:val="316"/>
          <w:tblHeader/>
        </w:trPr>
        <w:tc>
          <w:tcPr>
            <w:tcW w:w="2007" w:type="pct"/>
            <w:tcBorders>
              <w:top w:val="single" w:sz="4" w:space="0" w:color="auto"/>
              <w:left w:val="nil"/>
              <w:bottom w:val="single" w:sz="4" w:space="0" w:color="auto"/>
              <w:right w:val="nil"/>
            </w:tcBorders>
            <w:shd w:val="clear" w:color="auto" w:fill="auto"/>
            <w:noWrap/>
            <w:vAlign w:val="center"/>
            <w:hideMark/>
          </w:tcPr>
          <w:p w14:paraId="749771BC" w14:textId="77777777" w:rsidR="006E5A16" w:rsidRPr="006E5A16" w:rsidRDefault="006E5A16" w:rsidP="006E5A16">
            <w:pPr>
              <w:spacing w:after="0" w:line="240" w:lineRule="auto"/>
              <w:jc w:val="center"/>
              <w:rPr>
                <w:color w:val="000000"/>
                <w:sz w:val="18"/>
                <w:szCs w:val="18"/>
                <w:lang w:eastAsia="sk-SK"/>
              </w:rPr>
            </w:pPr>
            <w:r w:rsidRPr="006E5A16">
              <w:rPr>
                <w:color w:val="000000"/>
                <w:sz w:val="18"/>
                <w:szCs w:val="18"/>
                <w:lang w:eastAsia="sk-SK"/>
              </w:rPr>
              <w:t> </w:t>
            </w:r>
          </w:p>
        </w:tc>
        <w:tc>
          <w:tcPr>
            <w:tcW w:w="332" w:type="pct"/>
            <w:tcBorders>
              <w:top w:val="single" w:sz="4" w:space="0" w:color="auto"/>
              <w:left w:val="nil"/>
              <w:bottom w:val="single" w:sz="4" w:space="0" w:color="auto"/>
              <w:right w:val="nil"/>
            </w:tcBorders>
            <w:shd w:val="clear" w:color="auto" w:fill="auto"/>
            <w:noWrap/>
            <w:vAlign w:val="center"/>
          </w:tcPr>
          <w:p w14:paraId="70F33CF1" w14:textId="77777777" w:rsidR="006E5A16" w:rsidRPr="006E5A16" w:rsidRDefault="006E5A16" w:rsidP="006E5A16">
            <w:pPr>
              <w:spacing w:after="0" w:line="240" w:lineRule="auto"/>
              <w:jc w:val="center"/>
              <w:rPr>
                <w:b/>
                <w:bCs/>
                <w:color w:val="000000"/>
                <w:sz w:val="18"/>
                <w:szCs w:val="18"/>
                <w:lang w:eastAsia="sk-SK"/>
              </w:rPr>
            </w:pPr>
          </w:p>
        </w:tc>
        <w:tc>
          <w:tcPr>
            <w:tcW w:w="581" w:type="pct"/>
            <w:tcBorders>
              <w:top w:val="single" w:sz="4" w:space="0" w:color="auto"/>
              <w:left w:val="nil"/>
              <w:bottom w:val="single" w:sz="4" w:space="0" w:color="auto"/>
              <w:right w:val="nil"/>
            </w:tcBorders>
            <w:shd w:val="clear" w:color="auto" w:fill="auto"/>
            <w:noWrap/>
            <w:vAlign w:val="center"/>
            <w:hideMark/>
          </w:tcPr>
          <w:p w14:paraId="3E75EF4C" w14:textId="7DA5B89E" w:rsidR="006E5A16" w:rsidRPr="006E5A16" w:rsidRDefault="006E5A16" w:rsidP="006E5A16">
            <w:pPr>
              <w:spacing w:after="0" w:line="240" w:lineRule="auto"/>
              <w:jc w:val="center"/>
              <w:rPr>
                <w:b/>
                <w:bCs/>
                <w:color w:val="000000"/>
                <w:sz w:val="18"/>
                <w:szCs w:val="18"/>
                <w:lang w:eastAsia="sk-SK"/>
              </w:rPr>
            </w:pPr>
            <w:r w:rsidRPr="006E5A16">
              <w:rPr>
                <w:b/>
                <w:bCs/>
                <w:color w:val="000000"/>
                <w:sz w:val="18"/>
                <w:szCs w:val="18"/>
                <w:lang w:eastAsia="sk-SK"/>
              </w:rPr>
              <w:t>2023</w:t>
            </w:r>
          </w:p>
        </w:tc>
        <w:tc>
          <w:tcPr>
            <w:tcW w:w="616" w:type="pct"/>
            <w:tcBorders>
              <w:top w:val="single" w:sz="4" w:space="0" w:color="auto"/>
              <w:left w:val="nil"/>
              <w:bottom w:val="single" w:sz="4" w:space="0" w:color="auto"/>
              <w:right w:val="nil"/>
            </w:tcBorders>
            <w:shd w:val="clear" w:color="auto" w:fill="auto"/>
            <w:noWrap/>
            <w:vAlign w:val="center"/>
            <w:hideMark/>
          </w:tcPr>
          <w:p w14:paraId="4D6A194A" w14:textId="2E8DB3FA" w:rsidR="006E5A16" w:rsidRPr="006E5A16" w:rsidRDefault="006E5A16" w:rsidP="006E5A16">
            <w:pPr>
              <w:spacing w:after="0" w:line="240" w:lineRule="auto"/>
              <w:jc w:val="center"/>
              <w:rPr>
                <w:b/>
                <w:bCs/>
                <w:color w:val="000000"/>
                <w:sz w:val="18"/>
                <w:szCs w:val="18"/>
                <w:lang w:eastAsia="sk-SK"/>
              </w:rPr>
            </w:pPr>
            <w:r w:rsidRPr="006E5A16">
              <w:rPr>
                <w:b/>
                <w:bCs/>
                <w:color w:val="000000"/>
                <w:sz w:val="18"/>
                <w:szCs w:val="18"/>
                <w:lang w:eastAsia="sk-SK"/>
              </w:rPr>
              <w:t>2050</w:t>
            </w:r>
          </w:p>
        </w:tc>
        <w:tc>
          <w:tcPr>
            <w:tcW w:w="543" w:type="pct"/>
            <w:tcBorders>
              <w:top w:val="single" w:sz="4" w:space="0" w:color="auto"/>
              <w:left w:val="nil"/>
              <w:bottom w:val="single" w:sz="4" w:space="0" w:color="auto"/>
              <w:right w:val="nil"/>
            </w:tcBorders>
            <w:shd w:val="clear" w:color="auto" w:fill="auto"/>
            <w:noWrap/>
            <w:vAlign w:val="center"/>
            <w:hideMark/>
          </w:tcPr>
          <w:p w14:paraId="7A590E2F" w14:textId="281B0995" w:rsidR="006E5A16" w:rsidRPr="006E5A16" w:rsidRDefault="006E5A16" w:rsidP="006E5A16">
            <w:pPr>
              <w:spacing w:after="0" w:line="240" w:lineRule="auto"/>
              <w:jc w:val="center"/>
              <w:rPr>
                <w:b/>
                <w:bCs/>
                <w:color w:val="000000"/>
                <w:sz w:val="18"/>
                <w:szCs w:val="18"/>
                <w:lang w:eastAsia="sk-SK"/>
              </w:rPr>
            </w:pPr>
            <w:r w:rsidRPr="006E5A16">
              <w:rPr>
                <w:b/>
                <w:bCs/>
                <w:color w:val="000000"/>
                <w:sz w:val="18"/>
                <w:szCs w:val="18"/>
                <w:lang w:eastAsia="sk-SK"/>
              </w:rPr>
              <w:t>2100</w:t>
            </w:r>
          </w:p>
        </w:tc>
        <w:tc>
          <w:tcPr>
            <w:tcW w:w="459" w:type="pct"/>
            <w:tcBorders>
              <w:top w:val="single" w:sz="4" w:space="0" w:color="auto"/>
              <w:left w:val="nil"/>
              <w:bottom w:val="single" w:sz="4" w:space="0" w:color="auto"/>
            </w:tcBorders>
            <w:shd w:val="clear" w:color="auto" w:fill="auto"/>
            <w:noWrap/>
            <w:vAlign w:val="center"/>
            <w:hideMark/>
          </w:tcPr>
          <w:p w14:paraId="45822D44" w14:textId="567B68D0" w:rsidR="006E5A16" w:rsidRPr="006E5A16" w:rsidRDefault="006E5A16" w:rsidP="006E5A16">
            <w:pPr>
              <w:spacing w:after="0" w:line="240" w:lineRule="auto"/>
              <w:jc w:val="center"/>
              <w:rPr>
                <w:b/>
                <w:bCs/>
                <w:color w:val="000000"/>
                <w:sz w:val="18"/>
                <w:szCs w:val="18"/>
                <w:lang w:eastAsia="sk-SK"/>
              </w:rPr>
            </w:pPr>
            <w:r w:rsidRPr="006E5A16">
              <w:rPr>
                <w:b/>
                <w:bCs/>
                <w:color w:val="000000"/>
                <w:sz w:val="18"/>
                <w:szCs w:val="18"/>
                <w:lang w:eastAsia="sk-SK"/>
              </w:rPr>
              <w:t>2140</w:t>
            </w:r>
          </w:p>
        </w:tc>
        <w:tc>
          <w:tcPr>
            <w:tcW w:w="463" w:type="pct"/>
            <w:tcBorders>
              <w:top w:val="single" w:sz="4" w:space="0" w:color="auto"/>
              <w:bottom w:val="single" w:sz="4" w:space="0" w:color="auto"/>
              <w:right w:val="nil"/>
            </w:tcBorders>
            <w:shd w:val="clear" w:color="auto" w:fill="auto"/>
            <w:noWrap/>
            <w:vAlign w:val="center"/>
            <w:hideMark/>
          </w:tcPr>
          <w:p w14:paraId="2E0F5DD9" w14:textId="1E17537F" w:rsidR="006E5A16" w:rsidRPr="006E5A16" w:rsidRDefault="006E5A16" w:rsidP="006E5A16">
            <w:pPr>
              <w:spacing w:after="0" w:line="240" w:lineRule="auto"/>
              <w:jc w:val="center"/>
              <w:rPr>
                <w:b/>
                <w:bCs/>
                <w:color w:val="000000"/>
                <w:sz w:val="18"/>
                <w:szCs w:val="18"/>
                <w:lang w:eastAsia="sk-SK"/>
              </w:rPr>
            </w:pPr>
            <w:r w:rsidRPr="006E5A16">
              <w:rPr>
                <w:b/>
                <w:bCs/>
                <w:color w:val="000000"/>
                <w:sz w:val="18"/>
                <w:szCs w:val="18"/>
                <w:lang w:eastAsia="sk-SK"/>
              </w:rPr>
              <w:t>Spolu</w:t>
            </w:r>
          </w:p>
        </w:tc>
      </w:tr>
      <w:tr w:rsidR="006E5A16" w:rsidRPr="006E5A16" w14:paraId="0BB4C36B" w14:textId="77777777" w:rsidTr="00777298">
        <w:trPr>
          <w:trHeight w:val="316"/>
        </w:trPr>
        <w:tc>
          <w:tcPr>
            <w:tcW w:w="2007" w:type="pct"/>
            <w:tcBorders>
              <w:top w:val="single" w:sz="4" w:space="0" w:color="auto"/>
              <w:left w:val="nil"/>
              <w:bottom w:val="single" w:sz="4" w:space="0" w:color="auto"/>
              <w:right w:val="nil"/>
            </w:tcBorders>
            <w:shd w:val="clear" w:color="auto" w:fill="auto"/>
            <w:noWrap/>
            <w:vAlign w:val="center"/>
            <w:hideMark/>
          </w:tcPr>
          <w:p w14:paraId="1B34E453" w14:textId="77777777" w:rsidR="006E5A16" w:rsidRPr="006E5A16" w:rsidRDefault="006E5A16" w:rsidP="006E5A16">
            <w:pPr>
              <w:spacing w:after="0" w:line="240" w:lineRule="auto"/>
              <w:rPr>
                <w:color w:val="000000"/>
                <w:sz w:val="18"/>
                <w:szCs w:val="18"/>
                <w:lang w:eastAsia="sk-SK"/>
              </w:rPr>
            </w:pPr>
            <w:r w:rsidRPr="006E5A16">
              <w:rPr>
                <w:color w:val="000000"/>
                <w:sz w:val="18"/>
                <w:szCs w:val="18"/>
                <w:lang w:eastAsia="sk-SK"/>
              </w:rPr>
              <w:t>Vplyv NJF na saldo</w:t>
            </w:r>
          </w:p>
        </w:tc>
        <w:tc>
          <w:tcPr>
            <w:tcW w:w="332" w:type="pct"/>
            <w:tcBorders>
              <w:top w:val="single" w:sz="4" w:space="0" w:color="auto"/>
              <w:left w:val="nil"/>
              <w:bottom w:val="single" w:sz="4" w:space="0" w:color="auto"/>
              <w:right w:val="nil"/>
            </w:tcBorders>
            <w:shd w:val="clear" w:color="auto" w:fill="auto"/>
            <w:noWrap/>
            <w:vAlign w:val="center"/>
          </w:tcPr>
          <w:p w14:paraId="5727F5E7" w14:textId="77777777" w:rsidR="006E5A16" w:rsidRPr="006E5A16" w:rsidRDefault="006E5A16" w:rsidP="006E5A16">
            <w:pPr>
              <w:spacing w:after="0" w:line="240" w:lineRule="auto"/>
              <w:rPr>
                <w:rFonts w:eastAsia="Calibri"/>
                <w:bCs/>
                <w:color w:val="000000"/>
                <w:sz w:val="18"/>
                <w:szCs w:val="18"/>
              </w:rPr>
            </w:pPr>
          </w:p>
        </w:tc>
        <w:tc>
          <w:tcPr>
            <w:tcW w:w="581" w:type="pct"/>
            <w:tcBorders>
              <w:top w:val="single" w:sz="4" w:space="0" w:color="auto"/>
              <w:left w:val="nil"/>
              <w:bottom w:val="single" w:sz="4" w:space="0" w:color="auto"/>
              <w:right w:val="nil"/>
            </w:tcBorders>
            <w:shd w:val="clear" w:color="auto" w:fill="auto"/>
            <w:noWrap/>
            <w:vAlign w:val="center"/>
            <w:hideMark/>
          </w:tcPr>
          <w:p w14:paraId="33119023" w14:textId="73F2B0F3" w:rsidR="006E5A16" w:rsidRPr="006E5A16" w:rsidRDefault="006E5A16" w:rsidP="006E5A16">
            <w:pPr>
              <w:spacing w:after="0" w:line="240" w:lineRule="auto"/>
              <w:jc w:val="center"/>
              <w:rPr>
                <w:rFonts w:eastAsia="Calibri"/>
                <w:bCs/>
                <w:color w:val="000000"/>
                <w:sz w:val="18"/>
                <w:szCs w:val="18"/>
              </w:rPr>
            </w:pPr>
            <w:r w:rsidRPr="006E5A16">
              <w:rPr>
                <w:rFonts w:eastAsia="Calibri"/>
                <w:bCs/>
                <w:color w:val="000000"/>
                <w:sz w:val="18"/>
                <w:szCs w:val="18"/>
              </w:rPr>
              <w:t>-0,05</w:t>
            </w:r>
          </w:p>
        </w:tc>
        <w:tc>
          <w:tcPr>
            <w:tcW w:w="616" w:type="pct"/>
            <w:tcBorders>
              <w:top w:val="single" w:sz="4" w:space="0" w:color="auto"/>
              <w:left w:val="nil"/>
              <w:bottom w:val="single" w:sz="4" w:space="0" w:color="auto"/>
              <w:right w:val="nil"/>
            </w:tcBorders>
            <w:shd w:val="clear" w:color="auto" w:fill="auto"/>
            <w:noWrap/>
            <w:vAlign w:val="center"/>
            <w:hideMark/>
          </w:tcPr>
          <w:p w14:paraId="43D353CC" w14:textId="5705F588" w:rsidR="006E5A16" w:rsidRPr="006E5A16" w:rsidRDefault="006E5A16" w:rsidP="006E5A16">
            <w:pPr>
              <w:spacing w:after="0" w:line="240" w:lineRule="auto"/>
              <w:jc w:val="center"/>
              <w:rPr>
                <w:rFonts w:eastAsia="Calibri"/>
                <w:bCs/>
                <w:color w:val="000000"/>
                <w:sz w:val="18"/>
                <w:szCs w:val="18"/>
              </w:rPr>
            </w:pPr>
            <w:r w:rsidRPr="006E5A16">
              <w:rPr>
                <w:rFonts w:eastAsia="Calibri"/>
                <w:bCs/>
                <w:color w:val="000000"/>
                <w:sz w:val="18"/>
                <w:szCs w:val="18"/>
              </w:rPr>
              <w:t>-0,08</w:t>
            </w:r>
          </w:p>
        </w:tc>
        <w:tc>
          <w:tcPr>
            <w:tcW w:w="543" w:type="pct"/>
            <w:tcBorders>
              <w:top w:val="single" w:sz="4" w:space="0" w:color="auto"/>
              <w:left w:val="nil"/>
              <w:bottom w:val="single" w:sz="4" w:space="0" w:color="auto"/>
              <w:right w:val="nil"/>
            </w:tcBorders>
            <w:shd w:val="clear" w:color="auto" w:fill="auto"/>
            <w:noWrap/>
            <w:vAlign w:val="center"/>
            <w:hideMark/>
          </w:tcPr>
          <w:p w14:paraId="1D42A515" w14:textId="6DC5FD06" w:rsidR="006E5A16" w:rsidRPr="006E5A16" w:rsidRDefault="006E5A16" w:rsidP="006E5A16">
            <w:pPr>
              <w:spacing w:after="0" w:line="240" w:lineRule="auto"/>
              <w:jc w:val="center"/>
              <w:rPr>
                <w:rFonts w:eastAsia="Calibri"/>
                <w:bCs/>
                <w:color w:val="000000"/>
                <w:sz w:val="18"/>
                <w:szCs w:val="18"/>
              </w:rPr>
            </w:pPr>
            <w:r w:rsidRPr="006E5A16">
              <w:rPr>
                <w:rFonts w:eastAsia="Calibri"/>
                <w:bCs/>
                <w:color w:val="000000"/>
                <w:sz w:val="18"/>
                <w:szCs w:val="18"/>
              </w:rPr>
              <w:t>0,02</w:t>
            </w:r>
          </w:p>
        </w:tc>
        <w:tc>
          <w:tcPr>
            <w:tcW w:w="459" w:type="pct"/>
            <w:tcBorders>
              <w:top w:val="single" w:sz="4" w:space="0" w:color="auto"/>
              <w:left w:val="nil"/>
              <w:bottom w:val="single" w:sz="4" w:space="0" w:color="auto"/>
            </w:tcBorders>
            <w:shd w:val="clear" w:color="auto" w:fill="auto"/>
            <w:noWrap/>
            <w:vAlign w:val="center"/>
            <w:hideMark/>
          </w:tcPr>
          <w:p w14:paraId="20C3E6A8" w14:textId="1DA59E7E" w:rsidR="006E5A16" w:rsidRPr="006E5A16" w:rsidRDefault="006E5A16" w:rsidP="006E5A16">
            <w:pPr>
              <w:spacing w:after="0" w:line="240" w:lineRule="auto"/>
              <w:jc w:val="center"/>
              <w:rPr>
                <w:rFonts w:eastAsia="Calibri"/>
                <w:bCs/>
                <w:color w:val="000000"/>
                <w:sz w:val="18"/>
                <w:szCs w:val="18"/>
              </w:rPr>
            </w:pPr>
            <w:r w:rsidRPr="006E5A16">
              <w:rPr>
                <w:rFonts w:eastAsia="Calibri"/>
                <w:bCs/>
                <w:color w:val="000000"/>
                <w:sz w:val="18"/>
                <w:szCs w:val="18"/>
              </w:rPr>
              <w:t>0,00</w:t>
            </w:r>
          </w:p>
        </w:tc>
        <w:tc>
          <w:tcPr>
            <w:tcW w:w="463" w:type="pct"/>
            <w:tcBorders>
              <w:top w:val="single" w:sz="4" w:space="0" w:color="auto"/>
              <w:bottom w:val="single" w:sz="4" w:space="0" w:color="auto"/>
              <w:right w:val="nil"/>
            </w:tcBorders>
            <w:shd w:val="clear" w:color="auto" w:fill="auto"/>
            <w:noWrap/>
            <w:vAlign w:val="center"/>
            <w:hideMark/>
          </w:tcPr>
          <w:p w14:paraId="16746E36" w14:textId="17171880" w:rsidR="006E5A16" w:rsidRPr="006E5A16" w:rsidRDefault="006E5A16" w:rsidP="006E5A16">
            <w:pPr>
              <w:spacing w:after="0" w:line="240" w:lineRule="auto"/>
              <w:jc w:val="center"/>
              <w:rPr>
                <w:rFonts w:eastAsia="Calibri"/>
                <w:b/>
                <w:bCs/>
                <w:color w:val="000000"/>
                <w:sz w:val="18"/>
                <w:szCs w:val="18"/>
              </w:rPr>
            </w:pPr>
            <w:r w:rsidRPr="006E5A16">
              <w:rPr>
                <w:rFonts w:eastAsia="Calibri"/>
                <w:color w:val="000000"/>
                <w:sz w:val="18"/>
                <w:szCs w:val="18"/>
              </w:rPr>
              <w:t>-</w:t>
            </w:r>
            <w:r w:rsidRPr="006E5A16">
              <w:rPr>
                <w:rFonts w:eastAsia="Calibri"/>
                <w:b/>
                <w:bCs/>
                <w:color w:val="000000"/>
                <w:sz w:val="18"/>
                <w:szCs w:val="18"/>
              </w:rPr>
              <w:t>3,0</w:t>
            </w:r>
          </w:p>
        </w:tc>
      </w:tr>
    </w:tbl>
    <w:p w14:paraId="30B9A362" w14:textId="5A0598E0" w:rsidR="00DD0DA5" w:rsidRPr="006E5A16" w:rsidRDefault="006E5A16" w:rsidP="00DD0DA5">
      <w:pPr>
        <w:autoSpaceDE w:val="0"/>
        <w:autoSpaceDN w:val="0"/>
        <w:adjustRightInd w:val="0"/>
        <w:spacing w:after="0" w:line="288" w:lineRule="auto"/>
        <w:jc w:val="both"/>
        <w:rPr>
          <w:rFonts w:eastAsia="Calibri"/>
          <w:szCs w:val="22"/>
        </w:rPr>
      </w:pPr>
      <w:r w:rsidRPr="006E5A16">
        <w:rPr>
          <w:i/>
          <w:color w:val="000000"/>
          <w:sz w:val="16"/>
          <w:szCs w:val="18"/>
          <w:lang w:eastAsia="sk-SK"/>
        </w:rPr>
        <w:t>Pozn.: Diskontované k roku 2023</w:t>
      </w:r>
      <w:r w:rsidR="00DD0DA5" w:rsidRPr="006E5A16">
        <w:rPr>
          <w:i/>
          <w:color w:val="000000"/>
          <w:sz w:val="16"/>
          <w:szCs w:val="18"/>
          <w:lang w:eastAsia="sk-SK"/>
        </w:rPr>
        <w:t>.</w:t>
      </w:r>
      <w:r w:rsidR="00DD0DA5" w:rsidRPr="006E5A16">
        <w:rPr>
          <w:color w:val="000000"/>
          <w:sz w:val="16"/>
          <w:szCs w:val="18"/>
          <w:lang w:eastAsia="sk-SK"/>
        </w:rPr>
        <w:tab/>
      </w:r>
      <w:r w:rsidR="00DD0DA5" w:rsidRPr="006E5A16">
        <w:rPr>
          <w:color w:val="000000"/>
          <w:sz w:val="16"/>
          <w:szCs w:val="18"/>
          <w:lang w:eastAsia="sk-SK"/>
        </w:rPr>
        <w:tab/>
      </w:r>
      <w:r w:rsidR="00DD0DA5" w:rsidRPr="006E5A16">
        <w:rPr>
          <w:color w:val="000000"/>
          <w:sz w:val="16"/>
          <w:szCs w:val="18"/>
          <w:lang w:eastAsia="sk-SK"/>
        </w:rPr>
        <w:tab/>
      </w:r>
      <w:r w:rsidR="00DD0DA5" w:rsidRPr="006E5A16">
        <w:rPr>
          <w:color w:val="000000"/>
          <w:sz w:val="16"/>
          <w:szCs w:val="18"/>
          <w:lang w:eastAsia="sk-SK"/>
        </w:rPr>
        <w:tab/>
      </w:r>
      <w:r w:rsidR="00DD0DA5" w:rsidRPr="006E5A16">
        <w:rPr>
          <w:color w:val="000000"/>
          <w:sz w:val="16"/>
          <w:szCs w:val="18"/>
          <w:lang w:eastAsia="sk-SK"/>
        </w:rPr>
        <w:tab/>
      </w:r>
      <w:r w:rsidR="00DD0DA5" w:rsidRPr="006E5A16">
        <w:rPr>
          <w:color w:val="000000"/>
          <w:sz w:val="16"/>
          <w:szCs w:val="18"/>
          <w:lang w:eastAsia="sk-SK"/>
        </w:rPr>
        <w:tab/>
      </w:r>
      <w:r w:rsidR="00DD0DA5" w:rsidRPr="006E5A16">
        <w:rPr>
          <w:color w:val="000000"/>
          <w:sz w:val="16"/>
          <w:szCs w:val="18"/>
          <w:lang w:eastAsia="sk-SK"/>
        </w:rPr>
        <w:tab/>
      </w:r>
      <w:r w:rsidR="00DD0DA5" w:rsidRPr="006E5A16">
        <w:rPr>
          <w:color w:val="000000"/>
          <w:sz w:val="16"/>
          <w:szCs w:val="18"/>
          <w:lang w:eastAsia="sk-SK"/>
        </w:rPr>
        <w:tab/>
        <w:t xml:space="preserve">         </w:t>
      </w:r>
      <w:r w:rsidR="00777298">
        <w:rPr>
          <w:color w:val="000000"/>
          <w:sz w:val="16"/>
          <w:szCs w:val="18"/>
          <w:lang w:eastAsia="sk-SK"/>
        </w:rPr>
        <w:t xml:space="preserve">       </w:t>
      </w:r>
      <w:r w:rsidR="00DD0DA5" w:rsidRPr="006E5A16">
        <w:rPr>
          <w:i/>
          <w:color w:val="000000"/>
          <w:sz w:val="16"/>
          <w:szCs w:val="18"/>
          <w:lang w:eastAsia="sk-SK"/>
        </w:rPr>
        <w:t>Zdroj: MF SR</w:t>
      </w:r>
    </w:p>
    <w:p w14:paraId="5CBDB354" w14:textId="746771BB" w:rsidR="00DD0DA5" w:rsidRDefault="00D7788E" w:rsidP="00DB7EF3">
      <w:pPr>
        <w:spacing w:before="120" w:after="120" w:line="240" w:lineRule="auto"/>
        <w:jc w:val="both"/>
      </w:pPr>
      <w:r w:rsidRPr="009117D3">
        <w:rPr>
          <w:b/>
        </w:rPr>
        <w:t>Od roku 2020 medzi implicitné záväzky MF SR zaraďuje</w:t>
      </w:r>
      <w:r>
        <w:rPr>
          <w:b/>
        </w:rPr>
        <w:t xml:space="preserve"> aj platby, ktoré SR odvedie do </w:t>
      </w:r>
      <w:r w:rsidRPr="009117D3">
        <w:rPr>
          <w:b/>
        </w:rPr>
        <w:t>rozpočtu EÚ formou vyššieho odvodu za zdroje získane z nástroja Next Generation EU.</w:t>
      </w:r>
      <w:r w:rsidRPr="009117D3">
        <w:t xml:space="preserve"> Balíkom sa v nasledujúcich rokoch podporia najmä investície do zelenej a digitálnej transformácie. Finančné prostriedky na zabezpečenie týchto grantov získala priamo EÚ. Dohoda predpokladá, že ich splácanie sa</w:t>
      </w:r>
      <w:r w:rsidR="00645EDA">
        <w:t> </w:t>
      </w:r>
      <w:r w:rsidRPr="009117D3">
        <w:t>začne najskôr v roku 2028 a bude trvať maximálne do roku 2058. Splácanie istiny a úrokových platieb sa následne prejaví v budúcich príspevkoch členských štátov do r</w:t>
      </w:r>
      <w:r>
        <w:t>ozpočtu EÚ. Ak by sa zdroje pre </w:t>
      </w:r>
      <w:r w:rsidRPr="009117D3">
        <w:t>NGEU financovali zo zavedenia nových celoeurópskych daní</w:t>
      </w:r>
      <w:r w:rsidRPr="009117D3">
        <w:rPr>
          <w:rStyle w:val="Odkaznapoznmkupodiarou"/>
        </w:rPr>
        <w:footnoteReference w:id="45"/>
      </w:r>
      <w:r w:rsidRPr="009117D3">
        <w:t>, vplyv NGEU na implicitné záväzky by sa neutralizoval. Slovensko v aktuálnych predpokladoch rozpočtu očakáva vyššie odvody, ktoré v súčasnom vyjadrení zvyšujú implicitné záväzky o 3,</w:t>
      </w:r>
      <w:r>
        <w:t>6</w:t>
      </w:r>
      <w:r w:rsidR="007241BD">
        <w:t> </w:t>
      </w:r>
      <w:r w:rsidRPr="009117D3">
        <w:t>% HDP.</w:t>
      </w:r>
    </w:p>
    <w:p w14:paraId="6A8F2BAB" w14:textId="77777777" w:rsidR="00A035B0" w:rsidRDefault="00A035B0" w:rsidP="00A035B0">
      <w:pPr>
        <w:pStyle w:val="Popis"/>
        <w:framePr w:wrap="around" w:y="750"/>
      </w:pPr>
      <w:bookmarkStart w:id="71" w:name="_Ref180140610"/>
      <w:r>
        <w:t xml:space="preserve">Tabuľka </w:t>
      </w:r>
      <w:r w:rsidR="001F05DE">
        <w:fldChar w:fldCharType="begin"/>
      </w:r>
      <w:r w:rsidR="001F05DE">
        <w:instrText xml:space="preserve"> SEQ Tabuľka \* ARABIC </w:instrText>
      </w:r>
      <w:r w:rsidR="001F05DE">
        <w:fldChar w:fldCharType="separate"/>
      </w:r>
      <w:r>
        <w:rPr>
          <w:noProof/>
        </w:rPr>
        <w:t>22</w:t>
      </w:r>
      <w:r w:rsidR="001F05DE">
        <w:rPr>
          <w:noProof/>
        </w:rPr>
        <w:fldChar w:fldCharType="end"/>
      </w:r>
      <w:bookmarkEnd w:id="71"/>
      <w:r>
        <w:t xml:space="preserve"> - </w:t>
      </w:r>
      <w:r w:rsidRPr="00447CBE">
        <w:t>Vplyv Plánu obnovy</w:t>
      </w:r>
      <w:r>
        <w:t xml:space="preserve"> </w:t>
      </w:r>
      <w:r>
        <w:tab/>
      </w:r>
      <w:r>
        <w:tab/>
      </w:r>
      <w:r>
        <w:tab/>
      </w:r>
      <w:r>
        <w:tab/>
      </w:r>
      <w:r>
        <w:tab/>
      </w:r>
      <w:r>
        <w:tab/>
      </w:r>
      <w:r>
        <w:tab/>
      </w:r>
      <w:r>
        <w:tab/>
        <w:t>v % HDP</w:t>
      </w:r>
    </w:p>
    <w:p w14:paraId="2D2C1FFA" w14:textId="6200B492" w:rsidR="007241BD" w:rsidRPr="002746C4" w:rsidRDefault="007241BD" w:rsidP="00DB7EF3">
      <w:pPr>
        <w:spacing w:before="120" w:after="120" w:line="240" w:lineRule="auto"/>
        <w:jc w:val="both"/>
        <w:rPr>
          <w:highlight w:val="yellow"/>
        </w:rPr>
      </w:pPr>
      <w:r w:rsidRPr="009117D3">
        <w:t xml:space="preserve">Oproti minulému roku sa vplyv na záväzky </w:t>
      </w:r>
      <w:r>
        <w:t>zvýšil</w:t>
      </w:r>
      <w:r w:rsidRPr="009117D3">
        <w:t xml:space="preserve"> o 0,</w:t>
      </w:r>
      <w:r>
        <w:t>1 </w:t>
      </w:r>
      <w:r w:rsidRPr="009117D3">
        <w:t>p.</w:t>
      </w:r>
      <w:r>
        <w:t> </w:t>
      </w:r>
      <w:r w:rsidRPr="009117D3">
        <w:t xml:space="preserve">b. HDP </w:t>
      </w:r>
      <w:r>
        <w:t xml:space="preserve">pod </w:t>
      </w:r>
      <w:r w:rsidRPr="009117D3">
        <w:t>vplyvom aktualizácie makroekonomických vstupov</w:t>
      </w:r>
      <w:r>
        <w:t xml:space="preserve"> a predpokladov k splátkam</w:t>
      </w:r>
      <w:r w:rsidRPr="009117D3">
        <w:t>.</w:t>
      </w:r>
    </w:p>
    <w:tbl>
      <w:tblPr>
        <w:tblW w:w="5000" w:type="pct"/>
        <w:tblLook w:val="04A0" w:firstRow="1" w:lastRow="0" w:firstColumn="1" w:lastColumn="0" w:noHBand="0" w:noVBand="1"/>
      </w:tblPr>
      <w:tblGrid>
        <w:gridCol w:w="3554"/>
        <w:gridCol w:w="894"/>
        <w:gridCol w:w="894"/>
        <w:gridCol w:w="894"/>
        <w:gridCol w:w="894"/>
        <w:gridCol w:w="894"/>
        <w:gridCol w:w="1330"/>
      </w:tblGrid>
      <w:tr w:rsidR="00112D4B" w:rsidRPr="00112D4B" w14:paraId="583FFDF4" w14:textId="77777777" w:rsidTr="00E43DA9">
        <w:trPr>
          <w:trHeight w:val="177"/>
          <w:tblHeader/>
        </w:trPr>
        <w:tc>
          <w:tcPr>
            <w:tcW w:w="1899" w:type="pct"/>
            <w:tcBorders>
              <w:top w:val="single" w:sz="4" w:space="0" w:color="auto"/>
              <w:bottom w:val="single" w:sz="4" w:space="0" w:color="auto"/>
            </w:tcBorders>
            <w:shd w:val="clear" w:color="auto" w:fill="auto"/>
            <w:noWrap/>
            <w:vAlign w:val="center"/>
            <w:hideMark/>
          </w:tcPr>
          <w:p w14:paraId="0C32727A" w14:textId="77777777" w:rsidR="00112D4B" w:rsidRPr="00112D4B" w:rsidRDefault="00112D4B" w:rsidP="00112D4B">
            <w:pPr>
              <w:spacing w:after="0" w:line="240" w:lineRule="auto"/>
              <w:jc w:val="center"/>
              <w:rPr>
                <w:color w:val="000000"/>
                <w:sz w:val="18"/>
                <w:szCs w:val="20"/>
              </w:rPr>
            </w:pPr>
            <w:r w:rsidRPr="00112D4B">
              <w:rPr>
                <w:color w:val="000000"/>
                <w:sz w:val="18"/>
                <w:szCs w:val="20"/>
              </w:rPr>
              <w:t> </w:t>
            </w:r>
          </w:p>
        </w:tc>
        <w:tc>
          <w:tcPr>
            <w:tcW w:w="478" w:type="pct"/>
            <w:tcBorders>
              <w:top w:val="single" w:sz="4" w:space="0" w:color="auto"/>
              <w:bottom w:val="single" w:sz="4" w:space="0" w:color="auto"/>
            </w:tcBorders>
            <w:shd w:val="clear" w:color="auto" w:fill="auto"/>
            <w:noWrap/>
            <w:vAlign w:val="center"/>
            <w:hideMark/>
          </w:tcPr>
          <w:p w14:paraId="065E681F" w14:textId="0797CED8" w:rsidR="00112D4B" w:rsidRPr="00112D4B" w:rsidRDefault="00112D4B" w:rsidP="00112D4B">
            <w:pPr>
              <w:spacing w:after="0" w:line="240" w:lineRule="auto"/>
              <w:jc w:val="center"/>
              <w:rPr>
                <w:b/>
                <w:bCs/>
                <w:color w:val="000000"/>
                <w:sz w:val="18"/>
                <w:szCs w:val="20"/>
              </w:rPr>
            </w:pPr>
            <w:r w:rsidRPr="00112D4B">
              <w:rPr>
                <w:b/>
                <w:sz w:val="18"/>
                <w:szCs w:val="20"/>
              </w:rPr>
              <w:t>2023</w:t>
            </w:r>
          </w:p>
        </w:tc>
        <w:tc>
          <w:tcPr>
            <w:tcW w:w="478" w:type="pct"/>
            <w:tcBorders>
              <w:top w:val="single" w:sz="4" w:space="0" w:color="auto"/>
              <w:bottom w:val="single" w:sz="4" w:space="0" w:color="auto"/>
            </w:tcBorders>
            <w:shd w:val="clear" w:color="auto" w:fill="auto"/>
            <w:noWrap/>
            <w:vAlign w:val="center"/>
            <w:hideMark/>
          </w:tcPr>
          <w:p w14:paraId="6ECD30C5" w14:textId="65770AEE" w:rsidR="00112D4B" w:rsidRPr="00112D4B" w:rsidRDefault="00112D4B" w:rsidP="00112D4B">
            <w:pPr>
              <w:spacing w:after="0" w:line="240" w:lineRule="auto"/>
              <w:jc w:val="center"/>
              <w:rPr>
                <w:b/>
                <w:bCs/>
                <w:color w:val="000000"/>
                <w:sz w:val="18"/>
                <w:szCs w:val="20"/>
              </w:rPr>
            </w:pPr>
            <w:r w:rsidRPr="00112D4B">
              <w:rPr>
                <w:b/>
                <w:sz w:val="18"/>
                <w:szCs w:val="20"/>
              </w:rPr>
              <w:t>2030</w:t>
            </w:r>
          </w:p>
        </w:tc>
        <w:tc>
          <w:tcPr>
            <w:tcW w:w="478" w:type="pct"/>
            <w:tcBorders>
              <w:top w:val="single" w:sz="4" w:space="0" w:color="auto"/>
              <w:bottom w:val="single" w:sz="4" w:space="0" w:color="auto"/>
            </w:tcBorders>
            <w:shd w:val="clear" w:color="auto" w:fill="auto"/>
            <w:noWrap/>
            <w:vAlign w:val="center"/>
            <w:hideMark/>
          </w:tcPr>
          <w:p w14:paraId="50D4E8A8" w14:textId="3581C31B" w:rsidR="00112D4B" w:rsidRPr="00112D4B" w:rsidRDefault="00112D4B" w:rsidP="00112D4B">
            <w:pPr>
              <w:spacing w:after="0" w:line="240" w:lineRule="auto"/>
              <w:jc w:val="center"/>
              <w:rPr>
                <w:b/>
                <w:bCs/>
                <w:color w:val="000000"/>
                <w:sz w:val="18"/>
                <w:szCs w:val="20"/>
              </w:rPr>
            </w:pPr>
            <w:r w:rsidRPr="00112D4B">
              <w:rPr>
                <w:b/>
                <w:sz w:val="18"/>
                <w:szCs w:val="20"/>
              </w:rPr>
              <w:t>2040</w:t>
            </w:r>
          </w:p>
        </w:tc>
        <w:tc>
          <w:tcPr>
            <w:tcW w:w="478" w:type="pct"/>
            <w:tcBorders>
              <w:top w:val="single" w:sz="4" w:space="0" w:color="auto"/>
              <w:bottom w:val="single" w:sz="4" w:space="0" w:color="auto"/>
            </w:tcBorders>
            <w:shd w:val="clear" w:color="auto" w:fill="auto"/>
            <w:noWrap/>
            <w:vAlign w:val="center"/>
            <w:hideMark/>
          </w:tcPr>
          <w:p w14:paraId="12EE4EE0" w14:textId="3EFD7F87" w:rsidR="00112D4B" w:rsidRPr="00112D4B" w:rsidRDefault="00112D4B" w:rsidP="00112D4B">
            <w:pPr>
              <w:spacing w:after="0" w:line="240" w:lineRule="auto"/>
              <w:jc w:val="center"/>
              <w:rPr>
                <w:b/>
                <w:bCs/>
                <w:color w:val="000000"/>
                <w:sz w:val="18"/>
                <w:szCs w:val="20"/>
              </w:rPr>
            </w:pPr>
            <w:r w:rsidRPr="00112D4B">
              <w:rPr>
                <w:b/>
                <w:sz w:val="18"/>
                <w:szCs w:val="20"/>
              </w:rPr>
              <w:t>2050</w:t>
            </w:r>
          </w:p>
        </w:tc>
        <w:tc>
          <w:tcPr>
            <w:tcW w:w="478" w:type="pct"/>
            <w:tcBorders>
              <w:top w:val="single" w:sz="4" w:space="0" w:color="auto"/>
              <w:bottom w:val="single" w:sz="4" w:space="0" w:color="auto"/>
            </w:tcBorders>
            <w:shd w:val="clear" w:color="auto" w:fill="auto"/>
          </w:tcPr>
          <w:p w14:paraId="5B5492AF" w14:textId="3D8ED869" w:rsidR="00112D4B" w:rsidRPr="00112D4B" w:rsidRDefault="00112D4B" w:rsidP="00112D4B">
            <w:pPr>
              <w:spacing w:after="0" w:line="240" w:lineRule="auto"/>
              <w:jc w:val="center"/>
              <w:rPr>
                <w:b/>
                <w:sz w:val="18"/>
                <w:szCs w:val="20"/>
              </w:rPr>
            </w:pPr>
            <w:r w:rsidRPr="00112D4B">
              <w:rPr>
                <w:b/>
                <w:sz w:val="18"/>
                <w:szCs w:val="20"/>
              </w:rPr>
              <w:t>2058</w:t>
            </w:r>
          </w:p>
        </w:tc>
        <w:tc>
          <w:tcPr>
            <w:tcW w:w="711" w:type="pct"/>
            <w:tcBorders>
              <w:top w:val="single" w:sz="4" w:space="0" w:color="auto"/>
              <w:bottom w:val="single" w:sz="4" w:space="0" w:color="auto"/>
            </w:tcBorders>
            <w:shd w:val="clear" w:color="auto" w:fill="auto"/>
            <w:noWrap/>
            <w:vAlign w:val="center"/>
          </w:tcPr>
          <w:p w14:paraId="568C1CF6" w14:textId="23CB5FCF" w:rsidR="00112D4B" w:rsidRPr="00112D4B" w:rsidRDefault="00112D4B" w:rsidP="00112D4B">
            <w:pPr>
              <w:spacing w:after="0" w:line="240" w:lineRule="auto"/>
              <w:jc w:val="center"/>
              <w:rPr>
                <w:b/>
                <w:bCs/>
                <w:color w:val="000000"/>
                <w:sz w:val="18"/>
                <w:szCs w:val="20"/>
              </w:rPr>
            </w:pPr>
            <w:r w:rsidRPr="00112D4B">
              <w:rPr>
                <w:b/>
                <w:sz w:val="18"/>
                <w:szCs w:val="20"/>
              </w:rPr>
              <w:t>Spolu</w:t>
            </w:r>
          </w:p>
        </w:tc>
      </w:tr>
      <w:tr w:rsidR="00112D4B" w:rsidRPr="00112D4B" w14:paraId="37E6D695" w14:textId="77777777" w:rsidTr="00E43DA9">
        <w:trPr>
          <w:trHeight w:val="317"/>
        </w:trPr>
        <w:tc>
          <w:tcPr>
            <w:tcW w:w="1899" w:type="pct"/>
            <w:tcBorders>
              <w:top w:val="single" w:sz="4" w:space="0" w:color="auto"/>
              <w:bottom w:val="single" w:sz="4" w:space="0" w:color="auto"/>
            </w:tcBorders>
            <w:shd w:val="clear" w:color="auto" w:fill="auto"/>
            <w:noWrap/>
            <w:vAlign w:val="center"/>
            <w:hideMark/>
          </w:tcPr>
          <w:p w14:paraId="29FE6BC2" w14:textId="77777777" w:rsidR="00112D4B" w:rsidRPr="00112D4B" w:rsidRDefault="00112D4B" w:rsidP="00112D4B">
            <w:pPr>
              <w:spacing w:after="0" w:line="240" w:lineRule="auto"/>
              <w:rPr>
                <w:color w:val="000000"/>
                <w:sz w:val="18"/>
                <w:szCs w:val="20"/>
              </w:rPr>
            </w:pPr>
            <w:r w:rsidRPr="00112D4B">
              <w:rPr>
                <w:color w:val="000000"/>
                <w:sz w:val="18"/>
                <w:szCs w:val="20"/>
              </w:rPr>
              <w:t>Vplyv Plánu obnovy na saldo</w:t>
            </w:r>
          </w:p>
        </w:tc>
        <w:tc>
          <w:tcPr>
            <w:tcW w:w="478" w:type="pct"/>
            <w:tcBorders>
              <w:top w:val="single" w:sz="4" w:space="0" w:color="auto"/>
              <w:bottom w:val="single" w:sz="4" w:space="0" w:color="auto"/>
            </w:tcBorders>
            <w:shd w:val="clear" w:color="auto" w:fill="auto"/>
            <w:noWrap/>
            <w:vAlign w:val="center"/>
            <w:hideMark/>
          </w:tcPr>
          <w:p w14:paraId="2078BD75" w14:textId="1B98C5F3" w:rsidR="00112D4B" w:rsidRPr="00112D4B" w:rsidRDefault="00112D4B" w:rsidP="00112D4B">
            <w:pPr>
              <w:spacing w:after="0" w:line="240" w:lineRule="auto"/>
              <w:jc w:val="center"/>
              <w:rPr>
                <w:color w:val="000000"/>
                <w:sz w:val="18"/>
                <w:szCs w:val="20"/>
              </w:rPr>
            </w:pPr>
            <w:r w:rsidRPr="00112D4B">
              <w:rPr>
                <w:sz w:val="18"/>
                <w:szCs w:val="20"/>
              </w:rPr>
              <w:t>0,0</w:t>
            </w:r>
          </w:p>
        </w:tc>
        <w:tc>
          <w:tcPr>
            <w:tcW w:w="478" w:type="pct"/>
            <w:tcBorders>
              <w:top w:val="single" w:sz="4" w:space="0" w:color="auto"/>
              <w:bottom w:val="single" w:sz="4" w:space="0" w:color="auto"/>
            </w:tcBorders>
            <w:shd w:val="clear" w:color="auto" w:fill="auto"/>
            <w:noWrap/>
            <w:vAlign w:val="center"/>
            <w:hideMark/>
          </w:tcPr>
          <w:p w14:paraId="5308EC06" w14:textId="365F6C07" w:rsidR="00112D4B" w:rsidRPr="00112D4B" w:rsidRDefault="00112D4B" w:rsidP="00112D4B">
            <w:pPr>
              <w:spacing w:after="0" w:line="240" w:lineRule="auto"/>
              <w:jc w:val="center"/>
              <w:rPr>
                <w:color w:val="000000"/>
                <w:sz w:val="18"/>
                <w:szCs w:val="20"/>
              </w:rPr>
            </w:pPr>
            <w:r w:rsidRPr="00112D4B">
              <w:rPr>
                <w:sz w:val="18"/>
                <w:szCs w:val="20"/>
              </w:rPr>
              <w:t>-0,2</w:t>
            </w:r>
          </w:p>
        </w:tc>
        <w:tc>
          <w:tcPr>
            <w:tcW w:w="478" w:type="pct"/>
            <w:tcBorders>
              <w:top w:val="single" w:sz="4" w:space="0" w:color="auto"/>
              <w:bottom w:val="single" w:sz="4" w:space="0" w:color="auto"/>
            </w:tcBorders>
            <w:shd w:val="clear" w:color="auto" w:fill="auto"/>
            <w:noWrap/>
            <w:vAlign w:val="center"/>
            <w:hideMark/>
          </w:tcPr>
          <w:p w14:paraId="185376B4" w14:textId="34533989" w:rsidR="00112D4B" w:rsidRPr="00112D4B" w:rsidRDefault="00112D4B" w:rsidP="00112D4B">
            <w:pPr>
              <w:spacing w:after="0" w:line="240" w:lineRule="auto"/>
              <w:jc w:val="center"/>
              <w:rPr>
                <w:color w:val="000000"/>
                <w:sz w:val="18"/>
                <w:szCs w:val="20"/>
              </w:rPr>
            </w:pPr>
            <w:r w:rsidRPr="00112D4B">
              <w:rPr>
                <w:sz w:val="18"/>
                <w:szCs w:val="20"/>
              </w:rPr>
              <w:t>-0,1</w:t>
            </w:r>
          </w:p>
        </w:tc>
        <w:tc>
          <w:tcPr>
            <w:tcW w:w="478" w:type="pct"/>
            <w:tcBorders>
              <w:top w:val="single" w:sz="4" w:space="0" w:color="auto"/>
              <w:bottom w:val="single" w:sz="4" w:space="0" w:color="auto"/>
            </w:tcBorders>
            <w:shd w:val="clear" w:color="auto" w:fill="auto"/>
            <w:noWrap/>
            <w:vAlign w:val="center"/>
            <w:hideMark/>
          </w:tcPr>
          <w:p w14:paraId="54FD86AB" w14:textId="78CF2810" w:rsidR="00112D4B" w:rsidRPr="00112D4B" w:rsidRDefault="00112D4B" w:rsidP="00112D4B">
            <w:pPr>
              <w:spacing w:after="0" w:line="240" w:lineRule="auto"/>
              <w:jc w:val="center"/>
              <w:rPr>
                <w:color w:val="000000"/>
                <w:sz w:val="18"/>
                <w:szCs w:val="20"/>
              </w:rPr>
            </w:pPr>
            <w:r w:rsidRPr="00112D4B">
              <w:rPr>
                <w:sz w:val="18"/>
                <w:szCs w:val="20"/>
              </w:rPr>
              <w:t>-0,1</w:t>
            </w:r>
          </w:p>
        </w:tc>
        <w:tc>
          <w:tcPr>
            <w:tcW w:w="478" w:type="pct"/>
            <w:tcBorders>
              <w:top w:val="single" w:sz="4" w:space="0" w:color="auto"/>
              <w:bottom w:val="single" w:sz="4" w:space="0" w:color="auto"/>
            </w:tcBorders>
            <w:vAlign w:val="center"/>
          </w:tcPr>
          <w:p w14:paraId="1D243F91" w14:textId="5CA45970" w:rsidR="00112D4B" w:rsidRPr="00112D4B" w:rsidRDefault="00112D4B" w:rsidP="00112D4B">
            <w:pPr>
              <w:spacing w:after="0" w:line="240" w:lineRule="auto"/>
              <w:jc w:val="center"/>
              <w:rPr>
                <w:sz w:val="18"/>
                <w:szCs w:val="20"/>
              </w:rPr>
            </w:pPr>
            <w:r w:rsidRPr="00112D4B">
              <w:rPr>
                <w:sz w:val="18"/>
                <w:szCs w:val="20"/>
              </w:rPr>
              <w:t>0,0</w:t>
            </w:r>
          </w:p>
        </w:tc>
        <w:tc>
          <w:tcPr>
            <w:tcW w:w="711" w:type="pct"/>
            <w:tcBorders>
              <w:top w:val="single" w:sz="4" w:space="0" w:color="auto"/>
              <w:bottom w:val="single" w:sz="4" w:space="0" w:color="auto"/>
            </w:tcBorders>
            <w:shd w:val="clear" w:color="auto" w:fill="auto"/>
            <w:noWrap/>
            <w:vAlign w:val="center"/>
          </w:tcPr>
          <w:p w14:paraId="12A7514E" w14:textId="58DA37BC" w:rsidR="00112D4B" w:rsidRPr="00112D4B" w:rsidRDefault="00112D4B" w:rsidP="00112D4B">
            <w:pPr>
              <w:spacing w:after="0" w:line="240" w:lineRule="auto"/>
              <w:jc w:val="center"/>
              <w:rPr>
                <w:b/>
                <w:color w:val="000000"/>
                <w:sz w:val="18"/>
                <w:szCs w:val="20"/>
              </w:rPr>
            </w:pPr>
            <w:r w:rsidRPr="00112D4B">
              <w:rPr>
                <w:bCs/>
                <w:sz w:val="18"/>
                <w:szCs w:val="20"/>
              </w:rPr>
              <w:t>-</w:t>
            </w:r>
            <w:r w:rsidRPr="00112D4B">
              <w:rPr>
                <w:b/>
                <w:sz w:val="18"/>
                <w:szCs w:val="20"/>
              </w:rPr>
              <w:t>3,6</w:t>
            </w:r>
          </w:p>
        </w:tc>
      </w:tr>
      <w:tr w:rsidR="00DD0DA5" w:rsidRPr="002746C4" w14:paraId="2895E9C5" w14:textId="77777777" w:rsidTr="00E43DA9">
        <w:trPr>
          <w:trHeight w:val="254"/>
        </w:trPr>
        <w:tc>
          <w:tcPr>
            <w:tcW w:w="5000" w:type="pct"/>
            <w:gridSpan w:val="7"/>
            <w:tcBorders>
              <w:top w:val="single" w:sz="4" w:space="0" w:color="auto"/>
              <w:left w:val="nil"/>
              <w:bottom w:val="nil"/>
              <w:right w:val="nil"/>
            </w:tcBorders>
          </w:tcPr>
          <w:p w14:paraId="2DC2E347" w14:textId="15A0BA35" w:rsidR="00DD0DA5" w:rsidRPr="00112D4B" w:rsidRDefault="00DD0DA5" w:rsidP="00E43DA9">
            <w:pPr>
              <w:spacing w:after="0" w:line="240" w:lineRule="auto"/>
              <w:rPr>
                <w:color w:val="000000"/>
                <w:sz w:val="14"/>
                <w:szCs w:val="14"/>
              </w:rPr>
            </w:pPr>
            <w:r w:rsidRPr="00112D4B">
              <w:rPr>
                <w:i/>
                <w:color w:val="000000"/>
                <w:sz w:val="16"/>
                <w:szCs w:val="18"/>
                <w:lang w:eastAsia="sk-SK"/>
              </w:rPr>
              <w:t xml:space="preserve">Pozn.: Diskontované k roku 2022.                                                                                                                                </w:t>
            </w:r>
            <w:r w:rsidR="00112D4B" w:rsidRPr="00112D4B">
              <w:rPr>
                <w:i/>
                <w:color w:val="000000"/>
                <w:sz w:val="16"/>
                <w:szCs w:val="18"/>
                <w:lang w:eastAsia="sk-SK"/>
              </w:rPr>
              <w:t xml:space="preserve">      </w:t>
            </w:r>
            <w:r w:rsidR="00E43DA9">
              <w:rPr>
                <w:i/>
                <w:color w:val="000000"/>
                <w:sz w:val="16"/>
                <w:szCs w:val="18"/>
                <w:lang w:eastAsia="sk-SK"/>
              </w:rPr>
              <w:t xml:space="preserve">  </w:t>
            </w:r>
            <w:r w:rsidR="00112D4B" w:rsidRPr="00112D4B">
              <w:rPr>
                <w:i/>
                <w:color w:val="000000"/>
                <w:sz w:val="16"/>
                <w:szCs w:val="18"/>
                <w:lang w:eastAsia="sk-SK"/>
              </w:rPr>
              <w:t xml:space="preserve">      </w:t>
            </w:r>
            <w:r w:rsidRPr="00112D4B">
              <w:rPr>
                <w:i/>
                <w:color w:val="000000"/>
                <w:sz w:val="16"/>
                <w:szCs w:val="18"/>
                <w:lang w:eastAsia="sk-SK"/>
              </w:rPr>
              <w:t xml:space="preserve">            </w:t>
            </w:r>
            <w:r w:rsidRPr="00112D4B">
              <w:rPr>
                <w:i/>
                <w:color w:val="000000"/>
                <w:sz w:val="14"/>
                <w:szCs w:val="14"/>
              </w:rPr>
              <w:t>Zdroj: MF SR</w:t>
            </w:r>
          </w:p>
        </w:tc>
      </w:tr>
    </w:tbl>
    <w:p w14:paraId="01C05A4D" w14:textId="77777777" w:rsidR="007723D2" w:rsidRDefault="007723D2">
      <w:pPr>
        <w:rPr>
          <w:rFonts w:eastAsiaTheme="majorEastAsia"/>
          <w:b/>
          <w:szCs w:val="22"/>
        </w:rPr>
      </w:pPr>
      <w:bookmarkStart w:id="72" w:name="_Toc495990499"/>
      <w:r>
        <w:br w:type="page"/>
      </w:r>
    </w:p>
    <w:p w14:paraId="655A3E93" w14:textId="263CB389" w:rsidR="00DF0EC5" w:rsidRPr="00D6178C" w:rsidRDefault="00DF0EC5" w:rsidP="00AA46C8">
      <w:pPr>
        <w:pStyle w:val="Nadpis3"/>
      </w:pPr>
      <w:bookmarkStart w:id="73" w:name="_Toc181095979"/>
      <w:r w:rsidRPr="00D6178C">
        <w:lastRenderedPageBreak/>
        <w:t>Podmienené záväzky</w:t>
      </w:r>
      <w:bookmarkEnd w:id="72"/>
      <w:bookmarkEnd w:id="73"/>
    </w:p>
    <w:p w14:paraId="4464BC68" w14:textId="52B37085" w:rsidR="00366F3A" w:rsidRPr="00366F3A" w:rsidRDefault="00AA2679" w:rsidP="00E16D9B">
      <w:pPr>
        <w:spacing w:after="120" w:line="240" w:lineRule="auto"/>
        <w:jc w:val="both"/>
        <w:rPr>
          <w:bCs/>
        </w:rPr>
      </w:pPr>
      <w:r w:rsidRPr="005240D8">
        <w:rPr>
          <w:bCs/>
        </w:rPr>
        <w:t xml:space="preserve">Podmienené záväzky predstavujú položku iných pasív, ktoré za určitých okolností môžu negatívne ovplyvniť finančnú situáciu </w:t>
      </w:r>
      <w:r>
        <w:rPr>
          <w:bCs/>
        </w:rPr>
        <w:t xml:space="preserve">verejnej správy (konkrétne </w:t>
      </w:r>
      <w:r w:rsidRPr="005240D8">
        <w:rPr>
          <w:bCs/>
        </w:rPr>
        <w:t xml:space="preserve">štátu či územnej samosprávy). Tieto záväzky nie sú vykazované na súvahových položkách pasív, pretože nie sú splnené podmienky pre ich zaúčtovanie (výška takéhoto ,,neistého“ záväzku sa nedá spoľahlivo oceniť, obdobie, ku ktorému sa povinnosť viaže nie je určené alebo úbytok ekonomických úžitkov v budúcnosti nie je istý). Z tohto dôvodu nie je možné jednoznačne odhadnúť vplyv na verejné financie z pohľadu času a už vôbec nie je možné stotožňovať hodnotu vyčíslených podmienených záväzkov v danom roku s aktuálnou potrebou peňažných prostriedkov na plnenie takýchto </w:t>
      </w:r>
      <w:r>
        <w:rPr>
          <w:bCs/>
        </w:rPr>
        <w:t xml:space="preserve">neistých </w:t>
      </w:r>
      <w:r w:rsidRPr="005240D8">
        <w:rPr>
          <w:bCs/>
        </w:rPr>
        <w:t>povinností.</w:t>
      </w:r>
      <w:r w:rsidR="00366F3A" w:rsidRPr="00366F3A">
        <w:rPr>
          <w:bCs/>
        </w:rPr>
        <w:t xml:space="preserve"> </w:t>
      </w:r>
    </w:p>
    <w:p w14:paraId="692EEE2C" w14:textId="0B4748A9" w:rsidR="001768B9" w:rsidRPr="00366F3A" w:rsidRDefault="00AA2679" w:rsidP="00E16D9B">
      <w:pPr>
        <w:spacing w:after="120" w:line="240" w:lineRule="auto"/>
        <w:jc w:val="both"/>
        <w:rPr>
          <w:bCs/>
        </w:rPr>
      </w:pPr>
      <w:r w:rsidRPr="005240D8">
        <w:rPr>
          <w:bCs/>
        </w:rPr>
        <w:t>Podľa ústavného zákona o rozpočtovej zodpovednosti sú podmienené záväzky súčasťou</w:t>
      </w:r>
      <w:r w:rsidRPr="005240D8">
        <w:rPr>
          <w:bCs/>
        </w:rPr>
        <w:br/>
        <w:t>Návrhu rozpočtu verejnej správy (</w:t>
      </w:r>
      <w:r w:rsidRPr="00D6178C">
        <w:rPr>
          <w:bCs/>
        </w:rPr>
        <w:t>v prílohe č. 4</w:t>
      </w:r>
      <w:r w:rsidRPr="005240D8">
        <w:rPr>
          <w:bCs/>
        </w:rPr>
        <w:t>). Informácia v návrhu rozpočtu je smerodajná najmä pre</w:t>
      </w:r>
      <w:r w:rsidR="00D6178C">
        <w:rPr>
          <w:bCs/>
        </w:rPr>
        <w:t> </w:t>
      </w:r>
      <w:r w:rsidRPr="005240D8">
        <w:rPr>
          <w:bCs/>
        </w:rPr>
        <w:t>účely hodnotenia dlhodobej udržateľnosti a výpočtu základného scenára zo strany Rady pre rozpočtovú zodpovednosť, ako aj transparentné zverejňovanie mimobilančných položiek s potenciálnym vplyvom na</w:t>
      </w:r>
      <w:r>
        <w:rPr>
          <w:bCs/>
        </w:rPr>
        <w:t> </w:t>
      </w:r>
      <w:r w:rsidRPr="005240D8">
        <w:rPr>
          <w:bCs/>
        </w:rPr>
        <w:t>verejné financie.</w:t>
      </w:r>
    </w:p>
    <w:p w14:paraId="54272933" w14:textId="11EEA8BC" w:rsidR="00366F3A" w:rsidRPr="005240D8" w:rsidRDefault="00366F3A" w:rsidP="00E16D9B">
      <w:pPr>
        <w:spacing w:after="120" w:line="240" w:lineRule="auto"/>
        <w:jc w:val="both"/>
        <w:rPr>
          <w:bCs/>
        </w:rPr>
      </w:pPr>
      <w:r w:rsidRPr="005240D8">
        <w:rPr>
          <w:bCs/>
        </w:rPr>
        <w:t>Požiadavku na zverejňovanie podmienených záväzkov obsahuje aj európska legislatíva, a to konkrétne smernica Rady 2011/85/EÚ o požiadavkách na rozpočtové rámce členský štátov. Podľa článku 14</w:t>
      </w:r>
      <w:r>
        <w:rPr>
          <w:bCs/>
        </w:rPr>
        <w:t> </w:t>
      </w:r>
      <w:r w:rsidRPr="005240D8">
        <w:rPr>
          <w:bCs/>
        </w:rPr>
        <w:t>ods.</w:t>
      </w:r>
      <w:r>
        <w:rPr>
          <w:bCs/>
        </w:rPr>
        <w:t> </w:t>
      </w:r>
      <w:r w:rsidRPr="005240D8">
        <w:rPr>
          <w:bCs/>
        </w:rPr>
        <w:t xml:space="preserve">3 tejto smernice členské štáty za všetky subsektory verejnej správy ,,uverejnia príslušné informácie o podmienených záväzkoch s možným veľkým vplyvom na rozpočet verejnej správy vrátane štátnych záruk, problémových úverov a záväzkov vyplývajúcich z činnosti verejnoprávnych korporácií vrátane ich rozsahu“. Podľa tejto smernice sa pravidelne zverejňujú záväzky zo záruk, mimobilančných projektov PPP a nesplácané úvery. </w:t>
      </w:r>
    </w:p>
    <w:p w14:paraId="272BBACB" w14:textId="2E2EF9CD" w:rsidR="001768B9" w:rsidRPr="002746C4" w:rsidRDefault="00366F3A" w:rsidP="00E16D9B">
      <w:pPr>
        <w:spacing w:after="120" w:line="240" w:lineRule="auto"/>
        <w:jc w:val="both"/>
        <w:rPr>
          <w:bCs/>
          <w:highlight w:val="yellow"/>
        </w:rPr>
      </w:pPr>
      <w:r w:rsidRPr="005240D8">
        <w:rPr>
          <w:bCs/>
        </w:rPr>
        <w:t>Z uvedeného vyplýva, že aj pri podmienených záväzkoch existuje viacero metodických prístupov a</w:t>
      </w:r>
      <w:r>
        <w:rPr>
          <w:bCs/>
        </w:rPr>
        <w:t> </w:t>
      </w:r>
      <w:r w:rsidRPr="005240D8">
        <w:rPr>
          <w:bCs/>
        </w:rPr>
        <w:t>na</w:t>
      </w:r>
      <w:r>
        <w:rPr>
          <w:bCs/>
        </w:rPr>
        <w:t> </w:t>
      </w:r>
      <w:r w:rsidRPr="005240D8">
        <w:rPr>
          <w:bCs/>
        </w:rPr>
        <w:t xml:space="preserve">konkrétne podmienené záväzky je možné nazerať odlišne. V ekonomickej teórii, ale aj v legislatívnej praxi účtovného výkazníctva sa ako ostatné pasíva (širší pojem od podmienených záväzkov) spomínajú najčastejšie </w:t>
      </w:r>
      <w:r w:rsidRPr="005240D8">
        <w:rPr>
          <w:bCs/>
          <w:u w:val="single"/>
        </w:rPr>
        <w:t>pasíva</w:t>
      </w:r>
      <w:r w:rsidRPr="005240D8">
        <w:rPr>
          <w:bCs/>
        </w:rPr>
        <w:t xml:space="preserve"> z prebiehajúcich alebo hroziacich súdnych s</w:t>
      </w:r>
      <w:r w:rsidR="00645EDA">
        <w:rPr>
          <w:bCs/>
        </w:rPr>
        <w:t>porov, z poskytnutých záruk, zo </w:t>
      </w:r>
      <w:r w:rsidRPr="005240D8">
        <w:rPr>
          <w:bCs/>
        </w:rPr>
        <w:t xml:space="preserve">všeobecne záväzných právnych predpisov alebo sú to </w:t>
      </w:r>
      <w:r w:rsidRPr="005240D8">
        <w:rPr>
          <w:bCs/>
          <w:u w:val="single"/>
        </w:rPr>
        <w:t>iné finančné povinnosti</w:t>
      </w:r>
      <w:r w:rsidRPr="005240D8">
        <w:rPr>
          <w:bCs/>
        </w:rPr>
        <w:t xml:space="preserve"> ako napríklad z devízových termínovaných obchodov, z opčných obchodov, zákonná alebo zmluvná povinnosť odobrať určité produkty, napríklad z dodávateľských zmlúv a odberateľských zmlúv, povinnosti z nájomných zmlúv, koncesionárskych a iných zmlúv.</w:t>
      </w:r>
      <w:r w:rsidR="001768B9" w:rsidRPr="002746C4">
        <w:rPr>
          <w:bCs/>
          <w:highlight w:val="yellow"/>
        </w:rPr>
        <w:t xml:space="preserve"> </w:t>
      </w:r>
    </w:p>
    <w:p w14:paraId="42D47300" w14:textId="7B5795A8" w:rsidR="00366F3A" w:rsidRDefault="00366F3A" w:rsidP="00E16D9B">
      <w:pPr>
        <w:spacing w:after="120" w:line="240" w:lineRule="auto"/>
        <w:jc w:val="both"/>
        <w:rPr>
          <w:b/>
          <w:szCs w:val="22"/>
          <w:lang w:eastAsia="cs-CZ"/>
        </w:rPr>
      </w:pPr>
      <w:r w:rsidRPr="005240D8">
        <w:rPr>
          <w:bCs/>
        </w:rPr>
        <w:t>Subjekty verejnej správy majú z podstaty svojej činnosti často špecifické položky nielen na</w:t>
      </w:r>
      <w:r w:rsidR="00645EDA">
        <w:rPr>
          <w:bCs/>
        </w:rPr>
        <w:t> </w:t>
      </w:r>
      <w:r w:rsidRPr="005240D8">
        <w:rPr>
          <w:bCs/>
        </w:rPr>
        <w:t>riadnych záväzkoch, ale aj v iných pasívach. Z pohľadu prezentácie údajov v účtovnej závierke často zverejňujú aj informácie, ktoré nemusia predstavovať podmienené záväzky, ale pre účely splnenia si povinnosti poskytnúť užívateľovi účtovnej závierky významné informácie, uvedú ich medzi mimobilančné položky. V súhrnnej výročnej správe pre účely odhadu čistého bohatstva a jeho jednotlivých zložiek sú preto podmienené záväzky chápané podľa účtovnej definície (uvedenej v prvom odseku) a sú predmetom analytického skúmania ich vplyvu na zmenu čistého bohatstva</w:t>
      </w:r>
      <w:r w:rsidRPr="005240D8">
        <w:rPr>
          <w:rStyle w:val="Odkaznapoznmkupodiarou"/>
        </w:rPr>
        <w:footnoteReference w:id="46"/>
      </w:r>
      <w:r w:rsidRPr="005240D8">
        <w:rPr>
          <w:bCs/>
        </w:rPr>
        <w:t>.</w:t>
      </w:r>
    </w:p>
    <w:p w14:paraId="47A1476E" w14:textId="77777777" w:rsidR="007723D2" w:rsidRDefault="007723D2">
      <w:pPr>
        <w:rPr>
          <w:b/>
          <w:szCs w:val="22"/>
          <w:lang w:eastAsia="cs-CZ"/>
        </w:rPr>
      </w:pPr>
      <w:r>
        <w:rPr>
          <w:b/>
          <w:szCs w:val="22"/>
          <w:lang w:eastAsia="cs-CZ"/>
        </w:rPr>
        <w:br w:type="page"/>
      </w:r>
    </w:p>
    <w:p w14:paraId="3E0D5FD7" w14:textId="77777777" w:rsidR="00A035B0" w:rsidRDefault="00A035B0" w:rsidP="00A035B0">
      <w:pPr>
        <w:pStyle w:val="Popis"/>
        <w:framePr w:wrap="around" w:x="1696" w:y="659"/>
      </w:pPr>
      <w:r>
        <w:lastRenderedPageBreak/>
        <w:t xml:space="preserve">Tabuľka </w:t>
      </w:r>
      <w:r w:rsidR="001F05DE">
        <w:fldChar w:fldCharType="begin"/>
      </w:r>
      <w:r w:rsidR="001F05DE">
        <w:instrText xml:space="preserve"> SEQ Tabuľka \* ARABIC </w:instrText>
      </w:r>
      <w:r w:rsidR="001F05DE">
        <w:fldChar w:fldCharType="separate"/>
      </w:r>
      <w:r>
        <w:rPr>
          <w:noProof/>
        </w:rPr>
        <w:t>23</w:t>
      </w:r>
      <w:r w:rsidR="001F05DE">
        <w:rPr>
          <w:noProof/>
        </w:rPr>
        <w:fldChar w:fldCharType="end"/>
      </w:r>
      <w:r>
        <w:t xml:space="preserve"> - </w:t>
      </w:r>
      <w:r w:rsidRPr="00A62150">
        <w:t>Podmienené záväzky nekonsolidované</w:t>
      </w:r>
      <w:r>
        <w:t xml:space="preserve"> </w:t>
      </w:r>
      <w:r>
        <w:tab/>
      </w:r>
      <w:r>
        <w:tab/>
      </w:r>
      <w:r>
        <w:tab/>
      </w:r>
      <w:r>
        <w:tab/>
      </w:r>
      <w:r>
        <w:tab/>
      </w:r>
      <w:r>
        <w:tab/>
        <w:t>v tis. eur</w:t>
      </w:r>
    </w:p>
    <w:p w14:paraId="009E4418" w14:textId="5B257909" w:rsidR="000B1F5C" w:rsidRPr="00030A31" w:rsidRDefault="00366F3A" w:rsidP="00366F3A">
      <w:pPr>
        <w:spacing w:after="120" w:line="240" w:lineRule="auto"/>
        <w:jc w:val="both"/>
        <w:rPr>
          <w:rFonts w:cs="Courier"/>
          <w:szCs w:val="22"/>
          <w:lang w:eastAsia="cs-CZ"/>
        </w:rPr>
      </w:pPr>
      <w:r w:rsidRPr="00030A31">
        <w:rPr>
          <w:b/>
          <w:szCs w:val="22"/>
          <w:lang w:eastAsia="cs-CZ"/>
        </w:rPr>
        <w:t>Hodnota podmienených záväzkov k 31.12.2023 na nekonsolidovanej báze dosiahla úhrnom 21 681 526 tis. eur</w:t>
      </w:r>
      <w:r w:rsidRPr="00030A31">
        <w:rPr>
          <w:rFonts w:cs="Courier"/>
          <w:szCs w:val="22"/>
          <w:lang w:eastAsia="cs-CZ"/>
        </w:rPr>
        <w:t xml:space="preserve"> a ich členenie podľa jednotlivých skupín subjektov je nasledovné:</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476"/>
        <w:gridCol w:w="238"/>
        <w:gridCol w:w="930"/>
        <w:gridCol w:w="181"/>
        <w:gridCol w:w="1070"/>
        <w:gridCol w:w="120"/>
        <w:gridCol w:w="1117"/>
        <w:gridCol w:w="1222"/>
      </w:tblGrid>
      <w:tr w:rsidR="001C0EA2" w:rsidRPr="00030A31" w14:paraId="3E0C329E" w14:textId="77777777" w:rsidTr="003458FE">
        <w:trPr>
          <w:trHeight w:val="345"/>
          <w:tblHeader/>
          <w:jc w:val="center"/>
        </w:trPr>
        <w:tc>
          <w:tcPr>
            <w:tcW w:w="2393" w:type="pct"/>
            <w:tcBorders>
              <w:right w:val="nil"/>
            </w:tcBorders>
            <w:vAlign w:val="center"/>
            <w:hideMark/>
          </w:tcPr>
          <w:p w14:paraId="0B00F3EF" w14:textId="77777777" w:rsidR="001C0EA2" w:rsidRPr="00030A31" w:rsidRDefault="001C0EA2" w:rsidP="001C0EA2">
            <w:pPr>
              <w:spacing w:after="0" w:line="240" w:lineRule="auto"/>
              <w:rPr>
                <w:b/>
                <w:sz w:val="18"/>
                <w:szCs w:val="18"/>
                <w:lang w:eastAsia="sk-SK"/>
              </w:rPr>
            </w:pPr>
            <w:r w:rsidRPr="00030A31">
              <w:rPr>
                <w:b/>
                <w:sz w:val="18"/>
                <w:szCs w:val="18"/>
                <w:lang w:eastAsia="sk-SK"/>
              </w:rPr>
              <w:t>Subjekty (v tis. eur)</w:t>
            </w:r>
          </w:p>
        </w:tc>
        <w:tc>
          <w:tcPr>
            <w:tcW w:w="624" w:type="pct"/>
            <w:gridSpan w:val="2"/>
            <w:tcBorders>
              <w:left w:val="nil"/>
              <w:right w:val="nil"/>
            </w:tcBorders>
            <w:vAlign w:val="center"/>
          </w:tcPr>
          <w:p w14:paraId="3E9ABE1D" w14:textId="570425F1" w:rsidR="001C0EA2" w:rsidRPr="00030A31" w:rsidRDefault="001C0EA2" w:rsidP="001C0EA2">
            <w:pPr>
              <w:spacing w:after="0" w:line="240" w:lineRule="auto"/>
              <w:jc w:val="right"/>
              <w:rPr>
                <w:b/>
                <w:sz w:val="18"/>
                <w:szCs w:val="18"/>
                <w:lang w:eastAsia="sk-SK"/>
              </w:rPr>
            </w:pPr>
            <w:r w:rsidRPr="00030A31">
              <w:rPr>
                <w:b/>
                <w:sz w:val="18"/>
                <w:szCs w:val="18"/>
                <w:lang w:eastAsia="sk-SK"/>
              </w:rPr>
              <w:t>2021</w:t>
            </w:r>
          </w:p>
        </w:tc>
        <w:tc>
          <w:tcPr>
            <w:tcW w:w="669" w:type="pct"/>
            <w:gridSpan w:val="2"/>
            <w:tcBorders>
              <w:left w:val="nil"/>
              <w:right w:val="nil"/>
            </w:tcBorders>
            <w:vAlign w:val="center"/>
          </w:tcPr>
          <w:p w14:paraId="517C3168" w14:textId="3F7A5AF9" w:rsidR="001C0EA2" w:rsidRPr="00030A31" w:rsidRDefault="001C0EA2" w:rsidP="001C0EA2">
            <w:pPr>
              <w:spacing w:after="0" w:line="240" w:lineRule="auto"/>
              <w:jc w:val="right"/>
              <w:rPr>
                <w:b/>
                <w:sz w:val="18"/>
                <w:szCs w:val="18"/>
                <w:lang w:eastAsia="sk-SK"/>
              </w:rPr>
            </w:pPr>
            <w:r w:rsidRPr="00030A31">
              <w:rPr>
                <w:b/>
                <w:sz w:val="18"/>
                <w:szCs w:val="18"/>
                <w:lang w:eastAsia="sk-SK"/>
              </w:rPr>
              <w:t>2022</w:t>
            </w:r>
          </w:p>
        </w:tc>
        <w:tc>
          <w:tcPr>
            <w:tcW w:w="661" w:type="pct"/>
            <w:gridSpan w:val="2"/>
            <w:tcBorders>
              <w:left w:val="nil"/>
              <w:right w:val="nil"/>
            </w:tcBorders>
            <w:vAlign w:val="center"/>
          </w:tcPr>
          <w:p w14:paraId="24803893" w14:textId="3D66DFEF" w:rsidR="001C0EA2" w:rsidRPr="00030A31" w:rsidRDefault="001C0EA2" w:rsidP="001C0EA2">
            <w:pPr>
              <w:spacing w:after="0" w:line="240" w:lineRule="auto"/>
              <w:jc w:val="right"/>
              <w:rPr>
                <w:b/>
                <w:sz w:val="18"/>
                <w:szCs w:val="18"/>
                <w:lang w:eastAsia="sk-SK"/>
              </w:rPr>
            </w:pPr>
            <w:r w:rsidRPr="00030A31">
              <w:rPr>
                <w:b/>
                <w:sz w:val="18"/>
                <w:szCs w:val="18"/>
                <w:lang w:eastAsia="sk-SK"/>
              </w:rPr>
              <w:t>2023</w:t>
            </w:r>
          </w:p>
        </w:tc>
        <w:tc>
          <w:tcPr>
            <w:tcW w:w="653" w:type="pct"/>
            <w:tcBorders>
              <w:left w:val="nil"/>
            </w:tcBorders>
            <w:vAlign w:val="center"/>
          </w:tcPr>
          <w:p w14:paraId="6607386A" w14:textId="3B4AA908" w:rsidR="001C0EA2" w:rsidRPr="00030A31" w:rsidRDefault="001C0EA2" w:rsidP="001C0EA2">
            <w:pPr>
              <w:spacing w:after="0" w:line="240" w:lineRule="auto"/>
              <w:jc w:val="right"/>
              <w:rPr>
                <w:b/>
                <w:bCs/>
                <w:sz w:val="18"/>
                <w:szCs w:val="18"/>
                <w:lang w:eastAsia="sk-SK"/>
              </w:rPr>
            </w:pPr>
            <w:r w:rsidRPr="00030A31">
              <w:rPr>
                <w:b/>
                <w:sz w:val="18"/>
                <w:szCs w:val="18"/>
                <w:lang w:eastAsia="sk-SK"/>
              </w:rPr>
              <w:t>Δ 2023-2022</w:t>
            </w:r>
          </w:p>
        </w:tc>
      </w:tr>
      <w:tr w:rsidR="001C0EA2" w:rsidRPr="00030A31" w14:paraId="38184D6F" w14:textId="77777777" w:rsidTr="00390E01">
        <w:trPr>
          <w:trHeight w:val="330"/>
          <w:jc w:val="center"/>
        </w:trPr>
        <w:tc>
          <w:tcPr>
            <w:tcW w:w="2393" w:type="pct"/>
            <w:tcBorders>
              <w:bottom w:val="nil"/>
              <w:right w:val="nil"/>
            </w:tcBorders>
            <w:vAlign w:val="bottom"/>
          </w:tcPr>
          <w:p w14:paraId="74FEB7C1" w14:textId="77777777" w:rsidR="001C0EA2" w:rsidRPr="00030A31" w:rsidRDefault="001C0EA2" w:rsidP="001C0EA2">
            <w:pPr>
              <w:spacing w:after="0" w:line="240" w:lineRule="auto"/>
              <w:rPr>
                <w:sz w:val="18"/>
                <w:szCs w:val="18"/>
                <w:lang w:eastAsia="sk-SK"/>
              </w:rPr>
            </w:pPr>
            <w:r w:rsidRPr="00030A31">
              <w:rPr>
                <w:sz w:val="18"/>
                <w:szCs w:val="18"/>
                <w:lang w:eastAsia="sk-SK"/>
              </w:rPr>
              <w:t>Ústredná správa a podniky štátnej správy</w:t>
            </w:r>
          </w:p>
        </w:tc>
        <w:tc>
          <w:tcPr>
            <w:tcW w:w="624" w:type="pct"/>
            <w:gridSpan w:val="2"/>
            <w:tcBorders>
              <w:left w:val="nil"/>
              <w:bottom w:val="nil"/>
              <w:right w:val="nil"/>
            </w:tcBorders>
            <w:vAlign w:val="bottom"/>
          </w:tcPr>
          <w:p w14:paraId="6ADC5794" w14:textId="4DE724D5" w:rsidR="001C0EA2" w:rsidRPr="00030A31" w:rsidRDefault="001C0EA2" w:rsidP="001C0EA2">
            <w:pPr>
              <w:spacing w:after="0" w:line="240" w:lineRule="auto"/>
              <w:jc w:val="right"/>
              <w:rPr>
                <w:sz w:val="18"/>
                <w:szCs w:val="18"/>
                <w:lang w:eastAsia="sk-SK"/>
              </w:rPr>
            </w:pPr>
            <w:r w:rsidRPr="00030A31">
              <w:rPr>
                <w:sz w:val="18"/>
                <w:szCs w:val="18"/>
                <w:lang w:eastAsia="sk-SK"/>
              </w:rPr>
              <w:t>20 094 669</w:t>
            </w:r>
          </w:p>
        </w:tc>
        <w:tc>
          <w:tcPr>
            <w:tcW w:w="669" w:type="pct"/>
            <w:gridSpan w:val="2"/>
            <w:tcBorders>
              <w:left w:val="nil"/>
              <w:bottom w:val="nil"/>
              <w:right w:val="nil"/>
            </w:tcBorders>
            <w:vAlign w:val="bottom"/>
          </w:tcPr>
          <w:p w14:paraId="2218BB55" w14:textId="4B9D6B67" w:rsidR="001C0EA2" w:rsidRPr="00030A31" w:rsidRDefault="001C0EA2" w:rsidP="001C0EA2">
            <w:pPr>
              <w:spacing w:after="0" w:line="240" w:lineRule="auto"/>
              <w:jc w:val="right"/>
              <w:rPr>
                <w:sz w:val="18"/>
                <w:szCs w:val="18"/>
                <w:lang w:eastAsia="sk-SK"/>
              </w:rPr>
            </w:pPr>
            <w:r w:rsidRPr="00030A31">
              <w:rPr>
                <w:sz w:val="18"/>
                <w:szCs w:val="18"/>
                <w:lang w:eastAsia="sk-SK"/>
              </w:rPr>
              <w:t>20 508 703</w:t>
            </w:r>
          </w:p>
        </w:tc>
        <w:tc>
          <w:tcPr>
            <w:tcW w:w="661" w:type="pct"/>
            <w:gridSpan w:val="2"/>
            <w:tcBorders>
              <w:left w:val="nil"/>
              <w:bottom w:val="nil"/>
              <w:right w:val="nil"/>
            </w:tcBorders>
            <w:vAlign w:val="bottom"/>
          </w:tcPr>
          <w:p w14:paraId="29D77B61" w14:textId="14944917" w:rsidR="001C0EA2" w:rsidRPr="00030A31" w:rsidRDefault="001C0EA2" w:rsidP="001C0EA2">
            <w:pPr>
              <w:spacing w:after="0" w:line="240" w:lineRule="auto"/>
              <w:jc w:val="right"/>
              <w:rPr>
                <w:sz w:val="18"/>
                <w:szCs w:val="18"/>
                <w:lang w:eastAsia="sk-SK"/>
              </w:rPr>
            </w:pPr>
            <w:r w:rsidRPr="00030A31">
              <w:rPr>
                <w:sz w:val="18"/>
                <w:szCs w:val="18"/>
                <w:lang w:eastAsia="sk-SK"/>
              </w:rPr>
              <w:t>21 057 138</w:t>
            </w:r>
          </w:p>
        </w:tc>
        <w:tc>
          <w:tcPr>
            <w:tcW w:w="653" w:type="pct"/>
            <w:tcBorders>
              <w:left w:val="nil"/>
              <w:bottom w:val="nil"/>
            </w:tcBorders>
            <w:vAlign w:val="bottom"/>
          </w:tcPr>
          <w:p w14:paraId="4AA5075D" w14:textId="6E5644FF" w:rsidR="001C0EA2" w:rsidRPr="00030A31" w:rsidRDefault="001C0EA2" w:rsidP="001C0EA2">
            <w:pPr>
              <w:spacing w:after="0" w:line="240" w:lineRule="auto"/>
              <w:jc w:val="right"/>
              <w:rPr>
                <w:sz w:val="18"/>
                <w:szCs w:val="18"/>
                <w:lang w:eastAsia="sk-SK"/>
              </w:rPr>
            </w:pPr>
            <w:r w:rsidRPr="00030A31">
              <w:rPr>
                <w:sz w:val="18"/>
                <w:szCs w:val="18"/>
                <w:lang w:eastAsia="sk-SK"/>
              </w:rPr>
              <w:t>548 435</w:t>
            </w:r>
          </w:p>
        </w:tc>
      </w:tr>
      <w:tr w:rsidR="001C0EA2" w:rsidRPr="00030A31" w14:paraId="3A501CEA" w14:textId="77777777" w:rsidTr="00390E01">
        <w:trPr>
          <w:trHeight w:val="330"/>
          <w:jc w:val="center"/>
        </w:trPr>
        <w:tc>
          <w:tcPr>
            <w:tcW w:w="2393" w:type="pct"/>
            <w:tcBorders>
              <w:top w:val="nil"/>
              <w:bottom w:val="nil"/>
              <w:right w:val="nil"/>
            </w:tcBorders>
            <w:vAlign w:val="bottom"/>
          </w:tcPr>
          <w:p w14:paraId="175F5C37" w14:textId="77777777" w:rsidR="001C0EA2" w:rsidRPr="00030A31" w:rsidRDefault="001C0EA2" w:rsidP="001C0EA2">
            <w:pPr>
              <w:spacing w:before="120" w:after="0" w:line="240" w:lineRule="auto"/>
              <w:rPr>
                <w:sz w:val="18"/>
                <w:szCs w:val="18"/>
                <w:lang w:eastAsia="sk-SK"/>
              </w:rPr>
            </w:pPr>
            <w:r w:rsidRPr="00030A31">
              <w:rPr>
                <w:sz w:val="18"/>
                <w:szCs w:val="18"/>
                <w:lang w:eastAsia="sk-SK"/>
              </w:rPr>
              <w:t>Obce a ich rozpočtové a príspevkové organizácie a podniky územnej samosprávy</w:t>
            </w:r>
          </w:p>
        </w:tc>
        <w:tc>
          <w:tcPr>
            <w:tcW w:w="624" w:type="pct"/>
            <w:gridSpan w:val="2"/>
            <w:tcBorders>
              <w:top w:val="nil"/>
              <w:left w:val="nil"/>
              <w:bottom w:val="nil"/>
              <w:right w:val="nil"/>
            </w:tcBorders>
            <w:vAlign w:val="bottom"/>
          </w:tcPr>
          <w:p w14:paraId="406168FF" w14:textId="24539083" w:rsidR="001C0EA2" w:rsidRPr="00030A31" w:rsidRDefault="001C0EA2" w:rsidP="001C0EA2">
            <w:pPr>
              <w:spacing w:before="120" w:after="0" w:line="240" w:lineRule="auto"/>
              <w:jc w:val="right"/>
              <w:rPr>
                <w:sz w:val="18"/>
                <w:szCs w:val="18"/>
                <w:lang w:eastAsia="sk-SK"/>
              </w:rPr>
            </w:pPr>
            <w:r w:rsidRPr="00030A31">
              <w:rPr>
                <w:sz w:val="18"/>
                <w:szCs w:val="18"/>
                <w:lang w:eastAsia="sk-SK"/>
              </w:rPr>
              <w:t>113 245</w:t>
            </w:r>
          </w:p>
        </w:tc>
        <w:tc>
          <w:tcPr>
            <w:tcW w:w="669" w:type="pct"/>
            <w:gridSpan w:val="2"/>
            <w:tcBorders>
              <w:top w:val="nil"/>
              <w:left w:val="nil"/>
              <w:bottom w:val="nil"/>
              <w:right w:val="nil"/>
            </w:tcBorders>
            <w:vAlign w:val="bottom"/>
          </w:tcPr>
          <w:p w14:paraId="7405CF42" w14:textId="6991CC42" w:rsidR="001C0EA2" w:rsidRPr="00030A31" w:rsidRDefault="001C0EA2" w:rsidP="001C0EA2">
            <w:pPr>
              <w:spacing w:before="120" w:after="0" w:line="240" w:lineRule="auto"/>
              <w:jc w:val="right"/>
              <w:rPr>
                <w:sz w:val="18"/>
                <w:szCs w:val="18"/>
                <w:lang w:eastAsia="sk-SK"/>
              </w:rPr>
            </w:pPr>
            <w:r w:rsidRPr="00030A31">
              <w:rPr>
                <w:sz w:val="18"/>
                <w:szCs w:val="18"/>
                <w:lang w:eastAsia="sk-SK"/>
              </w:rPr>
              <w:t>83 935</w:t>
            </w:r>
          </w:p>
        </w:tc>
        <w:tc>
          <w:tcPr>
            <w:tcW w:w="661" w:type="pct"/>
            <w:gridSpan w:val="2"/>
            <w:tcBorders>
              <w:top w:val="nil"/>
              <w:left w:val="nil"/>
              <w:bottom w:val="nil"/>
              <w:right w:val="nil"/>
            </w:tcBorders>
            <w:vAlign w:val="bottom"/>
          </w:tcPr>
          <w:p w14:paraId="1DED01E7" w14:textId="126600FE" w:rsidR="001C0EA2" w:rsidRPr="00030A31" w:rsidRDefault="001C0EA2" w:rsidP="001C0EA2">
            <w:pPr>
              <w:spacing w:before="120" w:after="0" w:line="240" w:lineRule="auto"/>
              <w:jc w:val="right"/>
              <w:rPr>
                <w:sz w:val="18"/>
                <w:szCs w:val="18"/>
                <w:lang w:eastAsia="sk-SK"/>
              </w:rPr>
            </w:pPr>
            <w:r w:rsidRPr="00030A31">
              <w:rPr>
                <w:sz w:val="18"/>
                <w:szCs w:val="18"/>
                <w:lang w:eastAsia="sk-SK"/>
              </w:rPr>
              <w:t>612 308</w:t>
            </w:r>
          </w:p>
        </w:tc>
        <w:tc>
          <w:tcPr>
            <w:tcW w:w="653" w:type="pct"/>
            <w:tcBorders>
              <w:top w:val="nil"/>
              <w:left w:val="nil"/>
              <w:bottom w:val="nil"/>
            </w:tcBorders>
            <w:vAlign w:val="bottom"/>
          </w:tcPr>
          <w:p w14:paraId="286EB630" w14:textId="44777BDF" w:rsidR="001C0EA2" w:rsidRPr="00030A31" w:rsidRDefault="001C0EA2" w:rsidP="001C0EA2">
            <w:pPr>
              <w:spacing w:before="120" w:after="0" w:line="240" w:lineRule="auto"/>
              <w:jc w:val="right"/>
              <w:rPr>
                <w:sz w:val="18"/>
                <w:szCs w:val="18"/>
                <w:lang w:eastAsia="sk-SK"/>
              </w:rPr>
            </w:pPr>
            <w:r w:rsidRPr="00030A31">
              <w:rPr>
                <w:sz w:val="18"/>
                <w:szCs w:val="18"/>
                <w:lang w:eastAsia="sk-SK"/>
              </w:rPr>
              <w:t>528 373</w:t>
            </w:r>
          </w:p>
        </w:tc>
      </w:tr>
      <w:tr w:rsidR="001C0EA2" w:rsidRPr="00030A31" w14:paraId="30B3E6B2" w14:textId="77777777" w:rsidTr="00390E01">
        <w:trPr>
          <w:trHeight w:val="330"/>
          <w:jc w:val="center"/>
        </w:trPr>
        <w:tc>
          <w:tcPr>
            <w:tcW w:w="2393" w:type="pct"/>
            <w:tcBorders>
              <w:top w:val="nil"/>
              <w:right w:val="nil"/>
            </w:tcBorders>
            <w:vAlign w:val="bottom"/>
          </w:tcPr>
          <w:p w14:paraId="2E720FCE" w14:textId="77777777" w:rsidR="001C0EA2" w:rsidRPr="00030A31" w:rsidRDefault="001C0EA2" w:rsidP="001C0EA2">
            <w:pPr>
              <w:spacing w:before="120" w:after="0" w:line="240" w:lineRule="auto"/>
              <w:rPr>
                <w:sz w:val="18"/>
                <w:szCs w:val="18"/>
                <w:lang w:eastAsia="sk-SK"/>
              </w:rPr>
            </w:pPr>
            <w:r w:rsidRPr="00030A31">
              <w:rPr>
                <w:sz w:val="18"/>
                <w:szCs w:val="18"/>
                <w:lang w:eastAsia="sk-SK"/>
              </w:rPr>
              <w:t>Vyššie územné celky a ich rozpočtové a príspevkové organizácie a podniky územnej samosprávy</w:t>
            </w:r>
          </w:p>
        </w:tc>
        <w:tc>
          <w:tcPr>
            <w:tcW w:w="624" w:type="pct"/>
            <w:gridSpan w:val="2"/>
            <w:tcBorders>
              <w:top w:val="nil"/>
              <w:left w:val="nil"/>
              <w:right w:val="nil"/>
            </w:tcBorders>
            <w:vAlign w:val="bottom"/>
          </w:tcPr>
          <w:p w14:paraId="68D520A9" w14:textId="16A43902" w:rsidR="001C0EA2" w:rsidRPr="00030A31" w:rsidRDefault="001C0EA2" w:rsidP="001C0EA2">
            <w:pPr>
              <w:spacing w:before="120" w:after="0" w:line="240" w:lineRule="auto"/>
              <w:jc w:val="right"/>
              <w:rPr>
                <w:sz w:val="18"/>
                <w:szCs w:val="18"/>
                <w:lang w:eastAsia="sk-SK"/>
              </w:rPr>
            </w:pPr>
            <w:r w:rsidRPr="00030A31">
              <w:rPr>
                <w:sz w:val="18"/>
                <w:szCs w:val="18"/>
                <w:lang w:eastAsia="sk-SK"/>
              </w:rPr>
              <w:t>1 151</w:t>
            </w:r>
          </w:p>
        </w:tc>
        <w:tc>
          <w:tcPr>
            <w:tcW w:w="669" w:type="pct"/>
            <w:gridSpan w:val="2"/>
            <w:tcBorders>
              <w:top w:val="nil"/>
              <w:left w:val="nil"/>
              <w:right w:val="nil"/>
            </w:tcBorders>
            <w:vAlign w:val="bottom"/>
          </w:tcPr>
          <w:p w14:paraId="5352D088" w14:textId="689F9FE3" w:rsidR="001C0EA2" w:rsidRPr="00030A31" w:rsidRDefault="001C0EA2" w:rsidP="001C0EA2">
            <w:pPr>
              <w:spacing w:before="120" w:after="0" w:line="240" w:lineRule="auto"/>
              <w:jc w:val="right"/>
              <w:rPr>
                <w:sz w:val="18"/>
                <w:szCs w:val="18"/>
                <w:lang w:eastAsia="sk-SK"/>
              </w:rPr>
            </w:pPr>
            <w:r w:rsidRPr="00030A31">
              <w:rPr>
                <w:sz w:val="18"/>
                <w:szCs w:val="18"/>
                <w:lang w:eastAsia="sk-SK"/>
              </w:rPr>
              <w:t>81</w:t>
            </w:r>
          </w:p>
        </w:tc>
        <w:tc>
          <w:tcPr>
            <w:tcW w:w="661" w:type="pct"/>
            <w:gridSpan w:val="2"/>
            <w:tcBorders>
              <w:top w:val="nil"/>
              <w:left w:val="nil"/>
              <w:right w:val="nil"/>
            </w:tcBorders>
            <w:vAlign w:val="bottom"/>
          </w:tcPr>
          <w:p w14:paraId="2B16C2C8" w14:textId="1416C1F8" w:rsidR="001C0EA2" w:rsidRPr="00030A31" w:rsidRDefault="001C0EA2" w:rsidP="001C0EA2">
            <w:pPr>
              <w:spacing w:before="120" w:after="0" w:line="240" w:lineRule="auto"/>
              <w:jc w:val="right"/>
              <w:rPr>
                <w:sz w:val="18"/>
                <w:szCs w:val="18"/>
                <w:lang w:eastAsia="sk-SK"/>
              </w:rPr>
            </w:pPr>
            <w:r w:rsidRPr="00030A31">
              <w:rPr>
                <w:sz w:val="18"/>
                <w:szCs w:val="18"/>
                <w:lang w:eastAsia="sk-SK"/>
              </w:rPr>
              <w:t>12 080</w:t>
            </w:r>
          </w:p>
        </w:tc>
        <w:tc>
          <w:tcPr>
            <w:tcW w:w="653" w:type="pct"/>
            <w:tcBorders>
              <w:top w:val="nil"/>
              <w:left w:val="nil"/>
            </w:tcBorders>
            <w:vAlign w:val="bottom"/>
          </w:tcPr>
          <w:p w14:paraId="233B302D" w14:textId="760C31D4" w:rsidR="001C0EA2" w:rsidRPr="00030A31" w:rsidRDefault="001C0EA2" w:rsidP="001C0EA2">
            <w:pPr>
              <w:spacing w:before="120" w:after="0" w:line="240" w:lineRule="auto"/>
              <w:jc w:val="right"/>
              <w:rPr>
                <w:sz w:val="18"/>
                <w:szCs w:val="18"/>
                <w:lang w:eastAsia="sk-SK"/>
              </w:rPr>
            </w:pPr>
            <w:r w:rsidRPr="00030A31">
              <w:rPr>
                <w:sz w:val="18"/>
                <w:szCs w:val="18"/>
                <w:lang w:eastAsia="sk-SK"/>
              </w:rPr>
              <w:t>11 999</w:t>
            </w:r>
          </w:p>
        </w:tc>
      </w:tr>
      <w:tr w:rsidR="001C0EA2" w:rsidRPr="00030A31" w14:paraId="10656CF2" w14:textId="77777777" w:rsidTr="00390E01">
        <w:trPr>
          <w:trHeight w:hRule="exact" w:val="346"/>
          <w:jc w:val="center"/>
        </w:trPr>
        <w:tc>
          <w:tcPr>
            <w:tcW w:w="2520" w:type="pct"/>
            <w:gridSpan w:val="2"/>
            <w:tcBorders>
              <w:right w:val="nil"/>
            </w:tcBorders>
            <w:noWrap/>
            <w:vAlign w:val="center"/>
            <w:hideMark/>
          </w:tcPr>
          <w:p w14:paraId="00A604EC" w14:textId="77777777" w:rsidR="001C0EA2" w:rsidRPr="00030A31" w:rsidRDefault="001C0EA2" w:rsidP="001C0EA2">
            <w:pPr>
              <w:spacing w:after="0" w:line="240" w:lineRule="auto"/>
              <w:rPr>
                <w:b/>
                <w:bCs/>
                <w:sz w:val="18"/>
                <w:szCs w:val="18"/>
                <w:lang w:eastAsia="sk-SK"/>
              </w:rPr>
            </w:pPr>
            <w:r w:rsidRPr="00030A31">
              <w:rPr>
                <w:b/>
                <w:bCs/>
                <w:sz w:val="18"/>
                <w:szCs w:val="18"/>
                <w:lang w:eastAsia="sk-SK"/>
              </w:rPr>
              <w:t>Spolu  (nekonsolidované)</w:t>
            </w:r>
          </w:p>
        </w:tc>
        <w:tc>
          <w:tcPr>
            <w:tcW w:w="594" w:type="pct"/>
            <w:gridSpan w:val="2"/>
            <w:tcBorders>
              <w:left w:val="nil"/>
              <w:right w:val="nil"/>
            </w:tcBorders>
            <w:vAlign w:val="center"/>
          </w:tcPr>
          <w:p w14:paraId="7C17856E" w14:textId="33BF6AA2" w:rsidR="001C0EA2" w:rsidRPr="00030A31" w:rsidRDefault="001C0EA2" w:rsidP="001C0EA2">
            <w:pPr>
              <w:spacing w:after="0" w:line="240" w:lineRule="auto"/>
              <w:ind w:left="-195" w:right="175"/>
              <w:jc w:val="right"/>
              <w:rPr>
                <w:b/>
                <w:bCs/>
                <w:sz w:val="18"/>
                <w:szCs w:val="18"/>
                <w:lang w:eastAsia="sk-SK"/>
              </w:rPr>
            </w:pPr>
            <w:r w:rsidRPr="00030A31">
              <w:rPr>
                <w:b/>
                <w:bCs/>
                <w:sz w:val="18"/>
                <w:szCs w:val="18"/>
                <w:lang w:eastAsia="sk-SK"/>
              </w:rPr>
              <w:t>20 209 065</w:t>
            </w:r>
          </w:p>
        </w:tc>
        <w:tc>
          <w:tcPr>
            <w:tcW w:w="636" w:type="pct"/>
            <w:gridSpan w:val="2"/>
            <w:tcBorders>
              <w:left w:val="nil"/>
              <w:right w:val="nil"/>
            </w:tcBorders>
            <w:vAlign w:val="center"/>
          </w:tcPr>
          <w:p w14:paraId="2D66D9E7" w14:textId="0046F0A1" w:rsidR="001C0EA2" w:rsidRPr="00030A31" w:rsidRDefault="001C0EA2" w:rsidP="001C0EA2">
            <w:pPr>
              <w:spacing w:after="0" w:line="240" w:lineRule="auto"/>
              <w:ind w:left="-111" w:right="171"/>
              <w:jc w:val="right"/>
              <w:rPr>
                <w:b/>
                <w:bCs/>
                <w:sz w:val="18"/>
                <w:szCs w:val="18"/>
                <w:lang w:eastAsia="sk-SK"/>
              </w:rPr>
            </w:pPr>
            <w:r w:rsidRPr="00030A31">
              <w:rPr>
                <w:b/>
                <w:bCs/>
                <w:sz w:val="18"/>
                <w:szCs w:val="18"/>
                <w:lang w:eastAsia="sk-SK"/>
              </w:rPr>
              <w:t>20 592 719</w:t>
            </w:r>
          </w:p>
        </w:tc>
        <w:tc>
          <w:tcPr>
            <w:tcW w:w="597" w:type="pct"/>
            <w:tcBorders>
              <w:left w:val="nil"/>
              <w:right w:val="nil"/>
            </w:tcBorders>
            <w:vAlign w:val="center"/>
          </w:tcPr>
          <w:p w14:paraId="5DC24B8F" w14:textId="12997102" w:rsidR="001C0EA2" w:rsidRPr="00030A31" w:rsidRDefault="001C0EA2" w:rsidP="001C0EA2">
            <w:pPr>
              <w:spacing w:after="0" w:line="240" w:lineRule="auto"/>
              <w:jc w:val="right"/>
              <w:rPr>
                <w:b/>
                <w:bCs/>
                <w:sz w:val="18"/>
                <w:szCs w:val="18"/>
                <w:lang w:eastAsia="sk-SK"/>
              </w:rPr>
            </w:pPr>
            <w:r w:rsidRPr="00030A31">
              <w:rPr>
                <w:b/>
                <w:bCs/>
                <w:sz w:val="18"/>
                <w:szCs w:val="18"/>
                <w:lang w:eastAsia="sk-SK"/>
              </w:rPr>
              <w:t>21 681 526</w:t>
            </w:r>
          </w:p>
        </w:tc>
        <w:tc>
          <w:tcPr>
            <w:tcW w:w="653" w:type="pct"/>
            <w:tcBorders>
              <w:left w:val="nil"/>
            </w:tcBorders>
            <w:vAlign w:val="center"/>
          </w:tcPr>
          <w:p w14:paraId="01D98239" w14:textId="0D588537" w:rsidR="001C0EA2" w:rsidRPr="00030A31" w:rsidRDefault="001C0EA2" w:rsidP="001C0EA2">
            <w:pPr>
              <w:spacing w:after="0"/>
              <w:jc w:val="right"/>
              <w:rPr>
                <w:b/>
                <w:bCs/>
                <w:sz w:val="18"/>
                <w:szCs w:val="18"/>
                <w:lang w:eastAsia="sk-SK"/>
              </w:rPr>
            </w:pPr>
            <w:r w:rsidRPr="00030A31">
              <w:rPr>
                <w:b/>
                <w:bCs/>
                <w:sz w:val="18"/>
                <w:szCs w:val="18"/>
                <w:lang w:eastAsia="sk-SK"/>
              </w:rPr>
              <w:t>1 088 807</w:t>
            </w:r>
          </w:p>
        </w:tc>
      </w:tr>
      <w:tr w:rsidR="001C0EA2" w:rsidRPr="00030A31" w14:paraId="7086A3F2" w14:textId="77777777" w:rsidTr="00390E01">
        <w:trPr>
          <w:trHeight w:hRule="exact" w:val="346"/>
          <w:jc w:val="center"/>
        </w:trPr>
        <w:tc>
          <w:tcPr>
            <w:tcW w:w="2520" w:type="pct"/>
            <w:gridSpan w:val="2"/>
            <w:tcBorders>
              <w:right w:val="nil"/>
            </w:tcBorders>
            <w:noWrap/>
            <w:vAlign w:val="center"/>
          </w:tcPr>
          <w:p w14:paraId="1E114826" w14:textId="77777777" w:rsidR="001C0EA2" w:rsidRPr="00030A31" w:rsidRDefault="001C0EA2" w:rsidP="001C0EA2">
            <w:pPr>
              <w:spacing w:after="0" w:line="240" w:lineRule="auto"/>
              <w:rPr>
                <w:bCs/>
                <w:sz w:val="18"/>
                <w:szCs w:val="18"/>
                <w:lang w:eastAsia="sk-SK"/>
              </w:rPr>
            </w:pPr>
            <w:r w:rsidRPr="00030A31">
              <w:rPr>
                <w:bCs/>
                <w:sz w:val="18"/>
                <w:szCs w:val="18"/>
                <w:lang w:eastAsia="sk-SK"/>
              </w:rPr>
              <w:t>Objem konsolidácie</w:t>
            </w:r>
          </w:p>
        </w:tc>
        <w:tc>
          <w:tcPr>
            <w:tcW w:w="594" w:type="pct"/>
            <w:gridSpan w:val="2"/>
            <w:tcBorders>
              <w:left w:val="nil"/>
              <w:right w:val="nil"/>
            </w:tcBorders>
            <w:vAlign w:val="center"/>
          </w:tcPr>
          <w:p w14:paraId="1809A82F" w14:textId="7F7B6C44" w:rsidR="001C0EA2" w:rsidRPr="00030A31" w:rsidRDefault="001C0EA2" w:rsidP="001C0EA2">
            <w:pPr>
              <w:spacing w:after="0" w:line="240" w:lineRule="auto"/>
              <w:ind w:left="-195" w:right="175"/>
              <w:jc w:val="right"/>
              <w:rPr>
                <w:bCs/>
                <w:sz w:val="18"/>
                <w:szCs w:val="18"/>
                <w:lang w:eastAsia="sk-SK"/>
              </w:rPr>
            </w:pPr>
            <w:r w:rsidRPr="00030A31">
              <w:rPr>
                <w:bCs/>
                <w:sz w:val="18"/>
                <w:szCs w:val="18"/>
                <w:lang w:eastAsia="sk-SK"/>
              </w:rPr>
              <w:t>21 175</w:t>
            </w:r>
          </w:p>
        </w:tc>
        <w:tc>
          <w:tcPr>
            <w:tcW w:w="636" w:type="pct"/>
            <w:gridSpan w:val="2"/>
            <w:tcBorders>
              <w:left w:val="nil"/>
              <w:right w:val="nil"/>
            </w:tcBorders>
            <w:vAlign w:val="center"/>
          </w:tcPr>
          <w:p w14:paraId="4585C666" w14:textId="2E8DCFF6" w:rsidR="001C0EA2" w:rsidRPr="00030A31" w:rsidRDefault="001C0EA2" w:rsidP="001C0EA2">
            <w:pPr>
              <w:spacing w:after="0" w:line="240" w:lineRule="auto"/>
              <w:ind w:left="-111" w:right="171"/>
              <w:jc w:val="right"/>
              <w:rPr>
                <w:bCs/>
                <w:sz w:val="18"/>
                <w:szCs w:val="18"/>
                <w:lang w:eastAsia="sk-SK"/>
              </w:rPr>
            </w:pPr>
            <w:r w:rsidRPr="00030A31">
              <w:rPr>
                <w:bCs/>
                <w:sz w:val="18"/>
                <w:szCs w:val="18"/>
              </w:rPr>
              <w:t>347 134</w:t>
            </w:r>
          </w:p>
        </w:tc>
        <w:tc>
          <w:tcPr>
            <w:tcW w:w="597" w:type="pct"/>
            <w:tcBorders>
              <w:left w:val="nil"/>
              <w:right w:val="nil"/>
            </w:tcBorders>
            <w:vAlign w:val="center"/>
          </w:tcPr>
          <w:p w14:paraId="38192127" w14:textId="0A510945" w:rsidR="001C0EA2" w:rsidRPr="00030A31" w:rsidRDefault="001C0EA2" w:rsidP="001C0EA2">
            <w:pPr>
              <w:pStyle w:val="Odsekzoznamu"/>
              <w:ind w:left="139"/>
              <w:jc w:val="right"/>
              <w:rPr>
                <w:bCs/>
                <w:sz w:val="18"/>
                <w:szCs w:val="18"/>
              </w:rPr>
            </w:pPr>
            <w:r w:rsidRPr="00030A31">
              <w:rPr>
                <w:bCs/>
                <w:sz w:val="18"/>
                <w:szCs w:val="18"/>
              </w:rPr>
              <w:t>437 878</w:t>
            </w:r>
          </w:p>
        </w:tc>
        <w:tc>
          <w:tcPr>
            <w:tcW w:w="653" w:type="pct"/>
            <w:tcBorders>
              <w:left w:val="nil"/>
            </w:tcBorders>
            <w:vAlign w:val="center"/>
          </w:tcPr>
          <w:p w14:paraId="3719B6CD" w14:textId="03412DA9" w:rsidR="001C0EA2" w:rsidRPr="00030A31" w:rsidRDefault="001C0EA2" w:rsidP="001C0EA2">
            <w:pPr>
              <w:spacing w:after="0"/>
              <w:jc w:val="right"/>
              <w:rPr>
                <w:bCs/>
                <w:sz w:val="18"/>
                <w:szCs w:val="18"/>
                <w:lang w:eastAsia="sk-SK"/>
              </w:rPr>
            </w:pPr>
            <w:r w:rsidRPr="00030A31">
              <w:rPr>
                <w:bCs/>
                <w:sz w:val="18"/>
                <w:szCs w:val="18"/>
                <w:lang w:eastAsia="sk-SK"/>
              </w:rPr>
              <w:t>90 744</w:t>
            </w:r>
          </w:p>
        </w:tc>
      </w:tr>
      <w:tr w:rsidR="001C0EA2" w:rsidRPr="002746C4" w14:paraId="27588E25" w14:textId="77777777" w:rsidTr="00390E01">
        <w:trPr>
          <w:trHeight w:val="273"/>
          <w:jc w:val="center"/>
        </w:trPr>
        <w:tc>
          <w:tcPr>
            <w:tcW w:w="2393" w:type="pct"/>
            <w:tcBorders>
              <w:right w:val="nil"/>
            </w:tcBorders>
            <w:noWrap/>
            <w:vAlign w:val="bottom"/>
            <w:hideMark/>
          </w:tcPr>
          <w:p w14:paraId="784C7412" w14:textId="77777777" w:rsidR="001C0EA2" w:rsidRPr="00030A31" w:rsidRDefault="001C0EA2" w:rsidP="001C0EA2">
            <w:pPr>
              <w:spacing w:after="0" w:line="240" w:lineRule="auto"/>
              <w:rPr>
                <w:b/>
                <w:bCs/>
                <w:sz w:val="18"/>
                <w:szCs w:val="18"/>
                <w:lang w:eastAsia="sk-SK"/>
              </w:rPr>
            </w:pPr>
            <w:r w:rsidRPr="00030A31">
              <w:rPr>
                <w:b/>
                <w:bCs/>
                <w:sz w:val="18"/>
                <w:szCs w:val="18"/>
                <w:lang w:eastAsia="sk-SK"/>
              </w:rPr>
              <w:t>Spolu  (konsolidované)</w:t>
            </w:r>
          </w:p>
        </w:tc>
        <w:tc>
          <w:tcPr>
            <w:tcW w:w="624" w:type="pct"/>
            <w:gridSpan w:val="2"/>
            <w:tcBorders>
              <w:left w:val="nil"/>
              <w:right w:val="nil"/>
            </w:tcBorders>
            <w:vAlign w:val="bottom"/>
          </w:tcPr>
          <w:p w14:paraId="280DCBCE" w14:textId="0E57CA3B" w:rsidR="001C0EA2" w:rsidRPr="00030A31" w:rsidRDefault="001C0EA2" w:rsidP="001C0EA2">
            <w:pPr>
              <w:spacing w:after="0" w:line="240" w:lineRule="auto"/>
              <w:ind w:left="-107"/>
              <w:jc w:val="right"/>
              <w:rPr>
                <w:b/>
                <w:bCs/>
                <w:sz w:val="18"/>
                <w:szCs w:val="18"/>
                <w:lang w:eastAsia="sk-SK"/>
              </w:rPr>
            </w:pPr>
            <w:r w:rsidRPr="00030A31">
              <w:rPr>
                <w:b/>
                <w:bCs/>
                <w:sz w:val="18"/>
                <w:szCs w:val="18"/>
                <w:lang w:eastAsia="sk-SK"/>
              </w:rPr>
              <w:t>20 187 890</w:t>
            </w:r>
          </w:p>
        </w:tc>
        <w:tc>
          <w:tcPr>
            <w:tcW w:w="669" w:type="pct"/>
            <w:gridSpan w:val="2"/>
            <w:tcBorders>
              <w:left w:val="nil"/>
              <w:right w:val="nil"/>
            </w:tcBorders>
            <w:vAlign w:val="bottom"/>
          </w:tcPr>
          <w:p w14:paraId="34505BA7" w14:textId="6ED069D4" w:rsidR="001C0EA2" w:rsidRPr="00030A31" w:rsidRDefault="001C0EA2" w:rsidP="001C0EA2">
            <w:pPr>
              <w:spacing w:after="0" w:line="240" w:lineRule="auto"/>
              <w:jc w:val="right"/>
              <w:rPr>
                <w:b/>
                <w:bCs/>
                <w:sz w:val="18"/>
                <w:szCs w:val="18"/>
                <w:lang w:eastAsia="sk-SK"/>
              </w:rPr>
            </w:pPr>
            <w:r w:rsidRPr="00030A31">
              <w:rPr>
                <w:b/>
                <w:bCs/>
                <w:sz w:val="18"/>
                <w:szCs w:val="18"/>
                <w:lang w:eastAsia="sk-SK"/>
              </w:rPr>
              <w:t>20 245 585</w:t>
            </w:r>
          </w:p>
        </w:tc>
        <w:tc>
          <w:tcPr>
            <w:tcW w:w="661" w:type="pct"/>
            <w:gridSpan w:val="2"/>
            <w:tcBorders>
              <w:left w:val="nil"/>
              <w:right w:val="nil"/>
            </w:tcBorders>
            <w:vAlign w:val="bottom"/>
          </w:tcPr>
          <w:p w14:paraId="09D8E9E4" w14:textId="557EFAEF" w:rsidR="001C0EA2" w:rsidRPr="00030A31" w:rsidRDefault="001C0EA2" w:rsidP="001C0EA2">
            <w:pPr>
              <w:spacing w:after="0" w:line="240" w:lineRule="auto"/>
              <w:ind w:left="13"/>
              <w:jc w:val="right"/>
              <w:rPr>
                <w:b/>
                <w:bCs/>
                <w:sz w:val="18"/>
                <w:szCs w:val="18"/>
                <w:lang w:eastAsia="sk-SK"/>
              </w:rPr>
            </w:pPr>
            <w:r w:rsidRPr="00030A31">
              <w:rPr>
                <w:b/>
                <w:bCs/>
                <w:sz w:val="18"/>
                <w:szCs w:val="18"/>
                <w:lang w:eastAsia="sk-SK"/>
              </w:rPr>
              <w:t>21 243 648</w:t>
            </w:r>
          </w:p>
        </w:tc>
        <w:tc>
          <w:tcPr>
            <w:tcW w:w="653" w:type="pct"/>
            <w:tcBorders>
              <w:left w:val="nil"/>
            </w:tcBorders>
            <w:vAlign w:val="bottom"/>
          </w:tcPr>
          <w:p w14:paraId="61918999" w14:textId="1D651420" w:rsidR="001C0EA2" w:rsidRPr="00030A31" w:rsidRDefault="001C0EA2" w:rsidP="001C0EA2">
            <w:pPr>
              <w:spacing w:after="0" w:line="240" w:lineRule="auto"/>
              <w:jc w:val="right"/>
              <w:rPr>
                <w:b/>
                <w:bCs/>
                <w:sz w:val="18"/>
                <w:szCs w:val="18"/>
                <w:lang w:eastAsia="sk-SK"/>
              </w:rPr>
            </w:pPr>
            <w:r w:rsidRPr="00030A31">
              <w:rPr>
                <w:b/>
                <w:bCs/>
                <w:sz w:val="18"/>
                <w:szCs w:val="18"/>
                <w:lang w:eastAsia="sk-SK"/>
              </w:rPr>
              <w:t>998 063</w:t>
            </w:r>
          </w:p>
        </w:tc>
      </w:tr>
    </w:tbl>
    <w:p w14:paraId="5370F9BF" w14:textId="2DB382D0" w:rsidR="001768B9" w:rsidRDefault="00390E01" w:rsidP="00390E01">
      <w:pPr>
        <w:spacing w:after="0" w:line="240" w:lineRule="auto"/>
        <w:jc w:val="both"/>
        <w:rPr>
          <w:sz w:val="16"/>
          <w:szCs w:val="16"/>
        </w:rPr>
      </w:pPr>
      <w:r>
        <w:rPr>
          <w:sz w:val="16"/>
          <w:szCs w:val="16"/>
        </w:rPr>
        <w:t xml:space="preserve">              </w:t>
      </w:r>
      <w:r w:rsidR="001C0EA2" w:rsidRPr="00C1305B">
        <w:rPr>
          <w:sz w:val="16"/>
          <w:szCs w:val="16"/>
        </w:rPr>
        <w:t>Zdroj: Individuálne a konsolidované účtovné závierky subjektov k 31.12.202</w:t>
      </w:r>
      <w:r w:rsidR="001C0EA2">
        <w:rPr>
          <w:sz w:val="16"/>
          <w:szCs w:val="16"/>
        </w:rPr>
        <w:t>3</w:t>
      </w:r>
      <w:r w:rsidR="001C0EA2" w:rsidRPr="00C1305B">
        <w:rPr>
          <w:sz w:val="16"/>
          <w:szCs w:val="16"/>
        </w:rPr>
        <w:t xml:space="preserve"> zverejnené v registri </w:t>
      </w:r>
      <w:hyperlink r:id="rId18" w:history="1">
        <w:r w:rsidR="001C0EA2" w:rsidRPr="00C1305B">
          <w:rPr>
            <w:sz w:val="16"/>
            <w:szCs w:val="16"/>
            <w:u w:val="single"/>
          </w:rPr>
          <w:t>www.registeruz.sk</w:t>
        </w:r>
      </w:hyperlink>
      <w:r w:rsidR="001C0EA2" w:rsidRPr="00C1305B">
        <w:rPr>
          <w:sz w:val="16"/>
          <w:szCs w:val="16"/>
        </w:rPr>
        <w:t xml:space="preserve"> a databáza MF SR</w:t>
      </w:r>
      <w:r w:rsidR="007C442C">
        <w:rPr>
          <w:sz w:val="16"/>
          <w:szCs w:val="16"/>
        </w:rPr>
        <w:t>.</w:t>
      </w:r>
    </w:p>
    <w:p w14:paraId="5E52BD58" w14:textId="77777777" w:rsidR="001C0EA2" w:rsidRPr="001C0EA2" w:rsidRDefault="001C0EA2" w:rsidP="001C0EA2">
      <w:pPr>
        <w:spacing w:after="0" w:line="240" w:lineRule="auto"/>
        <w:jc w:val="both"/>
        <w:rPr>
          <w:szCs w:val="22"/>
          <w:highlight w:val="yellow"/>
          <w:lang w:eastAsia="cs-CZ"/>
        </w:rPr>
      </w:pPr>
    </w:p>
    <w:p w14:paraId="3029E95B" w14:textId="0B90C483" w:rsidR="001768B9" w:rsidRPr="002746C4" w:rsidRDefault="001073E3" w:rsidP="001768B9">
      <w:pPr>
        <w:spacing w:after="0" w:line="240" w:lineRule="auto"/>
        <w:jc w:val="both"/>
        <w:rPr>
          <w:szCs w:val="22"/>
          <w:highlight w:val="yellow"/>
          <w:lang w:eastAsia="cs-CZ"/>
        </w:rPr>
      </w:pPr>
      <w:r w:rsidRPr="008F1F43">
        <w:rPr>
          <w:szCs w:val="22"/>
          <w:lang w:eastAsia="cs-CZ"/>
        </w:rPr>
        <w:t xml:space="preserve">Keďže niektoré podmienené záväzky predstavujú vzťah medzi subjektmi verejnej správy, je vhodné prezentovať aj podmienené záväzky ako konsolidované. Hodnotu konsolidácie predstavujú napríklad potenciálne úhrady z konaní jedného subjektu verejnej správy voči inému subjektu verejnej správy, vzájomné súdne spory či poskytnuté záruky, z ktorý by plnenie predstavovalo len presun prostriedkov v rámci verejnej správy. </w:t>
      </w:r>
      <w:r w:rsidRPr="008F1F43">
        <w:rPr>
          <w:szCs w:val="22"/>
          <w:u w:val="single"/>
          <w:lang w:eastAsia="cs-CZ"/>
        </w:rPr>
        <w:t>Takto očistené podmienené záväzky verejnej správy predstavujú 2</w:t>
      </w:r>
      <w:r w:rsidR="00390E01">
        <w:rPr>
          <w:szCs w:val="22"/>
          <w:u w:val="single"/>
          <w:lang w:eastAsia="cs-CZ"/>
        </w:rPr>
        <w:t>1 243 </w:t>
      </w:r>
      <w:r>
        <w:rPr>
          <w:szCs w:val="22"/>
          <w:u w:val="single"/>
          <w:lang w:eastAsia="cs-CZ"/>
        </w:rPr>
        <w:t>648</w:t>
      </w:r>
      <w:r w:rsidR="00390E01">
        <w:rPr>
          <w:szCs w:val="22"/>
          <w:u w:val="single"/>
          <w:lang w:eastAsia="cs-CZ"/>
        </w:rPr>
        <w:t> </w:t>
      </w:r>
      <w:r w:rsidRPr="008F1F43">
        <w:rPr>
          <w:szCs w:val="22"/>
          <w:u w:val="single"/>
          <w:lang w:eastAsia="cs-CZ"/>
        </w:rPr>
        <w:t>tis.</w:t>
      </w:r>
      <w:r w:rsidR="00390E01">
        <w:rPr>
          <w:szCs w:val="22"/>
          <w:u w:val="single"/>
          <w:lang w:eastAsia="cs-CZ"/>
        </w:rPr>
        <w:t> </w:t>
      </w:r>
      <w:r w:rsidRPr="008F1F43">
        <w:rPr>
          <w:szCs w:val="22"/>
          <w:u w:val="single"/>
          <w:lang w:eastAsia="cs-CZ"/>
        </w:rPr>
        <w:t>eur</w:t>
      </w:r>
      <w:r>
        <w:rPr>
          <w:szCs w:val="22"/>
          <w:u w:val="single"/>
          <w:lang w:eastAsia="cs-CZ"/>
        </w:rPr>
        <w:t xml:space="preserve"> a dosiahli medziročný nárast o 998</w:t>
      </w:r>
      <w:r w:rsidR="00390E01">
        <w:rPr>
          <w:szCs w:val="22"/>
          <w:u w:val="single"/>
          <w:lang w:eastAsia="cs-CZ"/>
        </w:rPr>
        <w:t> </w:t>
      </w:r>
      <w:r>
        <w:rPr>
          <w:szCs w:val="22"/>
          <w:u w:val="single"/>
          <w:lang w:eastAsia="cs-CZ"/>
        </w:rPr>
        <w:t>063</w:t>
      </w:r>
      <w:r w:rsidR="00390E01">
        <w:rPr>
          <w:szCs w:val="22"/>
          <w:u w:val="single"/>
          <w:lang w:eastAsia="cs-CZ"/>
        </w:rPr>
        <w:t> </w:t>
      </w:r>
      <w:r>
        <w:rPr>
          <w:szCs w:val="22"/>
          <w:u w:val="single"/>
          <w:lang w:eastAsia="cs-CZ"/>
        </w:rPr>
        <w:t>tis.</w:t>
      </w:r>
      <w:r w:rsidR="00390E01">
        <w:rPr>
          <w:szCs w:val="22"/>
          <w:u w:val="single"/>
          <w:lang w:eastAsia="cs-CZ"/>
        </w:rPr>
        <w:t> </w:t>
      </w:r>
      <w:r>
        <w:rPr>
          <w:szCs w:val="22"/>
          <w:u w:val="single"/>
          <w:lang w:eastAsia="cs-CZ"/>
        </w:rPr>
        <w:t>eur.</w:t>
      </w:r>
    </w:p>
    <w:p w14:paraId="52EA2126" w14:textId="77777777" w:rsidR="001768B9" w:rsidRPr="002746C4" w:rsidRDefault="001768B9" w:rsidP="001768B9">
      <w:pPr>
        <w:spacing w:after="0" w:line="240" w:lineRule="auto"/>
        <w:ind w:firstLine="567"/>
        <w:jc w:val="both"/>
        <w:rPr>
          <w:szCs w:val="22"/>
          <w:highlight w:val="yellow"/>
          <w:lang w:eastAsia="cs-CZ"/>
        </w:rPr>
      </w:pPr>
    </w:p>
    <w:p w14:paraId="7B068784" w14:textId="5596C478" w:rsidR="001768B9" w:rsidRPr="002746C4" w:rsidRDefault="001073E3" w:rsidP="001768B9">
      <w:pPr>
        <w:spacing w:after="0" w:line="240" w:lineRule="auto"/>
        <w:jc w:val="both"/>
        <w:rPr>
          <w:szCs w:val="22"/>
          <w:highlight w:val="yellow"/>
          <w:lang w:eastAsia="cs-CZ"/>
        </w:rPr>
      </w:pPr>
      <w:r w:rsidRPr="008F1F43">
        <w:rPr>
          <w:szCs w:val="22"/>
          <w:lang w:eastAsia="cs-CZ"/>
        </w:rPr>
        <w:t>Podľa údajov dostupných z účtovných závierok hodnotených subjektov dosiahli podmienené záväzky na</w:t>
      </w:r>
      <w:r w:rsidR="00390E01">
        <w:rPr>
          <w:szCs w:val="22"/>
          <w:lang w:eastAsia="cs-CZ"/>
        </w:rPr>
        <w:t> </w:t>
      </w:r>
      <w:r w:rsidRPr="008F1F43">
        <w:rPr>
          <w:szCs w:val="22"/>
          <w:lang w:eastAsia="cs-CZ"/>
        </w:rPr>
        <w:t>nekonsolidovanej báze medziročne celkový nárast o</w:t>
      </w:r>
      <w:r>
        <w:rPr>
          <w:szCs w:val="22"/>
          <w:lang w:eastAsia="cs-CZ"/>
        </w:rPr>
        <w:t> 1</w:t>
      </w:r>
      <w:r w:rsidR="00390E01">
        <w:rPr>
          <w:szCs w:val="22"/>
          <w:lang w:eastAsia="cs-CZ"/>
        </w:rPr>
        <w:t> </w:t>
      </w:r>
      <w:r>
        <w:rPr>
          <w:szCs w:val="22"/>
          <w:lang w:eastAsia="cs-CZ"/>
        </w:rPr>
        <w:t>088</w:t>
      </w:r>
      <w:r w:rsidR="00390E01">
        <w:rPr>
          <w:szCs w:val="22"/>
          <w:lang w:eastAsia="cs-CZ"/>
        </w:rPr>
        <w:t> </w:t>
      </w:r>
      <w:r>
        <w:rPr>
          <w:szCs w:val="22"/>
          <w:lang w:eastAsia="cs-CZ"/>
        </w:rPr>
        <w:t>807</w:t>
      </w:r>
      <w:r w:rsidRPr="008F1F43">
        <w:rPr>
          <w:szCs w:val="22"/>
          <w:lang w:eastAsia="cs-CZ"/>
        </w:rPr>
        <w:t> tis.</w:t>
      </w:r>
      <w:r w:rsidRPr="008F1F43">
        <w:rPr>
          <w:rFonts w:ascii="Courier" w:hAnsi="Courier" w:cs="Courier"/>
          <w:szCs w:val="22"/>
          <w:lang w:eastAsia="cs-CZ"/>
        </w:rPr>
        <w:t> </w:t>
      </w:r>
      <w:r w:rsidRPr="008F1F43">
        <w:rPr>
          <w:szCs w:val="22"/>
          <w:lang w:eastAsia="cs-CZ"/>
        </w:rPr>
        <w:t xml:space="preserve">eur (resp. </w:t>
      </w:r>
      <w:r>
        <w:rPr>
          <w:szCs w:val="22"/>
          <w:lang w:eastAsia="cs-CZ"/>
        </w:rPr>
        <w:t>998</w:t>
      </w:r>
      <w:r w:rsidR="00390E01">
        <w:rPr>
          <w:szCs w:val="22"/>
          <w:lang w:eastAsia="cs-CZ"/>
        </w:rPr>
        <w:t> </w:t>
      </w:r>
      <w:r>
        <w:rPr>
          <w:szCs w:val="22"/>
          <w:lang w:eastAsia="cs-CZ"/>
        </w:rPr>
        <w:t>063</w:t>
      </w:r>
      <w:r w:rsidR="00390E01">
        <w:rPr>
          <w:szCs w:val="22"/>
          <w:lang w:eastAsia="cs-CZ"/>
        </w:rPr>
        <w:t> </w:t>
      </w:r>
      <w:r w:rsidRPr="008F1F43">
        <w:rPr>
          <w:szCs w:val="22"/>
          <w:lang w:eastAsia="cs-CZ"/>
        </w:rPr>
        <w:t>tis.</w:t>
      </w:r>
      <w:r w:rsidR="00390E01">
        <w:rPr>
          <w:szCs w:val="22"/>
          <w:lang w:eastAsia="cs-CZ"/>
        </w:rPr>
        <w:t> </w:t>
      </w:r>
      <w:r w:rsidRPr="008F1F43">
        <w:rPr>
          <w:szCs w:val="22"/>
          <w:lang w:eastAsia="cs-CZ"/>
        </w:rPr>
        <w:t>eur po</w:t>
      </w:r>
      <w:r w:rsidR="00390E01">
        <w:rPr>
          <w:szCs w:val="22"/>
          <w:lang w:eastAsia="cs-CZ"/>
        </w:rPr>
        <w:t> </w:t>
      </w:r>
      <w:r w:rsidRPr="008F1F43">
        <w:rPr>
          <w:szCs w:val="22"/>
          <w:lang w:eastAsia="cs-CZ"/>
        </w:rPr>
        <w:t>konsolidácii). Výsledný nárast je zložený z položiek, ktoré medziročne poklesli a z položiek, ktoré boli zachytené v prehľade prvý krát resp. zaznamenali medziročný nárast.</w:t>
      </w:r>
    </w:p>
    <w:p w14:paraId="4489D58E" w14:textId="77777777" w:rsidR="001768B9" w:rsidRPr="002746C4" w:rsidRDefault="001768B9" w:rsidP="001768B9">
      <w:pPr>
        <w:spacing w:after="0" w:line="240" w:lineRule="auto"/>
        <w:jc w:val="both"/>
        <w:rPr>
          <w:szCs w:val="22"/>
          <w:highlight w:val="yellow"/>
          <w:lang w:eastAsia="cs-CZ"/>
        </w:rPr>
      </w:pPr>
    </w:p>
    <w:p w14:paraId="76D27323" w14:textId="6C1D5839" w:rsidR="001768B9" w:rsidRPr="002746C4" w:rsidRDefault="001073E3" w:rsidP="001768B9">
      <w:pPr>
        <w:spacing w:after="0" w:line="240" w:lineRule="auto"/>
        <w:jc w:val="both"/>
        <w:rPr>
          <w:szCs w:val="22"/>
          <w:highlight w:val="yellow"/>
          <w:lang w:eastAsia="cs-CZ"/>
        </w:rPr>
      </w:pPr>
      <w:r w:rsidRPr="00177E67">
        <w:rPr>
          <w:szCs w:val="22"/>
          <w:lang w:eastAsia="cs-CZ"/>
        </w:rPr>
        <w:t>Medziročne boli reportované zo strany subjektov niekto</w:t>
      </w:r>
      <w:r w:rsidR="00645EDA">
        <w:rPr>
          <w:szCs w:val="22"/>
          <w:lang w:eastAsia="cs-CZ"/>
        </w:rPr>
        <w:t>ré nové mimobilančné položky na </w:t>
      </w:r>
      <w:r w:rsidRPr="00177E67">
        <w:rPr>
          <w:szCs w:val="22"/>
          <w:lang w:eastAsia="cs-CZ"/>
        </w:rPr>
        <w:t>strane podmienených pasív, u viacerých položiek došlo k poklesu hodnoty. V prípade ústrednej správy došlo k celkovému medziročnému nárastu o</w:t>
      </w:r>
      <w:r w:rsidR="00390E01">
        <w:rPr>
          <w:szCs w:val="22"/>
          <w:lang w:eastAsia="cs-CZ"/>
        </w:rPr>
        <w:t> </w:t>
      </w:r>
      <w:r w:rsidRPr="00177E67">
        <w:rPr>
          <w:szCs w:val="22"/>
          <w:lang w:eastAsia="cs-CZ"/>
        </w:rPr>
        <w:t>548</w:t>
      </w:r>
      <w:r w:rsidR="00390E01">
        <w:rPr>
          <w:szCs w:val="22"/>
          <w:lang w:eastAsia="cs-CZ"/>
        </w:rPr>
        <w:t> 435 tis. </w:t>
      </w:r>
      <w:r w:rsidRPr="00177E67">
        <w:rPr>
          <w:szCs w:val="22"/>
          <w:lang w:eastAsia="cs-CZ"/>
        </w:rPr>
        <w:t>eur, z toho Slovenský plynárenský priemysel,</w:t>
      </w:r>
      <w:r w:rsidR="00390E01">
        <w:rPr>
          <w:szCs w:val="22"/>
          <w:lang w:eastAsia="cs-CZ"/>
        </w:rPr>
        <w:t> </w:t>
      </w:r>
      <w:r w:rsidRPr="00177E67">
        <w:rPr>
          <w:szCs w:val="22"/>
          <w:lang w:eastAsia="cs-CZ"/>
        </w:rPr>
        <w:t>a.</w:t>
      </w:r>
      <w:r w:rsidR="00390E01">
        <w:rPr>
          <w:szCs w:val="22"/>
          <w:lang w:eastAsia="cs-CZ"/>
        </w:rPr>
        <w:t> </w:t>
      </w:r>
      <w:r w:rsidRPr="00177E67">
        <w:rPr>
          <w:szCs w:val="22"/>
          <w:lang w:eastAsia="cs-CZ"/>
        </w:rPr>
        <w:t>s. zaznamenal rast komoditných derivátov v hodnote 225</w:t>
      </w:r>
      <w:r w:rsidR="00390E01">
        <w:rPr>
          <w:szCs w:val="22"/>
          <w:lang w:eastAsia="cs-CZ"/>
        </w:rPr>
        <w:t> </w:t>
      </w:r>
      <w:r w:rsidRPr="00177E67">
        <w:rPr>
          <w:szCs w:val="22"/>
          <w:lang w:eastAsia="cs-CZ"/>
        </w:rPr>
        <w:t>958</w:t>
      </w:r>
      <w:r w:rsidR="00390E01">
        <w:rPr>
          <w:szCs w:val="22"/>
          <w:lang w:eastAsia="cs-CZ"/>
        </w:rPr>
        <w:t> </w:t>
      </w:r>
      <w:r w:rsidRPr="00177E67">
        <w:rPr>
          <w:szCs w:val="22"/>
          <w:lang w:eastAsia="cs-CZ"/>
        </w:rPr>
        <w:t>tis.</w:t>
      </w:r>
      <w:r w:rsidR="00390E01">
        <w:rPr>
          <w:szCs w:val="22"/>
          <w:lang w:eastAsia="cs-CZ"/>
        </w:rPr>
        <w:t> </w:t>
      </w:r>
      <w:r w:rsidRPr="00177E67">
        <w:rPr>
          <w:szCs w:val="22"/>
          <w:lang w:eastAsia="cs-CZ"/>
        </w:rPr>
        <w:t>eur, NDF</w:t>
      </w:r>
      <w:r w:rsidR="00390E01">
        <w:rPr>
          <w:szCs w:val="22"/>
          <w:lang w:eastAsia="cs-CZ"/>
        </w:rPr>
        <w:t> </w:t>
      </w:r>
      <w:r w:rsidRPr="00177E67">
        <w:rPr>
          <w:szCs w:val="22"/>
          <w:lang w:eastAsia="cs-CZ"/>
        </w:rPr>
        <w:t>II nárast záruk o 92</w:t>
      </w:r>
      <w:r w:rsidR="00390E01">
        <w:rPr>
          <w:szCs w:val="22"/>
          <w:lang w:eastAsia="cs-CZ"/>
        </w:rPr>
        <w:t> </w:t>
      </w:r>
      <w:r w:rsidRPr="00177E67">
        <w:rPr>
          <w:szCs w:val="22"/>
          <w:lang w:eastAsia="cs-CZ"/>
        </w:rPr>
        <w:t>200</w:t>
      </w:r>
      <w:r w:rsidR="00390E01">
        <w:rPr>
          <w:szCs w:val="22"/>
          <w:lang w:eastAsia="cs-CZ"/>
        </w:rPr>
        <w:t> </w:t>
      </w:r>
      <w:r w:rsidRPr="00177E67">
        <w:rPr>
          <w:szCs w:val="22"/>
          <w:lang w:eastAsia="cs-CZ"/>
        </w:rPr>
        <w:t>tis.</w:t>
      </w:r>
      <w:r w:rsidR="00390E01">
        <w:rPr>
          <w:szCs w:val="22"/>
          <w:lang w:eastAsia="cs-CZ"/>
        </w:rPr>
        <w:t> </w:t>
      </w:r>
      <w:r w:rsidRPr="00177E67">
        <w:rPr>
          <w:szCs w:val="22"/>
          <w:lang w:eastAsia="cs-CZ"/>
        </w:rPr>
        <w:t>eur, rovnako tak aj E</w:t>
      </w:r>
      <w:r w:rsidR="0063052B">
        <w:rPr>
          <w:szCs w:val="22"/>
          <w:lang w:eastAsia="cs-CZ"/>
        </w:rPr>
        <w:t>x</w:t>
      </w:r>
      <w:r w:rsidRPr="00177E67">
        <w:rPr>
          <w:szCs w:val="22"/>
          <w:lang w:eastAsia="cs-CZ"/>
        </w:rPr>
        <w:t>imbanka SR nárast bankových a iných záruk o 86</w:t>
      </w:r>
      <w:r w:rsidR="00390E01">
        <w:rPr>
          <w:szCs w:val="22"/>
          <w:lang w:eastAsia="cs-CZ"/>
        </w:rPr>
        <w:t> </w:t>
      </w:r>
      <w:r w:rsidRPr="00177E67">
        <w:rPr>
          <w:szCs w:val="22"/>
          <w:lang w:eastAsia="cs-CZ"/>
        </w:rPr>
        <w:t>038</w:t>
      </w:r>
      <w:r w:rsidR="00390E01">
        <w:rPr>
          <w:szCs w:val="22"/>
          <w:lang w:eastAsia="cs-CZ"/>
        </w:rPr>
        <w:t> </w:t>
      </w:r>
      <w:r w:rsidRPr="00177E67">
        <w:rPr>
          <w:szCs w:val="22"/>
          <w:lang w:eastAsia="cs-CZ"/>
        </w:rPr>
        <w:t>tis.</w:t>
      </w:r>
      <w:r w:rsidR="00390E01">
        <w:rPr>
          <w:szCs w:val="22"/>
          <w:lang w:eastAsia="cs-CZ"/>
        </w:rPr>
        <w:t> </w:t>
      </w:r>
      <w:r w:rsidRPr="00177E67">
        <w:rPr>
          <w:szCs w:val="22"/>
          <w:lang w:eastAsia="cs-CZ"/>
        </w:rPr>
        <w:t>eur, prepočítaný podiel štátu (34</w:t>
      </w:r>
      <w:r w:rsidR="00FD250C">
        <w:rPr>
          <w:szCs w:val="22"/>
          <w:lang w:eastAsia="cs-CZ"/>
        </w:rPr>
        <w:t>,0</w:t>
      </w:r>
      <w:r w:rsidR="00390E01">
        <w:rPr>
          <w:szCs w:val="22"/>
          <w:lang w:eastAsia="cs-CZ"/>
        </w:rPr>
        <w:t> </w:t>
      </w:r>
      <w:r w:rsidRPr="00177E67">
        <w:rPr>
          <w:szCs w:val="22"/>
          <w:lang w:eastAsia="cs-CZ"/>
        </w:rPr>
        <w:t>%) na založenom majetku Slovenských elektrární,</w:t>
      </w:r>
      <w:r w:rsidR="00390E01">
        <w:rPr>
          <w:szCs w:val="22"/>
          <w:lang w:eastAsia="cs-CZ"/>
        </w:rPr>
        <w:t> </w:t>
      </w:r>
      <w:r w:rsidRPr="00177E67">
        <w:rPr>
          <w:szCs w:val="22"/>
          <w:lang w:eastAsia="cs-CZ"/>
        </w:rPr>
        <w:t>a.</w:t>
      </w:r>
      <w:r w:rsidR="00390E01">
        <w:rPr>
          <w:szCs w:val="22"/>
          <w:lang w:eastAsia="cs-CZ"/>
        </w:rPr>
        <w:t> </w:t>
      </w:r>
      <w:r w:rsidRPr="00177E67">
        <w:rPr>
          <w:szCs w:val="22"/>
          <w:lang w:eastAsia="cs-CZ"/>
        </w:rPr>
        <w:t>s. sa zvýšil o 159</w:t>
      </w:r>
      <w:r w:rsidR="00390E01">
        <w:rPr>
          <w:szCs w:val="22"/>
          <w:lang w:eastAsia="cs-CZ"/>
        </w:rPr>
        <w:t> </w:t>
      </w:r>
      <w:r w:rsidRPr="00177E67">
        <w:rPr>
          <w:szCs w:val="22"/>
          <w:lang w:eastAsia="cs-CZ"/>
        </w:rPr>
        <w:t>804</w:t>
      </w:r>
      <w:r w:rsidR="00390E01">
        <w:rPr>
          <w:szCs w:val="22"/>
          <w:lang w:eastAsia="cs-CZ"/>
        </w:rPr>
        <w:t> </w:t>
      </w:r>
      <w:r w:rsidRPr="00177E67">
        <w:rPr>
          <w:szCs w:val="22"/>
          <w:lang w:eastAsia="cs-CZ"/>
        </w:rPr>
        <w:t>tis.</w:t>
      </w:r>
      <w:r w:rsidR="00390E01">
        <w:rPr>
          <w:szCs w:val="22"/>
          <w:lang w:eastAsia="cs-CZ"/>
        </w:rPr>
        <w:t> </w:t>
      </w:r>
      <w:r w:rsidRPr="00177E67">
        <w:rPr>
          <w:szCs w:val="22"/>
          <w:lang w:eastAsia="cs-CZ"/>
        </w:rPr>
        <w:t>eur, Environmentálny fond zaznamenal 36</w:t>
      </w:r>
      <w:r w:rsidR="00390E01">
        <w:rPr>
          <w:szCs w:val="22"/>
          <w:lang w:eastAsia="cs-CZ"/>
        </w:rPr>
        <w:t> </w:t>
      </w:r>
      <w:r w:rsidRPr="00177E67">
        <w:rPr>
          <w:szCs w:val="22"/>
          <w:lang w:eastAsia="cs-CZ"/>
        </w:rPr>
        <w:t>757</w:t>
      </w:r>
      <w:r w:rsidR="00390E01">
        <w:rPr>
          <w:szCs w:val="22"/>
          <w:lang w:eastAsia="cs-CZ"/>
        </w:rPr>
        <w:t> </w:t>
      </w:r>
      <w:r w:rsidRPr="00177E67">
        <w:rPr>
          <w:szCs w:val="22"/>
          <w:lang w:eastAsia="cs-CZ"/>
        </w:rPr>
        <w:t>tis.</w:t>
      </w:r>
      <w:r w:rsidR="00390E01">
        <w:rPr>
          <w:szCs w:val="22"/>
          <w:lang w:eastAsia="cs-CZ"/>
        </w:rPr>
        <w:t> </w:t>
      </w:r>
      <w:r w:rsidRPr="00177E67">
        <w:rPr>
          <w:szCs w:val="22"/>
          <w:lang w:eastAsia="cs-CZ"/>
        </w:rPr>
        <w:t>eur v podobe nevyplatených úverových zmlúv. Medziročný pokles zaznamenali napr. MH</w:t>
      </w:r>
      <w:r w:rsidR="00390E01">
        <w:rPr>
          <w:szCs w:val="22"/>
          <w:lang w:eastAsia="cs-CZ"/>
        </w:rPr>
        <w:t> </w:t>
      </w:r>
      <w:r w:rsidRPr="00177E67">
        <w:rPr>
          <w:szCs w:val="22"/>
          <w:lang w:eastAsia="cs-CZ"/>
        </w:rPr>
        <w:t>Manažment,</w:t>
      </w:r>
      <w:r w:rsidR="00390E01">
        <w:rPr>
          <w:szCs w:val="22"/>
          <w:lang w:eastAsia="cs-CZ"/>
        </w:rPr>
        <w:t> </w:t>
      </w:r>
      <w:r w:rsidRPr="00177E67">
        <w:rPr>
          <w:szCs w:val="22"/>
          <w:lang w:eastAsia="cs-CZ"/>
        </w:rPr>
        <w:t>a.</w:t>
      </w:r>
      <w:r w:rsidR="00390E01">
        <w:rPr>
          <w:szCs w:val="22"/>
          <w:lang w:eastAsia="cs-CZ"/>
        </w:rPr>
        <w:t> s., 183 678 </w:t>
      </w:r>
      <w:r w:rsidRPr="00177E67">
        <w:rPr>
          <w:szCs w:val="22"/>
          <w:lang w:eastAsia="cs-CZ"/>
        </w:rPr>
        <w:t>tis.</w:t>
      </w:r>
      <w:r w:rsidR="00390E01">
        <w:rPr>
          <w:szCs w:val="22"/>
          <w:lang w:eastAsia="cs-CZ"/>
        </w:rPr>
        <w:t> </w:t>
      </w:r>
      <w:r w:rsidRPr="00177E67">
        <w:rPr>
          <w:szCs w:val="22"/>
          <w:lang w:eastAsia="cs-CZ"/>
        </w:rPr>
        <w:t>eur z ručenia za splnenie záväzkov vyplývajúcich z privatizačných zmlúv. Za skupinu subjektov obcí a ich organizácií, došlo k výraznému nárastu vykázaných iných pasív, najmä z titulu hodnoty založeného majetku.</w:t>
      </w:r>
    </w:p>
    <w:p w14:paraId="0297FBA8" w14:textId="7CD88A06" w:rsidR="001768B9" w:rsidRPr="002746C4" w:rsidRDefault="001768B9" w:rsidP="001768B9">
      <w:pPr>
        <w:spacing w:after="0" w:line="240" w:lineRule="auto"/>
        <w:jc w:val="both"/>
        <w:rPr>
          <w:szCs w:val="22"/>
          <w:highlight w:val="yellow"/>
          <w:lang w:eastAsia="cs-CZ"/>
        </w:rPr>
      </w:pPr>
    </w:p>
    <w:p w14:paraId="2DB00165" w14:textId="77777777" w:rsidR="000610F9" w:rsidRDefault="001073E3" w:rsidP="000610F9">
      <w:pPr>
        <w:spacing w:after="0" w:line="240" w:lineRule="auto"/>
        <w:jc w:val="both"/>
        <w:rPr>
          <w:szCs w:val="22"/>
          <w:lang w:eastAsia="cs-CZ"/>
        </w:rPr>
      </w:pPr>
      <w:r w:rsidRPr="008F1F43">
        <w:rPr>
          <w:szCs w:val="22"/>
          <w:lang w:eastAsia="cs-CZ"/>
        </w:rPr>
        <w:t>Medzi najvýznamnejšie podmienené záväzky patrí účasť SR na Európskom nástroji finančnej stability (EFSF) a Európskom mechanizme pre stabilitu (ESM). Ďalej sú to hroziace alebo už prebiehajúce súdne spory voči štátnym orgánom alebo podnikom štátnej správy, medzinárodné arbitráže, zabezpečovacie operácie Slovenského plynárenského priemyslu, záložné právo na majetok Slovenských elektrární a ďalšie.</w:t>
      </w:r>
    </w:p>
    <w:p w14:paraId="39FE980C" w14:textId="77777777" w:rsidR="000610F9" w:rsidRDefault="000610F9" w:rsidP="000610F9">
      <w:pPr>
        <w:spacing w:after="0" w:line="240" w:lineRule="auto"/>
        <w:jc w:val="both"/>
        <w:rPr>
          <w:szCs w:val="22"/>
          <w:lang w:eastAsia="cs-CZ"/>
        </w:rPr>
      </w:pPr>
    </w:p>
    <w:p w14:paraId="405FAE6F" w14:textId="77777777" w:rsidR="007723D2" w:rsidRDefault="007723D2">
      <w:pPr>
        <w:rPr>
          <w:szCs w:val="22"/>
          <w:lang w:eastAsia="cs-CZ"/>
        </w:rPr>
      </w:pPr>
      <w:r>
        <w:rPr>
          <w:szCs w:val="22"/>
          <w:lang w:eastAsia="cs-CZ"/>
        </w:rPr>
        <w:br w:type="page"/>
      </w:r>
    </w:p>
    <w:p w14:paraId="22E2A101" w14:textId="32A00800" w:rsidR="001073E3" w:rsidRPr="001073E3" w:rsidRDefault="001073E3" w:rsidP="000610F9">
      <w:pPr>
        <w:spacing w:after="0" w:line="240" w:lineRule="auto"/>
        <w:jc w:val="both"/>
        <w:rPr>
          <w:szCs w:val="22"/>
          <w:highlight w:val="yellow"/>
          <w:lang w:eastAsia="cs-CZ"/>
        </w:rPr>
      </w:pPr>
      <w:r w:rsidRPr="00B82D40">
        <w:rPr>
          <w:szCs w:val="22"/>
          <w:lang w:eastAsia="cs-CZ"/>
        </w:rPr>
        <w:lastRenderedPageBreak/>
        <w:t>Vybrané podmienené záväzky podľa subjektov na nekonsolidovanej báze sú uvedené v nasledovnom prehľade:</w:t>
      </w:r>
    </w:p>
    <w:p w14:paraId="3E7CEC24" w14:textId="77777777" w:rsidR="003724FD" w:rsidRDefault="003724FD" w:rsidP="003724FD">
      <w:pPr>
        <w:pStyle w:val="Popis"/>
        <w:framePr w:wrap="around" w:x="856" w:y="237"/>
      </w:pPr>
      <w:bookmarkStart w:id="74" w:name="_Ref180140640"/>
      <w:r>
        <w:t xml:space="preserve">Tabuľka </w:t>
      </w:r>
      <w:r w:rsidR="001F05DE">
        <w:fldChar w:fldCharType="begin"/>
      </w:r>
      <w:r w:rsidR="001F05DE">
        <w:instrText xml:space="preserve"> SEQ Tabuľka \* ARABIC </w:instrText>
      </w:r>
      <w:r w:rsidR="001F05DE">
        <w:fldChar w:fldCharType="separate"/>
      </w:r>
      <w:r>
        <w:rPr>
          <w:noProof/>
        </w:rPr>
        <w:t>24</w:t>
      </w:r>
      <w:r w:rsidR="001F05DE">
        <w:rPr>
          <w:noProof/>
        </w:rPr>
        <w:fldChar w:fldCharType="end"/>
      </w:r>
      <w:bookmarkEnd w:id="74"/>
      <w:r>
        <w:t xml:space="preserve"> - </w:t>
      </w:r>
      <w:r w:rsidRPr="004A2A58">
        <w:t>Prehľad najväčších podmienených záväzkov na nekonsolidovanej báze</w:t>
      </w:r>
      <w:r>
        <w:t xml:space="preserve"> </w:t>
      </w:r>
      <w:r>
        <w:tab/>
      </w:r>
      <w:r>
        <w:tab/>
        <w:t>v tis. eur</w:t>
      </w:r>
    </w:p>
    <w:tbl>
      <w:tblPr>
        <w:tblW w:w="5000" w:type="pct"/>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6"/>
        <w:gridCol w:w="1145"/>
        <w:gridCol w:w="1145"/>
        <w:gridCol w:w="1145"/>
        <w:gridCol w:w="1203"/>
      </w:tblGrid>
      <w:tr w:rsidR="001073E3" w:rsidRPr="001073E3" w14:paraId="3A26F0CC" w14:textId="77777777" w:rsidTr="00F57373">
        <w:trPr>
          <w:trHeight w:val="276"/>
          <w:tblHeader/>
          <w:jc w:val="center"/>
        </w:trPr>
        <w:tc>
          <w:tcPr>
            <w:tcW w:w="2521" w:type="pct"/>
            <w:tcBorders>
              <w:right w:val="nil"/>
            </w:tcBorders>
            <w:vAlign w:val="center"/>
            <w:hideMark/>
          </w:tcPr>
          <w:p w14:paraId="6FC76B18" w14:textId="2804FA74" w:rsidR="001073E3" w:rsidRPr="001073E3" w:rsidRDefault="001073E3" w:rsidP="001073E3">
            <w:pPr>
              <w:spacing w:after="0" w:line="240" w:lineRule="auto"/>
              <w:rPr>
                <w:color w:val="000000"/>
                <w:sz w:val="16"/>
                <w:szCs w:val="16"/>
                <w:lang w:eastAsia="sk-SK"/>
              </w:rPr>
            </w:pPr>
          </w:p>
        </w:tc>
        <w:tc>
          <w:tcPr>
            <w:tcW w:w="612" w:type="pct"/>
            <w:tcBorders>
              <w:left w:val="nil"/>
              <w:right w:val="nil"/>
            </w:tcBorders>
            <w:vAlign w:val="bottom"/>
            <w:hideMark/>
          </w:tcPr>
          <w:p w14:paraId="50646ACF" w14:textId="1034763D" w:rsidR="001073E3" w:rsidRPr="001073E3" w:rsidRDefault="001073E3" w:rsidP="001073E3">
            <w:pPr>
              <w:spacing w:after="0" w:line="240" w:lineRule="auto"/>
              <w:jc w:val="right"/>
              <w:rPr>
                <w:b/>
                <w:bCs/>
                <w:sz w:val="16"/>
                <w:szCs w:val="16"/>
                <w:lang w:eastAsia="sk-SK"/>
              </w:rPr>
            </w:pPr>
            <w:r w:rsidRPr="001073E3">
              <w:rPr>
                <w:b/>
                <w:bCs/>
                <w:sz w:val="16"/>
                <w:szCs w:val="16"/>
                <w:lang w:eastAsia="sk-SK"/>
              </w:rPr>
              <w:t>2021</w:t>
            </w:r>
          </w:p>
        </w:tc>
        <w:tc>
          <w:tcPr>
            <w:tcW w:w="612" w:type="pct"/>
            <w:tcBorders>
              <w:left w:val="nil"/>
              <w:right w:val="nil"/>
            </w:tcBorders>
            <w:vAlign w:val="bottom"/>
            <w:hideMark/>
          </w:tcPr>
          <w:p w14:paraId="3762610A" w14:textId="2DFC8382" w:rsidR="001073E3" w:rsidRPr="001073E3" w:rsidRDefault="001073E3" w:rsidP="001073E3">
            <w:pPr>
              <w:spacing w:after="0" w:line="240" w:lineRule="auto"/>
              <w:jc w:val="right"/>
              <w:rPr>
                <w:b/>
                <w:bCs/>
                <w:sz w:val="16"/>
                <w:szCs w:val="16"/>
                <w:lang w:eastAsia="sk-SK"/>
              </w:rPr>
            </w:pPr>
            <w:r w:rsidRPr="001073E3">
              <w:rPr>
                <w:b/>
                <w:bCs/>
                <w:sz w:val="16"/>
                <w:szCs w:val="16"/>
                <w:lang w:eastAsia="sk-SK"/>
              </w:rPr>
              <w:t>2022</w:t>
            </w:r>
          </w:p>
        </w:tc>
        <w:tc>
          <w:tcPr>
            <w:tcW w:w="612" w:type="pct"/>
            <w:tcBorders>
              <w:left w:val="nil"/>
              <w:right w:val="nil"/>
            </w:tcBorders>
            <w:vAlign w:val="bottom"/>
            <w:hideMark/>
          </w:tcPr>
          <w:p w14:paraId="54318E4E" w14:textId="07605A1C" w:rsidR="001073E3" w:rsidRPr="001073E3" w:rsidRDefault="001073E3" w:rsidP="001073E3">
            <w:pPr>
              <w:spacing w:after="0" w:line="240" w:lineRule="auto"/>
              <w:jc w:val="right"/>
              <w:rPr>
                <w:b/>
                <w:bCs/>
                <w:sz w:val="16"/>
                <w:szCs w:val="16"/>
                <w:lang w:eastAsia="sk-SK"/>
              </w:rPr>
            </w:pPr>
            <w:r w:rsidRPr="001073E3">
              <w:rPr>
                <w:b/>
                <w:bCs/>
                <w:sz w:val="16"/>
                <w:szCs w:val="16"/>
                <w:lang w:eastAsia="sk-SK"/>
              </w:rPr>
              <w:t>2023</w:t>
            </w:r>
          </w:p>
        </w:tc>
        <w:tc>
          <w:tcPr>
            <w:tcW w:w="643" w:type="pct"/>
            <w:tcBorders>
              <w:left w:val="nil"/>
            </w:tcBorders>
            <w:vAlign w:val="bottom"/>
            <w:hideMark/>
          </w:tcPr>
          <w:p w14:paraId="0C2D1FBB" w14:textId="068A7F88" w:rsidR="001073E3" w:rsidRPr="001073E3" w:rsidRDefault="001073E3" w:rsidP="001073E3">
            <w:pPr>
              <w:spacing w:after="0" w:line="240" w:lineRule="auto"/>
              <w:jc w:val="right"/>
              <w:rPr>
                <w:b/>
                <w:bCs/>
                <w:sz w:val="16"/>
                <w:szCs w:val="16"/>
                <w:lang w:eastAsia="sk-SK"/>
              </w:rPr>
            </w:pPr>
            <w:r w:rsidRPr="001073E3">
              <w:rPr>
                <w:b/>
                <w:bCs/>
                <w:sz w:val="16"/>
                <w:szCs w:val="16"/>
                <w:lang w:eastAsia="sk-SK"/>
              </w:rPr>
              <w:t>Δ2023-2022</w:t>
            </w:r>
          </w:p>
        </w:tc>
      </w:tr>
      <w:tr w:rsidR="001073E3" w:rsidRPr="001073E3" w14:paraId="2E8DC430" w14:textId="77777777" w:rsidTr="00F57373">
        <w:trPr>
          <w:trHeight w:val="276"/>
          <w:jc w:val="center"/>
        </w:trPr>
        <w:tc>
          <w:tcPr>
            <w:tcW w:w="2521" w:type="pct"/>
            <w:tcBorders>
              <w:right w:val="nil"/>
            </w:tcBorders>
            <w:noWrap/>
            <w:vAlign w:val="bottom"/>
            <w:hideMark/>
          </w:tcPr>
          <w:p w14:paraId="02F08DDE" w14:textId="77777777" w:rsidR="001073E3" w:rsidRPr="001073E3" w:rsidRDefault="001073E3" w:rsidP="001073E3">
            <w:pPr>
              <w:spacing w:after="0" w:line="240" w:lineRule="auto"/>
              <w:rPr>
                <w:b/>
                <w:bCs/>
                <w:color w:val="000000"/>
                <w:sz w:val="16"/>
                <w:szCs w:val="16"/>
                <w:lang w:eastAsia="sk-SK"/>
              </w:rPr>
            </w:pPr>
            <w:r w:rsidRPr="001073E3">
              <w:rPr>
                <w:b/>
                <w:bCs/>
                <w:color w:val="000000"/>
                <w:sz w:val="16"/>
                <w:szCs w:val="16"/>
                <w:lang w:eastAsia="sk-SK"/>
              </w:rPr>
              <w:t xml:space="preserve">Kapitál na požiadanie a záruky </w:t>
            </w:r>
          </w:p>
          <w:p w14:paraId="617F2343" w14:textId="77777777" w:rsidR="001073E3" w:rsidRPr="001073E3" w:rsidRDefault="001073E3" w:rsidP="001073E3">
            <w:pPr>
              <w:spacing w:after="0" w:line="240" w:lineRule="auto"/>
              <w:rPr>
                <w:b/>
                <w:bCs/>
                <w:color w:val="000000"/>
                <w:sz w:val="16"/>
                <w:szCs w:val="16"/>
                <w:lang w:eastAsia="sk-SK"/>
              </w:rPr>
            </w:pPr>
            <w:r w:rsidRPr="001073E3">
              <w:rPr>
                <w:b/>
                <w:bCs/>
                <w:color w:val="000000"/>
                <w:sz w:val="16"/>
                <w:szCs w:val="16"/>
                <w:lang w:eastAsia="sk-SK"/>
              </w:rPr>
              <w:t>v medzinárodných finančných inštitúciách</w:t>
            </w:r>
          </w:p>
        </w:tc>
        <w:tc>
          <w:tcPr>
            <w:tcW w:w="612" w:type="pct"/>
            <w:tcBorders>
              <w:left w:val="nil"/>
              <w:right w:val="nil"/>
            </w:tcBorders>
            <w:vAlign w:val="center"/>
            <w:hideMark/>
          </w:tcPr>
          <w:p w14:paraId="6578A239" w14:textId="4DC28909"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9 810 129</w:t>
            </w:r>
          </w:p>
        </w:tc>
        <w:tc>
          <w:tcPr>
            <w:tcW w:w="612" w:type="pct"/>
            <w:tcBorders>
              <w:left w:val="nil"/>
              <w:right w:val="nil"/>
            </w:tcBorders>
            <w:vAlign w:val="center"/>
            <w:hideMark/>
          </w:tcPr>
          <w:p w14:paraId="5FF4503A" w14:textId="7106E0D0"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9 879 746</w:t>
            </w:r>
          </w:p>
        </w:tc>
        <w:tc>
          <w:tcPr>
            <w:tcW w:w="612" w:type="pct"/>
            <w:tcBorders>
              <w:left w:val="nil"/>
              <w:right w:val="nil"/>
            </w:tcBorders>
            <w:vAlign w:val="center"/>
          </w:tcPr>
          <w:p w14:paraId="3AB6B403" w14:textId="77B46EAC"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9 873 241</w:t>
            </w:r>
          </w:p>
        </w:tc>
        <w:tc>
          <w:tcPr>
            <w:tcW w:w="643" w:type="pct"/>
            <w:tcBorders>
              <w:left w:val="nil"/>
            </w:tcBorders>
            <w:vAlign w:val="center"/>
            <w:hideMark/>
          </w:tcPr>
          <w:p w14:paraId="0E24A2FF" w14:textId="7C6AAA4D"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-6 505</w:t>
            </w:r>
          </w:p>
        </w:tc>
      </w:tr>
      <w:tr w:rsidR="001073E3" w:rsidRPr="001073E3" w14:paraId="61287F4E" w14:textId="77777777" w:rsidTr="00F57373">
        <w:trPr>
          <w:trHeight w:val="276"/>
          <w:jc w:val="center"/>
        </w:trPr>
        <w:tc>
          <w:tcPr>
            <w:tcW w:w="2521" w:type="pct"/>
            <w:tcBorders>
              <w:bottom w:val="nil"/>
              <w:right w:val="nil"/>
            </w:tcBorders>
            <w:vAlign w:val="center"/>
            <w:hideMark/>
          </w:tcPr>
          <w:p w14:paraId="0FAC3E15"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Európsky mechanizmus pre stabilitu (ESM)</w:t>
            </w:r>
          </w:p>
        </w:tc>
        <w:tc>
          <w:tcPr>
            <w:tcW w:w="612" w:type="pct"/>
            <w:tcBorders>
              <w:left w:val="nil"/>
              <w:bottom w:val="nil"/>
              <w:right w:val="nil"/>
            </w:tcBorders>
            <w:vAlign w:val="center"/>
            <w:hideMark/>
          </w:tcPr>
          <w:p w14:paraId="5DD65A88" w14:textId="78A84335"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6 148 450</w:t>
            </w:r>
          </w:p>
        </w:tc>
        <w:tc>
          <w:tcPr>
            <w:tcW w:w="612" w:type="pct"/>
            <w:tcBorders>
              <w:left w:val="nil"/>
              <w:bottom w:val="nil"/>
              <w:right w:val="nil"/>
            </w:tcBorders>
            <w:vAlign w:val="center"/>
            <w:hideMark/>
          </w:tcPr>
          <w:p w14:paraId="035C0860" w14:textId="00E558B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6 148 450</w:t>
            </w:r>
          </w:p>
        </w:tc>
        <w:tc>
          <w:tcPr>
            <w:tcW w:w="612" w:type="pct"/>
            <w:tcBorders>
              <w:left w:val="nil"/>
              <w:bottom w:val="nil"/>
              <w:right w:val="nil"/>
            </w:tcBorders>
            <w:vAlign w:val="center"/>
          </w:tcPr>
          <w:p w14:paraId="7CB9ECBD" w14:textId="3EBEECB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6 144 110</w:t>
            </w:r>
          </w:p>
        </w:tc>
        <w:tc>
          <w:tcPr>
            <w:tcW w:w="643" w:type="pct"/>
            <w:tcBorders>
              <w:left w:val="nil"/>
              <w:bottom w:val="nil"/>
            </w:tcBorders>
            <w:vAlign w:val="center"/>
            <w:hideMark/>
          </w:tcPr>
          <w:p w14:paraId="03BC12C3" w14:textId="185C957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-4 340</w:t>
            </w:r>
          </w:p>
        </w:tc>
      </w:tr>
      <w:tr w:rsidR="001073E3" w:rsidRPr="001073E3" w14:paraId="3EB778B1" w14:textId="77777777" w:rsidTr="00F57373">
        <w:trPr>
          <w:trHeight w:val="276"/>
          <w:jc w:val="center"/>
        </w:trPr>
        <w:tc>
          <w:tcPr>
            <w:tcW w:w="2521" w:type="pct"/>
            <w:tcBorders>
              <w:top w:val="nil"/>
              <w:bottom w:val="nil"/>
              <w:right w:val="nil"/>
            </w:tcBorders>
            <w:vAlign w:val="center"/>
            <w:hideMark/>
          </w:tcPr>
          <w:p w14:paraId="69A8C394"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Európsky nástroj finančnej stability (EFSF)</w:t>
            </w:r>
          </w:p>
        </w:tc>
        <w:tc>
          <w:tcPr>
            <w:tcW w:w="612" w:type="pct"/>
            <w:tcBorders>
              <w:top w:val="nil"/>
              <w:left w:val="nil"/>
              <w:bottom w:val="nil"/>
              <w:right w:val="nil"/>
            </w:tcBorders>
            <w:vAlign w:val="center"/>
            <w:hideMark/>
          </w:tcPr>
          <w:p w14:paraId="0A63E25B" w14:textId="0CB218D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2 288 850</w:t>
            </w:r>
          </w:p>
        </w:tc>
        <w:tc>
          <w:tcPr>
            <w:tcW w:w="612" w:type="pct"/>
            <w:tcBorders>
              <w:top w:val="nil"/>
              <w:left w:val="nil"/>
              <w:bottom w:val="nil"/>
              <w:right w:val="nil"/>
            </w:tcBorders>
            <w:vAlign w:val="center"/>
            <w:hideMark/>
          </w:tcPr>
          <w:p w14:paraId="34EF6B84" w14:textId="67B0FF02"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2 316 757</w:t>
            </w:r>
          </w:p>
        </w:tc>
        <w:tc>
          <w:tcPr>
            <w:tcW w:w="612" w:type="pct"/>
            <w:tcBorders>
              <w:top w:val="nil"/>
              <w:left w:val="nil"/>
              <w:bottom w:val="nil"/>
              <w:right w:val="nil"/>
            </w:tcBorders>
            <w:vAlign w:val="center"/>
          </w:tcPr>
          <w:p w14:paraId="5FFC721B" w14:textId="3A07CE81"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2 318 789</w:t>
            </w:r>
          </w:p>
        </w:tc>
        <w:tc>
          <w:tcPr>
            <w:tcW w:w="643" w:type="pct"/>
            <w:tcBorders>
              <w:top w:val="nil"/>
              <w:left w:val="nil"/>
              <w:bottom w:val="nil"/>
            </w:tcBorders>
            <w:vAlign w:val="center"/>
            <w:hideMark/>
          </w:tcPr>
          <w:p w14:paraId="72B256C3" w14:textId="3FBB57E5"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2 032</w:t>
            </w:r>
          </w:p>
        </w:tc>
      </w:tr>
      <w:tr w:rsidR="001073E3" w:rsidRPr="001073E3" w14:paraId="555C5EA0" w14:textId="77777777" w:rsidTr="00F57373">
        <w:trPr>
          <w:trHeight w:val="276"/>
          <w:jc w:val="center"/>
        </w:trPr>
        <w:tc>
          <w:tcPr>
            <w:tcW w:w="2521" w:type="pct"/>
            <w:tcBorders>
              <w:top w:val="nil"/>
              <w:bottom w:val="nil"/>
              <w:right w:val="nil"/>
            </w:tcBorders>
            <w:noWrap/>
            <w:vAlign w:val="bottom"/>
            <w:hideMark/>
          </w:tcPr>
          <w:p w14:paraId="1F9DEFE6"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 xml:space="preserve">Európska investičná banka </w:t>
            </w:r>
          </w:p>
        </w:tc>
        <w:tc>
          <w:tcPr>
            <w:tcW w:w="612" w:type="pct"/>
            <w:tcBorders>
              <w:top w:val="nil"/>
              <w:left w:val="nil"/>
              <w:bottom w:val="nil"/>
              <w:right w:val="nil"/>
            </w:tcBorders>
            <w:vAlign w:val="center"/>
            <w:hideMark/>
          </w:tcPr>
          <w:p w14:paraId="09091CFB" w14:textId="3BABCC2F"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684 231</w:t>
            </w:r>
          </w:p>
        </w:tc>
        <w:tc>
          <w:tcPr>
            <w:tcW w:w="612" w:type="pct"/>
            <w:tcBorders>
              <w:top w:val="nil"/>
              <w:left w:val="nil"/>
              <w:bottom w:val="nil"/>
              <w:right w:val="nil"/>
            </w:tcBorders>
            <w:vAlign w:val="center"/>
            <w:hideMark/>
          </w:tcPr>
          <w:p w14:paraId="3DA9752B" w14:textId="4A3C519C"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684 231</w:t>
            </w:r>
          </w:p>
        </w:tc>
        <w:tc>
          <w:tcPr>
            <w:tcW w:w="612" w:type="pct"/>
            <w:tcBorders>
              <w:top w:val="nil"/>
              <w:left w:val="nil"/>
              <w:bottom w:val="nil"/>
              <w:right w:val="nil"/>
            </w:tcBorders>
            <w:vAlign w:val="center"/>
          </w:tcPr>
          <w:p w14:paraId="2900BE00" w14:textId="16F46AF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684 231</w:t>
            </w:r>
          </w:p>
        </w:tc>
        <w:tc>
          <w:tcPr>
            <w:tcW w:w="643" w:type="pct"/>
            <w:tcBorders>
              <w:top w:val="nil"/>
              <w:left w:val="nil"/>
              <w:bottom w:val="nil"/>
            </w:tcBorders>
            <w:vAlign w:val="center"/>
            <w:hideMark/>
          </w:tcPr>
          <w:p w14:paraId="1C85D580" w14:textId="4630254A"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r>
      <w:tr w:rsidR="001073E3" w:rsidRPr="001073E3" w14:paraId="650BABA7" w14:textId="77777777" w:rsidTr="00F57373">
        <w:trPr>
          <w:trHeight w:val="276"/>
          <w:jc w:val="center"/>
        </w:trPr>
        <w:tc>
          <w:tcPr>
            <w:tcW w:w="2521" w:type="pct"/>
            <w:tcBorders>
              <w:top w:val="nil"/>
              <w:bottom w:val="nil"/>
              <w:right w:val="nil"/>
            </w:tcBorders>
            <w:vAlign w:val="center"/>
            <w:hideMark/>
          </w:tcPr>
          <w:p w14:paraId="53A6F2C5"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 xml:space="preserve">Medzinárodná banka pre obnovu a rozvoj </w:t>
            </w:r>
          </w:p>
        </w:tc>
        <w:tc>
          <w:tcPr>
            <w:tcW w:w="612" w:type="pct"/>
            <w:tcBorders>
              <w:top w:val="nil"/>
              <w:left w:val="nil"/>
              <w:bottom w:val="nil"/>
              <w:right w:val="nil"/>
            </w:tcBorders>
            <w:vAlign w:val="center"/>
            <w:hideMark/>
          </w:tcPr>
          <w:p w14:paraId="46BC56D1" w14:textId="4076A07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447 286</w:t>
            </w:r>
          </w:p>
        </w:tc>
        <w:tc>
          <w:tcPr>
            <w:tcW w:w="612" w:type="pct"/>
            <w:tcBorders>
              <w:top w:val="nil"/>
              <w:left w:val="nil"/>
              <w:bottom w:val="nil"/>
              <w:right w:val="nil"/>
            </w:tcBorders>
            <w:vAlign w:val="center"/>
            <w:hideMark/>
          </w:tcPr>
          <w:p w14:paraId="425B754E" w14:textId="7FBE25AF"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488 809</w:t>
            </w:r>
          </w:p>
        </w:tc>
        <w:tc>
          <w:tcPr>
            <w:tcW w:w="612" w:type="pct"/>
            <w:tcBorders>
              <w:top w:val="nil"/>
              <w:left w:val="nil"/>
              <w:bottom w:val="nil"/>
              <w:right w:val="nil"/>
            </w:tcBorders>
            <w:vAlign w:val="center"/>
          </w:tcPr>
          <w:p w14:paraId="49B001F5" w14:textId="13E9A121"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485 275</w:t>
            </w:r>
          </w:p>
        </w:tc>
        <w:tc>
          <w:tcPr>
            <w:tcW w:w="643" w:type="pct"/>
            <w:tcBorders>
              <w:top w:val="nil"/>
              <w:left w:val="nil"/>
              <w:bottom w:val="nil"/>
            </w:tcBorders>
            <w:vAlign w:val="center"/>
            <w:hideMark/>
          </w:tcPr>
          <w:p w14:paraId="0047FEEE" w14:textId="4CD35B15"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-3 534</w:t>
            </w:r>
          </w:p>
        </w:tc>
      </w:tr>
      <w:tr w:rsidR="001073E3" w:rsidRPr="001073E3" w14:paraId="68D3E170" w14:textId="77777777" w:rsidTr="00F57373">
        <w:trPr>
          <w:trHeight w:val="276"/>
          <w:jc w:val="center"/>
        </w:trPr>
        <w:tc>
          <w:tcPr>
            <w:tcW w:w="2521" w:type="pct"/>
            <w:tcBorders>
              <w:top w:val="nil"/>
              <w:bottom w:val="nil"/>
              <w:right w:val="nil"/>
            </w:tcBorders>
            <w:vAlign w:val="center"/>
            <w:hideMark/>
          </w:tcPr>
          <w:p w14:paraId="0BC5128B"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Európska banka pre obnovu a rozvoj</w:t>
            </w:r>
          </w:p>
        </w:tc>
        <w:tc>
          <w:tcPr>
            <w:tcW w:w="612" w:type="pct"/>
            <w:tcBorders>
              <w:top w:val="nil"/>
              <w:left w:val="nil"/>
              <w:bottom w:val="nil"/>
              <w:right w:val="nil"/>
            </w:tcBorders>
            <w:vAlign w:val="center"/>
            <w:hideMark/>
          </w:tcPr>
          <w:p w14:paraId="22651D70" w14:textId="11CCF90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101 359</w:t>
            </w:r>
          </w:p>
        </w:tc>
        <w:tc>
          <w:tcPr>
            <w:tcW w:w="612" w:type="pct"/>
            <w:tcBorders>
              <w:top w:val="nil"/>
              <w:left w:val="nil"/>
              <w:bottom w:val="nil"/>
              <w:right w:val="nil"/>
            </w:tcBorders>
            <w:vAlign w:val="center"/>
            <w:hideMark/>
          </w:tcPr>
          <w:p w14:paraId="1C271B58" w14:textId="33B203F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101 359</w:t>
            </w:r>
          </w:p>
        </w:tc>
        <w:tc>
          <w:tcPr>
            <w:tcW w:w="612" w:type="pct"/>
            <w:tcBorders>
              <w:top w:val="nil"/>
              <w:left w:val="nil"/>
              <w:bottom w:val="nil"/>
              <w:right w:val="nil"/>
            </w:tcBorders>
            <w:vAlign w:val="center"/>
          </w:tcPr>
          <w:p w14:paraId="2350C7A7" w14:textId="1F7CFF95"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101 359</w:t>
            </w:r>
          </w:p>
        </w:tc>
        <w:tc>
          <w:tcPr>
            <w:tcW w:w="643" w:type="pct"/>
            <w:tcBorders>
              <w:top w:val="nil"/>
              <w:left w:val="nil"/>
              <w:bottom w:val="nil"/>
            </w:tcBorders>
            <w:vAlign w:val="center"/>
            <w:hideMark/>
          </w:tcPr>
          <w:p w14:paraId="6D080C7C" w14:textId="6BED126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r>
      <w:tr w:rsidR="001073E3" w:rsidRPr="001073E3" w14:paraId="6EF5A0CB" w14:textId="77777777" w:rsidTr="00F57373">
        <w:trPr>
          <w:trHeight w:val="276"/>
          <w:jc w:val="center"/>
        </w:trPr>
        <w:tc>
          <w:tcPr>
            <w:tcW w:w="2521" w:type="pct"/>
            <w:tcBorders>
              <w:top w:val="nil"/>
              <w:bottom w:val="nil"/>
              <w:right w:val="nil"/>
            </w:tcBorders>
            <w:vAlign w:val="center"/>
            <w:hideMark/>
          </w:tcPr>
          <w:p w14:paraId="237C7136"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Rozvojová banka rady Európy</w:t>
            </w:r>
          </w:p>
        </w:tc>
        <w:tc>
          <w:tcPr>
            <w:tcW w:w="612" w:type="pct"/>
            <w:tcBorders>
              <w:top w:val="nil"/>
              <w:left w:val="nil"/>
              <w:bottom w:val="nil"/>
              <w:right w:val="nil"/>
            </w:tcBorders>
            <w:vAlign w:val="center"/>
            <w:hideMark/>
          </w:tcPr>
          <w:p w14:paraId="780FF131" w14:textId="341101CF"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16 854</w:t>
            </w:r>
          </w:p>
        </w:tc>
        <w:tc>
          <w:tcPr>
            <w:tcW w:w="612" w:type="pct"/>
            <w:tcBorders>
              <w:top w:val="nil"/>
              <w:left w:val="nil"/>
              <w:bottom w:val="nil"/>
              <w:right w:val="nil"/>
            </w:tcBorders>
            <w:vAlign w:val="center"/>
            <w:hideMark/>
          </w:tcPr>
          <w:p w14:paraId="16A4D712" w14:textId="2AD04D1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16 854</w:t>
            </w:r>
          </w:p>
        </w:tc>
        <w:tc>
          <w:tcPr>
            <w:tcW w:w="612" w:type="pct"/>
            <w:tcBorders>
              <w:top w:val="nil"/>
              <w:left w:val="nil"/>
              <w:bottom w:val="nil"/>
              <w:right w:val="nil"/>
            </w:tcBorders>
            <w:vAlign w:val="center"/>
          </w:tcPr>
          <w:p w14:paraId="4CDB812A" w14:textId="1D315F5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16 854</w:t>
            </w:r>
          </w:p>
        </w:tc>
        <w:tc>
          <w:tcPr>
            <w:tcW w:w="643" w:type="pct"/>
            <w:tcBorders>
              <w:top w:val="nil"/>
              <w:left w:val="nil"/>
              <w:bottom w:val="nil"/>
            </w:tcBorders>
            <w:vAlign w:val="center"/>
            <w:hideMark/>
          </w:tcPr>
          <w:p w14:paraId="1BF707DE" w14:textId="6F4C657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r>
      <w:tr w:rsidR="001073E3" w:rsidRPr="001073E3" w14:paraId="0D54A226" w14:textId="77777777" w:rsidTr="00F57373">
        <w:trPr>
          <w:trHeight w:val="276"/>
          <w:jc w:val="center"/>
        </w:trPr>
        <w:tc>
          <w:tcPr>
            <w:tcW w:w="2521" w:type="pct"/>
            <w:tcBorders>
              <w:top w:val="nil"/>
              <w:bottom w:val="nil"/>
              <w:right w:val="nil"/>
            </w:tcBorders>
            <w:vAlign w:val="center"/>
            <w:hideMark/>
          </w:tcPr>
          <w:p w14:paraId="60268115"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Medzinárodná banka pre hospodársku spoluprácu</w:t>
            </w:r>
          </w:p>
        </w:tc>
        <w:tc>
          <w:tcPr>
            <w:tcW w:w="612" w:type="pct"/>
            <w:tcBorders>
              <w:top w:val="nil"/>
              <w:left w:val="nil"/>
              <w:bottom w:val="nil"/>
              <w:right w:val="nil"/>
            </w:tcBorders>
            <w:noWrap/>
            <w:vAlign w:val="center"/>
            <w:hideMark/>
          </w:tcPr>
          <w:p w14:paraId="4032EDDA" w14:textId="4DD31D8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10 658</w:t>
            </w:r>
          </w:p>
        </w:tc>
        <w:tc>
          <w:tcPr>
            <w:tcW w:w="612" w:type="pct"/>
            <w:tcBorders>
              <w:top w:val="nil"/>
              <w:left w:val="nil"/>
              <w:bottom w:val="nil"/>
              <w:right w:val="nil"/>
            </w:tcBorders>
            <w:noWrap/>
            <w:vAlign w:val="center"/>
            <w:hideMark/>
          </w:tcPr>
          <w:p w14:paraId="7CDB9B42" w14:textId="605438C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10 658</w:t>
            </w:r>
          </w:p>
        </w:tc>
        <w:tc>
          <w:tcPr>
            <w:tcW w:w="612" w:type="pct"/>
            <w:tcBorders>
              <w:top w:val="nil"/>
              <w:left w:val="nil"/>
              <w:bottom w:val="nil"/>
              <w:right w:val="nil"/>
            </w:tcBorders>
            <w:vAlign w:val="center"/>
          </w:tcPr>
          <w:p w14:paraId="0FE035BB" w14:textId="6D912D7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10 658</w:t>
            </w:r>
          </w:p>
        </w:tc>
        <w:tc>
          <w:tcPr>
            <w:tcW w:w="643" w:type="pct"/>
            <w:tcBorders>
              <w:top w:val="nil"/>
              <w:left w:val="nil"/>
              <w:bottom w:val="nil"/>
            </w:tcBorders>
            <w:vAlign w:val="center"/>
            <w:hideMark/>
          </w:tcPr>
          <w:p w14:paraId="2779F910" w14:textId="3A840E9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r>
      <w:tr w:rsidR="001073E3" w:rsidRPr="001073E3" w14:paraId="380EF2D6" w14:textId="77777777" w:rsidTr="00F57373">
        <w:trPr>
          <w:trHeight w:val="276"/>
          <w:jc w:val="center"/>
        </w:trPr>
        <w:tc>
          <w:tcPr>
            <w:tcW w:w="2521" w:type="pct"/>
            <w:tcBorders>
              <w:top w:val="nil"/>
              <w:bottom w:val="nil"/>
              <w:right w:val="nil"/>
            </w:tcBorders>
            <w:noWrap/>
            <w:vAlign w:val="bottom"/>
            <w:hideMark/>
          </w:tcPr>
          <w:p w14:paraId="02DD3C4A"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 xml:space="preserve">Mnohostranná agentúra pre investičné záruky </w:t>
            </w:r>
          </w:p>
        </w:tc>
        <w:tc>
          <w:tcPr>
            <w:tcW w:w="612" w:type="pct"/>
            <w:tcBorders>
              <w:top w:val="nil"/>
              <w:left w:val="nil"/>
              <w:bottom w:val="nil"/>
              <w:right w:val="nil"/>
            </w:tcBorders>
            <w:vAlign w:val="center"/>
            <w:hideMark/>
          </w:tcPr>
          <w:p w14:paraId="7C5E83FF" w14:textId="19FB7311"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3 026</w:t>
            </w:r>
          </w:p>
        </w:tc>
        <w:tc>
          <w:tcPr>
            <w:tcW w:w="612" w:type="pct"/>
            <w:tcBorders>
              <w:top w:val="nil"/>
              <w:left w:val="nil"/>
              <w:bottom w:val="nil"/>
              <w:right w:val="nil"/>
            </w:tcBorders>
            <w:vAlign w:val="center"/>
            <w:hideMark/>
          </w:tcPr>
          <w:p w14:paraId="50FAD8C8" w14:textId="0D3DE53C"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3 213</w:t>
            </w:r>
          </w:p>
        </w:tc>
        <w:tc>
          <w:tcPr>
            <w:tcW w:w="612" w:type="pct"/>
            <w:tcBorders>
              <w:top w:val="nil"/>
              <w:left w:val="nil"/>
              <w:bottom w:val="nil"/>
              <w:right w:val="nil"/>
            </w:tcBorders>
            <w:vAlign w:val="center"/>
          </w:tcPr>
          <w:p w14:paraId="425B46E6" w14:textId="1FB708C6"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3 102</w:t>
            </w:r>
          </w:p>
        </w:tc>
        <w:tc>
          <w:tcPr>
            <w:tcW w:w="643" w:type="pct"/>
            <w:tcBorders>
              <w:top w:val="nil"/>
              <w:left w:val="nil"/>
              <w:bottom w:val="nil"/>
            </w:tcBorders>
            <w:vAlign w:val="center"/>
            <w:hideMark/>
          </w:tcPr>
          <w:p w14:paraId="42BBC204" w14:textId="43FBA9A9"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-111</w:t>
            </w:r>
          </w:p>
        </w:tc>
      </w:tr>
      <w:tr w:rsidR="001073E3" w:rsidRPr="001073E3" w14:paraId="660BAFFF" w14:textId="77777777" w:rsidTr="00F57373">
        <w:trPr>
          <w:trHeight w:val="276"/>
          <w:jc w:val="center"/>
        </w:trPr>
        <w:tc>
          <w:tcPr>
            <w:tcW w:w="2521" w:type="pct"/>
            <w:tcBorders>
              <w:top w:val="nil"/>
              <w:bottom w:val="nil"/>
              <w:right w:val="nil"/>
            </w:tcBorders>
            <w:noWrap/>
            <w:vAlign w:val="bottom"/>
            <w:hideMark/>
          </w:tcPr>
          <w:p w14:paraId="3086DE59"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 xml:space="preserve">Medzinárodná investičná banka </w:t>
            </w:r>
          </w:p>
        </w:tc>
        <w:tc>
          <w:tcPr>
            <w:tcW w:w="612" w:type="pct"/>
            <w:tcBorders>
              <w:top w:val="nil"/>
              <w:left w:val="nil"/>
              <w:bottom w:val="nil"/>
              <w:right w:val="nil"/>
            </w:tcBorders>
            <w:vAlign w:val="center"/>
            <w:hideMark/>
          </w:tcPr>
          <w:p w14:paraId="410CD7AB" w14:textId="642D2E6B"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33 931</w:t>
            </w:r>
          </w:p>
        </w:tc>
        <w:tc>
          <w:tcPr>
            <w:tcW w:w="612" w:type="pct"/>
            <w:tcBorders>
              <w:top w:val="nil"/>
              <w:left w:val="nil"/>
              <w:bottom w:val="nil"/>
              <w:right w:val="nil"/>
            </w:tcBorders>
            <w:vAlign w:val="center"/>
            <w:hideMark/>
          </w:tcPr>
          <w:p w14:paraId="24BAA512" w14:textId="14E035E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33 931</w:t>
            </w:r>
          </w:p>
        </w:tc>
        <w:tc>
          <w:tcPr>
            <w:tcW w:w="612" w:type="pct"/>
            <w:tcBorders>
              <w:top w:val="nil"/>
              <w:left w:val="nil"/>
              <w:bottom w:val="nil"/>
              <w:right w:val="nil"/>
            </w:tcBorders>
            <w:vAlign w:val="center"/>
          </w:tcPr>
          <w:p w14:paraId="275B773C" w14:textId="1CE10FB6"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33 931</w:t>
            </w:r>
          </w:p>
        </w:tc>
        <w:tc>
          <w:tcPr>
            <w:tcW w:w="643" w:type="pct"/>
            <w:tcBorders>
              <w:top w:val="nil"/>
              <w:left w:val="nil"/>
              <w:bottom w:val="nil"/>
            </w:tcBorders>
            <w:vAlign w:val="center"/>
            <w:hideMark/>
          </w:tcPr>
          <w:p w14:paraId="7AFA0E83" w14:textId="6EF942C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r>
      <w:tr w:rsidR="001073E3" w:rsidRPr="001073E3" w14:paraId="30BC1DEA" w14:textId="77777777" w:rsidTr="00F57373">
        <w:trPr>
          <w:trHeight w:val="276"/>
          <w:jc w:val="center"/>
        </w:trPr>
        <w:tc>
          <w:tcPr>
            <w:tcW w:w="2521" w:type="pct"/>
            <w:tcBorders>
              <w:top w:val="nil"/>
              <w:bottom w:val="nil"/>
              <w:right w:val="nil"/>
            </w:tcBorders>
            <w:noWrap/>
            <w:vAlign w:val="bottom"/>
            <w:hideMark/>
          </w:tcPr>
          <w:p w14:paraId="696BC5F1"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Paneurópsky garančný fond</w:t>
            </w:r>
          </w:p>
        </w:tc>
        <w:tc>
          <w:tcPr>
            <w:tcW w:w="612" w:type="pct"/>
            <w:tcBorders>
              <w:top w:val="nil"/>
              <w:left w:val="nil"/>
              <w:bottom w:val="nil"/>
              <w:right w:val="nil"/>
            </w:tcBorders>
            <w:vAlign w:val="center"/>
            <w:hideMark/>
          </w:tcPr>
          <w:p w14:paraId="66959580" w14:textId="3FBE0292"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75 484</w:t>
            </w:r>
          </w:p>
        </w:tc>
        <w:tc>
          <w:tcPr>
            <w:tcW w:w="612" w:type="pct"/>
            <w:tcBorders>
              <w:top w:val="nil"/>
              <w:left w:val="nil"/>
              <w:bottom w:val="nil"/>
              <w:right w:val="nil"/>
            </w:tcBorders>
            <w:vAlign w:val="center"/>
            <w:hideMark/>
          </w:tcPr>
          <w:p w14:paraId="13953F5F" w14:textId="6FB5B18C"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75 484</w:t>
            </w:r>
          </w:p>
        </w:tc>
        <w:tc>
          <w:tcPr>
            <w:tcW w:w="612" w:type="pct"/>
            <w:tcBorders>
              <w:top w:val="nil"/>
              <w:left w:val="nil"/>
              <w:bottom w:val="nil"/>
              <w:right w:val="nil"/>
            </w:tcBorders>
            <w:vAlign w:val="center"/>
          </w:tcPr>
          <w:p w14:paraId="5FACDA41" w14:textId="66B70552"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74 932</w:t>
            </w:r>
          </w:p>
        </w:tc>
        <w:tc>
          <w:tcPr>
            <w:tcW w:w="643" w:type="pct"/>
            <w:tcBorders>
              <w:top w:val="nil"/>
              <w:left w:val="nil"/>
              <w:bottom w:val="nil"/>
            </w:tcBorders>
            <w:vAlign w:val="center"/>
            <w:hideMark/>
          </w:tcPr>
          <w:p w14:paraId="053DD90B" w14:textId="30F31299"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-552</w:t>
            </w:r>
          </w:p>
        </w:tc>
      </w:tr>
      <w:tr w:rsidR="001073E3" w:rsidRPr="001073E3" w14:paraId="23EEBFAC" w14:textId="77777777" w:rsidTr="00F57373">
        <w:trPr>
          <w:trHeight w:val="276"/>
          <w:jc w:val="center"/>
        </w:trPr>
        <w:tc>
          <w:tcPr>
            <w:tcW w:w="2521" w:type="pct"/>
            <w:tcBorders>
              <w:top w:val="nil"/>
              <w:bottom w:val="nil"/>
              <w:right w:val="nil"/>
            </w:tcBorders>
            <w:vAlign w:val="center"/>
            <w:hideMark/>
          </w:tcPr>
          <w:p w14:paraId="3BD46636" w14:textId="77777777" w:rsidR="001073E3" w:rsidRPr="001073E3" w:rsidRDefault="001073E3" w:rsidP="001073E3">
            <w:pPr>
              <w:spacing w:after="0" w:line="240" w:lineRule="auto"/>
              <w:rPr>
                <w:b/>
                <w:bCs/>
                <w:color w:val="000000"/>
                <w:sz w:val="16"/>
                <w:szCs w:val="16"/>
                <w:lang w:eastAsia="sk-SK"/>
              </w:rPr>
            </w:pPr>
            <w:r w:rsidRPr="001073E3">
              <w:rPr>
                <w:b/>
                <w:bCs/>
                <w:color w:val="000000"/>
                <w:sz w:val="16"/>
                <w:szCs w:val="16"/>
                <w:lang w:eastAsia="sk-SK"/>
              </w:rPr>
              <w:t>Medzinárodné investičné arbitráže</w:t>
            </w:r>
          </w:p>
        </w:tc>
        <w:tc>
          <w:tcPr>
            <w:tcW w:w="612" w:type="pct"/>
            <w:tcBorders>
              <w:top w:val="nil"/>
              <w:left w:val="nil"/>
              <w:bottom w:val="nil"/>
              <w:right w:val="nil"/>
            </w:tcBorders>
            <w:noWrap/>
            <w:vAlign w:val="bottom"/>
            <w:hideMark/>
          </w:tcPr>
          <w:p w14:paraId="5E61F50A" w14:textId="71633801"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28 692</w:t>
            </w:r>
          </w:p>
        </w:tc>
        <w:tc>
          <w:tcPr>
            <w:tcW w:w="612" w:type="pct"/>
            <w:tcBorders>
              <w:top w:val="nil"/>
              <w:left w:val="nil"/>
              <w:bottom w:val="nil"/>
              <w:right w:val="nil"/>
            </w:tcBorders>
            <w:noWrap/>
            <w:vAlign w:val="bottom"/>
            <w:hideMark/>
          </w:tcPr>
          <w:p w14:paraId="6F026F26" w14:textId="6F932C07"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28 692</w:t>
            </w:r>
          </w:p>
        </w:tc>
        <w:tc>
          <w:tcPr>
            <w:tcW w:w="612" w:type="pct"/>
            <w:tcBorders>
              <w:top w:val="nil"/>
              <w:left w:val="nil"/>
              <w:bottom w:val="nil"/>
              <w:right w:val="nil"/>
            </w:tcBorders>
            <w:noWrap/>
            <w:vAlign w:val="bottom"/>
          </w:tcPr>
          <w:p w14:paraId="4B6F01EF" w14:textId="17DC5E2E"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28 692</w:t>
            </w:r>
          </w:p>
        </w:tc>
        <w:tc>
          <w:tcPr>
            <w:tcW w:w="643" w:type="pct"/>
            <w:tcBorders>
              <w:top w:val="nil"/>
              <w:left w:val="nil"/>
              <w:bottom w:val="nil"/>
            </w:tcBorders>
            <w:noWrap/>
            <w:vAlign w:val="bottom"/>
            <w:hideMark/>
          </w:tcPr>
          <w:p w14:paraId="7CAA14D9" w14:textId="68259501"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0</w:t>
            </w:r>
          </w:p>
        </w:tc>
      </w:tr>
      <w:tr w:rsidR="001073E3" w:rsidRPr="001073E3" w14:paraId="46D3ACA1" w14:textId="77777777" w:rsidTr="00F57373">
        <w:trPr>
          <w:trHeight w:val="276"/>
          <w:jc w:val="center"/>
        </w:trPr>
        <w:tc>
          <w:tcPr>
            <w:tcW w:w="2521" w:type="pct"/>
            <w:tcBorders>
              <w:top w:val="nil"/>
              <w:bottom w:val="nil"/>
              <w:right w:val="nil"/>
            </w:tcBorders>
            <w:vAlign w:val="center"/>
            <w:hideMark/>
          </w:tcPr>
          <w:p w14:paraId="193BE042" w14:textId="2B86B04A" w:rsidR="001073E3" w:rsidRPr="001073E3" w:rsidRDefault="00390E01" w:rsidP="001073E3">
            <w:pPr>
              <w:spacing w:after="0" w:line="240" w:lineRule="auto"/>
              <w:ind w:firstLineChars="300" w:firstLine="480"/>
              <w:rPr>
                <w:color w:val="000000"/>
                <w:sz w:val="16"/>
                <w:szCs w:val="16"/>
                <w:lang w:eastAsia="sk-SK"/>
              </w:rPr>
            </w:pPr>
            <w:r>
              <w:rPr>
                <w:color w:val="000000"/>
                <w:sz w:val="16"/>
                <w:szCs w:val="16"/>
                <w:lang w:eastAsia="sk-SK"/>
              </w:rPr>
              <w:t>Zdravotná poisťovňa Union, </w:t>
            </w:r>
            <w:r w:rsidR="001073E3" w:rsidRPr="001073E3">
              <w:rPr>
                <w:color w:val="000000"/>
                <w:sz w:val="16"/>
                <w:szCs w:val="16"/>
                <w:lang w:eastAsia="sk-SK"/>
              </w:rPr>
              <w:t>a.</w:t>
            </w:r>
            <w:r>
              <w:rPr>
                <w:color w:val="000000"/>
                <w:sz w:val="16"/>
                <w:szCs w:val="16"/>
                <w:lang w:eastAsia="sk-SK"/>
              </w:rPr>
              <w:t> </w:t>
            </w:r>
            <w:r w:rsidR="001073E3" w:rsidRPr="001073E3">
              <w:rPr>
                <w:color w:val="000000"/>
                <w:sz w:val="16"/>
                <w:szCs w:val="16"/>
                <w:lang w:eastAsia="sk-SK"/>
              </w:rPr>
              <w:t xml:space="preserve">s. </w:t>
            </w:r>
          </w:p>
        </w:tc>
        <w:tc>
          <w:tcPr>
            <w:tcW w:w="612" w:type="pct"/>
            <w:tcBorders>
              <w:top w:val="nil"/>
              <w:left w:val="nil"/>
              <w:bottom w:val="nil"/>
              <w:right w:val="nil"/>
            </w:tcBorders>
            <w:vAlign w:val="center"/>
            <w:hideMark/>
          </w:tcPr>
          <w:p w14:paraId="2917155A" w14:textId="11585FA1"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28 692</w:t>
            </w:r>
          </w:p>
        </w:tc>
        <w:tc>
          <w:tcPr>
            <w:tcW w:w="612" w:type="pct"/>
            <w:tcBorders>
              <w:top w:val="nil"/>
              <w:left w:val="nil"/>
              <w:bottom w:val="nil"/>
              <w:right w:val="nil"/>
            </w:tcBorders>
            <w:vAlign w:val="center"/>
            <w:hideMark/>
          </w:tcPr>
          <w:p w14:paraId="759ADB35" w14:textId="2BA0DC75"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28 692</w:t>
            </w:r>
          </w:p>
        </w:tc>
        <w:tc>
          <w:tcPr>
            <w:tcW w:w="612" w:type="pct"/>
            <w:tcBorders>
              <w:top w:val="nil"/>
              <w:left w:val="nil"/>
              <w:bottom w:val="nil"/>
              <w:right w:val="nil"/>
            </w:tcBorders>
            <w:vAlign w:val="center"/>
          </w:tcPr>
          <w:p w14:paraId="50D88553" w14:textId="1C93F83C"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28 692</w:t>
            </w:r>
          </w:p>
        </w:tc>
        <w:tc>
          <w:tcPr>
            <w:tcW w:w="643" w:type="pct"/>
            <w:tcBorders>
              <w:top w:val="nil"/>
              <w:left w:val="nil"/>
              <w:bottom w:val="nil"/>
            </w:tcBorders>
            <w:noWrap/>
            <w:vAlign w:val="bottom"/>
            <w:hideMark/>
          </w:tcPr>
          <w:p w14:paraId="1D7FB1C6" w14:textId="60DA903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r>
      <w:tr w:rsidR="001073E3" w:rsidRPr="001073E3" w14:paraId="75D99EDD" w14:textId="77777777" w:rsidTr="00F57373">
        <w:trPr>
          <w:trHeight w:val="276"/>
          <w:jc w:val="center"/>
        </w:trPr>
        <w:tc>
          <w:tcPr>
            <w:tcW w:w="2521" w:type="pct"/>
            <w:tcBorders>
              <w:top w:val="nil"/>
              <w:bottom w:val="nil"/>
              <w:right w:val="nil"/>
            </w:tcBorders>
            <w:vAlign w:val="center"/>
            <w:hideMark/>
          </w:tcPr>
          <w:p w14:paraId="41928311" w14:textId="77777777" w:rsidR="001073E3" w:rsidRPr="001073E3" w:rsidRDefault="001073E3" w:rsidP="001073E3">
            <w:pPr>
              <w:spacing w:after="0" w:line="240" w:lineRule="auto"/>
              <w:rPr>
                <w:b/>
                <w:bCs/>
                <w:color w:val="000000"/>
                <w:sz w:val="16"/>
                <w:szCs w:val="16"/>
                <w:lang w:eastAsia="sk-SK"/>
              </w:rPr>
            </w:pPr>
            <w:r w:rsidRPr="001073E3">
              <w:rPr>
                <w:b/>
                <w:bCs/>
                <w:color w:val="000000"/>
                <w:sz w:val="16"/>
                <w:szCs w:val="16"/>
                <w:lang w:eastAsia="sk-SK"/>
              </w:rPr>
              <w:t>Hroziace alebo prebiehajúce súdne spory</w:t>
            </w:r>
          </w:p>
        </w:tc>
        <w:tc>
          <w:tcPr>
            <w:tcW w:w="612" w:type="pct"/>
            <w:tcBorders>
              <w:top w:val="nil"/>
              <w:left w:val="nil"/>
              <w:bottom w:val="nil"/>
              <w:right w:val="nil"/>
            </w:tcBorders>
            <w:vAlign w:val="center"/>
            <w:hideMark/>
          </w:tcPr>
          <w:p w14:paraId="2CBAF034" w14:textId="16A0B3CC"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4 009 975</w:t>
            </w:r>
          </w:p>
        </w:tc>
        <w:tc>
          <w:tcPr>
            <w:tcW w:w="612" w:type="pct"/>
            <w:tcBorders>
              <w:top w:val="nil"/>
              <w:left w:val="nil"/>
              <w:bottom w:val="nil"/>
              <w:right w:val="nil"/>
            </w:tcBorders>
            <w:vAlign w:val="center"/>
            <w:hideMark/>
          </w:tcPr>
          <w:p w14:paraId="1A9DCA3E" w14:textId="5CA35A32"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4 040 590</w:t>
            </w:r>
          </w:p>
        </w:tc>
        <w:tc>
          <w:tcPr>
            <w:tcW w:w="612" w:type="pct"/>
            <w:tcBorders>
              <w:top w:val="nil"/>
              <w:left w:val="nil"/>
              <w:bottom w:val="nil"/>
              <w:right w:val="nil"/>
            </w:tcBorders>
            <w:vAlign w:val="center"/>
          </w:tcPr>
          <w:p w14:paraId="32646DB6" w14:textId="746DC06D"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4 260 880</w:t>
            </w:r>
          </w:p>
        </w:tc>
        <w:tc>
          <w:tcPr>
            <w:tcW w:w="643" w:type="pct"/>
            <w:tcBorders>
              <w:top w:val="nil"/>
              <w:left w:val="nil"/>
              <w:bottom w:val="nil"/>
            </w:tcBorders>
            <w:vAlign w:val="center"/>
            <w:hideMark/>
          </w:tcPr>
          <w:p w14:paraId="51D1BA01" w14:textId="7EBF54C4"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220 290</w:t>
            </w:r>
          </w:p>
        </w:tc>
      </w:tr>
      <w:tr w:rsidR="001073E3" w:rsidRPr="001073E3" w14:paraId="213440CC" w14:textId="77777777" w:rsidTr="00F57373">
        <w:trPr>
          <w:trHeight w:val="276"/>
          <w:jc w:val="center"/>
        </w:trPr>
        <w:tc>
          <w:tcPr>
            <w:tcW w:w="2521" w:type="pct"/>
            <w:tcBorders>
              <w:top w:val="nil"/>
              <w:bottom w:val="nil"/>
              <w:right w:val="nil"/>
            </w:tcBorders>
            <w:vAlign w:val="center"/>
            <w:hideMark/>
          </w:tcPr>
          <w:p w14:paraId="38B070B5"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Ministerstvo financií SR</w:t>
            </w:r>
          </w:p>
        </w:tc>
        <w:tc>
          <w:tcPr>
            <w:tcW w:w="612" w:type="pct"/>
            <w:tcBorders>
              <w:top w:val="nil"/>
              <w:left w:val="nil"/>
              <w:bottom w:val="nil"/>
              <w:right w:val="nil"/>
            </w:tcBorders>
            <w:vAlign w:val="center"/>
            <w:hideMark/>
          </w:tcPr>
          <w:p w14:paraId="63E0A34C" w14:textId="361CAFD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1 435 530</w:t>
            </w:r>
          </w:p>
        </w:tc>
        <w:tc>
          <w:tcPr>
            <w:tcW w:w="612" w:type="pct"/>
            <w:tcBorders>
              <w:top w:val="nil"/>
              <w:left w:val="nil"/>
              <w:bottom w:val="nil"/>
              <w:right w:val="nil"/>
            </w:tcBorders>
            <w:vAlign w:val="center"/>
            <w:hideMark/>
          </w:tcPr>
          <w:p w14:paraId="3BE588C1" w14:textId="64F1538B"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1 435 571</w:t>
            </w:r>
          </w:p>
        </w:tc>
        <w:tc>
          <w:tcPr>
            <w:tcW w:w="612" w:type="pct"/>
            <w:tcBorders>
              <w:top w:val="nil"/>
              <w:left w:val="nil"/>
              <w:bottom w:val="nil"/>
              <w:right w:val="nil"/>
            </w:tcBorders>
            <w:vAlign w:val="center"/>
          </w:tcPr>
          <w:p w14:paraId="6FBC2E66" w14:textId="506964B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1 419 734</w:t>
            </w:r>
          </w:p>
        </w:tc>
        <w:tc>
          <w:tcPr>
            <w:tcW w:w="643" w:type="pct"/>
            <w:tcBorders>
              <w:top w:val="nil"/>
              <w:left w:val="nil"/>
              <w:bottom w:val="nil"/>
            </w:tcBorders>
            <w:vAlign w:val="center"/>
          </w:tcPr>
          <w:p w14:paraId="214CFA8A" w14:textId="7EFA413F"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-15 836</w:t>
            </w:r>
          </w:p>
        </w:tc>
      </w:tr>
      <w:tr w:rsidR="001073E3" w:rsidRPr="001073E3" w14:paraId="15773DDF" w14:textId="77777777" w:rsidTr="00F57373">
        <w:trPr>
          <w:trHeight w:val="276"/>
          <w:jc w:val="center"/>
        </w:trPr>
        <w:tc>
          <w:tcPr>
            <w:tcW w:w="2521" w:type="pct"/>
            <w:tcBorders>
              <w:top w:val="nil"/>
              <w:bottom w:val="nil"/>
              <w:right w:val="nil"/>
            </w:tcBorders>
            <w:vAlign w:val="center"/>
            <w:hideMark/>
          </w:tcPr>
          <w:p w14:paraId="6CA6A294"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Ministerstvo vnútra SR</w:t>
            </w:r>
          </w:p>
        </w:tc>
        <w:tc>
          <w:tcPr>
            <w:tcW w:w="612" w:type="pct"/>
            <w:tcBorders>
              <w:top w:val="nil"/>
              <w:left w:val="nil"/>
              <w:bottom w:val="nil"/>
              <w:right w:val="nil"/>
            </w:tcBorders>
            <w:vAlign w:val="center"/>
            <w:hideMark/>
          </w:tcPr>
          <w:p w14:paraId="4FB80B1D" w14:textId="372A402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1 140 308</w:t>
            </w:r>
          </w:p>
        </w:tc>
        <w:tc>
          <w:tcPr>
            <w:tcW w:w="612" w:type="pct"/>
            <w:tcBorders>
              <w:top w:val="nil"/>
              <w:left w:val="nil"/>
              <w:bottom w:val="nil"/>
              <w:right w:val="nil"/>
            </w:tcBorders>
            <w:vAlign w:val="center"/>
            <w:hideMark/>
          </w:tcPr>
          <w:p w14:paraId="628F4168" w14:textId="4F04C85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1 095 485</w:t>
            </w:r>
          </w:p>
        </w:tc>
        <w:tc>
          <w:tcPr>
            <w:tcW w:w="612" w:type="pct"/>
            <w:tcBorders>
              <w:top w:val="nil"/>
              <w:left w:val="nil"/>
              <w:bottom w:val="nil"/>
              <w:right w:val="nil"/>
            </w:tcBorders>
            <w:vAlign w:val="center"/>
          </w:tcPr>
          <w:p w14:paraId="2CCD25DF" w14:textId="0244C50C"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1 094 776</w:t>
            </w:r>
          </w:p>
        </w:tc>
        <w:tc>
          <w:tcPr>
            <w:tcW w:w="643" w:type="pct"/>
            <w:tcBorders>
              <w:top w:val="nil"/>
              <w:left w:val="nil"/>
              <w:bottom w:val="nil"/>
            </w:tcBorders>
            <w:vAlign w:val="center"/>
          </w:tcPr>
          <w:p w14:paraId="5532B5DA" w14:textId="1FC8E74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-709</w:t>
            </w:r>
          </w:p>
        </w:tc>
      </w:tr>
      <w:tr w:rsidR="001073E3" w:rsidRPr="001073E3" w14:paraId="54375E5D" w14:textId="77777777" w:rsidTr="00F57373">
        <w:trPr>
          <w:trHeight w:val="276"/>
          <w:jc w:val="center"/>
        </w:trPr>
        <w:tc>
          <w:tcPr>
            <w:tcW w:w="2521" w:type="pct"/>
            <w:tcBorders>
              <w:top w:val="nil"/>
              <w:bottom w:val="nil"/>
              <w:right w:val="nil"/>
            </w:tcBorders>
            <w:vAlign w:val="center"/>
            <w:hideMark/>
          </w:tcPr>
          <w:p w14:paraId="1A8D470A"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Ministerstvo práce, sociálnych vecí a rodiny SR</w:t>
            </w:r>
          </w:p>
        </w:tc>
        <w:tc>
          <w:tcPr>
            <w:tcW w:w="612" w:type="pct"/>
            <w:tcBorders>
              <w:top w:val="nil"/>
              <w:left w:val="nil"/>
              <w:bottom w:val="nil"/>
              <w:right w:val="nil"/>
            </w:tcBorders>
            <w:vAlign w:val="center"/>
            <w:hideMark/>
          </w:tcPr>
          <w:p w14:paraId="38EB18DC" w14:textId="7596AB22"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451 102</w:t>
            </w:r>
          </w:p>
        </w:tc>
        <w:tc>
          <w:tcPr>
            <w:tcW w:w="612" w:type="pct"/>
            <w:tcBorders>
              <w:top w:val="nil"/>
              <w:left w:val="nil"/>
              <w:bottom w:val="nil"/>
              <w:right w:val="nil"/>
            </w:tcBorders>
            <w:vAlign w:val="center"/>
            <w:hideMark/>
          </w:tcPr>
          <w:p w14:paraId="2E257BAD" w14:textId="44F85286"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450 804</w:t>
            </w:r>
          </w:p>
        </w:tc>
        <w:tc>
          <w:tcPr>
            <w:tcW w:w="612" w:type="pct"/>
            <w:tcBorders>
              <w:top w:val="nil"/>
              <w:left w:val="nil"/>
              <w:bottom w:val="nil"/>
              <w:right w:val="nil"/>
            </w:tcBorders>
            <w:vAlign w:val="center"/>
          </w:tcPr>
          <w:p w14:paraId="6F0667D3" w14:textId="01020E1B"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450 780</w:t>
            </w:r>
          </w:p>
        </w:tc>
        <w:tc>
          <w:tcPr>
            <w:tcW w:w="643" w:type="pct"/>
            <w:tcBorders>
              <w:top w:val="nil"/>
              <w:left w:val="nil"/>
              <w:bottom w:val="nil"/>
            </w:tcBorders>
            <w:vAlign w:val="center"/>
          </w:tcPr>
          <w:p w14:paraId="63C9EA88" w14:textId="2F882B8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-24</w:t>
            </w:r>
          </w:p>
        </w:tc>
      </w:tr>
      <w:tr w:rsidR="001073E3" w:rsidRPr="001073E3" w14:paraId="51D647DF" w14:textId="77777777" w:rsidTr="00F57373">
        <w:trPr>
          <w:trHeight w:val="276"/>
          <w:jc w:val="center"/>
        </w:trPr>
        <w:tc>
          <w:tcPr>
            <w:tcW w:w="2521" w:type="pct"/>
            <w:tcBorders>
              <w:top w:val="nil"/>
              <w:bottom w:val="nil"/>
              <w:right w:val="nil"/>
            </w:tcBorders>
            <w:vAlign w:val="center"/>
          </w:tcPr>
          <w:p w14:paraId="6B2BF265"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Úrad pre dohľad nad zdravotnou starostlivosťou SR</w:t>
            </w:r>
          </w:p>
        </w:tc>
        <w:tc>
          <w:tcPr>
            <w:tcW w:w="612" w:type="pct"/>
            <w:tcBorders>
              <w:top w:val="nil"/>
              <w:left w:val="nil"/>
              <w:bottom w:val="nil"/>
              <w:right w:val="nil"/>
            </w:tcBorders>
            <w:vAlign w:val="center"/>
          </w:tcPr>
          <w:p w14:paraId="0FFEFA04" w14:textId="4BB18F5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c>
          <w:tcPr>
            <w:tcW w:w="612" w:type="pct"/>
            <w:tcBorders>
              <w:top w:val="nil"/>
              <w:left w:val="nil"/>
              <w:bottom w:val="nil"/>
              <w:right w:val="nil"/>
            </w:tcBorders>
            <w:vAlign w:val="center"/>
          </w:tcPr>
          <w:p w14:paraId="43CA1F87" w14:textId="093DC87E"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280 000</w:t>
            </w:r>
          </w:p>
        </w:tc>
        <w:tc>
          <w:tcPr>
            <w:tcW w:w="612" w:type="pct"/>
            <w:tcBorders>
              <w:top w:val="nil"/>
              <w:left w:val="nil"/>
              <w:bottom w:val="nil"/>
              <w:right w:val="nil"/>
            </w:tcBorders>
            <w:vAlign w:val="center"/>
          </w:tcPr>
          <w:p w14:paraId="3C286119" w14:textId="3C4A8CC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280 000</w:t>
            </w:r>
          </w:p>
        </w:tc>
        <w:tc>
          <w:tcPr>
            <w:tcW w:w="643" w:type="pct"/>
            <w:tcBorders>
              <w:top w:val="nil"/>
              <w:left w:val="nil"/>
              <w:bottom w:val="nil"/>
            </w:tcBorders>
            <w:vAlign w:val="center"/>
          </w:tcPr>
          <w:p w14:paraId="7421DADD" w14:textId="78F9F5F5"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r>
      <w:tr w:rsidR="001073E3" w:rsidRPr="001073E3" w14:paraId="6DC522B0" w14:textId="77777777" w:rsidTr="00F57373">
        <w:trPr>
          <w:trHeight w:val="276"/>
          <w:jc w:val="center"/>
        </w:trPr>
        <w:tc>
          <w:tcPr>
            <w:tcW w:w="2521" w:type="pct"/>
            <w:tcBorders>
              <w:top w:val="nil"/>
              <w:bottom w:val="nil"/>
              <w:right w:val="nil"/>
            </w:tcBorders>
            <w:vAlign w:val="center"/>
            <w:hideMark/>
          </w:tcPr>
          <w:p w14:paraId="24900BF5"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Kancelária národnej rady SR</w:t>
            </w:r>
          </w:p>
        </w:tc>
        <w:tc>
          <w:tcPr>
            <w:tcW w:w="612" w:type="pct"/>
            <w:tcBorders>
              <w:top w:val="nil"/>
              <w:left w:val="nil"/>
              <w:bottom w:val="nil"/>
              <w:right w:val="nil"/>
            </w:tcBorders>
            <w:vAlign w:val="center"/>
            <w:hideMark/>
          </w:tcPr>
          <w:p w14:paraId="45277698" w14:textId="2E371D9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405 115</w:t>
            </w:r>
          </w:p>
        </w:tc>
        <w:tc>
          <w:tcPr>
            <w:tcW w:w="612" w:type="pct"/>
            <w:tcBorders>
              <w:top w:val="nil"/>
              <w:left w:val="nil"/>
              <w:bottom w:val="nil"/>
              <w:right w:val="nil"/>
            </w:tcBorders>
            <w:vAlign w:val="center"/>
            <w:hideMark/>
          </w:tcPr>
          <w:p w14:paraId="15FD6EBA" w14:textId="53EA627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225 775</w:t>
            </w:r>
          </w:p>
        </w:tc>
        <w:tc>
          <w:tcPr>
            <w:tcW w:w="612" w:type="pct"/>
            <w:tcBorders>
              <w:top w:val="nil"/>
              <w:left w:val="nil"/>
              <w:bottom w:val="nil"/>
              <w:right w:val="nil"/>
            </w:tcBorders>
            <w:vAlign w:val="center"/>
          </w:tcPr>
          <w:p w14:paraId="368D9051" w14:textId="1710075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222 090</w:t>
            </w:r>
          </w:p>
        </w:tc>
        <w:tc>
          <w:tcPr>
            <w:tcW w:w="643" w:type="pct"/>
            <w:tcBorders>
              <w:top w:val="nil"/>
              <w:left w:val="nil"/>
              <w:bottom w:val="nil"/>
            </w:tcBorders>
            <w:vAlign w:val="center"/>
          </w:tcPr>
          <w:p w14:paraId="6FE6367C" w14:textId="4AD3E272"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-3 685</w:t>
            </w:r>
          </w:p>
        </w:tc>
      </w:tr>
      <w:tr w:rsidR="001073E3" w:rsidRPr="001073E3" w14:paraId="147C848C" w14:textId="77777777" w:rsidTr="00F57373">
        <w:trPr>
          <w:trHeight w:val="276"/>
          <w:jc w:val="center"/>
        </w:trPr>
        <w:tc>
          <w:tcPr>
            <w:tcW w:w="2521" w:type="pct"/>
            <w:tcBorders>
              <w:top w:val="nil"/>
              <w:bottom w:val="nil"/>
              <w:right w:val="nil"/>
            </w:tcBorders>
            <w:vAlign w:val="center"/>
            <w:hideMark/>
          </w:tcPr>
          <w:p w14:paraId="3ED0ACA7" w14:textId="6E55F9C6"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MH Manažment, a.</w:t>
            </w:r>
            <w:r w:rsidR="00390E01">
              <w:rPr>
                <w:color w:val="000000"/>
                <w:sz w:val="16"/>
                <w:szCs w:val="16"/>
                <w:lang w:eastAsia="sk-SK"/>
              </w:rPr>
              <w:t> </w:t>
            </w:r>
            <w:r w:rsidRPr="001073E3">
              <w:rPr>
                <w:color w:val="000000"/>
                <w:sz w:val="16"/>
                <w:szCs w:val="16"/>
                <w:lang w:eastAsia="sk-SK"/>
              </w:rPr>
              <w:t>s.</w:t>
            </w:r>
          </w:p>
        </w:tc>
        <w:tc>
          <w:tcPr>
            <w:tcW w:w="612" w:type="pct"/>
            <w:tcBorders>
              <w:top w:val="nil"/>
              <w:left w:val="nil"/>
              <w:bottom w:val="nil"/>
              <w:right w:val="nil"/>
            </w:tcBorders>
            <w:vAlign w:val="center"/>
            <w:hideMark/>
          </w:tcPr>
          <w:p w14:paraId="667C601A" w14:textId="3378AAD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202 232</w:t>
            </w:r>
          </w:p>
        </w:tc>
        <w:tc>
          <w:tcPr>
            <w:tcW w:w="612" w:type="pct"/>
            <w:tcBorders>
              <w:top w:val="nil"/>
              <w:left w:val="nil"/>
              <w:bottom w:val="nil"/>
              <w:right w:val="nil"/>
            </w:tcBorders>
            <w:vAlign w:val="center"/>
            <w:hideMark/>
          </w:tcPr>
          <w:p w14:paraId="4C7FB2B1" w14:textId="06ED10A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168 185</w:t>
            </w:r>
          </w:p>
        </w:tc>
        <w:tc>
          <w:tcPr>
            <w:tcW w:w="612" w:type="pct"/>
            <w:tcBorders>
              <w:top w:val="nil"/>
              <w:left w:val="nil"/>
              <w:bottom w:val="nil"/>
              <w:right w:val="nil"/>
            </w:tcBorders>
            <w:vAlign w:val="center"/>
          </w:tcPr>
          <w:p w14:paraId="59F703B2" w14:textId="186E565A"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176 963</w:t>
            </w:r>
          </w:p>
        </w:tc>
        <w:tc>
          <w:tcPr>
            <w:tcW w:w="643" w:type="pct"/>
            <w:tcBorders>
              <w:top w:val="nil"/>
              <w:left w:val="nil"/>
              <w:bottom w:val="nil"/>
            </w:tcBorders>
            <w:vAlign w:val="center"/>
          </w:tcPr>
          <w:p w14:paraId="7455A3DE" w14:textId="29234E2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8 778</w:t>
            </w:r>
          </w:p>
        </w:tc>
      </w:tr>
      <w:tr w:rsidR="001073E3" w:rsidRPr="001073E3" w14:paraId="5CF1FF3F" w14:textId="77777777" w:rsidTr="00F57373">
        <w:trPr>
          <w:trHeight w:val="276"/>
          <w:jc w:val="center"/>
        </w:trPr>
        <w:tc>
          <w:tcPr>
            <w:tcW w:w="2521" w:type="pct"/>
            <w:tcBorders>
              <w:top w:val="nil"/>
              <w:bottom w:val="nil"/>
              <w:right w:val="nil"/>
            </w:tcBorders>
            <w:vAlign w:val="center"/>
            <w:hideMark/>
          </w:tcPr>
          <w:p w14:paraId="07F59CF2"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Ministerstvo hospodárstva SR</w:t>
            </w:r>
          </w:p>
        </w:tc>
        <w:tc>
          <w:tcPr>
            <w:tcW w:w="612" w:type="pct"/>
            <w:tcBorders>
              <w:top w:val="nil"/>
              <w:left w:val="nil"/>
              <w:bottom w:val="nil"/>
              <w:right w:val="nil"/>
            </w:tcBorders>
            <w:vAlign w:val="center"/>
            <w:hideMark/>
          </w:tcPr>
          <w:p w14:paraId="74929839" w14:textId="1D70C01F"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83 935</w:t>
            </w:r>
          </w:p>
        </w:tc>
        <w:tc>
          <w:tcPr>
            <w:tcW w:w="612" w:type="pct"/>
            <w:tcBorders>
              <w:top w:val="nil"/>
              <w:left w:val="nil"/>
              <w:bottom w:val="nil"/>
              <w:right w:val="nil"/>
            </w:tcBorders>
            <w:vAlign w:val="center"/>
            <w:hideMark/>
          </w:tcPr>
          <w:p w14:paraId="36E6B845" w14:textId="21875CE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79 086</w:t>
            </w:r>
          </w:p>
        </w:tc>
        <w:tc>
          <w:tcPr>
            <w:tcW w:w="612" w:type="pct"/>
            <w:tcBorders>
              <w:top w:val="nil"/>
              <w:left w:val="nil"/>
              <w:bottom w:val="nil"/>
              <w:right w:val="nil"/>
            </w:tcBorders>
            <w:vAlign w:val="center"/>
          </w:tcPr>
          <w:p w14:paraId="4C3808C1" w14:textId="725B809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78 328</w:t>
            </w:r>
          </w:p>
        </w:tc>
        <w:tc>
          <w:tcPr>
            <w:tcW w:w="643" w:type="pct"/>
            <w:tcBorders>
              <w:top w:val="nil"/>
              <w:left w:val="nil"/>
              <w:bottom w:val="nil"/>
            </w:tcBorders>
            <w:vAlign w:val="center"/>
          </w:tcPr>
          <w:p w14:paraId="1CB4BE37" w14:textId="6C202A64"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-758</w:t>
            </w:r>
          </w:p>
        </w:tc>
      </w:tr>
      <w:tr w:rsidR="001073E3" w:rsidRPr="001073E3" w14:paraId="24BD329C" w14:textId="77777777" w:rsidTr="00F57373">
        <w:trPr>
          <w:trHeight w:val="276"/>
          <w:jc w:val="center"/>
        </w:trPr>
        <w:tc>
          <w:tcPr>
            <w:tcW w:w="2521" w:type="pct"/>
            <w:tcBorders>
              <w:top w:val="nil"/>
              <w:bottom w:val="nil"/>
              <w:right w:val="nil"/>
            </w:tcBorders>
            <w:vAlign w:val="center"/>
          </w:tcPr>
          <w:p w14:paraId="4ADA07BA"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Úrad geodézie, kartografie a katastra Slovenskej republiky</w:t>
            </w:r>
          </w:p>
        </w:tc>
        <w:tc>
          <w:tcPr>
            <w:tcW w:w="612" w:type="pct"/>
            <w:tcBorders>
              <w:top w:val="nil"/>
              <w:left w:val="nil"/>
              <w:bottom w:val="nil"/>
              <w:right w:val="nil"/>
            </w:tcBorders>
            <w:vAlign w:val="center"/>
          </w:tcPr>
          <w:p w14:paraId="29673D5E" w14:textId="1295802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49 032</w:t>
            </w:r>
          </w:p>
        </w:tc>
        <w:tc>
          <w:tcPr>
            <w:tcW w:w="612" w:type="pct"/>
            <w:tcBorders>
              <w:top w:val="nil"/>
              <w:left w:val="nil"/>
              <w:bottom w:val="nil"/>
              <w:right w:val="nil"/>
            </w:tcBorders>
            <w:vAlign w:val="center"/>
          </w:tcPr>
          <w:p w14:paraId="78AA0DF8" w14:textId="32163B02"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46 076</w:t>
            </w:r>
          </w:p>
        </w:tc>
        <w:tc>
          <w:tcPr>
            <w:tcW w:w="612" w:type="pct"/>
            <w:tcBorders>
              <w:top w:val="nil"/>
              <w:left w:val="nil"/>
              <w:bottom w:val="nil"/>
              <w:right w:val="nil"/>
            </w:tcBorders>
            <w:vAlign w:val="center"/>
          </w:tcPr>
          <w:p w14:paraId="2EE6E698" w14:textId="2071BCD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54 581</w:t>
            </w:r>
          </w:p>
        </w:tc>
        <w:tc>
          <w:tcPr>
            <w:tcW w:w="643" w:type="pct"/>
            <w:tcBorders>
              <w:top w:val="nil"/>
              <w:left w:val="nil"/>
              <w:bottom w:val="nil"/>
            </w:tcBorders>
            <w:vAlign w:val="center"/>
          </w:tcPr>
          <w:p w14:paraId="6B2926AA" w14:textId="348F7505"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8 505</w:t>
            </w:r>
          </w:p>
        </w:tc>
      </w:tr>
      <w:tr w:rsidR="001073E3" w:rsidRPr="001073E3" w14:paraId="02478924" w14:textId="77777777" w:rsidTr="00F57373">
        <w:trPr>
          <w:trHeight w:val="276"/>
          <w:jc w:val="center"/>
        </w:trPr>
        <w:tc>
          <w:tcPr>
            <w:tcW w:w="2521" w:type="pct"/>
            <w:tcBorders>
              <w:top w:val="nil"/>
              <w:bottom w:val="nil"/>
              <w:right w:val="nil"/>
            </w:tcBorders>
            <w:vAlign w:val="center"/>
          </w:tcPr>
          <w:p w14:paraId="094B3F0D"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Ministerstvo životného prostredia Slovenskej republiky</w:t>
            </w:r>
          </w:p>
        </w:tc>
        <w:tc>
          <w:tcPr>
            <w:tcW w:w="612" w:type="pct"/>
            <w:tcBorders>
              <w:top w:val="nil"/>
              <w:left w:val="nil"/>
              <w:bottom w:val="nil"/>
              <w:right w:val="nil"/>
            </w:tcBorders>
            <w:vAlign w:val="center"/>
          </w:tcPr>
          <w:p w14:paraId="26BE87ED" w14:textId="68EAFD94"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47 721</w:t>
            </w:r>
          </w:p>
        </w:tc>
        <w:tc>
          <w:tcPr>
            <w:tcW w:w="612" w:type="pct"/>
            <w:tcBorders>
              <w:top w:val="nil"/>
              <w:left w:val="nil"/>
              <w:bottom w:val="nil"/>
              <w:right w:val="nil"/>
            </w:tcBorders>
            <w:vAlign w:val="center"/>
          </w:tcPr>
          <w:p w14:paraId="76715D65" w14:textId="4BB82A64"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43 131</w:t>
            </w:r>
          </w:p>
        </w:tc>
        <w:tc>
          <w:tcPr>
            <w:tcW w:w="612" w:type="pct"/>
            <w:tcBorders>
              <w:top w:val="nil"/>
              <w:left w:val="nil"/>
              <w:bottom w:val="nil"/>
              <w:right w:val="nil"/>
            </w:tcBorders>
            <w:vAlign w:val="center"/>
          </w:tcPr>
          <w:p w14:paraId="7618E4C6" w14:textId="58BCA234"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36 153</w:t>
            </w:r>
          </w:p>
        </w:tc>
        <w:tc>
          <w:tcPr>
            <w:tcW w:w="643" w:type="pct"/>
            <w:tcBorders>
              <w:top w:val="nil"/>
              <w:left w:val="nil"/>
              <w:bottom w:val="nil"/>
            </w:tcBorders>
            <w:vAlign w:val="center"/>
          </w:tcPr>
          <w:p w14:paraId="340D6E26" w14:textId="509013C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-6 978</w:t>
            </w:r>
          </w:p>
        </w:tc>
      </w:tr>
      <w:tr w:rsidR="001073E3" w:rsidRPr="001073E3" w14:paraId="4BC368F2" w14:textId="77777777" w:rsidTr="00F57373">
        <w:trPr>
          <w:trHeight w:val="276"/>
          <w:jc w:val="center"/>
        </w:trPr>
        <w:tc>
          <w:tcPr>
            <w:tcW w:w="2521" w:type="pct"/>
            <w:tcBorders>
              <w:top w:val="nil"/>
              <w:bottom w:val="nil"/>
              <w:right w:val="nil"/>
            </w:tcBorders>
            <w:vAlign w:val="center"/>
          </w:tcPr>
          <w:p w14:paraId="0D64DBAF"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Úrad vlády Slovenskej republiky</w:t>
            </w:r>
          </w:p>
        </w:tc>
        <w:tc>
          <w:tcPr>
            <w:tcW w:w="612" w:type="pct"/>
            <w:tcBorders>
              <w:top w:val="nil"/>
              <w:left w:val="nil"/>
              <w:bottom w:val="nil"/>
              <w:right w:val="nil"/>
            </w:tcBorders>
            <w:vAlign w:val="center"/>
          </w:tcPr>
          <w:p w14:paraId="714C857E" w14:textId="1A3D9CAA"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16 060</w:t>
            </w:r>
          </w:p>
        </w:tc>
        <w:tc>
          <w:tcPr>
            <w:tcW w:w="612" w:type="pct"/>
            <w:tcBorders>
              <w:top w:val="nil"/>
              <w:left w:val="nil"/>
              <w:bottom w:val="nil"/>
              <w:right w:val="nil"/>
            </w:tcBorders>
            <w:vAlign w:val="center"/>
          </w:tcPr>
          <w:p w14:paraId="1FAA171B" w14:textId="20F37904"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15 985</w:t>
            </w:r>
          </w:p>
        </w:tc>
        <w:tc>
          <w:tcPr>
            <w:tcW w:w="612" w:type="pct"/>
            <w:tcBorders>
              <w:top w:val="nil"/>
              <w:left w:val="nil"/>
              <w:bottom w:val="nil"/>
              <w:right w:val="nil"/>
            </w:tcBorders>
            <w:vAlign w:val="center"/>
          </w:tcPr>
          <w:p w14:paraId="5B4522AD" w14:textId="53F09DE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15 949</w:t>
            </w:r>
          </w:p>
        </w:tc>
        <w:tc>
          <w:tcPr>
            <w:tcW w:w="643" w:type="pct"/>
            <w:tcBorders>
              <w:top w:val="nil"/>
              <w:left w:val="nil"/>
              <w:bottom w:val="nil"/>
            </w:tcBorders>
            <w:vAlign w:val="center"/>
          </w:tcPr>
          <w:p w14:paraId="065025B6" w14:textId="34AFF21E"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-36</w:t>
            </w:r>
          </w:p>
        </w:tc>
      </w:tr>
      <w:tr w:rsidR="001073E3" w:rsidRPr="001073E3" w14:paraId="45B36DB1" w14:textId="77777777" w:rsidTr="00F57373">
        <w:trPr>
          <w:trHeight w:val="276"/>
          <w:jc w:val="center"/>
        </w:trPr>
        <w:tc>
          <w:tcPr>
            <w:tcW w:w="2521" w:type="pct"/>
            <w:tcBorders>
              <w:top w:val="nil"/>
              <w:bottom w:val="nil"/>
              <w:right w:val="nil"/>
            </w:tcBorders>
            <w:vAlign w:val="center"/>
          </w:tcPr>
          <w:p w14:paraId="229DDDBD"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Geodetický a kartografický ústav Bratislava</w:t>
            </w:r>
          </w:p>
        </w:tc>
        <w:tc>
          <w:tcPr>
            <w:tcW w:w="612" w:type="pct"/>
            <w:tcBorders>
              <w:top w:val="nil"/>
              <w:left w:val="nil"/>
              <w:bottom w:val="nil"/>
              <w:right w:val="nil"/>
            </w:tcBorders>
            <w:vAlign w:val="center"/>
          </w:tcPr>
          <w:p w14:paraId="1D505CA0" w14:textId="52F9797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14 518</w:t>
            </w:r>
          </w:p>
        </w:tc>
        <w:tc>
          <w:tcPr>
            <w:tcW w:w="612" w:type="pct"/>
            <w:tcBorders>
              <w:top w:val="nil"/>
              <w:left w:val="nil"/>
              <w:bottom w:val="nil"/>
              <w:right w:val="nil"/>
            </w:tcBorders>
            <w:vAlign w:val="center"/>
          </w:tcPr>
          <w:p w14:paraId="2EFE2C1C" w14:textId="440766B6"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14 518</w:t>
            </w:r>
          </w:p>
        </w:tc>
        <w:tc>
          <w:tcPr>
            <w:tcW w:w="612" w:type="pct"/>
            <w:tcBorders>
              <w:top w:val="nil"/>
              <w:left w:val="nil"/>
              <w:bottom w:val="nil"/>
              <w:right w:val="nil"/>
            </w:tcBorders>
            <w:vAlign w:val="center"/>
          </w:tcPr>
          <w:p w14:paraId="67EEFAAC" w14:textId="66F7A79F"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14 518</w:t>
            </w:r>
          </w:p>
        </w:tc>
        <w:tc>
          <w:tcPr>
            <w:tcW w:w="643" w:type="pct"/>
            <w:tcBorders>
              <w:top w:val="nil"/>
              <w:left w:val="nil"/>
              <w:bottom w:val="nil"/>
            </w:tcBorders>
            <w:vAlign w:val="center"/>
          </w:tcPr>
          <w:p w14:paraId="561383C8" w14:textId="363A200F"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r>
      <w:tr w:rsidR="001073E3" w:rsidRPr="001073E3" w14:paraId="2F976E2C" w14:textId="77777777" w:rsidTr="00F57373">
        <w:trPr>
          <w:trHeight w:val="276"/>
          <w:jc w:val="center"/>
        </w:trPr>
        <w:tc>
          <w:tcPr>
            <w:tcW w:w="2521" w:type="pct"/>
            <w:tcBorders>
              <w:top w:val="nil"/>
              <w:bottom w:val="nil"/>
              <w:right w:val="nil"/>
            </w:tcBorders>
            <w:vAlign w:val="center"/>
          </w:tcPr>
          <w:p w14:paraId="0F83F792"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Ministerstvo dopravy Slovenskej republiky</w:t>
            </w:r>
          </w:p>
        </w:tc>
        <w:tc>
          <w:tcPr>
            <w:tcW w:w="612" w:type="pct"/>
            <w:tcBorders>
              <w:top w:val="nil"/>
              <w:left w:val="nil"/>
              <w:bottom w:val="nil"/>
              <w:right w:val="nil"/>
            </w:tcBorders>
            <w:vAlign w:val="center"/>
          </w:tcPr>
          <w:p w14:paraId="54BD4E77" w14:textId="09B86721"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901</w:t>
            </w:r>
          </w:p>
        </w:tc>
        <w:tc>
          <w:tcPr>
            <w:tcW w:w="612" w:type="pct"/>
            <w:tcBorders>
              <w:top w:val="nil"/>
              <w:left w:val="nil"/>
              <w:bottom w:val="nil"/>
              <w:right w:val="nil"/>
            </w:tcBorders>
            <w:vAlign w:val="center"/>
          </w:tcPr>
          <w:p w14:paraId="7D780E6F" w14:textId="2D7D7B0B"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10 518</w:t>
            </w:r>
          </w:p>
        </w:tc>
        <w:tc>
          <w:tcPr>
            <w:tcW w:w="612" w:type="pct"/>
            <w:tcBorders>
              <w:top w:val="nil"/>
              <w:left w:val="nil"/>
              <w:bottom w:val="nil"/>
              <w:right w:val="nil"/>
            </w:tcBorders>
            <w:vAlign w:val="center"/>
          </w:tcPr>
          <w:p w14:paraId="01CEA50D" w14:textId="33529671"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218</w:t>
            </w:r>
          </w:p>
        </w:tc>
        <w:tc>
          <w:tcPr>
            <w:tcW w:w="643" w:type="pct"/>
            <w:tcBorders>
              <w:top w:val="nil"/>
              <w:left w:val="nil"/>
              <w:bottom w:val="nil"/>
            </w:tcBorders>
            <w:vAlign w:val="center"/>
          </w:tcPr>
          <w:p w14:paraId="6F9E8669" w14:textId="0B72369B"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-10 300</w:t>
            </w:r>
          </w:p>
        </w:tc>
      </w:tr>
      <w:tr w:rsidR="001073E3" w:rsidRPr="001073E3" w14:paraId="246C8200" w14:textId="77777777" w:rsidTr="00F57373">
        <w:trPr>
          <w:trHeight w:val="276"/>
          <w:jc w:val="center"/>
        </w:trPr>
        <w:tc>
          <w:tcPr>
            <w:tcW w:w="2521" w:type="pct"/>
            <w:tcBorders>
              <w:top w:val="nil"/>
              <w:bottom w:val="nil"/>
              <w:right w:val="nil"/>
            </w:tcBorders>
            <w:vAlign w:val="center"/>
            <w:hideMark/>
          </w:tcPr>
          <w:p w14:paraId="5F6A5A7C"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Slovenský pozemkový fond</w:t>
            </w:r>
          </w:p>
        </w:tc>
        <w:tc>
          <w:tcPr>
            <w:tcW w:w="612" w:type="pct"/>
            <w:tcBorders>
              <w:top w:val="nil"/>
              <w:left w:val="nil"/>
              <w:bottom w:val="nil"/>
              <w:right w:val="nil"/>
            </w:tcBorders>
            <w:vAlign w:val="center"/>
            <w:hideMark/>
          </w:tcPr>
          <w:p w14:paraId="0E1E3259" w14:textId="62BFFFE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66 124</w:t>
            </w:r>
          </w:p>
        </w:tc>
        <w:tc>
          <w:tcPr>
            <w:tcW w:w="612" w:type="pct"/>
            <w:tcBorders>
              <w:top w:val="nil"/>
              <w:left w:val="nil"/>
              <w:bottom w:val="nil"/>
              <w:right w:val="nil"/>
            </w:tcBorders>
            <w:vAlign w:val="center"/>
            <w:hideMark/>
          </w:tcPr>
          <w:p w14:paraId="377E3801" w14:textId="11CF023C"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64 448</w:t>
            </w:r>
          </w:p>
        </w:tc>
        <w:tc>
          <w:tcPr>
            <w:tcW w:w="612" w:type="pct"/>
            <w:tcBorders>
              <w:top w:val="nil"/>
              <w:left w:val="nil"/>
              <w:bottom w:val="nil"/>
              <w:right w:val="nil"/>
            </w:tcBorders>
            <w:vAlign w:val="center"/>
          </w:tcPr>
          <w:p w14:paraId="003756A2" w14:textId="7AD0909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6 681</w:t>
            </w:r>
          </w:p>
        </w:tc>
        <w:tc>
          <w:tcPr>
            <w:tcW w:w="643" w:type="pct"/>
            <w:tcBorders>
              <w:top w:val="nil"/>
              <w:left w:val="nil"/>
              <w:bottom w:val="nil"/>
            </w:tcBorders>
            <w:vAlign w:val="center"/>
          </w:tcPr>
          <w:p w14:paraId="66033747" w14:textId="38907246"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-57 767</w:t>
            </w:r>
          </w:p>
        </w:tc>
      </w:tr>
      <w:tr w:rsidR="001073E3" w:rsidRPr="001073E3" w14:paraId="0D0511D2" w14:textId="77777777" w:rsidTr="00F57373">
        <w:trPr>
          <w:trHeight w:val="276"/>
          <w:jc w:val="center"/>
        </w:trPr>
        <w:tc>
          <w:tcPr>
            <w:tcW w:w="2521" w:type="pct"/>
            <w:tcBorders>
              <w:top w:val="nil"/>
              <w:bottom w:val="nil"/>
              <w:right w:val="nil"/>
            </w:tcBorders>
            <w:vAlign w:val="center"/>
            <w:hideMark/>
          </w:tcPr>
          <w:p w14:paraId="71C40EBE" w14:textId="54A32BE5"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Vodohospodárska výstavba, š.</w:t>
            </w:r>
            <w:r w:rsidR="00390E01">
              <w:rPr>
                <w:color w:val="000000"/>
                <w:sz w:val="16"/>
                <w:szCs w:val="16"/>
                <w:lang w:eastAsia="sk-SK"/>
              </w:rPr>
              <w:t> </w:t>
            </w:r>
            <w:r w:rsidRPr="001073E3">
              <w:rPr>
                <w:color w:val="000000"/>
                <w:sz w:val="16"/>
                <w:szCs w:val="16"/>
                <w:lang w:eastAsia="sk-SK"/>
              </w:rPr>
              <w:t>p.</w:t>
            </w:r>
          </w:p>
        </w:tc>
        <w:tc>
          <w:tcPr>
            <w:tcW w:w="612" w:type="pct"/>
            <w:tcBorders>
              <w:top w:val="nil"/>
              <w:left w:val="nil"/>
              <w:bottom w:val="nil"/>
              <w:right w:val="nil"/>
            </w:tcBorders>
            <w:vAlign w:val="center"/>
            <w:hideMark/>
          </w:tcPr>
          <w:p w14:paraId="09767993" w14:textId="0465AD5F"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27 809</w:t>
            </w:r>
          </w:p>
        </w:tc>
        <w:tc>
          <w:tcPr>
            <w:tcW w:w="612" w:type="pct"/>
            <w:tcBorders>
              <w:top w:val="nil"/>
              <w:left w:val="nil"/>
              <w:bottom w:val="nil"/>
              <w:right w:val="nil"/>
            </w:tcBorders>
            <w:vAlign w:val="center"/>
            <w:hideMark/>
          </w:tcPr>
          <w:p w14:paraId="2122BB45" w14:textId="0CE36DF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40 098</w:t>
            </w:r>
          </w:p>
        </w:tc>
        <w:tc>
          <w:tcPr>
            <w:tcW w:w="612" w:type="pct"/>
            <w:tcBorders>
              <w:top w:val="nil"/>
              <w:left w:val="nil"/>
              <w:bottom w:val="nil"/>
              <w:right w:val="nil"/>
            </w:tcBorders>
            <w:vAlign w:val="center"/>
          </w:tcPr>
          <w:p w14:paraId="4C7708C1" w14:textId="591E226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40 098</w:t>
            </w:r>
          </w:p>
        </w:tc>
        <w:tc>
          <w:tcPr>
            <w:tcW w:w="643" w:type="pct"/>
            <w:tcBorders>
              <w:top w:val="nil"/>
              <w:left w:val="nil"/>
              <w:bottom w:val="nil"/>
            </w:tcBorders>
            <w:vAlign w:val="center"/>
          </w:tcPr>
          <w:p w14:paraId="0D97A0EB" w14:textId="3EB3789A"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r>
      <w:tr w:rsidR="001073E3" w:rsidRPr="001073E3" w14:paraId="4F6835CD" w14:textId="77777777" w:rsidTr="00F57373">
        <w:trPr>
          <w:trHeight w:val="276"/>
          <w:jc w:val="center"/>
        </w:trPr>
        <w:tc>
          <w:tcPr>
            <w:tcW w:w="2521" w:type="pct"/>
            <w:tcBorders>
              <w:top w:val="nil"/>
              <w:bottom w:val="nil"/>
              <w:right w:val="nil"/>
            </w:tcBorders>
            <w:vAlign w:val="center"/>
            <w:hideMark/>
          </w:tcPr>
          <w:p w14:paraId="16894C7B"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Železnice SR</w:t>
            </w:r>
          </w:p>
        </w:tc>
        <w:tc>
          <w:tcPr>
            <w:tcW w:w="612" w:type="pct"/>
            <w:tcBorders>
              <w:top w:val="nil"/>
              <w:left w:val="nil"/>
              <w:bottom w:val="nil"/>
              <w:right w:val="nil"/>
            </w:tcBorders>
            <w:vAlign w:val="center"/>
            <w:hideMark/>
          </w:tcPr>
          <w:p w14:paraId="2C47BE16" w14:textId="10DB6B31"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53 166</w:t>
            </w:r>
          </w:p>
        </w:tc>
        <w:tc>
          <w:tcPr>
            <w:tcW w:w="612" w:type="pct"/>
            <w:tcBorders>
              <w:top w:val="nil"/>
              <w:left w:val="nil"/>
              <w:bottom w:val="nil"/>
              <w:right w:val="nil"/>
            </w:tcBorders>
            <w:vAlign w:val="center"/>
            <w:hideMark/>
          </w:tcPr>
          <w:p w14:paraId="57541CB2" w14:textId="7BFC63CE"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54 503</w:t>
            </w:r>
          </w:p>
        </w:tc>
        <w:tc>
          <w:tcPr>
            <w:tcW w:w="612" w:type="pct"/>
            <w:tcBorders>
              <w:top w:val="nil"/>
              <w:left w:val="nil"/>
              <w:bottom w:val="nil"/>
              <w:right w:val="nil"/>
            </w:tcBorders>
            <w:vAlign w:val="center"/>
          </w:tcPr>
          <w:p w14:paraId="50DDB62D" w14:textId="0664E5E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79 033</w:t>
            </w:r>
          </w:p>
        </w:tc>
        <w:tc>
          <w:tcPr>
            <w:tcW w:w="643" w:type="pct"/>
            <w:tcBorders>
              <w:top w:val="nil"/>
              <w:left w:val="nil"/>
              <w:bottom w:val="nil"/>
            </w:tcBorders>
            <w:vAlign w:val="center"/>
          </w:tcPr>
          <w:p w14:paraId="64A2AA32" w14:textId="46D0206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24 530</w:t>
            </w:r>
          </w:p>
        </w:tc>
      </w:tr>
      <w:tr w:rsidR="001073E3" w:rsidRPr="001073E3" w14:paraId="2FBB9B64" w14:textId="77777777" w:rsidTr="00F57373">
        <w:trPr>
          <w:trHeight w:val="276"/>
          <w:jc w:val="center"/>
        </w:trPr>
        <w:tc>
          <w:tcPr>
            <w:tcW w:w="2521" w:type="pct"/>
            <w:tcBorders>
              <w:top w:val="nil"/>
              <w:bottom w:val="nil"/>
              <w:right w:val="nil"/>
            </w:tcBorders>
            <w:vAlign w:val="center"/>
            <w:hideMark/>
          </w:tcPr>
          <w:p w14:paraId="6BE4DA0E" w14:textId="4736B916"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Národná diaľničná spoločnosť, a</w:t>
            </w:r>
            <w:r w:rsidR="00390E01">
              <w:rPr>
                <w:color w:val="000000"/>
                <w:sz w:val="16"/>
                <w:szCs w:val="16"/>
                <w:lang w:eastAsia="sk-SK"/>
              </w:rPr>
              <w:t> </w:t>
            </w:r>
            <w:r w:rsidRPr="001073E3">
              <w:rPr>
                <w:color w:val="000000"/>
                <w:sz w:val="16"/>
                <w:szCs w:val="16"/>
                <w:lang w:eastAsia="sk-SK"/>
              </w:rPr>
              <w:t>.s.</w:t>
            </w:r>
          </w:p>
        </w:tc>
        <w:tc>
          <w:tcPr>
            <w:tcW w:w="612" w:type="pct"/>
            <w:tcBorders>
              <w:top w:val="nil"/>
              <w:left w:val="nil"/>
              <w:bottom w:val="nil"/>
              <w:right w:val="nil"/>
            </w:tcBorders>
            <w:vAlign w:val="center"/>
            <w:hideMark/>
          </w:tcPr>
          <w:p w14:paraId="458E2A18" w14:textId="4BC5D1E9"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16 422</w:t>
            </w:r>
          </w:p>
        </w:tc>
        <w:tc>
          <w:tcPr>
            <w:tcW w:w="612" w:type="pct"/>
            <w:tcBorders>
              <w:top w:val="nil"/>
              <w:left w:val="nil"/>
              <w:bottom w:val="nil"/>
              <w:right w:val="nil"/>
            </w:tcBorders>
            <w:vAlign w:val="center"/>
            <w:hideMark/>
          </w:tcPr>
          <w:p w14:paraId="79F1C0D8" w14:textId="0C0D09C4"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16 408</w:t>
            </w:r>
          </w:p>
        </w:tc>
        <w:tc>
          <w:tcPr>
            <w:tcW w:w="612" w:type="pct"/>
            <w:tcBorders>
              <w:top w:val="nil"/>
              <w:left w:val="nil"/>
              <w:bottom w:val="nil"/>
              <w:right w:val="nil"/>
            </w:tcBorders>
            <w:vAlign w:val="center"/>
          </w:tcPr>
          <w:p w14:paraId="4A800E69" w14:textId="035E9282"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290 978</w:t>
            </w:r>
          </w:p>
        </w:tc>
        <w:tc>
          <w:tcPr>
            <w:tcW w:w="643" w:type="pct"/>
            <w:tcBorders>
              <w:top w:val="nil"/>
              <w:left w:val="nil"/>
              <w:bottom w:val="nil"/>
            </w:tcBorders>
            <w:vAlign w:val="center"/>
          </w:tcPr>
          <w:p w14:paraId="2DB5BA5F" w14:textId="245D848B"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274 570</w:t>
            </w:r>
          </w:p>
        </w:tc>
      </w:tr>
      <w:tr w:rsidR="001073E3" w:rsidRPr="001073E3" w14:paraId="4FABBE50" w14:textId="77777777" w:rsidTr="00F57373">
        <w:trPr>
          <w:trHeight w:val="276"/>
          <w:jc w:val="center"/>
        </w:trPr>
        <w:tc>
          <w:tcPr>
            <w:tcW w:w="2521" w:type="pct"/>
            <w:tcBorders>
              <w:top w:val="nil"/>
              <w:bottom w:val="nil"/>
              <w:right w:val="nil"/>
            </w:tcBorders>
            <w:vAlign w:val="center"/>
          </w:tcPr>
          <w:p w14:paraId="4B450CBD" w14:textId="77777777" w:rsidR="001073E3" w:rsidRPr="001073E3" w:rsidRDefault="001073E3" w:rsidP="001073E3">
            <w:pPr>
              <w:spacing w:after="0" w:line="240" w:lineRule="auto"/>
              <w:ind w:firstLineChars="33" w:firstLine="53"/>
              <w:rPr>
                <w:color w:val="000000"/>
                <w:sz w:val="16"/>
                <w:szCs w:val="16"/>
                <w:lang w:eastAsia="sk-SK"/>
              </w:rPr>
            </w:pPr>
            <w:r w:rsidRPr="001073E3">
              <w:rPr>
                <w:b/>
                <w:bCs/>
                <w:color w:val="000000"/>
                <w:sz w:val="16"/>
                <w:szCs w:val="16"/>
                <w:lang w:eastAsia="sk-SK"/>
              </w:rPr>
              <w:t>Vystavené alebo poskytnuté záruky</w:t>
            </w:r>
          </w:p>
        </w:tc>
        <w:tc>
          <w:tcPr>
            <w:tcW w:w="612" w:type="pct"/>
            <w:tcBorders>
              <w:top w:val="nil"/>
              <w:left w:val="nil"/>
              <w:bottom w:val="nil"/>
              <w:right w:val="nil"/>
            </w:tcBorders>
            <w:vAlign w:val="center"/>
          </w:tcPr>
          <w:p w14:paraId="33069E74" w14:textId="4341C422" w:rsidR="001073E3" w:rsidRPr="001073E3" w:rsidRDefault="001073E3" w:rsidP="001073E3">
            <w:pPr>
              <w:spacing w:after="0" w:line="240" w:lineRule="auto"/>
              <w:jc w:val="right"/>
              <w:rPr>
                <w:b/>
                <w:color w:val="000000"/>
                <w:sz w:val="16"/>
                <w:szCs w:val="16"/>
                <w:lang w:eastAsia="sk-SK"/>
              </w:rPr>
            </w:pPr>
            <w:r w:rsidRPr="001073E3">
              <w:rPr>
                <w:b/>
                <w:color w:val="000000"/>
                <w:sz w:val="16"/>
                <w:szCs w:val="16"/>
                <w:lang w:eastAsia="sk-SK"/>
              </w:rPr>
              <w:t>967 880</w:t>
            </w:r>
          </w:p>
        </w:tc>
        <w:tc>
          <w:tcPr>
            <w:tcW w:w="612" w:type="pct"/>
            <w:tcBorders>
              <w:top w:val="nil"/>
              <w:left w:val="nil"/>
              <w:bottom w:val="nil"/>
              <w:right w:val="nil"/>
            </w:tcBorders>
            <w:vAlign w:val="center"/>
          </w:tcPr>
          <w:p w14:paraId="1FF9A248" w14:textId="33E18BB4" w:rsidR="001073E3" w:rsidRPr="001073E3" w:rsidRDefault="001073E3" w:rsidP="001073E3">
            <w:pPr>
              <w:spacing w:after="0" w:line="240" w:lineRule="auto"/>
              <w:jc w:val="right"/>
              <w:rPr>
                <w:b/>
                <w:color w:val="000000"/>
                <w:sz w:val="16"/>
                <w:szCs w:val="16"/>
                <w:lang w:eastAsia="sk-SK"/>
              </w:rPr>
            </w:pPr>
            <w:r w:rsidRPr="001073E3">
              <w:rPr>
                <w:b/>
                <w:color w:val="000000"/>
                <w:sz w:val="16"/>
                <w:szCs w:val="16"/>
                <w:lang w:eastAsia="sk-SK"/>
              </w:rPr>
              <w:t>868 361</w:t>
            </w:r>
          </w:p>
        </w:tc>
        <w:tc>
          <w:tcPr>
            <w:tcW w:w="612" w:type="pct"/>
            <w:tcBorders>
              <w:top w:val="nil"/>
              <w:left w:val="nil"/>
              <w:bottom w:val="nil"/>
              <w:right w:val="nil"/>
            </w:tcBorders>
            <w:vAlign w:val="center"/>
          </w:tcPr>
          <w:p w14:paraId="46D36B57" w14:textId="57CDC502" w:rsidR="001073E3" w:rsidRPr="001073E3" w:rsidRDefault="001073E3" w:rsidP="001073E3">
            <w:pPr>
              <w:spacing w:after="0" w:line="240" w:lineRule="auto"/>
              <w:jc w:val="right"/>
              <w:rPr>
                <w:b/>
                <w:color w:val="000000"/>
                <w:sz w:val="16"/>
                <w:szCs w:val="16"/>
                <w:lang w:eastAsia="sk-SK"/>
              </w:rPr>
            </w:pPr>
            <w:r w:rsidRPr="001073E3">
              <w:rPr>
                <w:b/>
                <w:color w:val="000000"/>
                <w:sz w:val="16"/>
                <w:szCs w:val="16"/>
                <w:lang w:eastAsia="sk-SK"/>
              </w:rPr>
              <w:t>962 220</w:t>
            </w:r>
          </w:p>
        </w:tc>
        <w:tc>
          <w:tcPr>
            <w:tcW w:w="643" w:type="pct"/>
            <w:tcBorders>
              <w:top w:val="nil"/>
              <w:left w:val="nil"/>
              <w:bottom w:val="nil"/>
            </w:tcBorders>
            <w:vAlign w:val="center"/>
          </w:tcPr>
          <w:p w14:paraId="37C9B183" w14:textId="3A2BF4BA" w:rsidR="001073E3" w:rsidRPr="001073E3" w:rsidRDefault="001073E3" w:rsidP="001073E3">
            <w:pPr>
              <w:spacing w:after="0" w:line="240" w:lineRule="auto"/>
              <w:jc w:val="right"/>
              <w:rPr>
                <w:b/>
                <w:color w:val="000000"/>
                <w:sz w:val="16"/>
                <w:szCs w:val="16"/>
                <w:lang w:eastAsia="sk-SK"/>
              </w:rPr>
            </w:pPr>
            <w:r w:rsidRPr="001073E3">
              <w:rPr>
                <w:b/>
                <w:color w:val="000000"/>
                <w:sz w:val="16"/>
                <w:szCs w:val="16"/>
                <w:lang w:eastAsia="sk-SK"/>
              </w:rPr>
              <w:t>93 859</w:t>
            </w:r>
          </w:p>
        </w:tc>
      </w:tr>
      <w:tr w:rsidR="001073E3" w:rsidRPr="001073E3" w14:paraId="67A7A622" w14:textId="77777777" w:rsidTr="00F57373">
        <w:trPr>
          <w:trHeight w:val="276"/>
          <w:jc w:val="center"/>
        </w:trPr>
        <w:tc>
          <w:tcPr>
            <w:tcW w:w="2521" w:type="pct"/>
            <w:tcBorders>
              <w:top w:val="nil"/>
              <w:bottom w:val="nil"/>
              <w:right w:val="nil"/>
            </w:tcBorders>
            <w:vAlign w:val="center"/>
          </w:tcPr>
          <w:p w14:paraId="0AB0E718" w14:textId="24A65485"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National Development Fund II, a.</w:t>
            </w:r>
            <w:r w:rsidR="00390E01">
              <w:rPr>
                <w:color w:val="000000"/>
                <w:sz w:val="16"/>
                <w:szCs w:val="16"/>
                <w:lang w:eastAsia="sk-SK"/>
              </w:rPr>
              <w:t> </w:t>
            </w:r>
            <w:r w:rsidRPr="001073E3">
              <w:rPr>
                <w:color w:val="000000"/>
                <w:sz w:val="16"/>
                <w:szCs w:val="16"/>
                <w:lang w:eastAsia="sk-SK"/>
              </w:rPr>
              <w:t>s.</w:t>
            </w:r>
          </w:p>
        </w:tc>
        <w:tc>
          <w:tcPr>
            <w:tcW w:w="612" w:type="pct"/>
            <w:tcBorders>
              <w:top w:val="nil"/>
              <w:left w:val="nil"/>
              <w:bottom w:val="nil"/>
              <w:right w:val="nil"/>
            </w:tcBorders>
            <w:vAlign w:val="center"/>
          </w:tcPr>
          <w:p w14:paraId="3F9E4A00" w14:textId="2D4136A2"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381 410</w:t>
            </w:r>
          </w:p>
        </w:tc>
        <w:tc>
          <w:tcPr>
            <w:tcW w:w="612" w:type="pct"/>
            <w:tcBorders>
              <w:top w:val="nil"/>
              <w:left w:val="nil"/>
              <w:bottom w:val="nil"/>
              <w:right w:val="nil"/>
            </w:tcBorders>
            <w:vAlign w:val="center"/>
          </w:tcPr>
          <w:p w14:paraId="3689CA60" w14:textId="6E1704C5"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369 026</w:t>
            </w:r>
          </w:p>
        </w:tc>
        <w:tc>
          <w:tcPr>
            <w:tcW w:w="612" w:type="pct"/>
            <w:tcBorders>
              <w:top w:val="nil"/>
              <w:left w:val="nil"/>
              <w:bottom w:val="nil"/>
              <w:right w:val="nil"/>
            </w:tcBorders>
            <w:vAlign w:val="center"/>
          </w:tcPr>
          <w:p w14:paraId="5F259FB0" w14:textId="2EDD404E"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461 226</w:t>
            </w:r>
          </w:p>
        </w:tc>
        <w:tc>
          <w:tcPr>
            <w:tcW w:w="643" w:type="pct"/>
            <w:tcBorders>
              <w:top w:val="nil"/>
              <w:left w:val="nil"/>
              <w:bottom w:val="nil"/>
            </w:tcBorders>
            <w:vAlign w:val="center"/>
          </w:tcPr>
          <w:p w14:paraId="416C0279" w14:textId="77B97CD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92 200</w:t>
            </w:r>
          </w:p>
        </w:tc>
      </w:tr>
      <w:tr w:rsidR="001073E3" w:rsidRPr="001073E3" w14:paraId="15F4A8E4" w14:textId="77777777" w:rsidTr="00F57373">
        <w:trPr>
          <w:trHeight w:val="276"/>
          <w:jc w:val="center"/>
        </w:trPr>
        <w:tc>
          <w:tcPr>
            <w:tcW w:w="2521" w:type="pct"/>
            <w:tcBorders>
              <w:top w:val="nil"/>
              <w:bottom w:val="nil"/>
              <w:right w:val="nil"/>
            </w:tcBorders>
            <w:vAlign w:val="center"/>
          </w:tcPr>
          <w:p w14:paraId="259D5FD0" w14:textId="7777777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Záruky MF SR</w:t>
            </w:r>
          </w:p>
        </w:tc>
        <w:tc>
          <w:tcPr>
            <w:tcW w:w="612" w:type="pct"/>
            <w:tcBorders>
              <w:top w:val="nil"/>
              <w:left w:val="nil"/>
              <w:bottom w:val="nil"/>
              <w:right w:val="nil"/>
            </w:tcBorders>
            <w:vAlign w:val="center"/>
          </w:tcPr>
          <w:p w14:paraId="217172E6" w14:textId="0C6A835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419 147</w:t>
            </w:r>
          </w:p>
        </w:tc>
        <w:tc>
          <w:tcPr>
            <w:tcW w:w="612" w:type="pct"/>
            <w:tcBorders>
              <w:top w:val="nil"/>
              <w:left w:val="nil"/>
              <w:bottom w:val="nil"/>
              <w:right w:val="nil"/>
            </w:tcBorders>
            <w:vAlign w:val="center"/>
          </w:tcPr>
          <w:p w14:paraId="1851AE36" w14:textId="3D1864BA"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321 411</w:t>
            </w:r>
          </w:p>
        </w:tc>
        <w:tc>
          <w:tcPr>
            <w:tcW w:w="612" w:type="pct"/>
            <w:tcBorders>
              <w:top w:val="nil"/>
              <w:left w:val="nil"/>
              <w:bottom w:val="nil"/>
              <w:right w:val="nil"/>
            </w:tcBorders>
            <w:vAlign w:val="center"/>
          </w:tcPr>
          <w:p w14:paraId="1094FA21" w14:textId="1A020AB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237 032</w:t>
            </w:r>
          </w:p>
        </w:tc>
        <w:tc>
          <w:tcPr>
            <w:tcW w:w="643" w:type="pct"/>
            <w:tcBorders>
              <w:top w:val="nil"/>
              <w:left w:val="nil"/>
              <w:bottom w:val="nil"/>
            </w:tcBorders>
            <w:vAlign w:val="center"/>
          </w:tcPr>
          <w:p w14:paraId="3E4C736B" w14:textId="3A922092"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-84 379</w:t>
            </w:r>
          </w:p>
        </w:tc>
      </w:tr>
      <w:tr w:rsidR="001073E3" w:rsidRPr="001073E3" w14:paraId="04453953" w14:textId="77777777" w:rsidTr="00F57373">
        <w:trPr>
          <w:trHeight w:val="276"/>
          <w:jc w:val="center"/>
        </w:trPr>
        <w:tc>
          <w:tcPr>
            <w:tcW w:w="2521" w:type="pct"/>
            <w:tcBorders>
              <w:top w:val="nil"/>
              <w:bottom w:val="nil"/>
              <w:right w:val="nil"/>
            </w:tcBorders>
            <w:vAlign w:val="center"/>
          </w:tcPr>
          <w:p w14:paraId="65FFDE36" w14:textId="596F0102" w:rsidR="001073E3" w:rsidRPr="001073E3" w:rsidRDefault="001073E3" w:rsidP="0063052B">
            <w:pPr>
              <w:spacing w:after="0" w:line="240" w:lineRule="auto"/>
              <w:ind w:firstLineChars="300" w:firstLine="480"/>
              <w:rPr>
                <w:color w:val="000000"/>
                <w:sz w:val="16"/>
                <w:szCs w:val="16"/>
                <w:lang w:eastAsia="sk-SK"/>
              </w:rPr>
            </w:pPr>
            <w:r w:rsidRPr="001073E3">
              <w:rPr>
                <w:color w:val="000000"/>
                <w:sz w:val="16"/>
                <w:szCs w:val="16"/>
                <w:lang w:eastAsia="sk-SK"/>
              </w:rPr>
              <w:t>Exportno-importná banka S</w:t>
            </w:r>
            <w:r w:rsidR="0063052B">
              <w:rPr>
                <w:color w:val="000000"/>
                <w:sz w:val="16"/>
                <w:szCs w:val="16"/>
                <w:lang w:eastAsia="sk-SK"/>
              </w:rPr>
              <w:t>R</w:t>
            </w:r>
          </w:p>
        </w:tc>
        <w:tc>
          <w:tcPr>
            <w:tcW w:w="612" w:type="pct"/>
            <w:tcBorders>
              <w:top w:val="nil"/>
              <w:left w:val="nil"/>
              <w:bottom w:val="nil"/>
              <w:right w:val="nil"/>
            </w:tcBorders>
            <w:vAlign w:val="center"/>
          </w:tcPr>
          <w:p w14:paraId="23FC9DFA" w14:textId="593CA404"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167 323</w:t>
            </w:r>
          </w:p>
        </w:tc>
        <w:tc>
          <w:tcPr>
            <w:tcW w:w="612" w:type="pct"/>
            <w:tcBorders>
              <w:top w:val="nil"/>
              <w:left w:val="nil"/>
              <w:bottom w:val="nil"/>
              <w:right w:val="nil"/>
            </w:tcBorders>
            <w:vAlign w:val="center"/>
          </w:tcPr>
          <w:p w14:paraId="2D4549ED" w14:textId="23DF6A54"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177 924</w:t>
            </w:r>
          </w:p>
        </w:tc>
        <w:tc>
          <w:tcPr>
            <w:tcW w:w="612" w:type="pct"/>
            <w:tcBorders>
              <w:top w:val="nil"/>
              <w:left w:val="nil"/>
              <w:bottom w:val="nil"/>
              <w:right w:val="nil"/>
            </w:tcBorders>
            <w:vAlign w:val="center"/>
          </w:tcPr>
          <w:p w14:paraId="5631D539" w14:textId="688542AE"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263 962</w:t>
            </w:r>
          </w:p>
        </w:tc>
        <w:tc>
          <w:tcPr>
            <w:tcW w:w="643" w:type="pct"/>
            <w:tcBorders>
              <w:top w:val="nil"/>
              <w:left w:val="nil"/>
              <w:bottom w:val="nil"/>
            </w:tcBorders>
            <w:vAlign w:val="center"/>
          </w:tcPr>
          <w:p w14:paraId="50CDDA86" w14:textId="74A0F701"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86 038</w:t>
            </w:r>
          </w:p>
        </w:tc>
      </w:tr>
      <w:tr w:rsidR="001073E3" w:rsidRPr="001073E3" w14:paraId="45ECB85C" w14:textId="77777777" w:rsidTr="00F57373">
        <w:trPr>
          <w:trHeight w:val="276"/>
          <w:jc w:val="center"/>
        </w:trPr>
        <w:tc>
          <w:tcPr>
            <w:tcW w:w="2521" w:type="pct"/>
            <w:tcBorders>
              <w:top w:val="nil"/>
              <w:bottom w:val="nil"/>
              <w:right w:val="nil"/>
            </w:tcBorders>
            <w:vAlign w:val="center"/>
            <w:hideMark/>
          </w:tcPr>
          <w:p w14:paraId="6EB4D52E" w14:textId="77777777" w:rsidR="001073E3" w:rsidRPr="001073E3" w:rsidRDefault="001073E3" w:rsidP="001073E3">
            <w:pPr>
              <w:spacing w:after="0" w:line="240" w:lineRule="auto"/>
              <w:rPr>
                <w:b/>
                <w:bCs/>
                <w:color w:val="000000"/>
                <w:sz w:val="16"/>
                <w:szCs w:val="16"/>
                <w:lang w:eastAsia="sk-SK"/>
              </w:rPr>
            </w:pPr>
            <w:r w:rsidRPr="001073E3">
              <w:rPr>
                <w:b/>
                <w:bCs/>
                <w:color w:val="000000"/>
                <w:sz w:val="16"/>
                <w:szCs w:val="16"/>
                <w:lang w:eastAsia="sk-SK"/>
              </w:rPr>
              <w:t>Iné podmienené záväzky</w:t>
            </w:r>
          </w:p>
        </w:tc>
        <w:tc>
          <w:tcPr>
            <w:tcW w:w="612" w:type="pct"/>
            <w:tcBorders>
              <w:top w:val="nil"/>
              <w:left w:val="nil"/>
              <w:bottom w:val="nil"/>
              <w:right w:val="nil"/>
            </w:tcBorders>
            <w:vAlign w:val="center"/>
          </w:tcPr>
          <w:p w14:paraId="2A63301C" w14:textId="3D995898"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5 236 088</w:t>
            </w:r>
          </w:p>
        </w:tc>
        <w:tc>
          <w:tcPr>
            <w:tcW w:w="612" w:type="pct"/>
            <w:tcBorders>
              <w:top w:val="nil"/>
              <w:left w:val="nil"/>
              <w:bottom w:val="nil"/>
              <w:right w:val="nil"/>
            </w:tcBorders>
            <w:vAlign w:val="center"/>
          </w:tcPr>
          <w:p w14:paraId="3A397950" w14:textId="7B47B180"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5 306 135</w:t>
            </w:r>
          </w:p>
        </w:tc>
        <w:tc>
          <w:tcPr>
            <w:tcW w:w="612" w:type="pct"/>
            <w:tcBorders>
              <w:top w:val="nil"/>
              <w:left w:val="nil"/>
              <w:bottom w:val="nil"/>
              <w:right w:val="nil"/>
            </w:tcBorders>
            <w:vAlign w:val="center"/>
          </w:tcPr>
          <w:p w14:paraId="49EFD56B" w14:textId="016D5F21"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5 384 381</w:t>
            </w:r>
          </w:p>
        </w:tc>
        <w:tc>
          <w:tcPr>
            <w:tcW w:w="643" w:type="pct"/>
            <w:tcBorders>
              <w:top w:val="nil"/>
              <w:left w:val="nil"/>
              <w:bottom w:val="nil"/>
            </w:tcBorders>
            <w:vAlign w:val="center"/>
            <w:hideMark/>
          </w:tcPr>
          <w:p w14:paraId="10DB3E2B" w14:textId="4D6A1604"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78 246</w:t>
            </w:r>
          </w:p>
        </w:tc>
      </w:tr>
      <w:tr w:rsidR="001073E3" w:rsidRPr="001073E3" w14:paraId="3449E907" w14:textId="77777777" w:rsidTr="00F57373">
        <w:trPr>
          <w:trHeight w:val="276"/>
          <w:jc w:val="center"/>
        </w:trPr>
        <w:tc>
          <w:tcPr>
            <w:tcW w:w="2521" w:type="pct"/>
            <w:tcBorders>
              <w:top w:val="nil"/>
              <w:bottom w:val="nil"/>
              <w:right w:val="nil"/>
            </w:tcBorders>
            <w:vAlign w:val="center"/>
            <w:hideMark/>
          </w:tcPr>
          <w:p w14:paraId="256978DD" w14:textId="247940E0"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Slovenské elektrárne, a.</w:t>
            </w:r>
            <w:r w:rsidR="00390E01">
              <w:rPr>
                <w:color w:val="000000"/>
                <w:sz w:val="16"/>
                <w:szCs w:val="16"/>
                <w:lang w:eastAsia="sk-SK"/>
              </w:rPr>
              <w:t> </w:t>
            </w:r>
            <w:r w:rsidRPr="001073E3">
              <w:rPr>
                <w:color w:val="000000"/>
                <w:sz w:val="16"/>
                <w:szCs w:val="16"/>
                <w:lang w:eastAsia="sk-SK"/>
              </w:rPr>
              <w:t>s.</w:t>
            </w:r>
          </w:p>
        </w:tc>
        <w:tc>
          <w:tcPr>
            <w:tcW w:w="612" w:type="pct"/>
            <w:tcBorders>
              <w:top w:val="nil"/>
              <w:left w:val="nil"/>
              <w:bottom w:val="nil"/>
              <w:right w:val="nil"/>
            </w:tcBorders>
            <w:vAlign w:val="center"/>
            <w:hideMark/>
          </w:tcPr>
          <w:p w14:paraId="5A4E8F26" w14:textId="73B58EFC"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3 246 429</w:t>
            </w:r>
          </w:p>
        </w:tc>
        <w:tc>
          <w:tcPr>
            <w:tcW w:w="612" w:type="pct"/>
            <w:tcBorders>
              <w:top w:val="nil"/>
              <w:left w:val="nil"/>
              <w:bottom w:val="nil"/>
              <w:right w:val="nil"/>
            </w:tcBorders>
            <w:vAlign w:val="center"/>
            <w:hideMark/>
          </w:tcPr>
          <w:p w14:paraId="12D68EFB" w14:textId="569F1E2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3 341 242</w:t>
            </w:r>
          </w:p>
        </w:tc>
        <w:tc>
          <w:tcPr>
            <w:tcW w:w="612" w:type="pct"/>
            <w:tcBorders>
              <w:top w:val="nil"/>
              <w:left w:val="nil"/>
              <w:bottom w:val="nil"/>
              <w:right w:val="nil"/>
            </w:tcBorders>
            <w:vAlign w:val="center"/>
          </w:tcPr>
          <w:p w14:paraId="4C37F56B" w14:textId="1D821862"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3 501 046</w:t>
            </w:r>
          </w:p>
        </w:tc>
        <w:tc>
          <w:tcPr>
            <w:tcW w:w="643" w:type="pct"/>
            <w:tcBorders>
              <w:top w:val="nil"/>
              <w:left w:val="nil"/>
              <w:bottom w:val="nil"/>
            </w:tcBorders>
            <w:vAlign w:val="center"/>
          </w:tcPr>
          <w:p w14:paraId="19CEF998" w14:textId="22F3870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159 804</w:t>
            </w:r>
          </w:p>
        </w:tc>
      </w:tr>
      <w:tr w:rsidR="001073E3" w:rsidRPr="001073E3" w14:paraId="5D55ACC5" w14:textId="77777777" w:rsidTr="00F57373">
        <w:trPr>
          <w:trHeight w:val="276"/>
          <w:jc w:val="center"/>
        </w:trPr>
        <w:tc>
          <w:tcPr>
            <w:tcW w:w="2521" w:type="pct"/>
            <w:tcBorders>
              <w:top w:val="nil"/>
              <w:bottom w:val="nil"/>
              <w:right w:val="nil"/>
            </w:tcBorders>
            <w:vAlign w:val="center"/>
            <w:hideMark/>
          </w:tcPr>
          <w:p w14:paraId="127D7CD9" w14:textId="3DE67D12"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MH Manažment, a.</w:t>
            </w:r>
            <w:r w:rsidR="00390E01">
              <w:rPr>
                <w:color w:val="000000"/>
                <w:sz w:val="16"/>
                <w:szCs w:val="16"/>
                <w:lang w:eastAsia="sk-SK"/>
              </w:rPr>
              <w:t> </w:t>
            </w:r>
            <w:r w:rsidRPr="001073E3">
              <w:rPr>
                <w:color w:val="000000"/>
                <w:sz w:val="16"/>
                <w:szCs w:val="16"/>
                <w:lang w:eastAsia="sk-SK"/>
              </w:rPr>
              <w:t xml:space="preserve">s. </w:t>
            </w:r>
          </w:p>
        </w:tc>
        <w:tc>
          <w:tcPr>
            <w:tcW w:w="612" w:type="pct"/>
            <w:tcBorders>
              <w:top w:val="nil"/>
              <w:left w:val="nil"/>
              <w:bottom w:val="nil"/>
              <w:right w:val="nil"/>
            </w:tcBorders>
            <w:vAlign w:val="center"/>
            <w:hideMark/>
          </w:tcPr>
          <w:p w14:paraId="732B595C" w14:textId="161227D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976 822</w:t>
            </w:r>
          </w:p>
        </w:tc>
        <w:tc>
          <w:tcPr>
            <w:tcW w:w="612" w:type="pct"/>
            <w:tcBorders>
              <w:top w:val="nil"/>
              <w:left w:val="nil"/>
              <w:bottom w:val="nil"/>
              <w:right w:val="nil"/>
            </w:tcBorders>
            <w:vAlign w:val="center"/>
            <w:hideMark/>
          </w:tcPr>
          <w:p w14:paraId="61101807" w14:textId="7D503689"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970 650</w:t>
            </w:r>
          </w:p>
        </w:tc>
        <w:tc>
          <w:tcPr>
            <w:tcW w:w="612" w:type="pct"/>
            <w:tcBorders>
              <w:top w:val="nil"/>
              <w:left w:val="nil"/>
              <w:bottom w:val="nil"/>
              <w:right w:val="nil"/>
            </w:tcBorders>
            <w:vAlign w:val="center"/>
          </w:tcPr>
          <w:p w14:paraId="4176BD41" w14:textId="52C1BB8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786 972</w:t>
            </w:r>
          </w:p>
        </w:tc>
        <w:tc>
          <w:tcPr>
            <w:tcW w:w="643" w:type="pct"/>
            <w:tcBorders>
              <w:top w:val="nil"/>
              <w:left w:val="nil"/>
              <w:bottom w:val="nil"/>
            </w:tcBorders>
            <w:vAlign w:val="center"/>
          </w:tcPr>
          <w:p w14:paraId="034731FF" w14:textId="0BC52C1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-183 678</w:t>
            </w:r>
          </w:p>
        </w:tc>
      </w:tr>
      <w:tr w:rsidR="001073E3" w:rsidRPr="001073E3" w14:paraId="45BD2B0B" w14:textId="77777777" w:rsidTr="00F57373">
        <w:trPr>
          <w:trHeight w:val="276"/>
          <w:jc w:val="center"/>
        </w:trPr>
        <w:tc>
          <w:tcPr>
            <w:tcW w:w="2521" w:type="pct"/>
            <w:tcBorders>
              <w:top w:val="nil"/>
              <w:bottom w:val="nil"/>
              <w:right w:val="nil"/>
            </w:tcBorders>
            <w:vAlign w:val="center"/>
            <w:hideMark/>
          </w:tcPr>
          <w:p w14:paraId="3AD1F70F" w14:textId="50A0133D"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Slovenský plynárenský priemysel, a.</w:t>
            </w:r>
            <w:r w:rsidR="00390E01">
              <w:rPr>
                <w:color w:val="000000"/>
                <w:sz w:val="16"/>
                <w:szCs w:val="16"/>
                <w:lang w:eastAsia="sk-SK"/>
              </w:rPr>
              <w:t> </w:t>
            </w:r>
            <w:r w:rsidRPr="001073E3">
              <w:rPr>
                <w:color w:val="000000"/>
                <w:sz w:val="16"/>
                <w:szCs w:val="16"/>
                <w:lang w:eastAsia="sk-SK"/>
              </w:rPr>
              <w:t>s.</w:t>
            </w:r>
          </w:p>
        </w:tc>
        <w:tc>
          <w:tcPr>
            <w:tcW w:w="612" w:type="pct"/>
            <w:tcBorders>
              <w:top w:val="nil"/>
              <w:left w:val="nil"/>
              <w:bottom w:val="nil"/>
              <w:right w:val="nil"/>
            </w:tcBorders>
            <w:vAlign w:val="center"/>
            <w:hideMark/>
          </w:tcPr>
          <w:p w14:paraId="23FFBDBD" w14:textId="003724F5"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803 347</w:t>
            </w:r>
          </w:p>
        </w:tc>
        <w:tc>
          <w:tcPr>
            <w:tcW w:w="612" w:type="pct"/>
            <w:tcBorders>
              <w:top w:val="nil"/>
              <w:left w:val="nil"/>
              <w:bottom w:val="nil"/>
              <w:right w:val="nil"/>
            </w:tcBorders>
            <w:vAlign w:val="center"/>
            <w:hideMark/>
          </w:tcPr>
          <w:p w14:paraId="251EB37C" w14:textId="106E722F"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767 827</w:t>
            </w:r>
          </w:p>
        </w:tc>
        <w:tc>
          <w:tcPr>
            <w:tcW w:w="612" w:type="pct"/>
            <w:tcBorders>
              <w:top w:val="nil"/>
              <w:left w:val="nil"/>
              <w:bottom w:val="nil"/>
              <w:right w:val="nil"/>
            </w:tcBorders>
            <w:vAlign w:val="center"/>
          </w:tcPr>
          <w:p w14:paraId="25D85BE3" w14:textId="61DE92C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993 785</w:t>
            </w:r>
          </w:p>
        </w:tc>
        <w:tc>
          <w:tcPr>
            <w:tcW w:w="643" w:type="pct"/>
            <w:tcBorders>
              <w:top w:val="nil"/>
              <w:left w:val="nil"/>
              <w:bottom w:val="nil"/>
            </w:tcBorders>
            <w:vAlign w:val="center"/>
          </w:tcPr>
          <w:p w14:paraId="7849E402" w14:textId="0D174D3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225 958</w:t>
            </w:r>
          </w:p>
        </w:tc>
      </w:tr>
      <w:tr w:rsidR="001073E3" w:rsidRPr="001073E3" w14:paraId="62707A27" w14:textId="77777777" w:rsidTr="00F57373">
        <w:trPr>
          <w:trHeight w:val="276"/>
          <w:jc w:val="center"/>
        </w:trPr>
        <w:tc>
          <w:tcPr>
            <w:tcW w:w="2521" w:type="pct"/>
            <w:tcBorders>
              <w:top w:val="nil"/>
              <w:bottom w:val="nil"/>
              <w:right w:val="nil"/>
            </w:tcBorders>
            <w:vAlign w:val="center"/>
            <w:hideMark/>
          </w:tcPr>
          <w:p w14:paraId="05292AD4" w14:textId="10AAD187"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Východoslovenská energetika, a.</w:t>
            </w:r>
            <w:r w:rsidR="00390E01">
              <w:rPr>
                <w:color w:val="000000"/>
                <w:sz w:val="16"/>
                <w:szCs w:val="16"/>
                <w:lang w:eastAsia="sk-SK"/>
              </w:rPr>
              <w:t> </w:t>
            </w:r>
            <w:r w:rsidRPr="001073E3">
              <w:rPr>
                <w:color w:val="000000"/>
                <w:sz w:val="16"/>
                <w:szCs w:val="16"/>
                <w:lang w:eastAsia="sk-SK"/>
              </w:rPr>
              <w:t>s.</w:t>
            </w:r>
          </w:p>
        </w:tc>
        <w:tc>
          <w:tcPr>
            <w:tcW w:w="612" w:type="pct"/>
            <w:tcBorders>
              <w:top w:val="nil"/>
              <w:left w:val="nil"/>
              <w:bottom w:val="nil"/>
              <w:right w:val="nil"/>
            </w:tcBorders>
            <w:vAlign w:val="center"/>
            <w:hideMark/>
          </w:tcPr>
          <w:p w14:paraId="175CB4BA" w14:textId="7CA7108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134 609</w:t>
            </w:r>
          </w:p>
        </w:tc>
        <w:tc>
          <w:tcPr>
            <w:tcW w:w="612" w:type="pct"/>
            <w:tcBorders>
              <w:top w:val="nil"/>
              <w:left w:val="nil"/>
              <w:bottom w:val="nil"/>
              <w:right w:val="nil"/>
            </w:tcBorders>
            <w:vAlign w:val="center"/>
            <w:hideMark/>
          </w:tcPr>
          <w:p w14:paraId="5A8DEF67" w14:textId="127D6A36"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146 527</w:t>
            </w:r>
          </w:p>
        </w:tc>
        <w:tc>
          <w:tcPr>
            <w:tcW w:w="612" w:type="pct"/>
            <w:tcBorders>
              <w:top w:val="nil"/>
              <w:left w:val="nil"/>
              <w:bottom w:val="nil"/>
              <w:right w:val="nil"/>
            </w:tcBorders>
            <w:vAlign w:val="center"/>
          </w:tcPr>
          <w:p w14:paraId="1226263A" w14:textId="3CA7DECB"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c>
          <w:tcPr>
            <w:tcW w:w="643" w:type="pct"/>
            <w:tcBorders>
              <w:top w:val="nil"/>
              <w:left w:val="nil"/>
              <w:bottom w:val="nil"/>
            </w:tcBorders>
            <w:vAlign w:val="center"/>
          </w:tcPr>
          <w:p w14:paraId="5C953072" w14:textId="1471065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-146 527</w:t>
            </w:r>
          </w:p>
        </w:tc>
      </w:tr>
      <w:tr w:rsidR="001073E3" w:rsidRPr="001073E3" w14:paraId="790F9D0A" w14:textId="77777777" w:rsidTr="00F57373">
        <w:trPr>
          <w:trHeight w:val="276"/>
          <w:jc w:val="center"/>
        </w:trPr>
        <w:tc>
          <w:tcPr>
            <w:tcW w:w="2521" w:type="pct"/>
            <w:tcBorders>
              <w:top w:val="nil"/>
              <w:bottom w:val="nil"/>
              <w:right w:val="nil"/>
            </w:tcBorders>
            <w:vAlign w:val="center"/>
            <w:hideMark/>
          </w:tcPr>
          <w:p w14:paraId="100B03DC" w14:textId="437AD02A"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Slovenská záručná a rozvojová banka, a.</w:t>
            </w:r>
            <w:r w:rsidR="00390E01">
              <w:rPr>
                <w:color w:val="000000"/>
                <w:sz w:val="16"/>
                <w:szCs w:val="16"/>
                <w:lang w:eastAsia="sk-SK"/>
              </w:rPr>
              <w:t> </w:t>
            </w:r>
            <w:r w:rsidRPr="001073E3">
              <w:rPr>
                <w:color w:val="000000"/>
                <w:sz w:val="16"/>
                <w:szCs w:val="16"/>
                <w:lang w:eastAsia="sk-SK"/>
              </w:rPr>
              <w:t>s.</w:t>
            </w:r>
          </w:p>
        </w:tc>
        <w:tc>
          <w:tcPr>
            <w:tcW w:w="612" w:type="pct"/>
            <w:tcBorders>
              <w:top w:val="nil"/>
              <w:left w:val="nil"/>
              <w:bottom w:val="nil"/>
              <w:right w:val="nil"/>
            </w:tcBorders>
            <w:vAlign w:val="center"/>
            <w:hideMark/>
          </w:tcPr>
          <w:p w14:paraId="119FD2A9" w14:textId="29C93AF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59 095</w:t>
            </w:r>
          </w:p>
        </w:tc>
        <w:tc>
          <w:tcPr>
            <w:tcW w:w="612" w:type="pct"/>
            <w:tcBorders>
              <w:top w:val="nil"/>
              <w:left w:val="nil"/>
              <w:bottom w:val="nil"/>
              <w:right w:val="nil"/>
            </w:tcBorders>
            <w:vAlign w:val="center"/>
            <w:hideMark/>
          </w:tcPr>
          <w:p w14:paraId="3B6158AA" w14:textId="705B5484"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59 754</w:t>
            </w:r>
          </w:p>
        </w:tc>
        <w:tc>
          <w:tcPr>
            <w:tcW w:w="612" w:type="pct"/>
            <w:tcBorders>
              <w:top w:val="nil"/>
              <w:left w:val="nil"/>
              <w:bottom w:val="nil"/>
              <w:right w:val="nil"/>
            </w:tcBorders>
            <w:vAlign w:val="center"/>
          </w:tcPr>
          <w:p w14:paraId="20933F3C" w14:textId="23FCF0F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54 548</w:t>
            </w:r>
          </w:p>
        </w:tc>
        <w:tc>
          <w:tcPr>
            <w:tcW w:w="643" w:type="pct"/>
            <w:tcBorders>
              <w:top w:val="nil"/>
              <w:left w:val="nil"/>
              <w:bottom w:val="nil"/>
            </w:tcBorders>
            <w:vAlign w:val="center"/>
          </w:tcPr>
          <w:p w14:paraId="4BEDB398" w14:textId="4411FAD8"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-5 206</w:t>
            </w:r>
          </w:p>
        </w:tc>
      </w:tr>
      <w:tr w:rsidR="001073E3" w:rsidRPr="001073E3" w14:paraId="54682260" w14:textId="77777777" w:rsidTr="00F57373">
        <w:trPr>
          <w:trHeight w:val="276"/>
          <w:jc w:val="center"/>
        </w:trPr>
        <w:tc>
          <w:tcPr>
            <w:tcW w:w="2521" w:type="pct"/>
            <w:tcBorders>
              <w:top w:val="nil"/>
              <w:bottom w:val="nil"/>
              <w:right w:val="nil"/>
            </w:tcBorders>
            <w:vAlign w:val="center"/>
            <w:hideMark/>
          </w:tcPr>
          <w:p w14:paraId="67088C21" w14:textId="01CEA433"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Lesy SR, š.</w:t>
            </w:r>
            <w:r w:rsidR="00390E01">
              <w:rPr>
                <w:color w:val="000000"/>
                <w:sz w:val="16"/>
                <w:szCs w:val="16"/>
                <w:lang w:eastAsia="sk-SK"/>
              </w:rPr>
              <w:t> </w:t>
            </w:r>
            <w:r w:rsidRPr="001073E3">
              <w:rPr>
                <w:color w:val="000000"/>
                <w:sz w:val="16"/>
                <w:szCs w:val="16"/>
                <w:lang w:eastAsia="sk-SK"/>
              </w:rPr>
              <w:t>p.</w:t>
            </w:r>
          </w:p>
        </w:tc>
        <w:tc>
          <w:tcPr>
            <w:tcW w:w="612" w:type="pct"/>
            <w:tcBorders>
              <w:top w:val="nil"/>
              <w:left w:val="nil"/>
              <w:bottom w:val="nil"/>
              <w:right w:val="nil"/>
            </w:tcBorders>
            <w:vAlign w:val="center"/>
            <w:hideMark/>
          </w:tcPr>
          <w:p w14:paraId="4DF4C5CC" w14:textId="6D9994F9"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13 894</w:t>
            </w:r>
          </w:p>
        </w:tc>
        <w:tc>
          <w:tcPr>
            <w:tcW w:w="612" w:type="pct"/>
            <w:tcBorders>
              <w:top w:val="nil"/>
              <w:left w:val="nil"/>
              <w:bottom w:val="nil"/>
              <w:right w:val="nil"/>
            </w:tcBorders>
            <w:vAlign w:val="center"/>
            <w:hideMark/>
          </w:tcPr>
          <w:p w14:paraId="42550DF5" w14:textId="4EFB8221"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13 894</w:t>
            </w:r>
          </w:p>
        </w:tc>
        <w:tc>
          <w:tcPr>
            <w:tcW w:w="612" w:type="pct"/>
            <w:tcBorders>
              <w:top w:val="nil"/>
              <w:left w:val="nil"/>
              <w:bottom w:val="nil"/>
              <w:right w:val="nil"/>
            </w:tcBorders>
            <w:vAlign w:val="center"/>
          </w:tcPr>
          <w:p w14:paraId="54054A97" w14:textId="470732DE"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13 894</w:t>
            </w:r>
          </w:p>
        </w:tc>
        <w:tc>
          <w:tcPr>
            <w:tcW w:w="643" w:type="pct"/>
            <w:tcBorders>
              <w:top w:val="nil"/>
              <w:left w:val="nil"/>
              <w:bottom w:val="nil"/>
            </w:tcBorders>
            <w:vAlign w:val="center"/>
          </w:tcPr>
          <w:p w14:paraId="6A0B73D8" w14:textId="3421696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r>
      <w:tr w:rsidR="001073E3" w:rsidRPr="001073E3" w14:paraId="06D7E79F" w14:textId="77777777" w:rsidTr="00F57373">
        <w:trPr>
          <w:trHeight w:val="276"/>
          <w:jc w:val="center"/>
        </w:trPr>
        <w:tc>
          <w:tcPr>
            <w:tcW w:w="2521" w:type="pct"/>
            <w:tcBorders>
              <w:top w:val="nil"/>
              <w:bottom w:val="nil"/>
              <w:right w:val="nil"/>
            </w:tcBorders>
            <w:vAlign w:val="center"/>
            <w:hideMark/>
          </w:tcPr>
          <w:p w14:paraId="39FB8ED9" w14:textId="7363C719"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Jadrová a vyraďovacia spoločnosť, a.</w:t>
            </w:r>
            <w:r w:rsidR="00390E01">
              <w:rPr>
                <w:color w:val="000000"/>
                <w:sz w:val="16"/>
                <w:szCs w:val="16"/>
                <w:lang w:eastAsia="sk-SK"/>
              </w:rPr>
              <w:t> </w:t>
            </w:r>
            <w:r w:rsidRPr="001073E3">
              <w:rPr>
                <w:color w:val="000000"/>
                <w:sz w:val="16"/>
                <w:szCs w:val="16"/>
                <w:lang w:eastAsia="sk-SK"/>
              </w:rPr>
              <w:t>s.</w:t>
            </w:r>
          </w:p>
        </w:tc>
        <w:tc>
          <w:tcPr>
            <w:tcW w:w="612" w:type="pct"/>
            <w:tcBorders>
              <w:top w:val="nil"/>
              <w:left w:val="nil"/>
              <w:bottom w:val="nil"/>
              <w:right w:val="nil"/>
            </w:tcBorders>
            <w:vAlign w:val="center"/>
            <w:hideMark/>
          </w:tcPr>
          <w:p w14:paraId="02A3E9BC" w14:textId="7F1FFE13"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c>
          <w:tcPr>
            <w:tcW w:w="612" w:type="pct"/>
            <w:tcBorders>
              <w:top w:val="nil"/>
              <w:left w:val="nil"/>
              <w:bottom w:val="nil"/>
              <w:right w:val="nil"/>
            </w:tcBorders>
            <w:vAlign w:val="center"/>
            <w:hideMark/>
          </w:tcPr>
          <w:p w14:paraId="654A8F09" w14:textId="3A51303C"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c>
          <w:tcPr>
            <w:tcW w:w="612" w:type="pct"/>
            <w:tcBorders>
              <w:top w:val="nil"/>
              <w:left w:val="nil"/>
              <w:bottom w:val="nil"/>
              <w:right w:val="nil"/>
            </w:tcBorders>
            <w:vAlign w:val="center"/>
          </w:tcPr>
          <w:p w14:paraId="785E3FE2" w14:textId="37C305B1"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c>
          <w:tcPr>
            <w:tcW w:w="643" w:type="pct"/>
            <w:tcBorders>
              <w:top w:val="nil"/>
              <w:left w:val="nil"/>
              <w:bottom w:val="nil"/>
            </w:tcBorders>
            <w:vAlign w:val="center"/>
          </w:tcPr>
          <w:p w14:paraId="52C5BC5C" w14:textId="4EEB9E3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r>
      <w:tr w:rsidR="001073E3" w:rsidRPr="001073E3" w14:paraId="744CBE54" w14:textId="77777777" w:rsidTr="00F57373">
        <w:trPr>
          <w:trHeight w:val="276"/>
          <w:jc w:val="center"/>
        </w:trPr>
        <w:tc>
          <w:tcPr>
            <w:tcW w:w="2521" w:type="pct"/>
            <w:tcBorders>
              <w:top w:val="nil"/>
              <w:right w:val="nil"/>
            </w:tcBorders>
            <w:vAlign w:val="center"/>
            <w:hideMark/>
          </w:tcPr>
          <w:p w14:paraId="23DD7C34" w14:textId="7EBC22FD" w:rsidR="001073E3" w:rsidRPr="001073E3" w:rsidRDefault="001073E3" w:rsidP="001073E3">
            <w:pPr>
              <w:spacing w:after="0" w:line="240" w:lineRule="auto"/>
              <w:ind w:firstLineChars="300" w:firstLine="480"/>
              <w:rPr>
                <w:color w:val="000000"/>
                <w:sz w:val="16"/>
                <w:szCs w:val="16"/>
                <w:lang w:eastAsia="sk-SK"/>
              </w:rPr>
            </w:pPr>
            <w:r w:rsidRPr="001073E3">
              <w:rPr>
                <w:color w:val="000000"/>
                <w:sz w:val="16"/>
                <w:szCs w:val="16"/>
                <w:lang w:eastAsia="sk-SK"/>
              </w:rPr>
              <w:t>MH Invest, s.</w:t>
            </w:r>
            <w:r w:rsidR="00390E01">
              <w:rPr>
                <w:color w:val="000000"/>
                <w:sz w:val="16"/>
                <w:szCs w:val="16"/>
                <w:lang w:eastAsia="sk-SK"/>
              </w:rPr>
              <w:t> </w:t>
            </w:r>
            <w:r w:rsidRPr="001073E3">
              <w:rPr>
                <w:color w:val="000000"/>
                <w:sz w:val="16"/>
                <w:szCs w:val="16"/>
                <w:lang w:eastAsia="sk-SK"/>
              </w:rPr>
              <w:t>r.</w:t>
            </w:r>
            <w:r w:rsidR="00390E01">
              <w:rPr>
                <w:color w:val="000000"/>
                <w:sz w:val="16"/>
                <w:szCs w:val="16"/>
                <w:lang w:eastAsia="sk-SK"/>
              </w:rPr>
              <w:t> </w:t>
            </w:r>
            <w:r w:rsidRPr="001073E3">
              <w:rPr>
                <w:color w:val="000000"/>
                <w:sz w:val="16"/>
                <w:szCs w:val="16"/>
                <w:lang w:eastAsia="sk-SK"/>
              </w:rPr>
              <w:t>o</w:t>
            </w:r>
          </w:p>
        </w:tc>
        <w:tc>
          <w:tcPr>
            <w:tcW w:w="612" w:type="pct"/>
            <w:tcBorders>
              <w:top w:val="nil"/>
              <w:left w:val="nil"/>
              <w:right w:val="nil"/>
            </w:tcBorders>
            <w:vAlign w:val="center"/>
            <w:hideMark/>
          </w:tcPr>
          <w:p w14:paraId="02F2AEA3" w14:textId="39C5CA06"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0</w:t>
            </w:r>
          </w:p>
        </w:tc>
        <w:tc>
          <w:tcPr>
            <w:tcW w:w="612" w:type="pct"/>
            <w:tcBorders>
              <w:top w:val="nil"/>
              <w:left w:val="nil"/>
              <w:right w:val="nil"/>
            </w:tcBorders>
            <w:vAlign w:val="center"/>
            <w:hideMark/>
          </w:tcPr>
          <w:p w14:paraId="33224B3A" w14:textId="102B2050"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6 241</w:t>
            </w:r>
          </w:p>
        </w:tc>
        <w:tc>
          <w:tcPr>
            <w:tcW w:w="612" w:type="pct"/>
            <w:tcBorders>
              <w:top w:val="nil"/>
              <w:left w:val="nil"/>
              <w:right w:val="nil"/>
            </w:tcBorders>
            <w:vAlign w:val="center"/>
          </w:tcPr>
          <w:p w14:paraId="45ACC9C3" w14:textId="07593CED"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34 136</w:t>
            </w:r>
          </w:p>
        </w:tc>
        <w:tc>
          <w:tcPr>
            <w:tcW w:w="643" w:type="pct"/>
            <w:tcBorders>
              <w:top w:val="nil"/>
              <w:left w:val="nil"/>
            </w:tcBorders>
            <w:vAlign w:val="center"/>
          </w:tcPr>
          <w:p w14:paraId="10C51895" w14:textId="0FED5BE7" w:rsidR="001073E3" w:rsidRPr="001073E3" w:rsidRDefault="001073E3" w:rsidP="001073E3">
            <w:pPr>
              <w:spacing w:after="0" w:line="240" w:lineRule="auto"/>
              <w:jc w:val="right"/>
              <w:rPr>
                <w:color w:val="000000"/>
                <w:sz w:val="16"/>
                <w:szCs w:val="16"/>
                <w:lang w:eastAsia="sk-SK"/>
              </w:rPr>
            </w:pPr>
            <w:r w:rsidRPr="001073E3">
              <w:rPr>
                <w:color w:val="000000"/>
                <w:sz w:val="16"/>
                <w:szCs w:val="16"/>
                <w:lang w:eastAsia="sk-SK"/>
              </w:rPr>
              <w:t>27 895</w:t>
            </w:r>
          </w:p>
        </w:tc>
      </w:tr>
      <w:tr w:rsidR="001073E3" w:rsidRPr="002746C4" w14:paraId="4CC6C320" w14:textId="77777777" w:rsidTr="00F57373">
        <w:trPr>
          <w:trHeight w:val="276"/>
          <w:jc w:val="center"/>
        </w:trPr>
        <w:tc>
          <w:tcPr>
            <w:tcW w:w="2521" w:type="pct"/>
            <w:tcBorders>
              <w:right w:val="nil"/>
            </w:tcBorders>
            <w:noWrap/>
            <w:vAlign w:val="center"/>
            <w:hideMark/>
          </w:tcPr>
          <w:p w14:paraId="3F2E912E" w14:textId="77777777" w:rsidR="001073E3" w:rsidRPr="001073E3" w:rsidRDefault="001073E3" w:rsidP="001073E3">
            <w:pPr>
              <w:spacing w:after="0" w:line="240" w:lineRule="auto"/>
              <w:rPr>
                <w:b/>
                <w:bCs/>
                <w:color w:val="000000"/>
                <w:sz w:val="16"/>
                <w:szCs w:val="16"/>
                <w:lang w:eastAsia="sk-SK"/>
              </w:rPr>
            </w:pPr>
            <w:r w:rsidRPr="001073E3">
              <w:rPr>
                <w:b/>
                <w:bCs/>
                <w:color w:val="000000"/>
                <w:sz w:val="16"/>
                <w:szCs w:val="16"/>
                <w:lang w:eastAsia="sk-SK"/>
              </w:rPr>
              <w:t xml:space="preserve">Spolu  </w:t>
            </w:r>
          </w:p>
        </w:tc>
        <w:tc>
          <w:tcPr>
            <w:tcW w:w="612" w:type="pct"/>
            <w:tcBorders>
              <w:left w:val="nil"/>
              <w:right w:val="nil"/>
            </w:tcBorders>
            <w:vAlign w:val="center"/>
            <w:hideMark/>
          </w:tcPr>
          <w:p w14:paraId="78846481" w14:textId="39998578"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20 052 764</w:t>
            </w:r>
          </w:p>
        </w:tc>
        <w:tc>
          <w:tcPr>
            <w:tcW w:w="612" w:type="pct"/>
            <w:tcBorders>
              <w:left w:val="nil"/>
              <w:right w:val="nil"/>
            </w:tcBorders>
            <w:vAlign w:val="center"/>
          </w:tcPr>
          <w:p w14:paraId="0A109E0E" w14:textId="545E855C"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20 123 524</w:t>
            </w:r>
          </w:p>
        </w:tc>
        <w:tc>
          <w:tcPr>
            <w:tcW w:w="612" w:type="pct"/>
            <w:tcBorders>
              <w:left w:val="nil"/>
              <w:right w:val="nil"/>
            </w:tcBorders>
            <w:vAlign w:val="center"/>
          </w:tcPr>
          <w:p w14:paraId="3A8C35DC" w14:textId="281B8E7F"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20 509 414</w:t>
            </w:r>
          </w:p>
        </w:tc>
        <w:tc>
          <w:tcPr>
            <w:tcW w:w="643" w:type="pct"/>
            <w:tcBorders>
              <w:left w:val="nil"/>
            </w:tcBorders>
            <w:vAlign w:val="center"/>
          </w:tcPr>
          <w:p w14:paraId="2FFB0A4C" w14:textId="78C24232" w:rsidR="001073E3" w:rsidRPr="001073E3" w:rsidRDefault="001073E3" w:rsidP="001073E3">
            <w:pPr>
              <w:spacing w:after="0" w:line="240" w:lineRule="auto"/>
              <w:jc w:val="right"/>
              <w:rPr>
                <w:b/>
                <w:bCs/>
                <w:color w:val="000000"/>
                <w:sz w:val="16"/>
                <w:szCs w:val="16"/>
                <w:lang w:eastAsia="sk-SK"/>
              </w:rPr>
            </w:pPr>
            <w:r w:rsidRPr="001073E3">
              <w:rPr>
                <w:b/>
                <w:bCs/>
                <w:color w:val="000000"/>
                <w:sz w:val="16"/>
                <w:szCs w:val="16"/>
                <w:lang w:eastAsia="sk-SK"/>
              </w:rPr>
              <w:t>385 890</w:t>
            </w:r>
          </w:p>
        </w:tc>
      </w:tr>
    </w:tbl>
    <w:p w14:paraId="00388157" w14:textId="67E703BE" w:rsidR="001768B9" w:rsidRPr="002746C4" w:rsidRDefault="001073E3" w:rsidP="009E169A">
      <w:pPr>
        <w:spacing w:after="0"/>
        <w:ind w:left="709" w:hanging="709"/>
        <w:jc w:val="both"/>
        <w:rPr>
          <w:sz w:val="16"/>
          <w:szCs w:val="16"/>
          <w:highlight w:val="yellow"/>
        </w:rPr>
      </w:pPr>
      <w:r w:rsidRPr="0057265E">
        <w:rPr>
          <w:sz w:val="16"/>
          <w:szCs w:val="16"/>
        </w:rPr>
        <w:t>Zdroj: Účtovné závierky subjektov k 31.12.20</w:t>
      </w:r>
      <w:r>
        <w:rPr>
          <w:sz w:val="16"/>
          <w:szCs w:val="16"/>
        </w:rPr>
        <w:t>23 a k 31.12.2022</w:t>
      </w:r>
      <w:r w:rsidRPr="0057265E">
        <w:rPr>
          <w:sz w:val="16"/>
          <w:szCs w:val="16"/>
        </w:rPr>
        <w:t xml:space="preserve"> zverejnené v </w:t>
      </w:r>
      <w:r w:rsidRPr="000A629A">
        <w:rPr>
          <w:sz w:val="16"/>
          <w:szCs w:val="16"/>
        </w:rPr>
        <w:t xml:space="preserve">registri </w:t>
      </w:r>
      <w:hyperlink r:id="rId19" w:history="1">
        <w:r w:rsidRPr="000A629A">
          <w:rPr>
            <w:sz w:val="16"/>
            <w:szCs w:val="16"/>
            <w:u w:val="single"/>
          </w:rPr>
          <w:t>www.registeruz.sk</w:t>
        </w:r>
      </w:hyperlink>
      <w:r w:rsidRPr="000A629A">
        <w:rPr>
          <w:sz w:val="16"/>
          <w:szCs w:val="16"/>
        </w:rPr>
        <w:t xml:space="preserve"> a databáza </w:t>
      </w:r>
      <w:r w:rsidRPr="0057265E">
        <w:rPr>
          <w:sz w:val="16"/>
          <w:szCs w:val="16"/>
        </w:rPr>
        <w:t>MF SR</w:t>
      </w:r>
    </w:p>
    <w:p w14:paraId="12C68A80" w14:textId="771646E8" w:rsidR="001768B9" w:rsidRPr="00650831" w:rsidRDefault="0024688F" w:rsidP="001768B9">
      <w:pPr>
        <w:spacing w:after="0" w:line="240" w:lineRule="auto"/>
        <w:ind w:left="709" w:hanging="709"/>
        <w:jc w:val="both"/>
        <w:rPr>
          <w:sz w:val="16"/>
          <w:szCs w:val="16"/>
        </w:rPr>
      </w:pPr>
      <w:r>
        <w:rPr>
          <w:sz w:val="16"/>
          <w:szCs w:val="16"/>
        </w:rPr>
        <w:t>Medziročný rast</w:t>
      </w:r>
      <w:r w:rsidR="001768B9" w:rsidRPr="00650831">
        <w:rPr>
          <w:sz w:val="16"/>
          <w:szCs w:val="16"/>
        </w:rPr>
        <w:t> </w:t>
      </w:r>
      <w:r>
        <w:rPr>
          <w:sz w:val="16"/>
          <w:szCs w:val="16"/>
        </w:rPr>
        <w:t>v </w:t>
      </w:r>
      <w:r>
        <w:rPr>
          <w:sz w:val="16"/>
          <w:szCs w:val="16"/>
        </w:rPr>
        <w:fldChar w:fldCharType="begin"/>
      </w:r>
      <w:r>
        <w:rPr>
          <w:sz w:val="16"/>
          <w:szCs w:val="16"/>
        </w:rPr>
        <w:instrText xml:space="preserve"> REF _Ref180140640 \h  \* MERGEFORMAT </w:instrText>
      </w:r>
      <w:r>
        <w:rPr>
          <w:sz w:val="16"/>
          <w:szCs w:val="16"/>
        </w:rPr>
      </w:r>
      <w:r>
        <w:rPr>
          <w:sz w:val="16"/>
          <w:szCs w:val="16"/>
        </w:rPr>
        <w:fldChar w:fldCharType="separate"/>
      </w:r>
      <w:r w:rsidR="001348DE" w:rsidRPr="001348DE">
        <w:rPr>
          <w:sz w:val="16"/>
          <w:szCs w:val="16"/>
        </w:rPr>
        <w:t>Tabuľk</w:t>
      </w:r>
      <w:r w:rsidR="001915D2">
        <w:rPr>
          <w:sz w:val="16"/>
          <w:szCs w:val="16"/>
        </w:rPr>
        <w:t>e</w:t>
      </w:r>
      <w:r w:rsidR="001348DE">
        <w:t xml:space="preserve"> </w:t>
      </w:r>
      <w:r w:rsidR="001348DE" w:rsidRPr="001348DE">
        <w:rPr>
          <w:noProof/>
          <w:sz w:val="16"/>
          <w:szCs w:val="16"/>
        </w:rPr>
        <w:t>24</w:t>
      </w:r>
      <w:r>
        <w:rPr>
          <w:sz w:val="16"/>
          <w:szCs w:val="16"/>
        </w:rPr>
        <w:fldChar w:fldCharType="end"/>
      </w:r>
      <w:r>
        <w:rPr>
          <w:sz w:val="16"/>
          <w:szCs w:val="16"/>
        </w:rPr>
        <w:t xml:space="preserve"> </w:t>
      </w:r>
      <w:r w:rsidR="001768B9" w:rsidRPr="00650831">
        <w:rPr>
          <w:sz w:val="16"/>
          <w:szCs w:val="16"/>
        </w:rPr>
        <w:t>predstavuje časť medziročných zm</w:t>
      </w:r>
      <w:r>
        <w:rPr>
          <w:sz w:val="16"/>
          <w:szCs w:val="16"/>
        </w:rPr>
        <w:t>ien sumárne vypočítanej v </w:t>
      </w:r>
      <w:r w:rsidRPr="0024688F">
        <w:rPr>
          <w:sz w:val="16"/>
          <w:szCs w:val="16"/>
        </w:rPr>
        <w:fldChar w:fldCharType="begin"/>
      </w:r>
      <w:r w:rsidRPr="0024688F">
        <w:rPr>
          <w:sz w:val="16"/>
          <w:szCs w:val="16"/>
        </w:rPr>
        <w:instrText xml:space="preserve"> REF _Ref180140769 \h  \* MERGEFORMAT </w:instrText>
      </w:r>
      <w:r w:rsidRPr="0024688F">
        <w:rPr>
          <w:sz w:val="16"/>
          <w:szCs w:val="16"/>
        </w:rPr>
      </w:r>
      <w:r w:rsidRPr="0024688F">
        <w:rPr>
          <w:sz w:val="16"/>
          <w:szCs w:val="16"/>
        </w:rPr>
        <w:fldChar w:fldCharType="separate"/>
      </w:r>
      <w:r w:rsidR="001348DE" w:rsidRPr="001348DE">
        <w:rPr>
          <w:sz w:val="16"/>
          <w:szCs w:val="16"/>
        </w:rPr>
        <w:t>Tabuľk</w:t>
      </w:r>
      <w:r w:rsidR="001915D2">
        <w:rPr>
          <w:sz w:val="16"/>
          <w:szCs w:val="16"/>
        </w:rPr>
        <w:t>e</w:t>
      </w:r>
      <w:r w:rsidR="001348DE" w:rsidRPr="001348DE">
        <w:rPr>
          <w:sz w:val="16"/>
          <w:szCs w:val="16"/>
        </w:rPr>
        <w:t xml:space="preserve"> </w:t>
      </w:r>
      <w:r w:rsidR="001348DE" w:rsidRPr="001348DE">
        <w:rPr>
          <w:noProof/>
          <w:sz w:val="16"/>
          <w:szCs w:val="16"/>
        </w:rPr>
        <w:t>1</w:t>
      </w:r>
      <w:r w:rsidRPr="0024688F">
        <w:rPr>
          <w:sz w:val="16"/>
          <w:szCs w:val="16"/>
        </w:rPr>
        <w:fldChar w:fldCharType="end"/>
      </w:r>
      <w:r w:rsidR="001768B9" w:rsidRPr="00650831">
        <w:rPr>
          <w:sz w:val="16"/>
          <w:szCs w:val="16"/>
        </w:rPr>
        <w:t>.</w:t>
      </w:r>
    </w:p>
    <w:p w14:paraId="64D529D2" w14:textId="59DF93FC" w:rsidR="00650831" w:rsidRPr="000129B6" w:rsidRDefault="00650831" w:rsidP="00650831">
      <w:pPr>
        <w:keepNext/>
        <w:spacing w:after="0" w:line="240" w:lineRule="auto"/>
        <w:jc w:val="both"/>
        <w:rPr>
          <w:b/>
          <w:bCs/>
          <w:color w:val="4F81BD"/>
          <w:szCs w:val="22"/>
          <w:lang w:eastAsia="sk-SK"/>
        </w:rPr>
      </w:pPr>
      <w:r w:rsidRPr="000129B6">
        <w:rPr>
          <w:b/>
          <w:bCs/>
          <w:color w:val="4F81BD"/>
          <w:szCs w:val="22"/>
          <w:lang w:eastAsia="sk-SK"/>
        </w:rPr>
        <w:lastRenderedPageBreak/>
        <w:t>Účasť Slovenskej republiky na európs</w:t>
      </w:r>
      <w:r w:rsidR="00645EDA">
        <w:rPr>
          <w:b/>
          <w:bCs/>
          <w:color w:val="4F81BD"/>
          <w:szCs w:val="22"/>
          <w:lang w:eastAsia="sk-SK"/>
        </w:rPr>
        <w:t xml:space="preserve">kych záchranných mechanizmoch a </w:t>
      </w:r>
      <w:r w:rsidRPr="000129B6">
        <w:rPr>
          <w:b/>
          <w:bCs/>
          <w:color w:val="4F81BD"/>
          <w:szCs w:val="22"/>
          <w:lang w:eastAsia="sk-SK"/>
        </w:rPr>
        <w:t>členstve v medzinárodných finančných inštitúciách</w:t>
      </w:r>
    </w:p>
    <w:p w14:paraId="60B23AA6" w14:textId="55E256B0" w:rsidR="00650831" w:rsidRPr="00F06931" w:rsidRDefault="00650831" w:rsidP="00650831">
      <w:pPr>
        <w:spacing w:before="120" w:after="0" w:line="240" w:lineRule="auto"/>
        <w:jc w:val="both"/>
        <w:rPr>
          <w:szCs w:val="22"/>
        </w:rPr>
      </w:pPr>
      <w:r w:rsidRPr="00F06931">
        <w:rPr>
          <w:b/>
          <w:szCs w:val="22"/>
        </w:rPr>
        <w:t>Európsky mechanizmus pre stabilitu</w:t>
      </w:r>
      <w:r w:rsidRPr="00F06931">
        <w:rPr>
          <w:szCs w:val="22"/>
        </w:rPr>
        <w:t xml:space="preserve"> (ďalej len „ESM“) tvorí súčasť druhej vlny balíka opatrení určených na poskytovanie pomoci členským štátom eurozóny ocitávajúcich sa vo vážnych finančných problémoch s</w:t>
      </w:r>
      <w:r w:rsidR="00830EAB">
        <w:rPr>
          <w:szCs w:val="22"/>
        </w:rPr>
        <w:t> </w:t>
      </w:r>
      <w:r w:rsidRPr="00F06931">
        <w:rPr>
          <w:szCs w:val="22"/>
        </w:rPr>
        <w:t>cieľom zabezpečiť stabilitu eurozóny samotnej. Európsky mechanizmus pre stabilitu (ESM) je</w:t>
      </w:r>
      <w:r w:rsidR="00645EDA">
        <w:rPr>
          <w:szCs w:val="22"/>
        </w:rPr>
        <w:t> </w:t>
      </w:r>
      <w:r w:rsidRPr="00F06931">
        <w:rPr>
          <w:szCs w:val="22"/>
        </w:rPr>
        <w:t>nasledovníkom EFSF, ktorý bol vytvorený na dobu určitú, t. j. do</w:t>
      </w:r>
      <w:r w:rsidR="00830EAB">
        <w:rPr>
          <w:szCs w:val="22"/>
        </w:rPr>
        <w:t> </w:t>
      </w:r>
      <w:r w:rsidRPr="00F06931">
        <w:rPr>
          <w:szCs w:val="22"/>
        </w:rPr>
        <w:t>júna 2013. ESM bol založený ako medzivládna organizácia založená na základe medzivládnej zmluvy. Na rozdiel od EFSF, ktorý funguje na</w:t>
      </w:r>
      <w:r w:rsidR="00830EAB">
        <w:rPr>
          <w:szCs w:val="22"/>
        </w:rPr>
        <w:t> </w:t>
      </w:r>
      <w:r w:rsidRPr="00F06931">
        <w:rPr>
          <w:szCs w:val="22"/>
        </w:rPr>
        <w:t>báze záruk za</w:t>
      </w:r>
      <w:r w:rsidR="00830EAB">
        <w:rPr>
          <w:szCs w:val="22"/>
        </w:rPr>
        <w:t xml:space="preserve"> dlhopisy emitované EFSF, sa do </w:t>
      </w:r>
      <w:r w:rsidRPr="00F06931">
        <w:rPr>
          <w:szCs w:val="22"/>
        </w:rPr>
        <w:t>ESM prispieva priamo, a to formou upisovania akcií na</w:t>
      </w:r>
      <w:r w:rsidR="00830EAB">
        <w:rPr>
          <w:szCs w:val="22"/>
        </w:rPr>
        <w:t> </w:t>
      </w:r>
      <w:r w:rsidRPr="00F06931">
        <w:rPr>
          <w:szCs w:val="22"/>
        </w:rPr>
        <w:t>základnom imaní spoločnosti. Slovenská republika splatila svoj podiel na vlastnom imaní vo</w:t>
      </w:r>
      <w:r w:rsidR="00830EAB">
        <w:rPr>
          <w:szCs w:val="22"/>
        </w:rPr>
        <w:t> </w:t>
      </w:r>
      <w:r w:rsidRPr="00F06931">
        <w:rPr>
          <w:szCs w:val="22"/>
        </w:rPr>
        <w:t>výške 793</w:t>
      </w:r>
      <w:r w:rsidR="00830EAB">
        <w:rPr>
          <w:szCs w:val="22"/>
        </w:rPr>
        <w:t> </w:t>
      </w:r>
      <w:r w:rsidRPr="00F06931">
        <w:rPr>
          <w:szCs w:val="22"/>
        </w:rPr>
        <w:t>350</w:t>
      </w:r>
      <w:r w:rsidR="00830EAB">
        <w:rPr>
          <w:szCs w:val="22"/>
        </w:rPr>
        <w:t> </w:t>
      </w:r>
      <w:r w:rsidRPr="00F06931">
        <w:rPr>
          <w:szCs w:val="22"/>
        </w:rPr>
        <w:t>tis.</w:t>
      </w:r>
      <w:r w:rsidR="00830EAB">
        <w:rPr>
          <w:szCs w:val="22"/>
        </w:rPr>
        <w:t> </w:t>
      </w:r>
      <w:r w:rsidRPr="00F06931">
        <w:rPr>
          <w:szCs w:val="22"/>
        </w:rPr>
        <w:t>eur v šiestich splátkach. Slovenskej republike vypršala výnimka na kľúči</w:t>
      </w:r>
      <w:r w:rsidR="00830EAB">
        <w:rPr>
          <w:szCs w:val="22"/>
        </w:rPr>
        <w:t xml:space="preserve"> na určenie príspevkov do ESM k </w:t>
      </w:r>
      <w:r w:rsidRPr="00F06931">
        <w:rPr>
          <w:szCs w:val="22"/>
        </w:rPr>
        <w:t xml:space="preserve">1.1.2021, ktorá bola udelená na obdobie dvanástich </w:t>
      </w:r>
      <w:r w:rsidR="00830EAB">
        <w:rPr>
          <w:szCs w:val="22"/>
        </w:rPr>
        <w:t>rokov od vstupu do eurozóny pre </w:t>
      </w:r>
      <w:r w:rsidRPr="00F06931">
        <w:rPr>
          <w:szCs w:val="22"/>
        </w:rPr>
        <w:t>všetky krajiny, ktoré v čase vzniku ESM mali hodnotu HDP na obyvateľa nižšiu, ako je 75</w:t>
      </w:r>
      <w:r w:rsidR="00FD250C">
        <w:rPr>
          <w:szCs w:val="22"/>
        </w:rPr>
        <w:t>,0</w:t>
      </w:r>
      <w:r w:rsidR="00830EAB">
        <w:rPr>
          <w:szCs w:val="22"/>
        </w:rPr>
        <w:t> </w:t>
      </w:r>
      <w:r w:rsidRPr="00F06931">
        <w:rPr>
          <w:szCs w:val="22"/>
        </w:rPr>
        <w:t>% priemeru Európskej únie.</w:t>
      </w:r>
    </w:p>
    <w:p w14:paraId="3080D895" w14:textId="14EB2676" w:rsidR="00650831" w:rsidRPr="00F06931" w:rsidRDefault="00650831" w:rsidP="00650831">
      <w:pPr>
        <w:spacing w:before="120" w:after="0" w:line="240" w:lineRule="auto"/>
        <w:jc w:val="both"/>
        <w:rPr>
          <w:szCs w:val="22"/>
        </w:rPr>
      </w:pPr>
      <w:r w:rsidRPr="00F06931">
        <w:rPr>
          <w:szCs w:val="22"/>
        </w:rPr>
        <w:t>Slovenská republika preto uhradila 134</w:t>
      </w:r>
      <w:r w:rsidR="00830EAB">
        <w:rPr>
          <w:szCs w:val="22"/>
        </w:rPr>
        <w:t> </w:t>
      </w:r>
      <w:r w:rsidRPr="00F06931">
        <w:rPr>
          <w:szCs w:val="22"/>
        </w:rPr>
        <w:t>150</w:t>
      </w:r>
      <w:r w:rsidR="00830EAB">
        <w:rPr>
          <w:szCs w:val="22"/>
        </w:rPr>
        <w:t> </w:t>
      </w:r>
      <w:r w:rsidRPr="00F06931">
        <w:rPr>
          <w:szCs w:val="22"/>
        </w:rPr>
        <w:t>tis.</w:t>
      </w:r>
      <w:r w:rsidR="00830EAB">
        <w:rPr>
          <w:szCs w:val="22"/>
        </w:rPr>
        <w:t> eur v </w:t>
      </w:r>
      <w:r w:rsidRPr="00F06931">
        <w:rPr>
          <w:szCs w:val="22"/>
        </w:rPr>
        <w:t>decembri 2020, čo upravilo kľúč na</w:t>
      </w:r>
      <w:r w:rsidR="00830EAB">
        <w:rPr>
          <w:szCs w:val="22"/>
        </w:rPr>
        <w:t> </w:t>
      </w:r>
      <w:r w:rsidRPr="00F06931">
        <w:rPr>
          <w:szCs w:val="22"/>
        </w:rPr>
        <w:t>určenie príspevkov do ESM pre Slovenskú republiku na hodnotu 0,985</w:t>
      </w:r>
      <w:r w:rsidR="00830EAB">
        <w:rPr>
          <w:szCs w:val="22"/>
        </w:rPr>
        <w:t> </w:t>
      </w:r>
      <w:r w:rsidRPr="00F06931">
        <w:rPr>
          <w:szCs w:val="22"/>
        </w:rPr>
        <w:t>%. Navýšenie splatného kapitálu bolo schvál</w:t>
      </w:r>
      <w:r w:rsidR="00830EAB">
        <w:rPr>
          <w:szCs w:val="22"/>
        </w:rPr>
        <w:t>ené Národnou radou SR dňa 5.11.</w:t>
      </w:r>
      <w:r w:rsidRPr="00F06931">
        <w:rPr>
          <w:szCs w:val="22"/>
        </w:rPr>
        <w:t>2020. Slovenská repub</w:t>
      </w:r>
      <w:r w:rsidR="00645EDA">
        <w:rPr>
          <w:szCs w:val="22"/>
        </w:rPr>
        <w:t>lika sa zároveň zaviazala, že v </w:t>
      </w:r>
      <w:r w:rsidRPr="00F06931">
        <w:rPr>
          <w:szCs w:val="22"/>
        </w:rPr>
        <w:t>prípade, ak</w:t>
      </w:r>
      <w:r w:rsidR="00830EAB">
        <w:rPr>
          <w:szCs w:val="22"/>
        </w:rPr>
        <w:t> </w:t>
      </w:r>
      <w:r w:rsidRPr="00F06931">
        <w:rPr>
          <w:szCs w:val="22"/>
        </w:rPr>
        <w:t>úroveň splateného imania klesne pod schválených 80</w:t>
      </w:r>
      <w:r w:rsidR="00830EAB">
        <w:rPr>
          <w:szCs w:val="22"/>
        </w:rPr>
        <w:t> mld. </w:t>
      </w:r>
      <w:r w:rsidRPr="00F06931">
        <w:rPr>
          <w:szCs w:val="22"/>
        </w:rPr>
        <w:t>eur absorbovaním strát ESM, Správna rada ESM vyzve akcionárov ESM na jeho splatenie (proces sa týka iba poklesu splateného imania, ktorý by mal v</w:t>
      </w:r>
      <w:r w:rsidR="00830EAB">
        <w:rPr>
          <w:szCs w:val="22"/>
        </w:rPr>
        <w:t> </w:t>
      </w:r>
      <w:r w:rsidRPr="00F06931">
        <w:rPr>
          <w:szCs w:val="22"/>
        </w:rPr>
        <w:t>prípade jeho nedoplnenia za následok stratu „AAA“ ratingu ESM) alebo ak je potrebné zabrániť omeškaniu ESM v platení povinností voči svojim veriteľom, má generálny riaditeľ ESM právo vyzvať na</w:t>
      </w:r>
      <w:r w:rsidR="00830EAB">
        <w:rPr>
          <w:szCs w:val="22"/>
        </w:rPr>
        <w:t> </w:t>
      </w:r>
      <w:r w:rsidRPr="00F06931">
        <w:rPr>
          <w:szCs w:val="22"/>
        </w:rPr>
        <w:t>úhradu upísaného základného imania prostredníctvom výzvy. Súčet výziev Správnej rady ESM a/alebo generálneho riaditeľa ESM nemôže v prípade Slovenskej republiky presiahnuť sumu 6</w:t>
      </w:r>
      <w:r w:rsidR="00830EAB">
        <w:rPr>
          <w:szCs w:val="22"/>
        </w:rPr>
        <w:t> </w:t>
      </w:r>
      <w:r w:rsidRPr="00F06931">
        <w:rPr>
          <w:szCs w:val="22"/>
        </w:rPr>
        <w:t>144</w:t>
      </w:r>
      <w:r w:rsidR="00830EAB">
        <w:rPr>
          <w:szCs w:val="22"/>
        </w:rPr>
        <w:t> </w:t>
      </w:r>
      <w:r w:rsidRPr="00F06931">
        <w:rPr>
          <w:szCs w:val="22"/>
        </w:rPr>
        <w:t>110</w:t>
      </w:r>
      <w:r w:rsidR="00830EAB">
        <w:rPr>
          <w:szCs w:val="22"/>
        </w:rPr>
        <w:t> </w:t>
      </w:r>
      <w:r w:rsidRPr="00F06931">
        <w:rPr>
          <w:szCs w:val="22"/>
        </w:rPr>
        <w:t>tis.</w:t>
      </w:r>
      <w:r w:rsidR="00830EAB">
        <w:rPr>
          <w:szCs w:val="22"/>
        </w:rPr>
        <w:t> </w:t>
      </w:r>
      <w:r w:rsidRPr="00F06931">
        <w:rPr>
          <w:szCs w:val="22"/>
        </w:rPr>
        <w:t>eur. Medziročná zmena súvisí s ukončením dočasnej korekcie kľúča pre príspevok Estónska v ESM, 1.</w:t>
      </w:r>
      <w:r w:rsidR="00830EAB">
        <w:rPr>
          <w:szCs w:val="22"/>
        </w:rPr>
        <w:t> </w:t>
      </w:r>
      <w:r w:rsidRPr="00F06931">
        <w:rPr>
          <w:szCs w:val="22"/>
        </w:rPr>
        <w:t>januára</w:t>
      </w:r>
      <w:r w:rsidR="00830EAB">
        <w:rPr>
          <w:szCs w:val="22"/>
        </w:rPr>
        <w:t> </w:t>
      </w:r>
      <w:r w:rsidRPr="00F06931">
        <w:rPr>
          <w:szCs w:val="22"/>
        </w:rPr>
        <w:t>2023.</w:t>
      </w:r>
    </w:p>
    <w:p w14:paraId="0BEFD0C7" w14:textId="25D61338" w:rsidR="00650831" w:rsidRPr="00F06931" w:rsidRDefault="00650831" w:rsidP="00650831">
      <w:pPr>
        <w:widowControl w:val="0"/>
        <w:spacing w:after="0" w:line="240" w:lineRule="auto"/>
        <w:jc w:val="both"/>
        <w:rPr>
          <w:szCs w:val="22"/>
        </w:rPr>
      </w:pPr>
      <w:r w:rsidRPr="00F06931">
        <w:rPr>
          <w:szCs w:val="22"/>
        </w:rPr>
        <w:t xml:space="preserve">Slovenská republika sa zaviazala poskytovať záruky za dlhové finančné inštrumenty vydávané </w:t>
      </w:r>
      <w:r w:rsidRPr="00F06931">
        <w:rPr>
          <w:b/>
          <w:szCs w:val="22"/>
        </w:rPr>
        <w:t>Európskym nástrojom finančnej stability</w:t>
      </w:r>
      <w:r w:rsidRPr="00F06931">
        <w:rPr>
          <w:szCs w:val="22"/>
        </w:rPr>
        <w:t xml:space="preserve"> (EFSF) v prípade žiadosti členského štátu eurozóny o finančnú podporu. V</w:t>
      </w:r>
      <w:r w:rsidR="00830EAB">
        <w:rPr>
          <w:szCs w:val="22"/>
        </w:rPr>
        <w:t> </w:t>
      </w:r>
      <w:r w:rsidRPr="00F06931">
        <w:rPr>
          <w:szCs w:val="22"/>
        </w:rPr>
        <w:t>zmysle platnej a účinnej legislatívy (§ 5 zákona č. 381/2010 Z. z. o špecifických štátnych zárukách a</w:t>
      </w:r>
      <w:r w:rsidR="00830EAB">
        <w:rPr>
          <w:szCs w:val="22"/>
        </w:rPr>
        <w:t> </w:t>
      </w:r>
      <w:r w:rsidRPr="00F06931">
        <w:rPr>
          <w:szCs w:val="22"/>
        </w:rPr>
        <w:t>o</w:t>
      </w:r>
      <w:r w:rsidR="00830EAB">
        <w:rPr>
          <w:szCs w:val="22"/>
        </w:rPr>
        <w:t> </w:t>
      </w:r>
      <w:r w:rsidRPr="00F06931">
        <w:rPr>
          <w:szCs w:val="22"/>
        </w:rPr>
        <w:t>zmene a doplnení niektorých zákonov v znení neskorších predpisov) sa Slovenská republika musí podieľať na cel</w:t>
      </w:r>
      <w:r w:rsidR="00830EAB">
        <w:rPr>
          <w:szCs w:val="22"/>
        </w:rPr>
        <w:t>kovej výške záruk podielom 7,72 </w:t>
      </w:r>
      <w:r w:rsidRPr="00F06931">
        <w:rPr>
          <w:szCs w:val="22"/>
        </w:rPr>
        <w:t>mld.</w:t>
      </w:r>
      <w:r w:rsidR="00830EAB">
        <w:rPr>
          <w:szCs w:val="22"/>
        </w:rPr>
        <w:t> </w:t>
      </w:r>
      <w:r w:rsidRPr="00F06931">
        <w:rPr>
          <w:szCs w:val="22"/>
        </w:rPr>
        <w:t>eur. Zároveň sa musí podieľať na ďalších záručných mechanizmoch potrebných na získanie AAA ratingu pre EFSF, napríklad aj poskytnutím doda</w:t>
      </w:r>
      <w:r w:rsidR="00830EAB">
        <w:rPr>
          <w:szCs w:val="22"/>
        </w:rPr>
        <w:t>točných záruk EFSF do výšky 165</w:t>
      </w:r>
      <w:r w:rsidR="00FD250C">
        <w:rPr>
          <w:szCs w:val="22"/>
        </w:rPr>
        <w:t>,0</w:t>
      </w:r>
      <w:r w:rsidR="00830EAB">
        <w:rPr>
          <w:szCs w:val="22"/>
        </w:rPr>
        <w:t> </w:t>
      </w:r>
      <w:r w:rsidRPr="00F06931">
        <w:rPr>
          <w:szCs w:val="22"/>
        </w:rPr>
        <w:t>% svojho podielu na zárukách pre každú emisiu. K</w:t>
      </w:r>
      <w:r w:rsidR="00830EAB">
        <w:rPr>
          <w:szCs w:val="22"/>
        </w:rPr>
        <w:t> </w:t>
      </w:r>
      <w:r w:rsidRPr="00F06931">
        <w:rPr>
          <w:szCs w:val="22"/>
        </w:rPr>
        <w:t>31.12.2023 bol stav záruk vystavených Slovenskou republikou vo výške 2</w:t>
      </w:r>
      <w:r w:rsidR="00830EAB">
        <w:rPr>
          <w:szCs w:val="22"/>
        </w:rPr>
        <w:t> </w:t>
      </w:r>
      <w:r w:rsidRPr="00F06931">
        <w:rPr>
          <w:szCs w:val="22"/>
        </w:rPr>
        <w:t>318</w:t>
      </w:r>
      <w:r w:rsidR="00830EAB">
        <w:rPr>
          <w:szCs w:val="22"/>
        </w:rPr>
        <w:t> </w:t>
      </w:r>
      <w:r w:rsidRPr="00F06931">
        <w:rPr>
          <w:szCs w:val="22"/>
        </w:rPr>
        <w:t>789</w:t>
      </w:r>
      <w:r w:rsidR="00830EAB">
        <w:rPr>
          <w:szCs w:val="22"/>
        </w:rPr>
        <w:t> </w:t>
      </w:r>
      <w:r w:rsidRPr="00F06931">
        <w:rPr>
          <w:szCs w:val="22"/>
        </w:rPr>
        <w:t>tis.</w:t>
      </w:r>
      <w:r w:rsidR="00830EAB">
        <w:rPr>
          <w:szCs w:val="22"/>
        </w:rPr>
        <w:t> </w:t>
      </w:r>
      <w:r w:rsidRPr="00F06931">
        <w:rPr>
          <w:szCs w:val="22"/>
        </w:rPr>
        <w:t>eur.</w:t>
      </w:r>
    </w:p>
    <w:p w14:paraId="0A2921FC" w14:textId="77777777" w:rsidR="00650831" w:rsidRPr="00F06931" w:rsidRDefault="00650831" w:rsidP="00650831">
      <w:pPr>
        <w:widowControl w:val="0"/>
        <w:spacing w:after="0" w:line="240" w:lineRule="auto"/>
        <w:jc w:val="both"/>
        <w:rPr>
          <w:szCs w:val="22"/>
        </w:rPr>
      </w:pPr>
    </w:p>
    <w:p w14:paraId="3DD3DEBC" w14:textId="23767EFC" w:rsidR="001768B9" w:rsidRPr="002746C4" w:rsidRDefault="00650831" w:rsidP="00650831">
      <w:pPr>
        <w:spacing w:after="0" w:line="240" w:lineRule="auto"/>
        <w:jc w:val="both"/>
        <w:rPr>
          <w:szCs w:val="22"/>
          <w:highlight w:val="yellow"/>
        </w:rPr>
      </w:pPr>
      <w:r w:rsidRPr="00F06931">
        <w:rPr>
          <w:szCs w:val="22"/>
        </w:rPr>
        <w:t xml:space="preserve">Kapitálová účasť v </w:t>
      </w:r>
      <w:r w:rsidRPr="00F06931">
        <w:rPr>
          <w:b/>
          <w:szCs w:val="22"/>
        </w:rPr>
        <w:t>Medzinárodnej banke pre obnovu a rozvoj</w:t>
      </w:r>
      <w:r w:rsidRPr="00F06931">
        <w:rPr>
          <w:szCs w:val="22"/>
        </w:rPr>
        <w:t xml:space="preserve"> (IBRD) sa znížila v sumáre o</w:t>
      </w:r>
      <w:r w:rsidR="00830EAB">
        <w:rPr>
          <w:szCs w:val="22"/>
        </w:rPr>
        <w:t> </w:t>
      </w:r>
      <w:r w:rsidRPr="00F06931">
        <w:rPr>
          <w:szCs w:val="22"/>
        </w:rPr>
        <w:t>3</w:t>
      </w:r>
      <w:r w:rsidR="00830EAB">
        <w:rPr>
          <w:szCs w:val="22"/>
        </w:rPr>
        <w:t> </w:t>
      </w:r>
      <w:r w:rsidRPr="00F06931">
        <w:rPr>
          <w:szCs w:val="22"/>
        </w:rPr>
        <w:t>534</w:t>
      </w:r>
      <w:r w:rsidR="00830EAB">
        <w:rPr>
          <w:szCs w:val="22"/>
        </w:rPr>
        <w:t> </w:t>
      </w:r>
      <w:r w:rsidRPr="00F06931">
        <w:rPr>
          <w:szCs w:val="22"/>
        </w:rPr>
        <w:t>tis.</w:t>
      </w:r>
      <w:r w:rsidR="00830EAB">
        <w:rPr>
          <w:szCs w:val="22"/>
        </w:rPr>
        <w:t> </w:t>
      </w:r>
      <w:r w:rsidRPr="00F06931">
        <w:rPr>
          <w:szCs w:val="22"/>
        </w:rPr>
        <w:t>eur, v tom vplyv kurzových rozdielov bol 16</w:t>
      </w:r>
      <w:r w:rsidR="00830EAB">
        <w:rPr>
          <w:szCs w:val="22"/>
        </w:rPr>
        <w:t> </w:t>
      </w:r>
      <w:r w:rsidRPr="00F06931">
        <w:rPr>
          <w:szCs w:val="22"/>
        </w:rPr>
        <w:t>987</w:t>
      </w:r>
      <w:r w:rsidR="00830EAB">
        <w:rPr>
          <w:szCs w:val="22"/>
        </w:rPr>
        <w:t> </w:t>
      </w:r>
      <w:r w:rsidRPr="00F06931">
        <w:rPr>
          <w:szCs w:val="22"/>
        </w:rPr>
        <w:t>tis.</w:t>
      </w:r>
      <w:r w:rsidR="00830EAB">
        <w:rPr>
          <w:szCs w:val="22"/>
        </w:rPr>
        <w:t> </w:t>
      </w:r>
      <w:r w:rsidRPr="00F06931">
        <w:rPr>
          <w:szCs w:val="22"/>
        </w:rPr>
        <w:t>eur a zvýšenia účasti SR na základnom imaní o</w:t>
      </w:r>
      <w:r w:rsidR="00830EAB">
        <w:rPr>
          <w:szCs w:val="22"/>
        </w:rPr>
        <w:t> </w:t>
      </w:r>
      <w:r w:rsidRPr="00F06931">
        <w:rPr>
          <w:szCs w:val="22"/>
        </w:rPr>
        <w:t>13</w:t>
      </w:r>
      <w:r w:rsidR="00830EAB">
        <w:rPr>
          <w:szCs w:val="22"/>
        </w:rPr>
        <w:t> </w:t>
      </w:r>
      <w:r w:rsidRPr="00F06931">
        <w:rPr>
          <w:szCs w:val="22"/>
        </w:rPr>
        <w:t>452</w:t>
      </w:r>
      <w:r w:rsidR="00830EAB">
        <w:rPr>
          <w:szCs w:val="22"/>
        </w:rPr>
        <w:t> </w:t>
      </w:r>
      <w:r w:rsidRPr="00F06931">
        <w:rPr>
          <w:szCs w:val="22"/>
        </w:rPr>
        <w:t>tis.</w:t>
      </w:r>
      <w:r w:rsidR="00830EAB">
        <w:rPr>
          <w:szCs w:val="22"/>
        </w:rPr>
        <w:t> </w:t>
      </w:r>
      <w:r w:rsidRPr="00F06931">
        <w:rPr>
          <w:szCs w:val="22"/>
        </w:rPr>
        <w:t>eur. V roku 2023 išlo o poslednú splátku pre Slovenskú republiku v súvislosti so</w:t>
      </w:r>
      <w:r w:rsidR="00645EDA">
        <w:rPr>
          <w:szCs w:val="22"/>
        </w:rPr>
        <w:t> </w:t>
      </w:r>
      <w:r w:rsidRPr="00F06931">
        <w:rPr>
          <w:szCs w:val="22"/>
        </w:rPr>
        <w:t>všeobecným a selektívnym zvyšovaním základného imania.</w:t>
      </w:r>
    </w:p>
    <w:p w14:paraId="0414BA14" w14:textId="77777777" w:rsidR="001768B9" w:rsidRPr="002746C4" w:rsidRDefault="001768B9" w:rsidP="001768B9">
      <w:pPr>
        <w:spacing w:after="0" w:line="240" w:lineRule="auto"/>
        <w:jc w:val="both"/>
        <w:rPr>
          <w:szCs w:val="22"/>
          <w:highlight w:val="yellow"/>
        </w:rPr>
      </w:pPr>
    </w:p>
    <w:p w14:paraId="2A333455" w14:textId="7955C5E7" w:rsidR="001768B9" w:rsidRPr="00830EAB" w:rsidRDefault="00650831" w:rsidP="001768B9">
      <w:pPr>
        <w:spacing w:after="0" w:line="240" w:lineRule="auto"/>
        <w:jc w:val="both"/>
        <w:rPr>
          <w:szCs w:val="22"/>
        </w:rPr>
      </w:pPr>
      <w:r w:rsidRPr="00F06931">
        <w:rPr>
          <w:b/>
          <w:szCs w:val="22"/>
        </w:rPr>
        <w:t>Paneurópsky garančný fond</w:t>
      </w:r>
      <w:r w:rsidRPr="00F06931">
        <w:rPr>
          <w:szCs w:val="22"/>
        </w:rPr>
        <w:t xml:space="preserve"> vytvorila Európska investičná banka na základe výzvy Rady Európskej únie z 23.4.2020, podporenej ministrami financií členských štátov EÚ. Celková výška fondu je 25</w:t>
      </w:r>
      <w:r w:rsidR="00830EAB">
        <w:rPr>
          <w:szCs w:val="22"/>
        </w:rPr>
        <w:t> </w:t>
      </w:r>
      <w:r w:rsidRPr="00F06931">
        <w:rPr>
          <w:szCs w:val="22"/>
        </w:rPr>
        <w:t>miliárd</w:t>
      </w:r>
      <w:r w:rsidR="00830EAB">
        <w:rPr>
          <w:szCs w:val="22"/>
        </w:rPr>
        <w:t> </w:t>
      </w:r>
      <w:r w:rsidRPr="00F06931">
        <w:rPr>
          <w:szCs w:val="22"/>
        </w:rPr>
        <w:t>eur v rámci schémy v reakcii na COVID-19, ktorý by mal zmobilizovať dodatočné investície v celkovej výške približne 200</w:t>
      </w:r>
      <w:r w:rsidR="00830EAB">
        <w:rPr>
          <w:szCs w:val="22"/>
        </w:rPr>
        <w:t> miliárd </w:t>
      </w:r>
      <w:r w:rsidRPr="00F06931">
        <w:rPr>
          <w:szCs w:val="22"/>
        </w:rPr>
        <w:t xml:space="preserve">eur. Pomoc sa v rámci tejto schémy poskytuje prostredníctvom vykonávateľov, s ktorými uzatvára zmluvy EIB. Vykonávateľmi môžu byť finančné inštitúcie, ktoré spĺňajú dané kritériá. </w:t>
      </w:r>
      <w:r w:rsidRPr="00830EAB">
        <w:rPr>
          <w:szCs w:val="22"/>
        </w:rPr>
        <w:t>Vykonávatelia následne financujú súkromný sektor formou úverov, pričom EGF na tieto operácie poskytuje najmä záruky.</w:t>
      </w:r>
    </w:p>
    <w:p w14:paraId="096B7B05" w14:textId="77777777" w:rsidR="001768B9" w:rsidRPr="00830EAB" w:rsidRDefault="001768B9" w:rsidP="001768B9">
      <w:pPr>
        <w:spacing w:after="0" w:line="240" w:lineRule="auto"/>
        <w:jc w:val="both"/>
        <w:rPr>
          <w:sz w:val="24"/>
          <w:szCs w:val="24"/>
          <w:u w:val="single"/>
        </w:rPr>
      </w:pPr>
    </w:p>
    <w:p w14:paraId="7B5B35FF" w14:textId="77777777" w:rsidR="001768B9" w:rsidRPr="00830EAB" w:rsidRDefault="001768B9" w:rsidP="001768B9">
      <w:pPr>
        <w:keepNext/>
        <w:spacing w:after="120" w:line="240" w:lineRule="auto"/>
        <w:rPr>
          <w:b/>
          <w:bCs/>
          <w:color w:val="4F81BD"/>
          <w:szCs w:val="22"/>
          <w:lang w:eastAsia="sk-SK"/>
        </w:rPr>
      </w:pPr>
      <w:r w:rsidRPr="00830EAB">
        <w:rPr>
          <w:b/>
          <w:bCs/>
          <w:color w:val="4F81BD"/>
          <w:szCs w:val="22"/>
          <w:lang w:eastAsia="sk-SK"/>
        </w:rPr>
        <w:t>Arbitrážne konania</w:t>
      </w:r>
    </w:p>
    <w:p w14:paraId="753366E7" w14:textId="195612E4" w:rsidR="001768B9" w:rsidRPr="00830EAB" w:rsidRDefault="00650831" w:rsidP="001768B9">
      <w:pPr>
        <w:spacing w:before="120" w:after="120" w:line="240" w:lineRule="auto"/>
        <w:contextualSpacing/>
        <w:jc w:val="both"/>
        <w:rPr>
          <w:rFonts w:ascii="Calibri" w:hAnsi="Calibri"/>
          <w:szCs w:val="22"/>
          <w:lang w:eastAsia="sk-SK"/>
        </w:rPr>
      </w:pPr>
      <w:r w:rsidRPr="00830EAB">
        <w:rPr>
          <w:szCs w:val="22"/>
          <w:lang w:eastAsia="sk-SK"/>
        </w:rPr>
        <w:t>Arbitráž je</w:t>
      </w:r>
      <w:r w:rsidRPr="00F06931">
        <w:rPr>
          <w:szCs w:val="22"/>
          <w:lang w:eastAsia="sk-SK"/>
        </w:rPr>
        <w:t xml:space="preserve"> vedená so spoločnosťou Achmea</w:t>
      </w:r>
      <w:r w:rsidR="00830EAB">
        <w:rPr>
          <w:szCs w:val="22"/>
          <w:lang w:eastAsia="sk-SK"/>
        </w:rPr>
        <w:t> </w:t>
      </w:r>
      <w:r w:rsidRPr="00F06931">
        <w:rPr>
          <w:szCs w:val="22"/>
          <w:lang w:eastAsia="sk-SK"/>
        </w:rPr>
        <w:t xml:space="preserve">B.V. z dôvodu zákazu zisku zdravotných poisťovní v roku 2007. V tejto arbitráži, vedenej podľa bilaterálnej investičnej </w:t>
      </w:r>
      <w:r w:rsidR="00714C97">
        <w:rPr>
          <w:szCs w:val="22"/>
          <w:lang w:eastAsia="sk-SK"/>
        </w:rPr>
        <w:t>dohody medzi SR a </w:t>
      </w:r>
      <w:r w:rsidRPr="00F06931">
        <w:rPr>
          <w:szCs w:val="22"/>
          <w:lang w:eastAsia="sk-SK"/>
        </w:rPr>
        <w:t>Holandským kráľovstvom, bol v decembri 2012 vydaný rozsudok, ktorým arbitrážny tribunál nariadil SR zaplatiť žalobcovi  odškodnenie vo výške cca 25</w:t>
      </w:r>
      <w:r w:rsidR="00830EAB">
        <w:rPr>
          <w:szCs w:val="22"/>
          <w:lang w:eastAsia="sk-SK"/>
        </w:rPr>
        <w:t> </w:t>
      </w:r>
      <w:r w:rsidRPr="00F06931">
        <w:rPr>
          <w:szCs w:val="22"/>
          <w:lang w:eastAsia="sk-SK"/>
        </w:rPr>
        <w:t>200</w:t>
      </w:r>
      <w:r w:rsidR="00830EAB">
        <w:rPr>
          <w:szCs w:val="22"/>
          <w:lang w:eastAsia="sk-SK"/>
        </w:rPr>
        <w:t> </w:t>
      </w:r>
      <w:r w:rsidRPr="00F06931">
        <w:rPr>
          <w:szCs w:val="22"/>
          <w:lang w:eastAsia="sk-SK"/>
        </w:rPr>
        <w:t>tis.</w:t>
      </w:r>
      <w:r w:rsidR="00830EAB">
        <w:rPr>
          <w:szCs w:val="22"/>
          <w:lang w:eastAsia="sk-SK"/>
        </w:rPr>
        <w:t> </w:t>
      </w:r>
      <w:r w:rsidRPr="00F06931">
        <w:rPr>
          <w:szCs w:val="22"/>
          <w:lang w:eastAsia="sk-SK"/>
        </w:rPr>
        <w:t>eur plus úroky vo výške 2</w:t>
      </w:r>
      <w:r w:rsidR="00830EAB">
        <w:rPr>
          <w:szCs w:val="22"/>
          <w:lang w:eastAsia="sk-SK"/>
        </w:rPr>
        <w:t> </w:t>
      </w:r>
      <w:r w:rsidRPr="00F06931">
        <w:rPr>
          <w:szCs w:val="22"/>
          <w:lang w:eastAsia="sk-SK"/>
        </w:rPr>
        <w:t>900</w:t>
      </w:r>
      <w:r w:rsidR="00830EAB">
        <w:rPr>
          <w:szCs w:val="22"/>
          <w:lang w:eastAsia="sk-SK"/>
        </w:rPr>
        <w:t> </w:t>
      </w:r>
      <w:r w:rsidRPr="00F06931">
        <w:rPr>
          <w:szCs w:val="22"/>
          <w:lang w:eastAsia="sk-SK"/>
        </w:rPr>
        <w:t>tis.</w:t>
      </w:r>
      <w:r w:rsidR="00830EAB">
        <w:rPr>
          <w:szCs w:val="22"/>
          <w:lang w:eastAsia="sk-SK"/>
        </w:rPr>
        <w:t> </w:t>
      </w:r>
      <w:r w:rsidRPr="00F06931">
        <w:rPr>
          <w:szCs w:val="22"/>
          <w:lang w:eastAsia="sk-SK"/>
        </w:rPr>
        <w:t>eur. Konanie o zrušení tohto rozsudku ako aj jurisdikčného rozhodnutia v tomto spore na Nemeckom spolkovom súde, pred</w:t>
      </w:r>
      <w:r w:rsidR="00830EAB">
        <w:rPr>
          <w:szCs w:val="22"/>
          <w:lang w:eastAsia="sk-SK"/>
        </w:rPr>
        <w:t> </w:t>
      </w:r>
      <w:r w:rsidRPr="00F06931">
        <w:rPr>
          <w:szCs w:val="22"/>
          <w:lang w:eastAsia="sk-SK"/>
        </w:rPr>
        <w:t xml:space="preserve">ktorým SR napadla tieto rozhodnutia, je v súčasnosti prerušené do rozhodnutia Súdneho dvora EÚ </w:t>
      </w:r>
      <w:r w:rsidRPr="00F06931">
        <w:rPr>
          <w:szCs w:val="22"/>
          <w:lang w:eastAsia="sk-SK"/>
        </w:rPr>
        <w:lastRenderedPageBreak/>
        <w:t>o predbežnej otázke. Súdny dvor EÚ rozhodol dňa</w:t>
      </w:r>
      <w:r w:rsidR="00830EAB">
        <w:rPr>
          <w:szCs w:val="22"/>
          <w:lang w:eastAsia="sk-SK"/>
        </w:rPr>
        <w:t> </w:t>
      </w:r>
      <w:r w:rsidRPr="00F06931">
        <w:rPr>
          <w:szCs w:val="22"/>
          <w:lang w:eastAsia="sk-SK"/>
        </w:rPr>
        <w:t>6.3.2018 o predbežnej otázke vo veci neaplikovateľnosti arbitrážnej doložky v bilaterálnej investičnej zmluve medzi SR a Holandskom. Nakoľko arbitrážny rozsudok, na výkon ktorého sa vedie exekučné konanie pred súdmi v Luxemburgu bol zrušený, SR žiada o uvoľnenie zablokovaného majetku. Achmea sa v konaní pred Luxemburskými súdmi bráni tým, že podala pred nemeckým Ústavným súdom voči rozhodnutiu Najvyššieho spolkového súdu v Nemecku ústavné sťažnosti, o ktorých prípustnosti zatiaľ nebolo rozhodnuté. Luxemburský súd v novembri 2019 rozhodol, že konanie je pozastavené do rozhodnutia nemeckého Ústavného súdu o ústavných sťažnostiach. V septembri 2024 nemecký ústavný súd odmietol sťažnosť spoločnosti Achmea</w:t>
      </w:r>
      <w:r w:rsidR="00830EAB">
        <w:rPr>
          <w:szCs w:val="22"/>
          <w:lang w:eastAsia="sk-SK"/>
        </w:rPr>
        <w:t> </w:t>
      </w:r>
      <w:r w:rsidRPr="00F06931">
        <w:rPr>
          <w:szCs w:val="22"/>
          <w:lang w:eastAsia="sk-SK"/>
        </w:rPr>
        <w:t xml:space="preserve">B.V., na základe čoho by </w:t>
      </w:r>
      <w:r w:rsidRPr="00830EAB">
        <w:rPr>
          <w:szCs w:val="22"/>
          <w:lang w:eastAsia="sk-SK"/>
        </w:rPr>
        <w:t>mali byť konania v Luxembursku ukončené, v dôsledku čoho by mali byť uvoľnené blokované finančné prostriedky v objeme približne 30 000 tis.</w:t>
      </w:r>
      <w:r w:rsidR="00830EAB" w:rsidRPr="00830EAB">
        <w:rPr>
          <w:szCs w:val="22"/>
          <w:lang w:eastAsia="sk-SK"/>
        </w:rPr>
        <w:t> </w:t>
      </w:r>
      <w:r w:rsidRPr="00830EAB">
        <w:rPr>
          <w:szCs w:val="22"/>
          <w:lang w:eastAsia="sk-SK"/>
        </w:rPr>
        <w:t>eur.</w:t>
      </w:r>
    </w:p>
    <w:p w14:paraId="4FFFA214" w14:textId="77777777" w:rsidR="001768B9" w:rsidRPr="00830EAB" w:rsidRDefault="001768B9" w:rsidP="001768B9">
      <w:pPr>
        <w:spacing w:after="120" w:line="240" w:lineRule="auto"/>
        <w:contextualSpacing/>
        <w:jc w:val="both"/>
        <w:rPr>
          <w:rFonts w:ascii="Calibri" w:hAnsi="Calibri"/>
          <w:szCs w:val="22"/>
          <w:lang w:eastAsia="sk-SK"/>
        </w:rPr>
      </w:pPr>
    </w:p>
    <w:p w14:paraId="1CF9C457" w14:textId="77777777" w:rsidR="001768B9" w:rsidRPr="00830EAB" w:rsidRDefault="001768B9" w:rsidP="001768B9">
      <w:pPr>
        <w:keepNext/>
        <w:spacing w:after="120" w:line="240" w:lineRule="auto"/>
        <w:rPr>
          <w:b/>
          <w:bCs/>
          <w:color w:val="4F81BD"/>
          <w:szCs w:val="22"/>
          <w:lang w:eastAsia="sk-SK"/>
        </w:rPr>
      </w:pPr>
      <w:r w:rsidRPr="00830EAB">
        <w:rPr>
          <w:b/>
          <w:bCs/>
          <w:color w:val="4F81BD"/>
          <w:szCs w:val="22"/>
          <w:lang w:eastAsia="sk-SK"/>
        </w:rPr>
        <w:t>Hroziace alebo prebiehajúce súdne spory</w:t>
      </w:r>
    </w:p>
    <w:p w14:paraId="66BE0768" w14:textId="55B1C81C" w:rsidR="00650831" w:rsidRPr="00E643F6" w:rsidRDefault="00650831" w:rsidP="00650831">
      <w:pPr>
        <w:spacing w:after="120" w:line="240" w:lineRule="auto"/>
        <w:contextualSpacing/>
        <w:jc w:val="both"/>
        <w:rPr>
          <w:szCs w:val="22"/>
          <w:lang w:eastAsia="sk-SK"/>
        </w:rPr>
      </w:pPr>
      <w:r w:rsidRPr="00830EAB">
        <w:rPr>
          <w:szCs w:val="22"/>
          <w:lang w:eastAsia="sk-SK"/>
        </w:rPr>
        <w:t xml:space="preserve">Žaloby, ktoré rieši </w:t>
      </w:r>
      <w:r w:rsidRPr="00830EAB">
        <w:rPr>
          <w:b/>
          <w:szCs w:val="22"/>
          <w:lang w:eastAsia="sk-SK"/>
        </w:rPr>
        <w:t xml:space="preserve">Ministerstvo financií SR </w:t>
      </w:r>
      <w:r w:rsidRPr="00830EAB">
        <w:rPr>
          <w:szCs w:val="22"/>
          <w:lang w:eastAsia="sk-SK"/>
        </w:rPr>
        <w:t>v úhrnnej hodnote 1</w:t>
      </w:r>
      <w:r w:rsidR="00830EAB">
        <w:rPr>
          <w:szCs w:val="22"/>
          <w:lang w:eastAsia="sk-SK"/>
        </w:rPr>
        <w:t> </w:t>
      </w:r>
      <w:r w:rsidRPr="00830EAB">
        <w:rPr>
          <w:szCs w:val="22"/>
          <w:lang w:eastAsia="sk-SK"/>
        </w:rPr>
        <w:t>419</w:t>
      </w:r>
      <w:r w:rsidR="00830EAB">
        <w:rPr>
          <w:szCs w:val="22"/>
          <w:lang w:eastAsia="sk-SK"/>
        </w:rPr>
        <w:t> 734 </w:t>
      </w:r>
      <w:r w:rsidRPr="00830EAB">
        <w:rPr>
          <w:szCs w:val="22"/>
          <w:lang w:eastAsia="sk-SK"/>
        </w:rPr>
        <w:t>tis.</w:t>
      </w:r>
      <w:r w:rsidR="00830EAB">
        <w:rPr>
          <w:szCs w:val="22"/>
          <w:lang w:eastAsia="sk-SK"/>
        </w:rPr>
        <w:t> </w:t>
      </w:r>
      <w:r w:rsidRPr="00830EAB">
        <w:rPr>
          <w:szCs w:val="22"/>
          <w:lang w:eastAsia="sk-SK"/>
        </w:rPr>
        <w:t>eur sú najmä o náhradu škody uplatňovanej podľa zákona č. 514/2003</w:t>
      </w:r>
      <w:r w:rsidRPr="00E643F6">
        <w:rPr>
          <w:szCs w:val="22"/>
          <w:lang w:eastAsia="sk-SK"/>
        </w:rPr>
        <w:t xml:space="preserve"> Z. z. o zodpo</w:t>
      </w:r>
      <w:r w:rsidR="00645EDA">
        <w:rPr>
          <w:szCs w:val="22"/>
          <w:lang w:eastAsia="sk-SK"/>
        </w:rPr>
        <w:t>vednosti za škodu spôsobenú pri </w:t>
      </w:r>
      <w:r w:rsidRPr="00E643F6">
        <w:rPr>
          <w:szCs w:val="22"/>
          <w:lang w:eastAsia="sk-SK"/>
        </w:rPr>
        <w:t>výkone verejnej moci a o zmene niektorých zákonov, v ktorých Minister</w:t>
      </w:r>
      <w:r w:rsidR="00645EDA">
        <w:rPr>
          <w:szCs w:val="22"/>
          <w:lang w:eastAsia="sk-SK"/>
        </w:rPr>
        <w:t>stvo financií SR zastupuje pred </w:t>
      </w:r>
      <w:r w:rsidRPr="00E643F6">
        <w:rPr>
          <w:szCs w:val="22"/>
          <w:lang w:eastAsia="sk-SK"/>
        </w:rPr>
        <w:t>súdom aj iné orgány verejnej moci.</w:t>
      </w:r>
    </w:p>
    <w:p w14:paraId="232F2029" w14:textId="77777777" w:rsidR="00650831" w:rsidRPr="00E643F6" w:rsidRDefault="00650831" w:rsidP="00650831">
      <w:pPr>
        <w:spacing w:after="120" w:line="240" w:lineRule="auto"/>
        <w:contextualSpacing/>
        <w:jc w:val="both"/>
        <w:rPr>
          <w:szCs w:val="22"/>
          <w:lang w:eastAsia="sk-SK"/>
        </w:rPr>
      </w:pPr>
    </w:p>
    <w:p w14:paraId="61F196A4" w14:textId="77777777" w:rsidR="00650831" w:rsidRPr="00E643F6" w:rsidRDefault="00650831" w:rsidP="00650831">
      <w:pPr>
        <w:spacing w:after="0" w:line="240" w:lineRule="auto"/>
        <w:contextualSpacing/>
        <w:jc w:val="both"/>
        <w:rPr>
          <w:szCs w:val="22"/>
          <w:lang w:eastAsia="sk-SK"/>
        </w:rPr>
      </w:pPr>
      <w:r w:rsidRPr="00E643F6">
        <w:rPr>
          <w:b/>
          <w:szCs w:val="22"/>
          <w:lang w:eastAsia="sk-SK"/>
        </w:rPr>
        <w:t xml:space="preserve">Ministerstvo vnútra SR </w:t>
      </w:r>
      <w:r w:rsidRPr="00E643F6">
        <w:rPr>
          <w:szCs w:val="22"/>
          <w:lang w:eastAsia="sk-SK"/>
        </w:rPr>
        <w:t>vykazuje podmienené pasíva zo súdnych sporov najmä z titulu náhrady škody spôsobenej pri výkone verejnej moci.</w:t>
      </w:r>
    </w:p>
    <w:p w14:paraId="0C2CF1F0" w14:textId="77777777" w:rsidR="00650831" w:rsidRPr="00E643F6" w:rsidRDefault="00650831" w:rsidP="00650831">
      <w:pPr>
        <w:spacing w:after="0" w:line="240" w:lineRule="auto"/>
        <w:ind w:firstLine="360"/>
        <w:contextualSpacing/>
        <w:jc w:val="both"/>
        <w:rPr>
          <w:szCs w:val="22"/>
          <w:lang w:eastAsia="sk-SK"/>
        </w:rPr>
      </w:pPr>
    </w:p>
    <w:p w14:paraId="44AA5F60" w14:textId="698E398A" w:rsidR="00650831" w:rsidRDefault="00650831" w:rsidP="00830EAB">
      <w:pPr>
        <w:spacing w:after="0" w:line="240" w:lineRule="auto"/>
        <w:jc w:val="both"/>
        <w:rPr>
          <w:bCs/>
          <w:szCs w:val="22"/>
        </w:rPr>
      </w:pPr>
      <w:r w:rsidRPr="00E643F6">
        <w:rPr>
          <w:b/>
          <w:bCs/>
          <w:szCs w:val="22"/>
        </w:rPr>
        <w:t>Kancelária Národnej rady SR</w:t>
      </w:r>
      <w:r w:rsidRPr="00E643F6">
        <w:rPr>
          <w:bCs/>
          <w:szCs w:val="22"/>
        </w:rPr>
        <w:t xml:space="preserve"> eviduje podmienené záväzky z existujúcich alebo hroziacich súdnych sporov, z čoho podstatnú časť tvoria žaloby na náhradu škody spôsobenú legislatívnou činnosťou NR SR vrátane troch súdnych sporov o ,,zákaz zisku“ zdravotných poisťovní. Medziročné zníženie žalovanej sumy vychádza zo súdnych uznesení o výške žalovanej sumy a zo </w:t>
      </w:r>
      <w:r w:rsidR="00830EAB" w:rsidRPr="00E643F6">
        <w:rPr>
          <w:bCs/>
          <w:szCs w:val="22"/>
        </w:rPr>
        <w:t>späť vzatí</w:t>
      </w:r>
      <w:r w:rsidRPr="00E643F6">
        <w:rPr>
          <w:bCs/>
          <w:szCs w:val="22"/>
        </w:rPr>
        <w:t xml:space="preserve"> niektorých žalôb.</w:t>
      </w:r>
    </w:p>
    <w:p w14:paraId="1605063F" w14:textId="77777777" w:rsidR="00830EAB" w:rsidRPr="00E643F6" w:rsidRDefault="00830EAB" w:rsidP="00830EAB">
      <w:pPr>
        <w:spacing w:after="0" w:line="240" w:lineRule="auto"/>
        <w:jc w:val="both"/>
        <w:rPr>
          <w:bCs/>
          <w:szCs w:val="22"/>
        </w:rPr>
      </w:pPr>
    </w:p>
    <w:p w14:paraId="5719AE54" w14:textId="18A7E631" w:rsidR="00650831" w:rsidRPr="00E643F6" w:rsidRDefault="00650831" w:rsidP="00650831">
      <w:pPr>
        <w:spacing w:after="0" w:line="240" w:lineRule="auto"/>
        <w:contextualSpacing/>
        <w:jc w:val="both"/>
        <w:rPr>
          <w:szCs w:val="22"/>
          <w:lang w:eastAsia="sk-SK"/>
        </w:rPr>
      </w:pPr>
      <w:r w:rsidRPr="00E643F6">
        <w:rPr>
          <w:b/>
          <w:szCs w:val="22"/>
          <w:lang w:eastAsia="sk-SK"/>
        </w:rPr>
        <w:t xml:space="preserve">Ministerstvo práce, sociálnych vecí a rodiny SR </w:t>
      </w:r>
      <w:r w:rsidRPr="00E643F6">
        <w:rPr>
          <w:szCs w:val="22"/>
          <w:lang w:eastAsia="sk-SK"/>
        </w:rPr>
        <w:t>eviduje najvýznamnejší spor s fyzickou osobou o náhradu škody vo výške 450</w:t>
      </w:r>
      <w:r w:rsidR="00830EAB">
        <w:rPr>
          <w:szCs w:val="22"/>
          <w:lang w:eastAsia="sk-SK"/>
        </w:rPr>
        <w:t> </w:t>
      </w:r>
      <w:r w:rsidRPr="00E643F6">
        <w:rPr>
          <w:szCs w:val="22"/>
          <w:lang w:eastAsia="sk-SK"/>
        </w:rPr>
        <w:t>000</w:t>
      </w:r>
      <w:r w:rsidR="00830EAB">
        <w:rPr>
          <w:szCs w:val="22"/>
          <w:lang w:eastAsia="sk-SK"/>
        </w:rPr>
        <w:t> </w:t>
      </w:r>
      <w:r w:rsidRPr="00E643F6">
        <w:rPr>
          <w:szCs w:val="22"/>
          <w:lang w:eastAsia="sk-SK"/>
        </w:rPr>
        <w:t>tis.</w:t>
      </w:r>
      <w:r w:rsidR="00830EAB">
        <w:rPr>
          <w:szCs w:val="22"/>
          <w:lang w:eastAsia="sk-SK"/>
        </w:rPr>
        <w:t> </w:t>
      </w:r>
      <w:r w:rsidRPr="00E643F6">
        <w:rPr>
          <w:szCs w:val="22"/>
          <w:lang w:eastAsia="sk-SK"/>
        </w:rPr>
        <w:t>eur, ktorá mala byť spôsobená údajnou nečinnosťou a nesprávnym úradným postupom.</w:t>
      </w:r>
    </w:p>
    <w:p w14:paraId="0F41BF29" w14:textId="77777777" w:rsidR="00650831" w:rsidRPr="00E643F6" w:rsidRDefault="00650831" w:rsidP="00650831">
      <w:pPr>
        <w:spacing w:after="0" w:line="240" w:lineRule="auto"/>
        <w:contextualSpacing/>
        <w:jc w:val="both"/>
        <w:rPr>
          <w:b/>
          <w:szCs w:val="22"/>
          <w:lang w:eastAsia="sk-SK"/>
        </w:rPr>
      </w:pPr>
    </w:p>
    <w:p w14:paraId="684F37EC" w14:textId="0C868C0A" w:rsidR="00650831" w:rsidRPr="00E643F6" w:rsidRDefault="00650831" w:rsidP="00650831">
      <w:pPr>
        <w:spacing w:after="0" w:line="240" w:lineRule="auto"/>
        <w:contextualSpacing/>
        <w:jc w:val="both"/>
        <w:rPr>
          <w:szCs w:val="22"/>
          <w:lang w:eastAsia="sk-SK"/>
        </w:rPr>
      </w:pPr>
      <w:r w:rsidRPr="00E643F6">
        <w:rPr>
          <w:b/>
          <w:szCs w:val="22"/>
          <w:lang w:eastAsia="sk-SK"/>
        </w:rPr>
        <w:t xml:space="preserve">MH Manažment, a. s. </w:t>
      </w:r>
      <w:r w:rsidRPr="00E643F6">
        <w:rPr>
          <w:szCs w:val="22"/>
          <w:lang w:eastAsia="sk-SK"/>
        </w:rPr>
        <w:t>je v súčasnosti účastníkom rôznych súdnych sporov, ktoré voči nemu vedú tretie osoby, uplatňujúce si nároky voči MH</w:t>
      </w:r>
      <w:r w:rsidR="00830EAB">
        <w:rPr>
          <w:szCs w:val="22"/>
          <w:lang w:eastAsia="sk-SK"/>
        </w:rPr>
        <w:t> </w:t>
      </w:r>
      <w:r w:rsidRPr="00E643F6">
        <w:rPr>
          <w:szCs w:val="22"/>
          <w:lang w:eastAsia="sk-SK"/>
        </w:rPr>
        <w:t>Manažment,</w:t>
      </w:r>
      <w:r w:rsidR="00830EAB">
        <w:rPr>
          <w:szCs w:val="22"/>
          <w:lang w:eastAsia="sk-SK"/>
        </w:rPr>
        <w:t> </w:t>
      </w:r>
      <w:r w:rsidRPr="00E643F6">
        <w:rPr>
          <w:szCs w:val="22"/>
          <w:lang w:eastAsia="sk-SK"/>
        </w:rPr>
        <w:t>a.</w:t>
      </w:r>
      <w:r w:rsidR="00830EAB">
        <w:rPr>
          <w:szCs w:val="22"/>
          <w:lang w:eastAsia="sk-SK"/>
        </w:rPr>
        <w:t> </w:t>
      </w:r>
      <w:r w:rsidRPr="00E643F6">
        <w:rPr>
          <w:szCs w:val="22"/>
          <w:lang w:eastAsia="sk-SK"/>
        </w:rPr>
        <w:t>s. Na základe vyjadrení právnych zástupcov v</w:t>
      </w:r>
      <w:r w:rsidR="00830EAB">
        <w:rPr>
          <w:szCs w:val="22"/>
          <w:lang w:eastAsia="sk-SK"/>
        </w:rPr>
        <w:t> </w:t>
      </w:r>
      <w:r w:rsidRPr="00E643F6">
        <w:rPr>
          <w:szCs w:val="22"/>
          <w:lang w:eastAsia="sk-SK"/>
        </w:rPr>
        <w:t>príslušných sporoch spoločnosť MH</w:t>
      </w:r>
      <w:r w:rsidR="00830EAB">
        <w:rPr>
          <w:szCs w:val="22"/>
          <w:lang w:eastAsia="sk-SK"/>
        </w:rPr>
        <w:t> </w:t>
      </w:r>
      <w:r w:rsidRPr="00E643F6">
        <w:rPr>
          <w:szCs w:val="22"/>
          <w:lang w:eastAsia="sk-SK"/>
        </w:rPr>
        <w:t>Manažment,</w:t>
      </w:r>
      <w:r w:rsidR="00830EAB">
        <w:rPr>
          <w:szCs w:val="22"/>
          <w:lang w:eastAsia="sk-SK"/>
        </w:rPr>
        <w:t> </w:t>
      </w:r>
      <w:r w:rsidRPr="00E643F6">
        <w:rPr>
          <w:szCs w:val="22"/>
          <w:lang w:eastAsia="sk-SK"/>
        </w:rPr>
        <w:t>a.</w:t>
      </w:r>
      <w:r w:rsidR="00830EAB">
        <w:rPr>
          <w:szCs w:val="22"/>
          <w:lang w:eastAsia="sk-SK"/>
        </w:rPr>
        <w:t> </w:t>
      </w:r>
      <w:r w:rsidRPr="00E643F6">
        <w:rPr>
          <w:szCs w:val="22"/>
          <w:lang w:eastAsia="sk-SK"/>
        </w:rPr>
        <w:t>s. eviduje podmienené záväzky na súdne spory v</w:t>
      </w:r>
      <w:r w:rsidR="00830EAB">
        <w:rPr>
          <w:szCs w:val="22"/>
          <w:lang w:eastAsia="sk-SK"/>
        </w:rPr>
        <w:t> </w:t>
      </w:r>
      <w:r w:rsidRPr="00E643F6">
        <w:rPr>
          <w:szCs w:val="22"/>
          <w:lang w:eastAsia="sk-SK"/>
        </w:rPr>
        <w:t>celkovej sume 176</w:t>
      </w:r>
      <w:r w:rsidR="00830EAB">
        <w:rPr>
          <w:szCs w:val="22"/>
          <w:lang w:eastAsia="sk-SK"/>
        </w:rPr>
        <w:t> </w:t>
      </w:r>
      <w:r w:rsidRPr="00E643F6">
        <w:rPr>
          <w:szCs w:val="22"/>
          <w:lang w:eastAsia="sk-SK"/>
        </w:rPr>
        <w:t>963</w:t>
      </w:r>
      <w:r w:rsidR="00830EAB">
        <w:rPr>
          <w:szCs w:val="22"/>
          <w:lang w:eastAsia="sk-SK"/>
        </w:rPr>
        <w:t> </w:t>
      </w:r>
      <w:r w:rsidRPr="00E643F6">
        <w:rPr>
          <w:szCs w:val="22"/>
          <w:lang w:eastAsia="sk-SK"/>
        </w:rPr>
        <w:t>tis.</w:t>
      </w:r>
      <w:r w:rsidR="00830EAB">
        <w:rPr>
          <w:szCs w:val="22"/>
          <w:lang w:eastAsia="sk-SK"/>
        </w:rPr>
        <w:t> </w:t>
      </w:r>
      <w:r w:rsidRPr="00E643F6">
        <w:rPr>
          <w:szCs w:val="22"/>
          <w:lang w:eastAsia="sk-SK"/>
        </w:rPr>
        <w:t>eur. Medziročné zvýšenie o 8</w:t>
      </w:r>
      <w:r w:rsidR="00830EAB">
        <w:rPr>
          <w:szCs w:val="22"/>
          <w:lang w:eastAsia="sk-SK"/>
        </w:rPr>
        <w:t> </w:t>
      </w:r>
      <w:r w:rsidRPr="00E643F6">
        <w:rPr>
          <w:szCs w:val="22"/>
          <w:lang w:eastAsia="sk-SK"/>
        </w:rPr>
        <w:t>778</w:t>
      </w:r>
      <w:r w:rsidR="00830EAB">
        <w:rPr>
          <w:szCs w:val="22"/>
          <w:lang w:eastAsia="sk-SK"/>
        </w:rPr>
        <w:t> </w:t>
      </w:r>
      <w:r w:rsidRPr="00E643F6">
        <w:rPr>
          <w:szCs w:val="22"/>
          <w:lang w:eastAsia="sk-SK"/>
        </w:rPr>
        <w:t>tis.</w:t>
      </w:r>
      <w:r w:rsidR="00830EAB">
        <w:rPr>
          <w:szCs w:val="22"/>
          <w:lang w:eastAsia="sk-SK"/>
        </w:rPr>
        <w:t> </w:t>
      </w:r>
      <w:r w:rsidRPr="00E643F6">
        <w:rPr>
          <w:szCs w:val="22"/>
          <w:lang w:eastAsia="sk-SK"/>
        </w:rPr>
        <w:t>eur je z dôvodu pripísaného príslušenstva.</w:t>
      </w:r>
    </w:p>
    <w:p w14:paraId="42214322" w14:textId="77777777" w:rsidR="00650831" w:rsidRPr="00E643F6" w:rsidRDefault="00650831" w:rsidP="00650831">
      <w:pPr>
        <w:spacing w:after="0" w:line="240" w:lineRule="auto"/>
        <w:ind w:firstLine="360"/>
        <w:contextualSpacing/>
        <w:jc w:val="both"/>
        <w:rPr>
          <w:b/>
          <w:szCs w:val="22"/>
          <w:lang w:eastAsia="sk-SK"/>
        </w:rPr>
      </w:pPr>
    </w:p>
    <w:p w14:paraId="1119467F" w14:textId="28FBA022" w:rsidR="00650831" w:rsidRPr="00E643F6" w:rsidRDefault="00650831" w:rsidP="00650831">
      <w:pPr>
        <w:spacing w:after="0" w:line="240" w:lineRule="auto"/>
        <w:contextualSpacing/>
        <w:jc w:val="both"/>
        <w:rPr>
          <w:szCs w:val="22"/>
          <w:lang w:eastAsia="sk-SK"/>
        </w:rPr>
      </w:pPr>
      <w:bookmarkStart w:id="75" w:name="_Hlk176875301"/>
      <w:r w:rsidRPr="00E643F6">
        <w:rPr>
          <w:b/>
          <w:szCs w:val="22"/>
          <w:lang w:eastAsia="sk-SK"/>
        </w:rPr>
        <w:t>Slovenský pozemkový fond</w:t>
      </w:r>
      <w:r w:rsidRPr="00E643F6">
        <w:rPr>
          <w:szCs w:val="22"/>
          <w:lang w:eastAsia="sk-SK"/>
        </w:rPr>
        <w:t xml:space="preserve"> čelí viacerým súdnym žalobám a konaniam. Medziročne zaznamenal fond pokles hodnoty súdnych sporov o 57</w:t>
      </w:r>
      <w:r w:rsidR="001E7DBD">
        <w:rPr>
          <w:szCs w:val="22"/>
          <w:lang w:eastAsia="sk-SK"/>
        </w:rPr>
        <w:t> </w:t>
      </w:r>
      <w:r w:rsidRPr="00E643F6">
        <w:rPr>
          <w:szCs w:val="22"/>
          <w:lang w:eastAsia="sk-SK"/>
        </w:rPr>
        <w:t>767</w:t>
      </w:r>
      <w:r w:rsidR="001E7DBD">
        <w:rPr>
          <w:szCs w:val="22"/>
          <w:lang w:eastAsia="sk-SK"/>
        </w:rPr>
        <w:t> </w:t>
      </w:r>
      <w:r w:rsidRPr="00E643F6">
        <w:rPr>
          <w:szCs w:val="22"/>
          <w:lang w:eastAsia="sk-SK"/>
        </w:rPr>
        <w:t>tis.</w:t>
      </w:r>
      <w:r w:rsidR="001E7DBD">
        <w:rPr>
          <w:szCs w:val="22"/>
          <w:lang w:eastAsia="sk-SK"/>
        </w:rPr>
        <w:t> </w:t>
      </w:r>
      <w:r w:rsidRPr="00E643F6">
        <w:rPr>
          <w:szCs w:val="22"/>
          <w:lang w:eastAsia="sk-SK"/>
        </w:rPr>
        <w:t>eur, najmä z dôvodu ukončenia súdneho sporu, v ktorom bol fond žalovaný o zaplatenie 60</w:t>
      </w:r>
      <w:r w:rsidR="001E7DBD">
        <w:rPr>
          <w:szCs w:val="22"/>
          <w:lang w:eastAsia="sk-SK"/>
        </w:rPr>
        <w:t> </w:t>
      </w:r>
      <w:r w:rsidRPr="00E643F6">
        <w:rPr>
          <w:szCs w:val="22"/>
          <w:lang w:eastAsia="sk-SK"/>
        </w:rPr>
        <w:t>409</w:t>
      </w:r>
      <w:r w:rsidR="001E7DBD">
        <w:rPr>
          <w:szCs w:val="22"/>
          <w:lang w:eastAsia="sk-SK"/>
        </w:rPr>
        <w:t> </w:t>
      </w:r>
      <w:r w:rsidRPr="00E643F6">
        <w:rPr>
          <w:szCs w:val="22"/>
          <w:lang w:eastAsia="sk-SK"/>
        </w:rPr>
        <w:t>tis.</w:t>
      </w:r>
      <w:r w:rsidR="001E7DBD">
        <w:rPr>
          <w:szCs w:val="22"/>
          <w:lang w:eastAsia="sk-SK"/>
        </w:rPr>
        <w:t> </w:t>
      </w:r>
      <w:r w:rsidRPr="00E643F6">
        <w:rPr>
          <w:szCs w:val="22"/>
          <w:lang w:eastAsia="sk-SK"/>
        </w:rPr>
        <w:t>eur z dôvodu údajne zmarenej investície. Zároveň fondu bola priznaná náhrad</w:t>
      </w:r>
      <w:r w:rsidR="001E7DBD">
        <w:rPr>
          <w:szCs w:val="22"/>
          <w:lang w:eastAsia="sk-SK"/>
        </w:rPr>
        <w:t>a trov konania v plnej výške.</w:t>
      </w:r>
    </w:p>
    <w:bookmarkEnd w:id="75"/>
    <w:p w14:paraId="11B23322" w14:textId="77777777" w:rsidR="00650831" w:rsidRPr="00E643F6" w:rsidRDefault="00650831" w:rsidP="00650831">
      <w:pPr>
        <w:spacing w:after="0" w:line="240" w:lineRule="auto"/>
        <w:ind w:firstLine="360"/>
        <w:contextualSpacing/>
        <w:jc w:val="both"/>
        <w:rPr>
          <w:b/>
          <w:szCs w:val="22"/>
          <w:lang w:eastAsia="sk-SK"/>
        </w:rPr>
      </w:pPr>
    </w:p>
    <w:p w14:paraId="234F8319" w14:textId="0A11C2BB" w:rsidR="001768B9" w:rsidRPr="001E7DBD" w:rsidRDefault="00650831" w:rsidP="00650831">
      <w:pPr>
        <w:spacing w:after="0" w:line="240" w:lineRule="auto"/>
        <w:contextualSpacing/>
        <w:jc w:val="both"/>
        <w:rPr>
          <w:b/>
          <w:szCs w:val="22"/>
          <w:lang w:eastAsia="sk-SK"/>
        </w:rPr>
      </w:pPr>
      <w:r w:rsidRPr="00E643F6">
        <w:rPr>
          <w:b/>
          <w:szCs w:val="22"/>
          <w:lang w:eastAsia="sk-SK"/>
        </w:rPr>
        <w:t>Vodohospodárska výstavba, š. p.</w:t>
      </w:r>
      <w:r w:rsidRPr="00E643F6">
        <w:rPr>
          <w:szCs w:val="22"/>
          <w:lang w:eastAsia="sk-SK"/>
        </w:rPr>
        <w:t xml:space="preserve"> eviduje viaceré súdne spory, pričom väčšinu  z uvedenej sumy tvorí spor o náhradu škody z dôvodu údajného porušenia nájomnej zmluvy a spory so </w:t>
      </w:r>
      <w:r w:rsidR="00EC4753">
        <w:rPr>
          <w:szCs w:val="22"/>
          <w:lang w:eastAsia="sk-SK"/>
        </w:rPr>
        <w:t>SE</w:t>
      </w:r>
      <w:r w:rsidRPr="00E643F6">
        <w:rPr>
          <w:szCs w:val="22"/>
          <w:lang w:eastAsia="sk-SK"/>
        </w:rPr>
        <w:t xml:space="preserve"> o úhradu platieb podľa zmluvy o prevádzke Vodnej elektrárne Gabčíkovo. Vodohospodárska výstavba,</w:t>
      </w:r>
      <w:r w:rsidR="001E7DBD">
        <w:rPr>
          <w:szCs w:val="22"/>
          <w:lang w:eastAsia="sk-SK"/>
        </w:rPr>
        <w:t> </w:t>
      </w:r>
      <w:r w:rsidRPr="00E643F6">
        <w:rPr>
          <w:szCs w:val="22"/>
          <w:lang w:eastAsia="sk-SK"/>
        </w:rPr>
        <w:t>š.</w:t>
      </w:r>
      <w:r w:rsidR="001E7DBD">
        <w:rPr>
          <w:szCs w:val="22"/>
          <w:lang w:eastAsia="sk-SK"/>
        </w:rPr>
        <w:t> </w:t>
      </w:r>
      <w:r w:rsidRPr="00E643F6">
        <w:rPr>
          <w:szCs w:val="22"/>
          <w:lang w:eastAsia="sk-SK"/>
        </w:rPr>
        <w:t xml:space="preserve">p. vykazuje voči </w:t>
      </w:r>
      <w:r w:rsidR="00EC4753">
        <w:rPr>
          <w:szCs w:val="22"/>
          <w:lang w:eastAsia="sk-SK"/>
        </w:rPr>
        <w:t>SE</w:t>
      </w:r>
      <w:r w:rsidRPr="00E643F6">
        <w:rPr>
          <w:szCs w:val="22"/>
          <w:lang w:eastAsia="sk-SK"/>
        </w:rPr>
        <w:t xml:space="preserve"> aj podmienené aktíva, z titulu bezdôvodného obohatenia, ktoré malo vzniknúť úhradou </w:t>
      </w:r>
      <w:r w:rsidR="001E7DBD">
        <w:rPr>
          <w:szCs w:val="22"/>
          <w:lang w:eastAsia="sk-SK"/>
        </w:rPr>
        <w:t xml:space="preserve">platieb </w:t>
      </w:r>
      <w:r w:rsidR="00EC4753">
        <w:rPr>
          <w:szCs w:val="22"/>
          <w:lang w:eastAsia="sk-SK"/>
        </w:rPr>
        <w:t xml:space="preserve">SE </w:t>
      </w:r>
      <w:r w:rsidRPr="00E643F6">
        <w:rPr>
          <w:szCs w:val="22"/>
          <w:lang w:eastAsia="sk-SK"/>
        </w:rPr>
        <w:t xml:space="preserve">podľa neplatnej zmluvy </w:t>
      </w:r>
      <w:r w:rsidRPr="001E7DBD">
        <w:rPr>
          <w:szCs w:val="22"/>
          <w:lang w:eastAsia="sk-SK"/>
        </w:rPr>
        <w:t>o prevádzke Vodnej elektrárne Gabčíkovo. V súdnych sporoch sa naďalej pokračuje.</w:t>
      </w:r>
    </w:p>
    <w:p w14:paraId="3C651ED7" w14:textId="77777777" w:rsidR="001768B9" w:rsidRPr="001E7DBD" w:rsidRDefault="001768B9" w:rsidP="001768B9">
      <w:pPr>
        <w:spacing w:after="0" w:line="240" w:lineRule="auto"/>
        <w:ind w:firstLine="360"/>
        <w:contextualSpacing/>
        <w:jc w:val="both"/>
        <w:rPr>
          <w:szCs w:val="22"/>
          <w:lang w:eastAsia="sk-SK"/>
        </w:rPr>
      </w:pPr>
    </w:p>
    <w:p w14:paraId="0E5CDFE5" w14:textId="77777777" w:rsidR="001768B9" w:rsidRPr="001E7DBD" w:rsidRDefault="001768B9" w:rsidP="001768B9">
      <w:pPr>
        <w:keepNext/>
        <w:spacing w:after="120" w:line="240" w:lineRule="auto"/>
        <w:rPr>
          <w:b/>
          <w:bCs/>
          <w:color w:val="4F81BD"/>
          <w:szCs w:val="22"/>
          <w:lang w:eastAsia="sk-SK"/>
        </w:rPr>
      </w:pPr>
      <w:r w:rsidRPr="001E7DBD">
        <w:rPr>
          <w:b/>
          <w:bCs/>
          <w:color w:val="4F81BD"/>
          <w:szCs w:val="22"/>
          <w:lang w:eastAsia="sk-SK"/>
        </w:rPr>
        <w:t>Iné podmienené záväzky</w:t>
      </w:r>
    </w:p>
    <w:p w14:paraId="68533C9B" w14:textId="7315B3D2" w:rsidR="00650831" w:rsidRPr="0055304A" w:rsidRDefault="00650831" w:rsidP="00650831">
      <w:pPr>
        <w:spacing w:after="0" w:line="240" w:lineRule="auto"/>
        <w:contextualSpacing/>
        <w:jc w:val="both"/>
        <w:rPr>
          <w:szCs w:val="22"/>
          <w:lang w:eastAsia="sk-SK"/>
        </w:rPr>
      </w:pPr>
      <w:r w:rsidRPr="001E7DBD">
        <w:rPr>
          <w:szCs w:val="22"/>
          <w:lang w:eastAsia="sk-SK"/>
        </w:rPr>
        <w:t>Do podmienených záväzkov</w:t>
      </w:r>
      <w:r w:rsidRPr="0055304A">
        <w:rPr>
          <w:szCs w:val="22"/>
          <w:lang w:eastAsia="sk-SK"/>
        </w:rPr>
        <w:t xml:space="preserve"> bola zaradená aj hodnota založeného majetku</w:t>
      </w:r>
      <w:r w:rsidR="001E7DBD">
        <w:rPr>
          <w:b/>
          <w:szCs w:val="22"/>
          <w:lang w:eastAsia="sk-SK"/>
        </w:rPr>
        <w:t xml:space="preserve"> </w:t>
      </w:r>
      <w:r w:rsidR="00EC4753">
        <w:rPr>
          <w:b/>
          <w:szCs w:val="22"/>
          <w:lang w:eastAsia="sk-SK"/>
        </w:rPr>
        <w:t>SE</w:t>
      </w:r>
      <w:r w:rsidRPr="0055304A">
        <w:rPr>
          <w:szCs w:val="22"/>
          <w:lang w:eastAsia="sk-SK"/>
        </w:rPr>
        <w:t xml:space="preserve"> v prospech banky. Hodnota záložného práva sa medziročne zvýšila o</w:t>
      </w:r>
      <w:r w:rsidR="001E7DBD">
        <w:rPr>
          <w:szCs w:val="22"/>
          <w:lang w:eastAsia="sk-SK"/>
        </w:rPr>
        <w:t> </w:t>
      </w:r>
      <w:r w:rsidRPr="0055304A">
        <w:rPr>
          <w:szCs w:val="22"/>
          <w:lang w:eastAsia="sk-SK"/>
        </w:rPr>
        <w:t>159</w:t>
      </w:r>
      <w:r w:rsidR="001E7DBD">
        <w:rPr>
          <w:szCs w:val="22"/>
          <w:lang w:eastAsia="sk-SK"/>
        </w:rPr>
        <w:t> </w:t>
      </w:r>
      <w:r w:rsidRPr="0055304A">
        <w:rPr>
          <w:szCs w:val="22"/>
          <w:lang w:eastAsia="sk-SK"/>
        </w:rPr>
        <w:t>804</w:t>
      </w:r>
      <w:r w:rsidR="001E7DBD">
        <w:rPr>
          <w:szCs w:val="22"/>
          <w:lang w:eastAsia="sk-SK"/>
        </w:rPr>
        <w:t> </w:t>
      </w:r>
      <w:r w:rsidRPr="0055304A">
        <w:rPr>
          <w:szCs w:val="22"/>
          <w:lang w:eastAsia="sk-SK"/>
        </w:rPr>
        <w:t>tis.</w:t>
      </w:r>
      <w:r w:rsidR="001E7DBD">
        <w:rPr>
          <w:szCs w:val="22"/>
          <w:lang w:eastAsia="sk-SK"/>
        </w:rPr>
        <w:t> </w:t>
      </w:r>
      <w:r w:rsidRPr="0055304A">
        <w:rPr>
          <w:szCs w:val="22"/>
          <w:lang w:eastAsia="sk-SK"/>
        </w:rPr>
        <w:t xml:space="preserve">eur. Hodnota podmienených pasív </w:t>
      </w:r>
      <w:r w:rsidR="00895A8D">
        <w:rPr>
          <w:szCs w:val="22"/>
          <w:lang w:eastAsia="sk-SK"/>
        </w:rPr>
        <w:t>je prepočítaná na</w:t>
      </w:r>
      <w:r w:rsidR="00714C97">
        <w:rPr>
          <w:szCs w:val="22"/>
          <w:lang w:eastAsia="sk-SK"/>
        </w:rPr>
        <w:t> </w:t>
      </w:r>
      <w:r w:rsidR="00895A8D">
        <w:rPr>
          <w:szCs w:val="22"/>
          <w:lang w:eastAsia="sk-SK"/>
        </w:rPr>
        <w:t xml:space="preserve">majetkový podiel štátu vo výške </w:t>
      </w:r>
      <w:r w:rsidRPr="0055304A">
        <w:rPr>
          <w:szCs w:val="22"/>
          <w:lang w:eastAsia="sk-SK"/>
        </w:rPr>
        <w:t>34</w:t>
      </w:r>
      <w:r w:rsidR="00FD250C">
        <w:rPr>
          <w:szCs w:val="22"/>
          <w:lang w:eastAsia="sk-SK"/>
        </w:rPr>
        <w:t>,0</w:t>
      </w:r>
      <w:r w:rsidR="001E7DBD">
        <w:rPr>
          <w:szCs w:val="22"/>
          <w:lang w:eastAsia="sk-SK"/>
        </w:rPr>
        <w:t> </w:t>
      </w:r>
      <w:r w:rsidR="003A6CD9">
        <w:rPr>
          <w:szCs w:val="22"/>
          <w:lang w:eastAsia="sk-SK"/>
        </w:rPr>
        <w:t>%</w:t>
      </w:r>
      <w:r w:rsidRPr="0055304A">
        <w:rPr>
          <w:szCs w:val="22"/>
          <w:lang w:eastAsia="sk-SK"/>
        </w:rPr>
        <w:t>.</w:t>
      </w:r>
    </w:p>
    <w:p w14:paraId="5C48F833" w14:textId="77777777" w:rsidR="00650831" w:rsidRPr="0055304A" w:rsidRDefault="00650831" w:rsidP="00650831">
      <w:pPr>
        <w:spacing w:after="0" w:line="240" w:lineRule="auto"/>
        <w:ind w:firstLine="360"/>
        <w:contextualSpacing/>
        <w:jc w:val="both"/>
        <w:rPr>
          <w:szCs w:val="22"/>
          <w:highlight w:val="yellow"/>
          <w:lang w:eastAsia="sk-SK"/>
        </w:rPr>
      </w:pPr>
    </w:p>
    <w:p w14:paraId="766699F6" w14:textId="6BAC4ECF" w:rsidR="00650831" w:rsidRPr="0055304A" w:rsidRDefault="00650831" w:rsidP="00650831">
      <w:pPr>
        <w:spacing w:after="0" w:line="240" w:lineRule="auto"/>
        <w:contextualSpacing/>
        <w:jc w:val="both"/>
        <w:rPr>
          <w:szCs w:val="22"/>
          <w:lang w:eastAsia="sk-SK"/>
        </w:rPr>
      </w:pPr>
      <w:r w:rsidRPr="0055304A">
        <w:rPr>
          <w:b/>
          <w:szCs w:val="22"/>
          <w:lang w:eastAsia="sk-SK"/>
        </w:rPr>
        <w:t>MH Manažment,</w:t>
      </w:r>
      <w:r w:rsidR="001E7DBD">
        <w:rPr>
          <w:b/>
          <w:szCs w:val="22"/>
          <w:lang w:eastAsia="sk-SK"/>
        </w:rPr>
        <w:t> </w:t>
      </w:r>
      <w:r w:rsidRPr="0055304A">
        <w:rPr>
          <w:b/>
          <w:szCs w:val="22"/>
          <w:lang w:eastAsia="sk-SK"/>
        </w:rPr>
        <w:t>a.</w:t>
      </w:r>
      <w:r w:rsidR="001E7DBD">
        <w:rPr>
          <w:b/>
          <w:szCs w:val="22"/>
          <w:lang w:eastAsia="sk-SK"/>
        </w:rPr>
        <w:t> </w:t>
      </w:r>
      <w:r w:rsidRPr="0055304A">
        <w:rPr>
          <w:b/>
          <w:szCs w:val="22"/>
          <w:lang w:eastAsia="sk-SK"/>
        </w:rPr>
        <w:t xml:space="preserve">s. </w:t>
      </w:r>
      <w:r w:rsidRPr="0055304A">
        <w:rPr>
          <w:szCs w:val="22"/>
          <w:lang w:eastAsia="sk-SK"/>
        </w:rPr>
        <w:t>eviduje významnú hodnotu podmienených záväzkov z ručenia za</w:t>
      </w:r>
      <w:r w:rsidR="001E7DBD">
        <w:rPr>
          <w:szCs w:val="22"/>
          <w:lang w:eastAsia="sk-SK"/>
        </w:rPr>
        <w:t> </w:t>
      </w:r>
      <w:r w:rsidRPr="0055304A">
        <w:rPr>
          <w:szCs w:val="22"/>
          <w:lang w:eastAsia="sk-SK"/>
        </w:rPr>
        <w:t>splnenie záväzkov vyplývajúcich z niektorých privatizačných zmlúv uzavretých bývalým  Fondom národného majetku. FNM sa zaviazal uhradiť nadobúdateľom privatizovaných spoločností určité straty na</w:t>
      </w:r>
      <w:r w:rsidR="001E7DBD">
        <w:rPr>
          <w:szCs w:val="22"/>
          <w:lang w:eastAsia="sk-SK"/>
        </w:rPr>
        <w:t> </w:t>
      </w:r>
      <w:r w:rsidRPr="0055304A">
        <w:rPr>
          <w:szCs w:val="22"/>
          <w:lang w:eastAsia="sk-SK"/>
        </w:rPr>
        <w:t xml:space="preserve">majetku, </w:t>
      </w:r>
      <w:r w:rsidRPr="0055304A">
        <w:rPr>
          <w:szCs w:val="22"/>
          <w:lang w:eastAsia="sk-SK"/>
        </w:rPr>
        <w:lastRenderedPageBreak/>
        <w:t xml:space="preserve">ktoré im môžu v budúcnosti vzniknúť v dôsledku </w:t>
      </w:r>
      <w:r w:rsidRPr="0055304A">
        <w:rPr>
          <w:bCs/>
          <w:iCs/>
          <w:szCs w:val="22"/>
          <w:lang w:eastAsia="sk-SK"/>
        </w:rPr>
        <w:t>určitých rizík definovaných v privatizačných zmluvách</w:t>
      </w:r>
      <w:r w:rsidRPr="0055304A">
        <w:rPr>
          <w:szCs w:val="22"/>
          <w:lang w:eastAsia="sk-SK"/>
        </w:rPr>
        <w:t>. Spoločnosť zároveň opätovne prehodnotila súdne spory a riziko plnenia z nich, čoho výsledkom je vykázaný pokles o 183</w:t>
      </w:r>
      <w:r w:rsidR="001E7DBD">
        <w:rPr>
          <w:szCs w:val="22"/>
          <w:lang w:eastAsia="sk-SK"/>
        </w:rPr>
        <w:t> </w:t>
      </w:r>
      <w:r w:rsidRPr="0055304A">
        <w:rPr>
          <w:szCs w:val="22"/>
          <w:lang w:eastAsia="sk-SK"/>
        </w:rPr>
        <w:t>678</w:t>
      </w:r>
      <w:r w:rsidR="001E7DBD">
        <w:rPr>
          <w:szCs w:val="22"/>
          <w:lang w:eastAsia="sk-SK"/>
        </w:rPr>
        <w:t> </w:t>
      </w:r>
      <w:r w:rsidRPr="0055304A">
        <w:rPr>
          <w:szCs w:val="22"/>
          <w:lang w:eastAsia="sk-SK"/>
        </w:rPr>
        <w:t>tis.</w:t>
      </w:r>
      <w:r w:rsidR="001E7DBD">
        <w:rPr>
          <w:szCs w:val="22"/>
          <w:lang w:eastAsia="sk-SK"/>
        </w:rPr>
        <w:t> </w:t>
      </w:r>
      <w:r w:rsidRPr="0055304A">
        <w:rPr>
          <w:szCs w:val="22"/>
          <w:lang w:eastAsia="sk-SK"/>
        </w:rPr>
        <w:t>eur.</w:t>
      </w:r>
    </w:p>
    <w:p w14:paraId="592D5F9D" w14:textId="77777777" w:rsidR="00650831" w:rsidRPr="0055304A" w:rsidRDefault="00650831" w:rsidP="00650831">
      <w:pPr>
        <w:spacing w:after="0" w:line="240" w:lineRule="auto"/>
        <w:ind w:firstLine="360"/>
        <w:contextualSpacing/>
        <w:jc w:val="both"/>
        <w:rPr>
          <w:szCs w:val="22"/>
          <w:lang w:eastAsia="sk-SK"/>
        </w:rPr>
      </w:pPr>
    </w:p>
    <w:p w14:paraId="3CB9DD95" w14:textId="5ED22F07" w:rsidR="00650831" w:rsidRPr="0055304A" w:rsidRDefault="00EC4753" w:rsidP="00650831">
      <w:pPr>
        <w:spacing w:after="0" w:line="240" w:lineRule="auto"/>
        <w:contextualSpacing/>
        <w:jc w:val="both"/>
        <w:rPr>
          <w:szCs w:val="22"/>
          <w:lang w:eastAsia="sk-SK"/>
        </w:rPr>
      </w:pPr>
      <w:r>
        <w:rPr>
          <w:b/>
          <w:bCs/>
          <w:szCs w:val="22"/>
          <w:lang w:eastAsia="sk-SK"/>
        </w:rPr>
        <w:t>SPP</w:t>
      </w:r>
      <w:r w:rsidR="00650831" w:rsidRPr="0055304A">
        <w:rPr>
          <w:szCs w:val="22"/>
          <w:lang w:eastAsia="sk-SK"/>
        </w:rPr>
        <w:t xml:space="preserve"> vykazuje podmienené pasíva z dôvodu uzatvorených komodi</w:t>
      </w:r>
      <w:r w:rsidR="00714C97">
        <w:rPr>
          <w:szCs w:val="22"/>
          <w:lang w:eastAsia="sk-SK"/>
        </w:rPr>
        <w:t>tných derivátových transakcií s </w:t>
      </w:r>
      <w:r w:rsidR="00650831" w:rsidRPr="0055304A">
        <w:rPr>
          <w:szCs w:val="22"/>
          <w:lang w:eastAsia="sk-SK"/>
        </w:rPr>
        <w:t>protistranami, pričom zmena hodnoty súvisí najmä s nárastom objemu derivátových transakcií.</w:t>
      </w:r>
    </w:p>
    <w:p w14:paraId="417664E9" w14:textId="77777777" w:rsidR="00650831" w:rsidRPr="0055304A" w:rsidRDefault="00650831" w:rsidP="00650831">
      <w:pPr>
        <w:spacing w:after="0" w:line="240" w:lineRule="auto"/>
        <w:contextualSpacing/>
        <w:jc w:val="both"/>
        <w:rPr>
          <w:szCs w:val="22"/>
          <w:highlight w:val="yellow"/>
          <w:lang w:eastAsia="sk-SK"/>
        </w:rPr>
      </w:pPr>
    </w:p>
    <w:p w14:paraId="760A18EE" w14:textId="5FC1D6ED" w:rsidR="00650831" w:rsidRPr="0055304A" w:rsidRDefault="00650831" w:rsidP="00650831">
      <w:pPr>
        <w:spacing w:after="0" w:line="240" w:lineRule="auto"/>
        <w:contextualSpacing/>
        <w:jc w:val="both"/>
        <w:rPr>
          <w:szCs w:val="22"/>
          <w:lang w:eastAsia="sk-SK"/>
        </w:rPr>
      </w:pPr>
      <w:bookmarkStart w:id="76" w:name="_Hlk176875854"/>
      <w:r w:rsidRPr="0055304A">
        <w:rPr>
          <w:szCs w:val="22"/>
          <w:lang w:eastAsia="sk-SK"/>
        </w:rPr>
        <w:t xml:space="preserve">Poskytnuté záruky </w:t>
      </w:r>
      <w:r w:rsidRPr="0055304A">
        <w:rPr>
          <w:b/>
          <w:szCs w:val="22"/>
          <w:lang w:eastAsia="sk-SK"/>
        </w:rPr>
        <w:t>Ministerstvom financií SR</w:t>
      </w:r>
      <w:r w:rsidRPr="0055304A">
        <w:rPr>
          <w:szCs w:val="22"/>
          <w:lang w:eastAsia="sk-SK"/>
        </w:rPr>
        <w:t xml:space="preserve"> boli vykázané vo výške 236</w:t>
      </w:r>
      <w:r w:rsidR="001E7DBD">
        <w:rPr>
          <w:szCs w:val="22"/>
          <w:lang w:eastAsia="sk-SK"/>
        </w:rPr>
        <w:t> </w:t>
      </w:r>
      <w:r w:rsidRPr="0055304A">
        <w:rPr>
          <w:szCs w:val="22"/>
          <w:lang w:eastAsia="sk-SK"/>
        </w:rPr>
        <w:t>663</w:t>
      </w:r>
      <w:r w:rsidR="001E7DBD">
        <w:rPr>
          <w:szCs w:val="22"/>
          <w:lang w:eastAsia="sk-SK"/>
        </w:rPr>
        <w:t> </w:t>
      </w:r>
      <w:r w:rsidRPr="0055304A">
        <w:rPr>
          <w:szCs w:val="22"/>
          <w:lang w:eastAsia="sk-SK"/>
        </w:rPr>
        <w:t>tis.</w:t>
      </w:r>
      <w:r w:rsidR="001E7DBD">
        <w:rPr>
          <w:szCs w:val="22"/>
          <w:lang w:eastAsia="sk-SK"/>
        </w:rPr>
        <w:t> </w:t>
      </w:r>
      <w:r w:rsidRPr="0055304A">
        <w:rPr>
          <w:szCs w:val="22"/>
          <w:lang w:eastAsia="sk-SK"/>
        </w:rPr>
        <w:t>eur, a medziročne sa znížili o</w:t>
      </w:r>
      <w:r w:rsidR="001E7DBD">
        <w:rPr>
          <w:szCs w:val="22"/>
          <w:lang w:eastAsia="sk-SK"/>
        </w:rPr>
        <w:t> </w:t>
      </w:r>
      <w:r w:rsidRPr="0055304A">
        <w:rPr>
          <w:szCs w:val="22"/>
          <w:lang w:eastAsia="sk-SK"/>
        </w:rPr>
        <w:t>84</w:t>
      </w:r>
      <w:r w:rsidR="001E7DBD">
        <w:rPr>
          <w:szCs w:val="22"/>
          <w:lang w:eastAsia="sk-SK"/>
        </w:rPr>
        <w:t> </w:t>
      </w:r>
      <w:r w:rsidRPr="0055304A">
        <w:rPr>
          <w:szCs w:val="22"/>
          <w:lang w:eastAsia="sk-SK"/>
        </w:rPr>
        <w:t>379</w:t>
      </w:r>
      <w:r w:rsidR="001E7DBD">
        <w:rPr>
          <w:szCs w:val="22"/>
          <w:lang w:eastAsia="sk-SK"/>
        </w:rPr>
        <w:t> </w:t>
      </w:r>
      <w:r w:rsidRPr="0055304A">
        <w:rPr>
          <w:szCs w:val="22"/>
          <w:lang w:eastAsia="sk-SK"/>
        </w:rPr>
        <w:t>tis.</w:t>
      </w:r>
      <w:r w:rsidR="001E7DBD">
        <w:rPr>
          <w:szCs w:val="22"/>
          <w:lang w:eastAsia="sk-SK"/>
        </w:rPr>
        <w:t> </w:t>
      </w:r>
      <w:r w:rsidRPr="0055304A">
        <w:rPr>
          <w:szCs w:val="22"/>
          <w:lang w:eastAsia="sk-SK"/>
        </w:rPr>
        <w:t>eur. Zníženi</w:t>
      </w:r>
      <w:r w:rsidR="001E7DBD">
        <w:rPr>
          <w:szCs w:val="22"/>
          <w:lang w:eastAsia="sk-SK"/>
        </w:rPr>
        <w:t xml:space="preserve">e spôsobili záruky podľa zákona </w:t>
      </w:r>
      <w:r w:rsidRPr="0055304A">
        <w:rPr>
          <w:szCs w:val="22"/>
          <w:lang w:eastAsia="sk-SK"/>
        </w:rPr>
        <w:t>č.</w:t>
      </w:r>
      <w:r w:rsidR="001E7DBD">
        <w:rPr>
          <w:szCs w:val="22"/>
          <w:lang w:eastAsia="sk-SK"/>
        </w:rPr>
        <w:t> 67/2020 </w:t>
      </w:r>
      <w:r w:rsidRPr="0055304A">
        <w:rPr>
          <w:szCs w:val="22"/>
          <w:lang w:eastAsia="sk-SK"/>
        </w:rPr>
        <w:t>Z.</w:t>
      </w:r>
      <w:r w:rsidR="001E7DBD">
        <w:rPr>
          <w:szCs w:val="22"/>
          <w:lang w:eastAsia="sk-SK"/>
        </w:rPr>
        <w:t> </w:t>
      </w:r>
      <w:r w:rsidRPr="0055304A">
        <w:rPr>
          <w:szCs w:val="22"/>
          <w:lang w:eastAsia="sk-SK"/>
        </w:rPr>
        <w:t>z. o</w:t>
      </w:r>
      <w:r w:rsidR="001E7DBD">
        <w:rPr>
          <w:szCs w:val="22"/>
          <w:lang w:eastAsia="sk-SK"/>
        </w:rPr>
        <w:t> </w:t>
      </w:r>
      <w:r w:rsidRPr="0055304A">
        <w:rPr>
          <w:szCs w:val="22"/>
          <w:lang w:eastAsia="sk-SK"/>
        </w:rPr>
        <w:t>niektorých mimoriadnych opatreniach vo finančnej oblasti v súvislosti so šírením nebezpečnej nákazlivej ľudskej choroby  COVID-19 v platnom znení, v prospech finančných in</w:t>
      </w:r>
      <w:r w:rsidR="001E7DBD">
        <w:rPr>
          <w:szCs w:val="22"/>
          <w:lang w:eastAsia="sk-SK"/>
        </w:rPr>
        <w:t xml:space="preserve">štitúcií (SZRB, Eximbanka </w:t>
      </w:r>
      <w:r w:rsidR="0063052B">
        <w:rPr>
          <w:szCs w:val="22"/>
          <w:lang w:eastAsia="sk-SK"/>
        </w:rPr>
        <w:t xml:space="preserve">SR </w:t>
      </w:r>
      <w:r w:rsidR="001E7DBD">
        <w:rPr>
          <w:szCs w:val="22"/>
          <w:lang w:eastAsia="sk-SK"/>
        </w:rPr>
        <w:t>a</w:t>
      </w:r>
      <w:r w:rsidR="00AE5818">
        <w:rPr>
          <w:szCs w:val="22"/>
          <w:lang w:eastAsia="sk-SK"/>
        </w:rPr>
        <w:t> </w:t>
      </w:r>
      <w:r w:rsidR="001E7DBD">
        <w:rPr>
          <w:szCs w:val="22"/>
          <w:lang w:eastAsia="sk-SK"/>
        </w:rPr>
        <w:t>N</w:t>
      </w:r>
      <w:r w:rsidR="00AE5818">
        <w:rPr>
          <w:szCs w:val="22"/>
          <w:lang w:eastAsia="sk-SK"/>
        </w:rPr>
        <w:t>ational Development Fund</w:t>
      </w:r>
      <w:r w:rsidR="001E7DBD">
        <w:rPr>
          <w:szCs w:val="22"/>
          <w:lang w:eastAsia="sk-SK"/>
        </w:rPr>
        <w:t> </w:t>
      </w:r>
      <w:r w:rsidRPr="0055304A">
        <w:rPr>
          <w:szCs w:val="22"/>
          <w:lang w:eastAsia="sk-SK"/>
        </w:rPr>
        <w:t>I</w:t>
      </w:r>
      <w:r w:rsidR="00AE5818">
        <w:rPr>
          <w:szCs w:val="22"/>
          <w:lang w:eastAsia="sk-SK"/>
        </w:rPr>
        <w:t>, s. r. o. (NDF I.)</w:t>
      </w:r>
      <w:r w:rsidRPr="0055304A">
        <w:rPr>
          <w:szCs w:val="22"/>
          <w:lang w:eastAsia="sk-SK"/>
        </w:rPr>
        <w:t>), ktoré poskytli úvery resp. záruky za úvery na</w:t>
      </w:r>
      <w:r w:rsidR="00AE5818">
        <w:rPr>
          <w:szCs w:val="22"/>
          <w:lang w:eastAsia="sk-SK"/>
        </w:rPr>
        <w:t> </w:t>
      </w:r>
      <w:r w:rsidRPr="0055304A">
        <w:rPr>
          <w:szCs w:val="22"/>
          <w:lang w:eastAsia="sk-SK"/>
        </w:rPr>
        <w:t>podporu podnikateľom v čase pandémie COVID-19. Zmenu stavu záruk ovplyvňuje najmä postupné splácanie úverov zo strany dlžníkov a v menšej miere hotovostné plnenie záruk na základe zlyhaných úverov. V roku 2023 bolo ministerstvom uhradených hotovostne 10</w:t>
      </w:r>
      <w:r w:rsidR="001E7DBD">
        <w:rPr>
          <w:szCs w:val="22"/>
          <w:lang w:eastAsia="sk-SK"/>
        </w:rPr>
        <w:t> </w:t>
      </w:r>
      <w:r w:rsidRPr="0055304A">
        <w:rPr>
          <w:szCs w:val="22"/>
          <w:lang w:eastAsia="sk-SK"/>
        </w:rPr>
        <w:t>118</w:t>
      </w:r>
      <w:r w:rsidR="001E7DBD">
        <w:rPr>
          <w:szCs w:val="22"/>
          <w:lang w:eastAsia="sk-SK"/>
        </w:rPr>
        <w:t> </w:t>
      </w:r>
      <w:r w:rsidRPr="0055304A">
        <w:rPr>
          <w:szCs w:val="22"/>
          <w:lang w:eastAsia="sk-SK"/>
        </w:rPr>
        <w:t>tis.</w:t>
      </w:r>
      <w:r w:rsidR="001E7DBD">
        <w:rPr>
          <w:szCs w:val="22"/>
          <w:lang w:eastAsia="sk-SK"/>
        </w:rPr>
        <w:t> </w:t>
      </w:r>
      <w:r w:rsidRPr="0055304A">
        <w:rPr>
          <w:szCs w:val="22"/>
          <w:lang w:eastAsia="sk-SK"/>
        </w:rPr>
        <w:t>eur, v roku 2022 to bolo 12</w:t>
      </w:r>
      <w:r w:rsidR="001E7DBD">
        <w:rPr>
          <w:szCs w:val="22"/>
          <w:lang w:eastAsia="sk-SK"/>
        </w:rPr>
        <w:t> </w:t>
      </w:r>
      <w:r w:rsidRPr="0055304A">
        <w:rPr>
          <w:szCs w:val="22"/>
          <w:lang w:eastAsia="sk-SK"/>
        </w:rPr>
        <w:t>040</w:t>
      </w:r>
      <w:r w:rsidR="001E7DBD">
        <w:rPr>
          <w:szCs w:val="22"/>
          <w:lang w:eastAsia="sk-SK"/>
        </w:rPr>
        <w:t> </w:t>
      </w:r>
      <w:r w:rsidRPr="0055304A">
        <w:rPr>
          <w:szCs w:val="22"/>
          <w:lang w:eastAsia="sk-SK"/>
        </w:rPr>
        <w:t>tis.</w:t>
      </w:r>
      <w:r w:rsidR="001E7DBD">
        <w:rPr>
          <w:szCs w:val="22"/>
          <w:lang w:eastAsia="sk-SK"/>
        </w:rPr>
        <w:t> </w:t>
      </w:r>
      <w:r w:rsidRPr="0055304A">
        <w:rPr>
          <w:szCs w:val="22"/>
          <w:lang w:eastAsia="sk-SK"/>
        </w:rPr>
        <w:t>eur. Zníženie záruk ministerstva v objeme 74</w:t>
      </w:r>
      <w:r w:rsidR="001E7DBD">
        <w:rPr>
          <w:szCs w:val="22"/>
          <w:lang w:eastAsia="sk-SK"/>
        </w:rPr>
        <w:t> </w:t>
      </w:r>
      <w:r w:rsidRPr="0055304A">
        <w:rPr>
          <w:szCs w:val="22"/>
          <w:lang w:eastAsia="sk-SK"/>
        </w:rPr>
        <w:t>519</w:t>
      </w:r>
      <w:r w:rsidR="001E7DBD">
        <w:rPr>
          <w:szCs w:val="22"/>
          <w:lang w:eastAsia="sk-SK"/>
        </w:rPr>
        <w:t> </w:t>
      </w:r>
      <w:r w:rsidRPr="0055304A">
        <w:rPr>
          <w:szCs w:val="22"/>
          <w:lang w:eastAsia="sk-SK"/>
        </w:rPr>
        <w:t>tis.</w:t>
      </w:r>
      <w:r w:rsidR="001E7DBD">
        <w:rPr>
          <w:szCs w:val="22"/>
          <w:lang w:eastAsia="sk-SK"/>
        </w:rPr>
        <w:t> </w:t>
      </w:r>
      <w:r w:rsidRPr="0055304A">
        <w:rPr>
          <w:szCs w:val="22"/>
          <w:lang w:eastAsia="sk-SK"/>
        </w:rPr>
        <w:t>eur (bez n</w:t>
      </w:r>
      <w:r w:rsidR="00AE5818">
        <w:rPr>
          <w:szCs w:val="22"/>
          <w:lang w:eastAsia="sk-SK"/>
        </w:rPr>
        <w:t>utnosti hotovostného plnenia zo </w:t>
      </w:r>
      <w:r w:rsidRPr="0055304A">
        <w:rPr>
          <w:szCs w:val="22"/>
          <w:lang w:eastAsia="sk-SK"/>
        </w:rPr>
        <w:t>strany štátu) bolo práve na základe aktualizácie pozície poskytovateľov pomoci (SZRB, NDF</w:t>
      </w:r>
      <w:r w:rsidR="001E7DBD">
        <w:rPr>
          <w:szCs w:val="22"/>
          <w:lang w:eastAsia="sk-SK"/>
        </w:rPr>
        <w:t> </w:t>
      </w:r>
      <w:r w:rsidRPr="0055304A">
        <w:rPr>
          <w:szCs w:val="22"/>
          <w:lang w:eastAsia="sk-SK"/>
        </w:rPr>
        <w:t>I), na</w:t>
      </w:r>
      <w:r w:rsidR="00AE5818">
        <w:rPr>
          <w:szCs w:val="22"/>
          <w:lang w:eastAsia="sk-SK"/>
        </w:rPr>
        <w:t> </w:t>
      </w:r>
      <w:r w:rsidRPr="0055304A">
        <w:rPr>
          <w:szCs w:val="22"/>
          <w:lang w:eastAsia="sk-SK"/>
        </w:rPr>
        <w:t>základe odsúhlasených zmien zo strany komerčných bánk.</w:t>
      </w:r>
      <w:bookmarkEnd w:id="76"/>
    </w:p>
    <w:p w14:paraId="7C6B5DF0" w14:textId="77777777" w:rsidR="00650831" w:rsidRPr="0055304A" w:rsidRDefault="00650831" w:rsidP="00650831">
      <w:pPr>
        <w:spacing w:after="0" w:line="240" w:lineRule="auto"/>
        <w:ind w:firstLine="360"/>
        <w:jc w:val="both"/>
        <w:rPr>
          <w:b/>
          <w:bCs/>
          <w:szCs w:val="22"/>
        </w:rPr>
      </w:pPr>
    </w:p>
    <w:p w14:paraId="6E92A33D" w14:textId="77777777" w:rsidR="00A035B0" w:rsidRDefault="00A035B0" w:rsidP="00A035B0">
      <w:pPr>
        <w:pStyle w:val="Popis"/>
        <w:framePr w:wrap="around" w:x="1696" w:y="952"/>
      </w:pPr>
      <w:r>
        <w:t xml:space="preserve">Tabuľka </w:t>
      </w:r>
      <w:r w:rsidR="001F05DE">
        <w:fldChar w:fldCharType="begin"/>
      </w:r>
      <w:r w:rsidR="001F05DE">
        <w:instrText xml:space="preserve"> SEQ Tabuľka \* ARABIC </w:instrText>
      </w:r>
      <w:r w:rsidR="001F05DE">
        <w:fldChar w:fldCharType="separate"/>
      </w:r>
      <w:r>
        <w:rPr>
          <w:noProof/>
        </w:rPr>
        <w:t>25</w:t>
      </w:r>
      <w:r w:rsidR="001F05DE">
        <w:rPr>
          <w:noProof/>
        </w:rPr>
        <w:fldChar w:fldCharType="end"/>
      </w:r>
      <w:r>
        <w:t xml:space="preserve"> - </w:t>
      </w:r>
      <w:r w:rsidRPr="006F3DD2">
        <w:t xml:space="preserve">Prehľad vystavených </w:t>
      </w:r>
      <w:r>
        <w:t>COVID-19</w:t>
      </w:r>
      <w:r w:rsidRPr="006F3DD2">
        <w:t xml:space="preserve"> záruk na základe zákona č. 67/2020 Z. z</w:t>
      </w:r>
      <w:r>
        <w:t xml:space="preserve">. </w:t>
      </w:r>
      <w:r>
        <w:tab/>
      </w:r>
      <w:r>
        <w:tab/>
        <w:t>v tis. eur</w:t>
      </w:r>
    </w:p>
    <w:p w14:paraId="6D08911A" w14:textId="497B29D2" w:rsidR="001768B9" w:rsidRDefault="00650831" w:rsidP="00650831">
      <w:pPr>
        <w:spacing w:after="0" w:line="240" w:lineRule="auto"/>
        <w:contextualSpacing/>
        <w:jc w:val="both"/>
        <w:rPr>
          <w:szCs w:val="22"/>
          <w:lang w:eastAsia="sk-SK"/>
        </w:rPr>
      </w:pPr>
      <w:r w:rsidRPr="0055304A">
        <w:rPr>
          <w:b/>
          <w:szCs w:val="22"/>
          <w:lang w:eastAsia="sk-SK"/>
        </w:rPr>
        <w:t>N</w:t>
      </w:r>
      <w:r w:rsidR="00AE5818">
        <w:rPr>
          <w:b/>
          <w:szCs w:val="22"/>
          <w:lang w:eastAsia="sk-SK"/>
        </w:rPr>
        <w:t>DF</w:t>
      </w:r>
      <w:r w:rsidR="001E7DBD">
        <w:rPr>
          <w:b/>
          <w:szCs w:val="22"/>
          <w:lang w:eastAsia="sk-SK"/>
        </w:rPr>
        <w:t> </w:t>
      </w:r>
      <w:r w:rsidRPr="0055304A">
        <w:rPr>
          <w:b/>
          <w:szCs w:val="22"/>
          <w:lang w:eastAsia="sk-SK"/>
        </w:rPr>
        <w:t xml:space="preserve">II </w:t>
      </w:r>
      <w:r w:rsidRPr="0055304A">
        <w:rPr>
          <w:szCs w:val="22"/>
          <w:lang w:eastAsia="sk-SK"/>
        </w:rPr>
        <w:t xml:space="preserve">vykazuje portfóliové záruky za úvery komerčných bánk </w:t>
      </w:r>
      <w:r w:rsidR="00AE5818">
        <w:rPr>
          <w:szCs w:val="22"/>
          <w:lang w:eastAsia="sk-SK"/>
        </w:rPr>
        <w:t>poskytované v rámci opatrení na </w:t>
      </w:r>
      <w:r w:rsidRPr="0055304A">
        <w:rPr>
          <w:szCs w:val="22"/>
          <w:lang w:eastAsia="sk-SK"/>
        </w:rPr>
        <w:t>zmiernenie dopadov pandémie COVID-19 na podnikateľský sektor. Krytie týchto záruk je najmä z prostriedkov rozpočtu EÚ.</w:t>
      </w:r>
    </w:p>
    <w:tbl>
      <w:tblPr>
        <w:tblW w:w="5000" w:type="pct"/>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6"/>
        <w:gridCol w:w="1145"/>
        <w:gridCol w:w="1145"/>
        <w:gridCol w:w="1145"/>
        <w:gridCol w:w="1203"/>
      </w:tblGrid>
      <w:tr w:rsidR="00AC392E" w:rsidRPr="005F6C45" w14:paraId="13CF7D28" w14:textId="77777777" w:rsidTr="00373219">
        <w:trPr>
          <w:trHeight w:val="276"/>
          <w:tblHeader/>
          <w:jc w:val="center"/>
        </w:trPr>
        <w:tc>
          <w:tcPr>
            <w:tcW w:w="2520" w:type="pct"/>
            <w:tcBorders>
              <w:right w:val="nil"/>
            </w:tcBorders>
            <w:vAlign w:val="center"/>
            <w:hideMark/>
          </w:tcPr>
          <w:p w14:paraId="58E44B6D" w14:textId="311B88A3" w:rsidR="00AC392E" w:rsidRPr="005F6C45" w:rsidRDefault="00AC392E" w:rsidP="00AC392E">
            <w:pPr>
              <w:spacing w:after="0" w:line="240" w:lineRule="auto"/>
              <w:rPr>
                <w:color w:val="000000"/>
                <w:sz w:val="16"/>
                <w:szCs w:val="16"/>
                <w:lang w:eastAsia="sk-SK"/>
              </w:rPr>
            </w:pPr>
          </w:p>
        </w:tc>
        <w:tc>
          <w:tcPr>
            <w:tcW w:w="612" w:type="pct"/>
            <w:tcBorders>
              <w:left w:val="nil"/>
              <w:right w:val="nil"/>
            </w:tcBorders>
            <w:vAlign w:val="bottom"/>
            <w:hideMark/>
          </w:tcPr>
          <w:p w14:paraId="492E8597" w14:textId="07E2B4A9" w:rsidR="00AC392E" w:rsidRPr="005F6C45" w:rsidRDefault="00AC392E" w:rsidP="00AC392E">
            <w:pPr>
              <w:spacing w:after="0" w:line="240" w:lineRule="auto"/>
              <w:jc w:val="right"/>
              <w:rPr>
                <w:b/>
                <w:bCs/>
                <w:sz w:val="18"/>
                <w:szCs w:val="18"/>
                <w:lang w:eastAsia="sk-SK"/>
              </w:rPr>
            </w:pPr>
            <w:r w:rsidRPr="005F6C45">
              <w:rPr>
                <w:b/>
                <w:bCs/>
                <w:sz w:val="18"/>
                <w:szCs w:val="18"/>
                <w:lang w:eastAsia="sk-SK"/>
              </w:rPr>
              <w:t>2021</w:t>
            </w:r>
          </w:p>
        </w:tc>
        <w:tc>
          <w:tcPr>
            <w:tcW w:w="612" w:type="pct"/>
            <w:tcBorders>
              <w:left w:val="nil"/>
              <w:right w:val="nil"/>
            </w:tcBorders>
            <w:vAlign w:val="bottom"/>
            <w:hideMark/>
          </w:tcPr>
          <w:p w14:paraId="18C7C866" w14:textId="7949F8BB" w:rsidR="00AC392E" w:rsidRPr="005F6C45" w:rsidRDefault="00AC392E" w:rsidP="00AC392E">
            <w:pPr>
              <w:spacing w:after="0" w:line="240" w:lineRule="auto"/>
              <w:jc w:val="right"/>
              <w:rPr>
                <w:b/>
                <w:bCs/>
                <w:sz w:val="18"/>
                <w:szCs w:val="18"/>
                <w:lang w:eastAsia="sk-SK"/>
              </w:rPr>
            </w:pPr>
            <w:r w:rsidRPr="005F6C45">
              <w:rPr>
                <w:b/>
                <w:bCs/>
                <w:sz w:val="18"/>
                <w:szCs w:val="18"/>
                <w:lang w:eastAsia="sk-SK"/>
              </w:rPr>
              <w:t>2022</w:t>
            </w:r>
          </w:p>
        </w:tc>
        <w:tc>
          <w:tcPr>
            <w:tcW w:w="612" w:type="pct"/>
            <w:tcBorders>
              <w:left w:val="nil"/>
              <w:right w:val="nil"/>
            </w:tcBorders>
            <w:vAlign w:val="bottom"/>
            <w:hideMark/>
          </w:tcPr>
          <w:p w14:paraId="435FC307" w14:textId="6F4DF35B" w:rsidR="00AC392E" w:rsidRPr="005F6C45" w:rsidRDefault="00AC392E" w:rsidP="00AC392E">
            <w:pPr>
              <w:spacing w:after="0" w:line="240" w:lineRule="auto"/>
              <w:jc w:val="right"/>
              <w:rPr>
                <w:b/>
                <w:bCs/>
                <w:sz w:val="18"/>
                <w:szCs w:val="18"/>
                <w:lang w:eastAsia="sk-SK"/>
              </w:rPr>
            </w:pPr>
            <w:r w:rsidRPr="005F6C45">
              <w:rPr>
                <w:b/>
                <w:bCs/>
                <w:sz w:val="18"/>
                <w:szCs w:val="18"/>
                <w:lang w:eastAsia="sk-SK"/>
              </w:rPr>
              <w:t>2023</w:t>
            </w:r>
          </w:p>
        </w:tc>
        <w:tc>
          <w:tcPr>
            <w:tcW w:w="643" w:type="pct"/>
            <w:tcBorders>
              <w:left w:val="nil"/>
            </w:tcBorders>
            <w:vAlign w:val="bottom"/>
            <w:hideMark/>
          </w:tcPr>
          <w:p w14:paraId="4BC9B271" w14:textId="23381931" w:rsidR="00AC392E" w:rsidRPr="005F6C45" w:rsidRDefault="00AC392E" w:rsidP="00AC392E">
            <w:pPr>
              <w:spacing w:after="0" w:line="240" w:lineRule="auto"/>
              <w:jc w:val="right"/>
              <w:rPr>
                <w:b/>
                <w:bCs/>
                <w:sz w:val="18"/>
                <w:szCs w:val="18"/>
                <w:lang w:eastAsia="sk-SK"/>
              </w:rPr>
            </w:pPr>
            <w:r w:rsidRPr="005F6C45">
              <w:rPr>
                <w:b/>
                <w:bCs/>
                <w:sz w:val="18"/>
                <w:szCs w:val="18"/>
                <w:lang w:eastAsia="sk-SK"/>
              </w:rPr>
              <w:t>Δ2023-2022</w:t>
            </w:r>
          </w:p>
        </w:tc>
      </w:tr>
      <w:tr w:rsidR="00AC392E" w:rsidRPr="005F6C45" w14:paraId="66FD55BF" w14:textId="77777777" w:rsidTr="00373219">
        <w:trPr>
          <w:trHeight w:val="276"/>
          <w:jc w:val="center"/>
        </w:trPr>
        <w:tc>
          <w:tcPr>
            <w:tcW w:w="2520" w:type="pct"/>
            <w:tcBorders>
              <w:bottom w:val="nil"/>
              <w:right w:val="nil"/>
            </w:tcBorders>
            <w:vAlign w:val="center"/>
          </w:tcPr>
          <w:p w14:paraId="1A0134C9" w14:textId="19A1F067" w:rsidR="00AC392E" w:rsidRPr="005F6C45" w:rsidRDefault="00AC392E" w:rsidP="0063052B">
            <w:pPr>
              <w:spacing w:after="0" w:line="240" w:lineRule="auto"/>
              <w:ind w:firstLineChars="300" w:firstLine="540"/>
              <w:rPr>
                <w:color w:val="000000"/>
                <w:sz w:val="18"/>
                <w:szCs w:val="18"/>
                <w:lang w:eastAsia="sk-SK"/>
              </w:rPr>
            </w:pPr>
            <w:r w:rsidRPr="005F6C45">
              <w:rPr>
                <w:color w:val="000000"/>
                <w:sz w:val="18"/>
                <w:szCs w:val="18"/>
                <w:lang w:eastAsia="sk-SK"/>
              </w:rPr>
              <w:t>MF SR v prospech SZRB (§5)</w:t>
            </w:r>
          </w:p>
        </w:tc>
        <w:tc>
          <w:tcPr>
            <w:tcW w:w="612" w:type="pct"/>
            <w:tcBorders>
              <w:left w:val="nil"/>
              <w:bottom w:val="nil"/>
              <w:right w:val="nil"/>
            </w:tcBorders>
            <w:vAlign w:val="center"/>
          </w:tcPr>
          <w:p w14:paraId="3B52C0E9" w14:textId="281F8050"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25 661</w:t>
            </w:r>
          </w:p>
        </w:tc>
        <w:tc>
          <w:tcPr>
            <w:tcW w:w="612" w:type="pct"/>
            <w:tcBorders>
              <w:left w:val="nil"/>
              <w:bottom w:val="nil"/>
              <w:right w:val="nil"/>
            </w:tcBorders>
            <w:vAlign w:val="center"/>
          </w:tcPr>
          <w:p w14:paraId="70BF85D4" w14:textId="64461852"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25 919</w:t>
            </w:r>
          </w:p>
        </w:tc>
        <w:tc>
          <w:tcPr>
            <w:tcW w:w="612" w:type="pct"/>
            <w:tcBorders>
              <w:left w:val="nil"/>
              <w:bottom w:val="nil"/>
              <w:right w:val="nil"/>
            </w:tcBorders>
            <w:vAlign w:val="center"/>
          </w:tcPr>
          <w:p w14:paraId="7E7E1863" w14:textId="166C6549"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24 803</w:t>
            </w:r>
          </w:p>
        </w:tc>
        <w:tc>
          <w:tcPr>
            <w:tcW w:w="643" w:type="pct"/>
            <w:tcBorders>
              <w:left w:val="nil"/>
              <w:bottom w:val="nil"/>
            </w:tcBorders>
            <w:vAlign w:val="center"/>
          </w:tcPr>
          <w:p w14:paraId="467A9044" w14:textId="731D3B7E"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-1 116</w:t>
            </w:r>
          </w:p>
        </w:tc>
      </w:tr>
      <w:tr w:rsidR="00AC392E" w:rsidRPr="005F6C45" w14:paraId="1D28C5F0" w14:textId="77777777" w:rsidTr="00373219">
        <w:trPr>
          <w:trHeight w:val="276"/>
          <w:jc w:val="center"/>
        </w:trPr>
        <w:tc>
          <w:tcPr>
            <w:tcW w:w="2520" w:type="pct"/>
            <w:tcBorders>
              <w:top w:val="nil"/>
              <w:bottom w:val="nil"/>
              <w:right w:val="nil"/>
            </w:tcBorders>
            <w:vAlign w:val="center"/>
          </w:tcPr>
          <w:p w14:paraId="1FCF6072" w14:textId="71D2B826" w:rsidR="00AC392E" w:rsidRPr="005F6C45" w:rsidRDefault="00AC392E" w:rsidP="0063052B">
            <w:pPr>
              <w:spacing w:after="0" w:line="240" w:lineRule="auto"/>
              <w:ind w:firstLineChars="300" w:firstLine="540"/>
              <w:rPr>
                <w:color w:val="000000"/>
                <w:sz w:val="18"/>
                <w:szCs w:val="18"/>
                <w:lang w:eastAsia="sk-SK"/>
              </w:rPr>
            </w:pPr>
            <w:r w:rsidRPr="005F6C45">
              <w:rPr>
                <w:color w:val="000000"/>
                <w:sz w:val="18"/>
                <w:szCs w:val="18"/>
                <w:lang w:eastAsia="sk-SK"/>
              </w:rPr>
              <w:t>MF SR v prospech E</w:t>
            </w:r>
            <w:r w:rsidR="0063052B">
              <w:rPr>
                <w:color w:val="000000"/>
                <w:sz w:val="18"/>
                <w:szCs w:val="18"/>
                <w:lang w:eastAsia="sk-SK"/>
              </w:rPr>
              <w:t>ximbanky SR</w:t>
            </w:r>
            <w:r w:rsidRPr="005F6C45">
              <w:rPr>
                <w:color w:val="000000"/>
                <w:sz w:val="18"/>
                <w:szCs w:val="18"/>
                <w:lang w:eastAsia="sk-SK"/>
              </w:rPr>
              <w:t xml:space="preserve"> (§25)</w:t>
            </w:r>
          </w:p>
        </w:tc>
        <w:tc>
          <w:tcPr>
            <w:tcW w:w="612" w:type="pct"/>
            <w:tcBorders>
              <w:top w:val="nil"/>
              <w:left w:val="nil"/>
              <w:bottom w:val="nil"/>
              <w:right w:val="nil"/>
            </w:tcBorders>
            <w:vAlign w:val="center"/>
          </w:tcPr>
          <w:p w14:paraId="71B3CA01" w14:textId="2CD1D704"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24 000</w:t>
            </w:r>
          </w:p>
        </w:tc>
        <w:tc>
          <w:tcPr>
            <w:tcW w:w="612" w:type="pct"/>
            <w:tcBorders>
              <w:top w:val="nil"/>
              <w:left w:val="nil"/>
              <w:bottom w:val="nil"/>
              <w:right w:val="nil"/>
            </w:tcBorders>
            <w:vAlign w:val="center"/>
          </w:tcPr>
          <w:p w14:paraId="19598B57" w14:textId="72DA4CCE"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21 760</w:t>
            </w:r>
          </w:p>
        </w:tc>
        <w:tc>
          <w:tcPr>
            <w:tcW w:w="612" w:type="pct"/>
            <w:tcBorders>
              <w:top w:val="nil"/>
              <w:left w:val="nil"/>
              <w:bottom w:val="nil"/>
              <w:right w:val="nil"/>
            </w:tcBorders>
            <w:vAlign w:val="center"/>
          </w:tcPr>
          <w:p w14:paraId="1B434F91" w14:textId="05F67EB3"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19 304</w:t>
            </w:r>
          </w:p>
        </w:tc>
        <w:tc>
          <w:tcPr>
            <w:tcW w:w="643" w:type="pct"/>
            <w:tcBorders>
              <w:top w:val="nil"/>
              <w:left w:val="nil"/>
              <w:bottom w:val="nil"/>
            </w:tcBorders>
            <w:vAlign w:val="center"/>
          </w:tcPr>
          <w:p w14:paraId="005021AE" w14:textId="0344D326"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-2 456</w:t>
            </w:r>
          </w:p>
        </w:tc>
      </w:tr>
      <w:tr w:rsidR="00AC392E" w:rsidRPr="005F6C45" w14:paraId="734D2FE9" w14:textId="77777777" w:rsidTr="00373219">
        <w:trPr>
          <w:trHeight w:val="276"/>
          <w:jc w:val="center"/>
        </w:trPr>
        <w:tc>
          <w:tcPr>
            <w:tcW w:w="2520" w:type="pct"/>
            <w:tcBorders>
              <w:top w:val="nil"/>
              <w:bottom w:val="nil"/>
              <w:right w:val="nil"/>
            </w:tcBorders>
            <w:noWrap/>
            <w:vAlign w:val="center"/>
          </w:tcPr>
          <w:p w14:paraId="403E44BB" w14:textId="49511A4A" w:rsidR="00AC392E" w:rsidRPr="005F6C45" w:rsidRDefault="00AC392E" w:rsidP="0063052B">
            <w:pPr>
              <w:spacing w:after="0" w:line="240" w:lineRule="auto"/>
              <w:ind w:firstLineChars="300" w:firstLine="540"/>
              <w:rPr>
                <w:color w:val="000000"/>
                <w:sz w:val="18"/>
                <w:szCs w:val="18"/>
                <w:lang w:eastAsia="sk-SK"/>
              </w:rPr>
            </w:pPr>
            <w:r w:rsidRPr="005F6C45">
              <w:rPr>
                <w:color w:val="000000"/>
                <w:sz w:val="18"/>
                <w:szCs w:val="18"/>
                <w:lang w:eastAsia="sk-SK"/>
              </w:rPr>
              <w:t>MF SR v prospech E</w:t>
            </w:r>
            <w:r w:rsidR="0063052B">
              <w:rPr>
                <w:color w:val="000000"/>
                <w:sz w:val="18"/>
                <w:szCs w:val="18"/>
                <w:lang w:eastAsia="sk-SK"/>
              </w:rPr>
              <w:t>ximbanky SR</w:t>
            </w:r>
            <w:r w:rsidRPr="005F6C45">
              <w:rPr>
                <w:color w:val="000000"/>
                <w:sz w:val="18"/>
                <w:szCs w:val="18"/>
                <w:lang w:eastAsia="sk-SK"/>
              </w:rPr>
              <w:t xml:space="preserve"> (§25a)</w:t>
            </w:r>
          </w:p>
        </w:tc>
        <w:tc>
          <w:tcPr>
            <w:tcW w:w="612" w:type="pct"/>
            <w:tcBorders>
              <w:top w:val="nil"/>
              <w:left w:val="nil"/>
              <w:bottom w:val="nil"/>
              <w:right w:val="nil"/>
            </w:tcBorders>
            <w:vAlign w:val="center"/>
          </w:tcPr>
          <w:p w14:paraId="2FDF992B" w14:textId="7AC2CA3F"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40 879</w:t>
            </w:r>
          </w:p>
        </w:tc>
        <w:tc>
          <w:tcPr>
            <w:tcW w:w="612" w:type="pct"/>
            <w:tcBorders>
              <w:top w:val="nil"/>
              <w:left w:val="nil"/>
              <w:bottom w:val="nil"/>
              <w:right w:val="nil"/>
            </w:tcBorders>
            <w:vAlign w:val="center"/>
          </w:tcPr>
          <w:p w14:paraId="3003DB4B" w14:textId="30D5E8AA"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30 116</w:t>
            </w:r>
          </w:p>
        </w:tc>
        <w:tc>
          <w:tcPr>
            <w:tcW w:w="612" w:type="pct"/>
            <w:tcBorders>
              <w:top w:val="nil"/>
              <w:left w:val="nil"/>
              <w:bottom w:val="nil"/>
              <w:right w:val="nil"/>
            </w:tcBorders>
            <w:vAlign w:val="center"/>
          </w:tcPr>
          <w:p w14:paraId="1F008977" w14:textId="02B7441D"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24 794</w:t>
            </w:r>
          </w:p>
        </w:tc>
        <w:tc>
          <w:tcPr>
            <w:tcW w:w="643" w:type="pct"/>
            <w:tcBorders>
              <w:top w:val="nil"/>
              <w:left w:val="nil"/>
              <w:bottom w:val="nil"/>
            </w:tcBorders>
            <w:vAlign w:val="center"/>
          </w:tcPr>
          <w:p w14:paraId="72A65D10" w14:textId="23F0DB53"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-5 322</w:t>
            </w:r>
          </w:p>
        </w:tc>
      </w:tr>
      <w:tr w:rsidR="00AC392E" w:rsidRPr="005F6C45" w14:paraId="58F04BF7" w14:textId="77777777" w:rsidTr="00373219">
        <w:trPr>
          <w:trHeight w:val="276"/>
          <w:jc w:val="center"/>
        </w:trPr>
        <w:tc>
          <w:tcPr>
            <w:tcW w:w="2520" w:type="pct"/>
            <w:tcBorders>
              <w:top w:val="nil"/>
              <w:bottom w:val="nil"/>
              <w:right w:val="nil"/>
            </w:tcBorders>
            <w:vAlign w:val="center"/>
          </w:tcPr>
          <w:p w14:paraId="7333FCA5" w14:textId="77777777" w:rsidR="00AC392E" w:rsidRPr="005F6C45" w:rsidRDefault="00AC392E" w:rsidP="00AC392E">
            <w:pPr>
              <w:spacing w:after="0" w:line="240" w:lineRule="auto"/>
              <w:ind w:firstLineChars="300" w:firstLine="540"/>
              <w:rPr>
                <w:color w:val="000000"/>
                <w:sz w:val="18"/>
                <w:szCs w:val="18"/>
                <w:lang w:eastAsia="sk-SK"/>
              </w:rPr>
            </w:pPr>
            <w:r w:rsidRPr="005F6C45">
              <w:rPr>
                <w:color w:val="000000"/>
                <w:sz w:val="18"/>
                <w:szCs w:val="18"/>
                <w:lang w:eastAsia="sk-SK"/>
              </w:rPr>
              <w:t>MF SR v prospech NDF I (§25a)</w:t>
            </w:r>
          </w:p>
        </w:tc>
        <w:tc>
          <w:tcPr>
            <w:tcW w:w="612" w:type="pct"/>
            <w:tcBorders>
              <w:top w:val="nil"/>
              <w:left w:val="nil"/>
              <w:bottom w:val="nil"/>
              <w:right w:val="nil"/>
            </w:tcBorders>
            <w:vAlign w:val="center"/>
          </w:tcPr>
          <w:p w14:paraId="2C7041A6" w14:textId="218DAAC3"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322 582</w:t>
            </w:r>
          </w:p>
        </w:tc>
        <w:tc>
          <w:tcPr>
            <w:tcW w:w="612" w:type="pct"/>
            <w:tcBorders>
              <w:top w:val="nil"/>
              <w:left w:val="nil"/>
              <w:bottom w:val="nil"/>
              <w:right w:val="nil"/>
            </w:tcBorders>
            <w:vAlign w:val="center"/>
          </w:tcPr>
          <w:p w14:paraId="699352F2" w14:textId="76D32E33"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238 506</w:t>
            </w:r>
          </w:p>
        </w:tc>
        <w:tc>
          <w:tcPr>
            <w:tcW w:w="612" w:type="pct"/>
            <w:tcBorders>
              <w:top w:val="nil"/>
              <w:left w:val="nil"/>
              <w:bottom w:val="nil"/>
              <w:right w:val="nil"/>
            </w:tcBorders>
            <w:vAlign w:val="center"/>
          </w:tcPr>
          <w:p w14:paraId="53E1FF5B" w14:textId="06476665"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163 666</w:t>
            </w:r>
          </w:p>
        </w:tc>
        <w:tc>
          <w:tcPr>
            <w:tcW w:w="643" w:type="pct"/>
            <w:tcBorders>
              <w:top w:val="nil"/>
              <w:left w:val="nil"/>
              <w:bottom w:val="nil"/>
            </w:tcBorders>
            <w:vAlign w:val="center"/>
          </w:tcPr>
          <w:p w14:paraId="200E200D" w14:textId="546AF621"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-74 840</w:t>
            </w:r>
          </w:p>
        </w:tc>
      </w:tr>
      <w:tr w:rsidR="00AC392E" w:rsidRPr="005F6C45" w14:paraId="36101F1F" w14:textId="77777777" w:rsidTr="00373219">
        <w:trPr>
          <w:trHeight w:val="276"/>
          <w:jc w:val="center"/>
        </w:trPr>
        <w:tc>
          <w:tcPr>
            <w:tcW w:w="2520" w:type="pct"/>
            <w:tcBorders>
              <w:top w:val="nil"/>
              <w:right w:val="nil"/>
            </w:tcBorders>
            <w:vAlign w:val="center"/>
          </w:tcPr>
          <w:p w14:paraId="159F3A3E" w14:textId="77777777" w:rsidR="00AC392E" w:rsidRPr="005F6C45" w:rsidRDefault="00AC392E" w:rsidP="00AC392E">
            <w:pPr>
              <w:spacing w:after="0" w:line="240" w:lineRule="auto"/>
              <w:ind w:firstLineChars="300" w:firstLine="540"/>
              <w:rPr>
                <w:color w:val="000000"/>
                <w:sz w:val="18"/>
                <w:szCs w:val="18"/>
                <w:lang w:eastAsia="sk-SK"/>
              </w:rPr>
            </w:pPr>
            <w:r w:rsidRPr="005F6C45">
              <w:rPr>
                <w:color w:val="000000"/>
                <w:sz w:val="18"/>
                <w:szCs w:val="18"/>
                <w:lang w:eastAsia="sk-SK"/>
              </w:rPr>
              <w:t>NDF II v prospech tretích strán (§25a)</w:t>
            </w:r>
          </w:p>
        </w:tc>
        <w:tc>
          <w:tcPr>
            <w:tcW w:w="612" w:type="pct"/>
            <w:tcBorders>
              <w:top w:val="nil"/>
              <w:left w:val="nil"/>
              <w:right w:val="nil"/>
            </w:tcBorders>
            <w:vAlign w:val="center"/>
          </w:tcPr>
          <w:p w14:paraId="188A2B80" w14:textId="5E80FA22"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381 410</w:t>
            </w:r>
          </w:p>
        </w:tc>
        <w:tc>
          <w:tcPr>
            <w:tcW w:w="612" w:type="pct"/>
            <w:tcBorders>
              <w:top w:val="nil"/>
              <w:left w:val="nil"/>
              <w:right w:val="nil"/>
            </w:tcBorders>
            <w:vAlign w:val="center"/>
          </w:tcPr>
          <w:p w14:paraId="07B39237" w14:textId="10606F2D"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365 392</w:t>
            </w:r>
          </w:p>
        </w:tc>
        <w:tc>
          <w:tcPr>
            <w:tcW w:w="612" w:type="pct"/>
            <w:tcBorders>
              <w:top w:val="nil"/>
              <w:left w:val="nil"/>
              <w:right w:val="nil"/>
            </w:tcBorders>
            <w:vAlign w:val="center"/>
          </w:tcPr>
          <w:p w14:paraId="0EFCEAC0" w14:textId="35BA8126"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461 226</w:t>
            </w:r>
          </w:p>
        </w:tc>
        <w:tc>
          <w:tcPr>
            <w:tcW w:w="643" w:type="pct"/>
            <w:tcBorders>
              <w:top w:val="nil"/>
              <w:left w:val="nil"/>
            </w:tcBorders>
            <w:vAlign w:val="center"/>
          </w:tcPr>
          <w:p w14:paraId="17C68605" w14:textId="4FDD22E0" w:rsidR="00AC392E" w:rsidRPr="005F6C45" w:rsidRDefault="00AC392E" w:rsidP="00AC392E">
            <w:pPr>
              <w:spacing w:after="0" w:line="240" w:lineRule="auto"/>
              <w:jc w:val="right"/>
              <w:rPr>
                <w:color w:val="000000"/>
                <w:sz w:val="18"/>
                <w:szCs w:val="18"/>
                <w:lang w:eastAsia="sk-SK"/>
              </w:rPr>
            </w:pPr>
            <w:r w:rsidRPr="005F6C45">
              <w:rPr>
                <w:color w:val="000000"/>
                <w:sz w:val="18"/>
                <w:szCs w:val="18"/>
                <w:lang w:eastAsia="sk-SK"/>
              </w:rPr>
              <w:t>95 834</w:t>
            </w:r>
          </w:p>
        </w:tc>
      </w:tr>
      <w:tr w:rsidR="00AC392E" w:rsidRPr="002746C4" w14:paraId="2EC9B047" w14:textId="77777777" w:rsidTr="00373219">
        <w:trPr>
          <w:trHeight w:val="276"/>
          <w:jc w:val="center"/>
        </w:trPr>
        <w:tc>
          <w:tcPr>
            <w:tcW w:w="2520" w:type="pct"/>
            <w:tcBorders>
              <w:right w:val="nil"/>
            </w:tcBorders>
            <w:vAlign w:val="center"/>
          </w:tcPr>
          <w:p w14:paraId="2386AFAC" w14:textId="77777777" w:rsidR="00AC392E" w:rsidRPr="005F6C45" w:rsidRDefault="00AC392E" w:rsidP="00AC392E">
            <w:pPr>
              <w:spacing w:after="0" w:line="240" w:lineRule="auto"/>
              <w:rPr>
                <w:b/>
                <w:bCs/>
                <w:color w:val="000000"/>
                <w:sz w:val="18"/>
                <w:szCs w:val="18"/>
                <w:lang w:eastAsia="sk-SK"/>
              </w:rPr>
            </w:pPr>
            <w:r w:rsidRPr="005F6C45">
              <w:rPr>
                <w:b/>
                <w:bCs/>
                <w:color w:val="000000"/>
                <w:sz w:val="18"/>
                <w:szCs w:val="18"/>
                <w:lang w:eastAsia="sk-SK"/>
              </w:rPr>
              <w:t xml:space="preserve">Spolu  </w:t>
            </w:r>
          </w:p>
        </w:tc>
        <w:tc>
          <w:tcPr>
            <w:tcW w:w="612" w:type="pct"/>
            <w:tcBorders>
              <w:left w:val="nil"/>
              <w:right w:val="nil"/>
            </w:tcBorders>
            <w:vAlign w:val="center"/>
          </w:tcPr>
          <w:p w14:paraId="010E10EF" w14:textId="319F36E6" w:rsidR="00AC392E" w:rsidRPr="005F6C45" w:rsidRDefault="00AC392E" w:rsidP="00AC392E">
            <w:pPr>
              <w:spacing w:after="0" w:line="240" w:lineRule="auto"/>
              <w:jc w:val="right"/>
              <w:rPr>
                <w:b/>
                <w:color w:val="000000"/>
                <w:sz w:val="18"/>
                <w:szCs w:val="18"/>
                <w:lang w:eastAsia="sk-SK"/>
              </w:rPr>
            </w:pPr>
            <w:r w:rsidRPr="005F6C45">
              <w:rPr>
                <w:b/>
                <w:bCs/>
                <w:color w:val="000000"/>
                <w:sz w:val="18"/>
                <w:szCs w:val="18"/>
                <w:lang w:eastAsia="sk-SK"/>
              </w:rPr>
              <w:t>794 532</w:t>
            </w:r>
          </w:p>
        </w:tc>
        <w:tc>
          <w:tcPr>
            <w:tcW w:w="612" w:type="pct"/>
            <w:tcBorders>
              <w:left w:val="nil"/>
              <w:right w:val="nil"/>
            </w:tcBorders>
            <w:vAlign w:val="center"/>
          </w:tcPr>
          <w:p w14:paraId="13AC6430" w14:textId="4923EA8A" w:rsidR="00AC392E" w:rsidRPr="005F6C45" w:rsidRDefault="00AC392E" w:rsidP="00AC392E">
            <w:pPr>
              <w:spacing w:after="0" w:line="240" w:lineRule="auto"/>
              <w:jc w:val="right"/>
              <w:rPr>
                <w:b/>
                <w:bCs/>
                <w:color w:val="000000"/>
                <w:sz w:val="18"/>
                <w:szCs w:val="18"/>
                <w:lang w:eastAsia="sk-SK"/>
              </w:rPr>
            </w:pPr>
            <w:r w:rsidRPr="005F6C45">
              <w:rPr>
                <w:b/>
                <w:bCs/>
                <w:color w:val="000000"/>
                <w:sz w:val="18"/>
                <w:szCs w:val="18"/>
                <w:lang w:eastAsia="sk-SK"/>
              </w:rPr>
              <w:t>681 693</w:t>
            </w:r>
          </w:p>
        </w:tc>
        <w:tc>
          <w:tcPr>
            <w:tcW w:w="612" w:type="pct"/>
            <w:tcBorders>
              <w:left w:val="nil"/>
              <w:right w:val="nil"/>
            </w:tcBorders>
            <w:vAlign w:val="center"/>
          </w:tcPr>
          <w:p w14:paraId="578C443A" w14:textId="788F996B" w:rsidR="00AC392E" w:rsidRPr="005F6C45" w:rsidRDefault="00AC392E" w:rsidP="00AC392E">
            <w:pPr>
              <w:spacing w:after="0" w:line="240" w:lineRule="auto"/>
              <w:jc w:val="right"/>
              <w:rPr>
                <w:b/>
                <w:bCs/>
                <w:color w:val="000000"/>
                <w:sz w:val="18"/>
                <w:szCs w:val="18"/>
                <w:lang w:eastAsia="sk-SK"/>
              </w:rPr>
            </w:pPr>
            <w:r w:rsidRPr="005F6C45">
              <w:rPr>
                <w:b/>
                <w:bCs/>
                <w:color w:val="000000"/>
                <w:sz w:val="18"/>
                <w:szCs w:val="18"/>
                <w:lang w:eastAsia="sk-SK"/>
              </w:rPr>
              <w:t>693 793</w:t>
            </w:r>
          </w:p>
        </w:tc>
        <w:tc>
          <w:tcPr>
            <w:tcW w:w="643" w:type="pct"/>
            <w:tcBorders>
              <w:left w:val="nil"/>
            </w:tcBorders>
            <w:vAlign w:val="center"/>
          </w:tcPr>
          <w:p w14:paraId="3B2252A7" w14:textId="155BC1F6" w:rsidR="00AC392E" w:rsidRPr="005F6C45" w:rsidRDefault="00AC392E" w:rsidP="00AC392E">
            <w:pPr>
              <w:spacing w:after="0" w:line="240" w:lineRule="auto"/>
              <w:jc w:val="right"/>
              <w:rPr>
                <w:b/>
                <w:bCs/>
                <w:color w:val="000000"/>
                <w:sz w:val="18"/>
                <w:szCs w:val="18"/>
                <w:lang w:eastAsia="sk-SK"/>
              </w:rPr>
            </w:pPr>
            <w:r w:rsidRPr="005F6C45">
              <w:rPr>
                <w:b/>
                <w:bCs/>
                <w:color w:val="000000"/>
                <w:sz w:val="18"/>
                <w:szCs w:val="18"/>
                <w:lang w:eastAsia="sk-SK"/>
              </w:rPr>
              <w:t>12 100</w:t>
            </w:r>
          </w:p>
        </w:tc>
      </w:tr>
    </w:tbl>
    <w:p w14:paraId="0A7C64F2" w14:textId="236DA60F" w:rsidR="001768B9" w:rsidRDefault="00AC392E" w:rsidP="00AC392E">
      <w:pPr>
        <w:spacing w:after="0" w:line="240" w:lineRule="auto"/>
        <w:ind w:left="7090" w:firstLine="709"/>
        <w:jc w:val="both"/>
        <w:rPr>
          <w:sz w:val="16"/>
          <w:szCs w:val="16"/>
        </w:rPr>
      </w:pPr>
      <w:r>
        <w:rPr>
          <w:sz w:val="16"/>
          <w:szCs w:val="16"/>
        </w:rPr>
        <w:t xml:space="preserve">  </w:t>
      </w:r>
      <w:r w:rsidRPr="0055304A">
        <w:rPr>
          <w:sz w:val="16"/>
          <w:szCs w:val="16"/>
        </w:rPr>
        <w:t>Zdroj: databáza MFSR</w:t>
      </w:r>
    </w:p>
    <w:p w14:paraId="31E95025" w14:textId="77777777" w:rsidR="00AC392E" w:rsidRPr="00AC392E" w:rsidRDefault="00AC392E" w:rsidP="001768B9">
      <w:pPr>
        <w:spacing w:after="0" w:line="240" w:lineRule="auto"/>
        <w:jc w:val="both"/>
        <w:rPr>
          <w:b/>
          <w:bCs/>
          <w:szCs w:val="22"/>
          <w:highlight w:val="yellow"/>
        </w:rPr>
      </w:pPr>
    </w:p>
    <w:p w14:paraId="3365CE4E" w14:textId="176B03C5" w:rsidR="001D70BF" w:rsidRPr="0055304A" w:rsidRDefault="001D70BF" w:rsidP="001D70BF">
      <w:pPr>
        <w:spacing w:after="0" w:line="240" w:lineRule="auto"/>
        <w:jc w:val="both"/>
        <w:rPr>
          <w:bCs/>
          <w:szCs w:val="22"/>
        </w:rPr>
      </w:pPr>
      <w:r w:rsidRPr="0055304A">
        <w:rPr>
          <w:bCs/>
          <w:szCs w:val="22"/>
        </w:rPr>
        <w:t>Po abstrahovaní záruk vystavených Ministerstvom financií SR v prospech iných subjektov verejnej správy (Eximbanka</w:t>
      </w:r>
      <w:r w:rsidR="0063052B">
        <w:rPr>
          <w:bCs/>
          <w:szCs w:val="22"/>
        </w:rPr>
        <w:t xml:space="preserve"> SR</w:t>
      </w:r>
      <w:r w:rsidRPr="0055304A">
        <w:rPr>
          <w:bCs/>
          <w:szCs w:val="22"/>
        </w:rPr>
        <w:t>, SZRB a</w:t>
      </w:r>
      <w:r w:rsidR="001E7DBD">
        <w:rPr>
          <w:bCs/>
          <w:szCs w:val="22"/>
        </w:rPr>
        <w:t> </w:t>
      </w:r>
      <w:r w:rsidRPr="0055304A">
        <w:rPr>
          <w:bCs/>
          <w:szCs w:val="22"/>
        </w:rPr>
        <w:t>NDF</w:t>
      </w:r>
      <w:r w:rsidR="001E7DBD">
        <w:rPr>
          <w:bCs/>
          <w:szCs w:val="22"/>
        </w:rPr>
        <w:t> </w:t>
      </w:r>
      <w:r w:rsidRPr="0055304A">
        <w:rPr>
          <w:bCs/>
          <w:szCs w:val="22"/>
        </w:rPr>
        <w:t xml:space="preserve">I) je hodnota </w:t>
      </w:r>
      <w:r w:rsidR="002E1E76">
        <w:rPr>
          <w:bCs/>
          <w:szCs w:val="22"/>
        </w:rPr>
        <w:t>COVID-19</w:t>
      </w:r>
      <w:r w:rsidRPr="0055304A">
        <w:rPr>
          <w:bCs/>
          <w:szCs w:val="22"/>
        </w:rPr>
        <w:t xml:space="preserve"> záruk k 31.12.2023 na úrovni 461</w:t>
      </w:r>
      <w:r w:rsidR="001E7DBD">
        <w:rPr>
          <w:bCs/>
          <w:szCs w:val="22"/>
        </w:rPr>
        <w:t> </w:t>
      </w:r>
      <w:r w:rsidRPr="0055304A">
        <w:rPr>
          <w:bCs/>
          <w:szCs w:val="22"/>
        </w:rPr>
        <w:t>226</w:t>
      </w:r>
      <w:r w:rsidR="001E7DBD">
        <w:rPr>
          <w:bCs/>
          <w:szCs w:val="22"/>
        </w:rPr>
        <w:t> </w:t>
      </w:r>
      <w:r w:rsidRPr="0055304A">
        <w:rPr>
          <w:bCs/>
          <w:szCs w:val="22"/>
        </w:rPr>
        <w:t>tis.</w:t>
      </w:r>
      <w:r w:rsidR="001E7DBD">
        <w:rPr>
          <w:bCs/>
          <w:szCs w:val="22"/>
        </w:rPr>
        <w:t> </w:t>
      </w:r>
      <w:r w:rsidRPr="0055304A">
        <w:rPr>
          <w:bCs/>
          <w:szCs w:val="22"/>
        </w:rPr>
        <w:t>eur.</w:t>
      </w:r>
    </w:p>
    <w:p w14:paraId="63A860FF" w14:textId="77777777" w:rsidR="001D70BF" w:rsidRPr="0055304A" w:rsidRDefault="001D70BF" w:rsidP="001D70BF">
      <w:pPr>
        <w:spacing w:after="0" w:line="240" w:lineRule="auto"/>
        <w:jc w:val="both"/>
        <w:rPr>
          <w:bCs/>
          <w:szCs w:val="22"/>
        </w:rPr>
      </w:pPr>
      <w:r w:rsidRPr="0055304A">
        <w:rPr>
          <w:bCs/>
          <w:szCs w:val="22"/>
        </w:rPr>
        <w:t xml:space="preserve"> </w:t>
      </w:r>
    </w:p>
    <w:p w14:paraId="4D9E0E99" w14:textId="1075AFF0" w:rsidR="001D70BF" w:rsidRPr="0055304A" w:rsidRDefault="001D70BF" w:rsidP="001D70BF">
      <w:pPr>
        <w:spacing w:after="0" w:line="240" w:lineRule="auto"/>
        <w:contextualSpacing/>
        <w:jc w:val="both"/>
        <w:rPr>
          <w:szCs w:val="22"/>
          <w:lang w:eastAsia="sk-SK"/>
        </w:rPr>
      </w:pPr>
      <w:r w:rsidRPr="0055304A">
        <w:rPr>
          <w:szCs w:val="22"/>
          <w:lang w:eastAsia="sk-SK"/>
        </w:rPr>
        <w:t>Obdobne aj</w:t>
      </w:r>
      <w:r w:rsidRPr="0055304A">
        <w:rPr>
          <w:b/>
          <w:szCs w:val="22"/>
          <w:lang w:eastAsia="sk-SK"/>
        </w:rPr>
        <w:t xml:space="preserve"> Ex</w:t>
      </w:r>
      <w:r w:rsidR="0063052B">
        <w:rPr>
          <w:b/>
          <w:szCs w:val="22"/>
          <w:lang w:eastAsia="sk-SK"/>
        </w:rPr>
        <w:t>im</w:t>
      </w:r>
      <w:r w:rsidRPr="0055304A">
        <w:rPr>
          <w:b/>
          <w:szCs w:val="22"/>
          <w:lang w:eastAsia="sk-SK"/>
        </w:rPr>
        <w:t>banka S</w:t>
      </w:r>
      <w:r w:rsidR="0063052B">
        <w:rPr>
          <w:b/>
          <w:szCs w:val="22"/>
          <w:lang w:eastAsia="sk-SK"/>
        </w:rPr>
        <w:t>R</w:t>
      </w:r>
      <w:r w:rsidRPr="0055304A">
        <w:rPr>
          <w:szCs w:val="22"/>
          <w:lang w:eastAsia="sk-SK"/>
        </w:rPr>
        <w:t xml:space="preserve"> vykazuje v iných pasívach hodnotu poskytnutých záruk 263</w:t>
      </w:r>
      <w:r w:rsidR="001E7DBD">
        <w:rPr>
          <w:szCs w:val="22"/>
          <w:lang w:eastAsia="sk-SK"/>
        </w:rPr>
        <w:t> </w:t>
      </w:r>
      <w:r w:rsidRPr="0055304A">
        <w:rPr>
          <w:szCs w:val="22"/>
          <w:lang w:eastAsia="sk-SK"/>
        </w:rPr>
        <w:t>962</w:t>
      </w:r>
      <w:r w:rsidR="001E7DBD">
        <w:rPr>
          <w:szCs w:val="22"/>
          <w:lang w:eastAsia="sk-SK"/>
        </w:rPr>
        <w:t> </w:t>
      </w:r>
      <w:r w:rsidRPr="0055304A">
        <w:rPr>
          <w:szCs w:val="22"/>
          <w:lang w:eastAsia="sk-SK"/>
        </w:rPr>
        <w:t>tis.</w:t>
      </w:r>
      <w:r w:rsidR="001E7DBD">
        <w:rPr>
          <w:szCs w:val="22"/>
          <w:lang w:eastAsia="sk-SK"/>
        </w:rPr>
        <w:t> </w:t>
      </w:r>
      <w:r w:rsidRPr="0055304A">
        <w:rPr>
          <w:szCs w:val="22"/>
          <w:lang w:eastAsia="sk-SK"/>
        </w:rPr>
        <w:t>eur, v tom bankové záruky 220</w:t>
      </w:r>
      <w:r w:rsidR="001E7DBD">
        <w:rPr>
          <w:szCs w:val="22"/>
          <w:lang w:eastAsia="sk-SK"/>
        </w:rPr>
        <w:t> </w:t>
      </w:r>
      <w:r w:rsidRPr="0055304A">
        <w:rPr>
          <w:szCs w:val="22"/>
          <w:lang w:eastAsia="sk-SK"/>
        </w:rPr>
        <w:t>487</w:t>
      </w:r>
      <w:r w:rsidR="001E7DBD">
        <w:rPr>
          <w:szCs w:val="22"/>
          <w:lang w:eastAsia="sk-SK"/>
        </w:rPr>
        <w:t> </w:t>
      </w:r>
      <w:r w:rsidRPr="0055304A">
        <w:rPr>
          <w:szCs w:val="22"/>
          <w:lang w:eastAsia="sk-SK"/>
        </w:rPr>
        <w:t>tis.</w:t>
      </w:r>
      <w:r w:rsidR="001E7DBD">
        <w:rPr>
          <w:szCs w:val="22"/>
          <w:lang w:eastAsia="sk-SK"/>
        </w:rPr>
        <w:t> </w:t>
      </w:r>
      <w:r w:rsidRPr="0055304A">
        <w:rPr>
          <w:szCs w:val="22"/>
          <w:lang w:eastAsia="sk-SK"/>
        </w:rPr>
        <w:t xml:space="preserve">eur, </w:t>
      </w:r>
      <w:r w:rsidR="001E7DBD">
        <w:rPr>
          <w:szCs w:val="22"/>
          <w:lang w:eastAsia="sk-SK"/>
        </w:rPr>
        <w:t>poskytnuté budúce záruky 18 679 </w:t>
      </w:r>
      <w:r w:rsidRPr="0055304A">
        <w:rPr>
          <w:szCs w:val="22"/>
          <w:lang w:eastAsia="sk-SK"/>
        </w:rPr>
        <w:t>tis.</w:t>
      </w:r>
      <w:r w:rsidR="001E7DBD">
        <w:rPr>
          <w:szCs w:val="22"/>
          <w:lang w:eastAsia="sk-SK"/>
        </w:rPr>
        <w:t> </w:t>
      </w:r>
      <w:r w:rsidRPr="0055304A">
        <w:rPr>
          <w:szCs w:val="22"/>
          <w:lang w:eastAsia="sk-SK"/>
        </w:rPr>
        <w:t>eur a záruky v súvislosti s</w:t>
      </w:r>
      <w:r w:rsidR="00970EC7">
        <w:rPr>
          <w:szCs w:val="22"/>
          <w:lang w:eastAsia="sk-SK"/>
        </w:rPr>
        <w:t> </w:t>
      </w:r>
      <w:r w:rsidRPr="0055304A">
        <w:rPr>
          <w:szCs w:val="22"/>
          <w:lang w:eastAsia="sk-SK"/>
        </w:rPr>
        <w:t>opatreniami na zmiernenie do</w:t>
      </w:r>
      <w:r w:rsidR="001E7DBD">
        <w:rPr>
          <w:szCs w:val="22"/>
          <w:lang w:eastAsia="sk-SK"/>
        </w:rPr>
        <w:t xml:space="preserve">padov pandémie COVID-19 v sume </w:t>
      </w:r>
      <w:r w:rsidRPr="0055304A">
        <w:rPr>
          <w:szCs w:val="22"/>
          <w:lang w:eastAsia="sk-SK"/>
        </w:rPr>
        <w:t>24</w:t>
      </w:r>
      <w:r w:rsidR="001E7DBD">
        <w:rPr>
          <w:szCs w:val="22"/>
          <w:lang w:eastAsia="sk-SK"/>
        </w:rPr>
        <w:t> </w:t>
      </w:r>
      <w:r w:rsidRPr="0055304A">
        <w:rPr>
          <w:szCs w:val="22"/>
          <w:lang w:eastAsia="sk-SK"/>
        </w:rPr>
        <w:t>794</w:t>
      </w:r>
      <w:r w:rsidR="001E7DBD">
        <w:rPr>
          <w:szCs w:val="22"/>
          <w:lang w:eastAsia="sk-SK"/>
        </w:rPr>
        <w:t> </w:t>
      </w:r>
      <w:r w:rsidRPr="0055304A">
        <w:rPr>
          <w:szCs w:val="22"/>
          <w:lang w:eastAsia="sk-SK"/>
        </w:rPr>
        <w:t>tis.</w:t>
      </w:r>
      <w:r w:rsidR="001E7DBD">
        <w:rPr>
          <w:szCs w:val="22"/>
          <w:lang w:eastAsia="sk-SK"/>
        </w:rPr>
        <w:t> </w:t>
      </w:r>
      <w:r w:rsidRPr="0055304A">
        <w:rPr>
          <w:szCs w:val="22"/>
          <w:lang w:eastAsia="sk-SK"/>
        </w:rPr>
        <w:t>eur.</w:t>
      </w:r>
    </w:p>
    <w:p w14:paraId="43A2D601" w14:textId="77777777" w:rsidR="001D70BF" w:rsidRPr="0055304A" w:rsidRDefault="001D70BF" w:rsidP="001D70BF">
      <w:pPr>
        <w:spacing w:after="0" w:line="240" w:lineRule="auto"/>
        <w:contextualSpacing/>
        <w:jc w:val="both"/>
        <w:rPr>
          <w:b/>
          <w:szCs w:val="22"/>
          <w:lang w:eastAsia="sk-SK"/>
        </w:rPr>
      </w:pPr>
    </w:p>
    <w:p w14:paraId="58F8B6B5" w14:textId="73D33841" w:rsidR="001D70BF" w:rsidRPr="0055304A" w:rsidRDefault="001D70BF" w:rsidP="001D70BF">
      <w:pPr>
        <w:spacing w:after="0" w:line="240" w:lineRule="auto"/>
        <w:contextualSpacing/>
        <w:jc w:val="both"/>
        <w:rPr>
          <w:szCs w:val="22"/>
          <w:lang w:eastAsia="sk-SK"/>
        </w:rPr>
      </w:pPr>
      <w:r w:rsidRPr="0055304A">
        <w:rPr>
          <w:b/>
          <w:szCs w:val="22"/>
          <w:lang w:eastAsia="sk-SK"/>
        </w:rPr>
        <w:t>Východosl</w:t>
      </w:r>
      <w:r w:rsidR="001E7DBD">
        <w:rPr>
          <w:b/>
          <w:szCs w:val="22"/>
          <w:lang w:eastAsia="sk-SK"/>
        </w:rPr>
        <w:t>ovenská energetika Holding, </w:t>
      </w:r>
      <w:r w:rsidRPr="0055304A">
        <w:rPr>
          <w:b/>
          <w:szCs w:val="22"/>
          <w:lang w:eastAsia="sk-SK"/>
        </w:rPr>
        <w:t>a.</w:t>
      </w:r>
      <w:r w:rsidR="001E7DBD">
        <w:rPr>
          <w:b/>
          <w:szCs w:val="22"/>
          <w:lang w:eastAsia="sk-SK"/>
        </w:rPr>
        <w:t> </w:t>
      </w:r>
      <w:r w:rsidR="00EC4753">
        <w:rPr>
          <w:b/>
          <w:szCs w:val="22"/>
          <w:lang w:eastAsia="sk-SK"/>
        </w:rPr>
        <w:t>s.</w:t>
      </w:r>
      <w:r w:rsidRPr="0055304A">
        <w:rPr>
          <w:szCs w:val="22"/>
          <w:lang w:eastAsia="sk-SK"/>
        </w:rPr>
        <w:t xml:space="preserve"> sa prestala vykazovať z dôvodu prevodu 51</w:t>
      </w:r>
      <w:r w:rsidR="00FD250C">
        <w:rPr>
          <w:szCs w:val="22"/>
          <w:lang w:eastAsia="sk-SK"/>
        </w:rPr>
        <w:t>,0</w:t>
      </w:r>
      <w:r w:rsidR="001E7DBD">
        <w:rPr>
          <w:szCs w:val="22"/>
          <w:lang w:eastAsia="sk-SK"/>
        </w:rPr>
        <w:t> </w:t>
      </w:r>
      <w:r w:rsidRPr="0055304A">
        <w:rPr>
          <w:szCs w:val="22"/>
          <w:lang w:eastAsia="sk-SK"/>
        </w:rPr>
        <w:t>% podielu štátu</w:t>
      </w:r>
      <w:r w:rsidR="001E7DBD">
        <w:rPr>
          <w:szCs w:val="22"/>
          <w:lang w:eastAsia="sk-SK"/>
        </w:rPr>
        <w:t xml:space="preserve"> na Západoslovenskú energetiku, </w:t>
      </w:r>
      <w:r w:rsidRPr="0055304A">
        <w:rPr>
          <w:szCs w:val="22"/>
          <w:lang w:eastAsia="sk-SK"/>
        </w:rPr>
        <w:t>a.</w:t>
      </w:r>
      <w:r w:rsidR="001E7DBD">
        <w:rPr>
          <w:szCs w:val="22"/>
          <w:lang w:eastAsia="sk-SK"/>
        </w:rPr>
        <w:t> s. Západoslovenská energetika, </w:t>
      </w:r>
      <w:r w:rsidRPr="0055304A">
        <w:rPr>
          <w:szCs w:val="22"/>
          <w:lang w:eastAsia="sk-SK"/>
        </w:rPr>
        <w:t>a.</w:t>
      </w:r>
      <w:r w:rsidR="001E7DBD">
        <w:rPr>
          <w:szCs w:val="22"/>
          <w:lang w:eastAsia="sk-SK"/>
        </w:rPr>
        <w:t> </w:t>
      </w:r>
      <w:r w:rsidRPr="0055304A">
        <w:rPr>
          <w:szCs w:val="22"/>
          <w:lang w:eastAsia="sk-SK"/>
        </w:rPr>
        <w:t>s. nevykázala obdobné podm</w:t>
      </w:r>
      <w:r w:rsidR="001E7DBD">
        <w:rPr>
          <w:szCs w:val="22"/>
          <w:lang w:eastAsia="sk-SK"/>
        </w:rPr>
        <w:t>ienené záväzky (štát vlastní 51</w:t>
      </w:r>
      <w:r w:rsidR="00FD250C">
        <w:rPr>
          <w:szCs w:val="22"/>
          <w:lang w:eastAsia="sk-SK"/>
        </w:rPr>
        <w:t>,0</w:t>
      </w:r>
      <w:r w:rsidR="001E7DBD">
        <w:rPr>
          <w:szCs w:val="22"/>
          <w:lang w:eastAsia="sk-SK"/>
        </w:rPr>
        <w:t> </w:t>
      </w:r>
      <w:r w:rsidRPr="0055304A">
        <w:rPr>
          <w:szCs w:val="22"/>
          <w:lang w:eastAsia="sk-SK"/>
        </w:rPr>
        <w:t>% v Západoslovenskej energetike,</w:t>
      </w:r>
      <w:r w:rsidR="001E7DBD">
        <w:rPr>
          <w:szCs w:val="22"/>
          <w:lang w:eastAsia="sk-SK"/>
        </w:rPr>
        <w:t> </w:t>
      </w:r>
      <w:r w:rsidRPr="0055304A">
        <w:rPr>
          <w:szCs w:val="22"/>
          <w:lang w:eastAsia="sk-SK"/>
        </w:rPr>
        <w:t>a.</w:t>
      </w:r>
      <w:r w:rsidR="001E7DBD">
        <w:rPr>
          <w:szCs w:val="22"/>
          <w:lang w:eastAsia="sk-SK"/>
        </w:rPr>
        <w:t> </w:t>
      </w:r>
      <w:r w:rsidRPr="0055304A">
        <w:rPr>
          <w:szCs w:val="22"/>
          <w:lang w:eastAsia="sk-SK"/>
        </w:rPr>
        <w:t>s.) vo svojej ind</w:t>
      </w:r>
      <w:r w:rsidR="001E7DBD">
        <w:rPr>
          <w:szCs w:val="22"/>
          <w:lang w:eastAsia="sk-SK"/>
        </w:rPr>
        <w:t>ividuálnej účtovnej závierke za </w:t>
      </w:r>
      <w:r w:rsidRPr="0055304A">
        <w:rPr>
          <w:szCs w:val="22"/>
          <w:lang w:eastAsia="sk-SK"/>
        </w:rPr>
        <w:t>rok 2023.</w:t>
      </w:r>
    </w:p>
    <w:p w14:paraId="58862F7E" w14:textId="77777777" w:rsidR="001D70BF" w:rsidRPr="0055304A" w:rsidRDefault="001D70BF" w:rsidP="001D70BF">
      <w:pPr>
        <w:spacing w:after="0" w:line="240" w:lineRule="auto"/>
        <w:contextualSpacing/>
        <w:jc w:val="both"/>
        <w:rPr>
          <w:b/>
          <w:szCs w:val="22"/>
          <w:lang w:eastAsia="sk-SK"/>
        </w:rPr>
      </w:pPr>
    </w:p>
    <w:p w14:paraId="4E325E3B" w14:textId="6F16F329" w:rsidR="00325B48" w:rsidRDefault="00EC4753" w:rsidP="0040316C">
      <w:pPr>
        <w:spacing w:after="0" w:line="240" w:lineRule="auto"/>
        <w:contextualSpacing/>
        <w:jc w:val="both"/>
        <w:rPr>
          <w:szCs w:val="22"/>
          <w:lang w:eastAsia="sk-SK"/>
        </w:rPr>
      </w:pPr>
      <w:r>
        <w:rPr>
          <w:b/>
          <w:szCs w:val="22"/>
          <w:lang w:eastAsia="sk-SK"/>
        </w:rPr>
        <w:t>SZRB</w:t>
      </w:r>
      <w:r w:rsidR="001D70BF" w:rsidRPr="0055304A">
        <w:rPr>
          <w:szCs w:val="22"/>
          <w:lang w:eastAsia="sk-SK"/>
        </w:rPr>
        <w:t xml:space="preserve"> vykazuje podmienené záväzky z titulu poskytnutých záruk v hodnote 17</w:t>
      </w:r>
      <w:r w:rsidR="001E7DBD">
        <w:rPr>
          <w:szCs w:val="22"/>
          <w:lang w:eastAsia="sk-SK"/>
        </w:rPr>
        <w:t> </w:t>
      </w:r>
      <w:r w:rsidR="001D70BF" w:rsidRPr="0055304A">
        <w:rPr>
          <w:szCs w:val="22"/>
          <w:lang w:eastAsia="sk-SK"/>
        </w:rPr>
        <w:t>566</w:t>
      </w:r>
      <w:r w:rsidR="001E7DBD">
        <w:rPr>
          <w:szCs w:val="22"/>
          <w:lang w:eastAsia="sk-SK"/>
        </w:rPr>
        <w:t> </w:t>
      </w:r>
      <w:r w:rsidR="001D70BF" w:rsidRPr="0055304A">
        <w:rPr>
          <w:szCs w:val="22"/>
          <w:lang w:eastAsia="sk-SK"/>
        </w:rPr>
        <w:t>tis.</w:t>
      </w:r>
      <w:r w:rsidR="001E7DBD">
        <w:rPr>
          <w:szCs w:val="22"/>
          <w:lang w:eastAsia="sk-SK"/>
        </w:rPr>
        <w:t> </w:t>
      </w:r>
      <w:r w:rsidR="001D70BF" w:rsidRPr="0055304A">
        <w:rPr>
          <w:szCs w:val="22"/>
          <w:lang w:eastAsia="sk-SK"/>
        </w:rPr>
        <w:t>eur a </w:t>
      </w:r>
      <w:r w:rsidR="001E7DBD">
        <w:rPr>
          <w:szCs w:val="22"/>
          <w:lang w:eastAsia="sk-SK"/>
        </w:rPr>
        <w:t>úverových prísľubov vo výške 36 981 tis. </w:t>
      </w:r>
      <w:r w:rsidR="001D70BF" w:rsidRPr="0055304A">
        <w:rPr>
          <w:szCs w:val="22"/>
          <w:lang w:eastAsia="sk-SK"/>
        </w:rPr>
        <w:t>eur.</w:t>
      </w:r>
    </w:p>
    <w:p w14:paraId="43A3B11A" w14:textId="77777777" w:rsidR="00DC54F9" w:rsidRDefault="00DC54F9">
      <w:pPr>
        <w:rPr>
          <w:rFonts w:eastAsiaTheme="majorEastAsia"/>
          <w:b/>
          <w:szCs w:val="22"/>
        </w:rPr>
      </w:pPr>
      <w:bookmarkStart w:id="77" w:name="_Toc495990500"/>
      <w:r>
        <w:br w:type="page"/>
      </w:r>
    </w:p>
    <w:p w14:paraId="58D9F60E" w14:textId="4B2ACA67" w:rsidR="001768B9" w:rsidRPr="001E7DBD" w:rsidRDefault="001768B9" w:rsidP="00AA46C8">
      <w:pPr>
        <w:pStyle w:val="Nadpis3"/>
      </w:pPr>
      <w:bookmarkStart w:id="78" w:name="_Toc181095980"/>
      <w:r w:rsidRPr="001E7DBD">
        <w:lastRenderedPageBreak/>
        <w:t xml:space="preserve">Iné aktíva </w:t>
      </w:r>
      <w:bookmarkEnd w:id="77"/>
      <w:r w:rsidRPr="001E7DBD">
        <w:t xml:space="preserve">ako súčasť </w:t>
      </w:r>
      <w:r w:rsidRPr="00AA46C8">
        <w:t>čistého</w:t>
      </w:r>
      <w:r w:rsidRPr="001E7DBD">
        <w:t xml:space="preserve"> bohatstva</w:t>
      </w:r>
      <w:bookmarkEnd w:id="78"/>
    </w:p>
    <w:p w14:paraId="315ABD1F" w14:textId="34E61E2A" w:rsidR="001D70BF" w:rsidRPr="001E7DBD" w:rsidRDefault="001D70BF" w:rsidP="00B6141B">
      <w:pPr>
        <w:spacing w:after="120" w:line="240" w:lineRule="auto"/>
        <w:jc w:val="both"/>
      </w:pPr>
      <w:r w:rsidRPr="001E7DBD">
        <w:t>Pod inými aktívami ako súčasť čistého bohatstva sa k 31.12.2023 vykazovali najmä podsúvahové ocenenie štátnych lesov a</w:t>
      </w:r>
      <w:r w:rsidR="00495DEF">
        <w:t xml:space="preserve"> odpísané </w:t>
      </w:r>
      <w:r w:rsidRPr="001E7DBD">
        <w:t>pohľadávky po lehote splatnosti v štádiu ich vymáhania. Iné aktíva dosiahli v súhrnnej výške 9</w:t>
      </w:r>
      <w:r w:rsidR="001E7DBD">
        <w:t> </w:t>
      </w:r>
      <w:r w:rsidRPr="001E7DBD">
        <w:t>359</w:t>
      </w:r>
      <w:r w:rsidR="001E7DBD">
        <w:t> </w:t>
      </w:r>
      <w:r w:rsidRPr="001E7DBD">
        <w:t>780</w:t>
      </w:r>
      <w:r w:rsidR="001E7DBD">
        <w:t> </w:t>
      </w:r>
      <w:r w:rsidRPr="001E7DBD">
        <w:t>tis.</w:t>
      </w:r>
      <w:r w:rsidR="001E7DBD">
        <w:t> </w:t>
      </w:r>
      <w:r w:rsidRPr="001E7DBD">
        <w:t>eur pred vnútornou konsolidáciou.</w:t>
      </w:r>
    </w:p>
    <w:p w14:paraId="1179277B" w14:textId="77777777" w:rsidR="00243FB1" w:rsidRDefault="00243FB1" w:rsidP="00243FB1">
      <w:pPr>
        <w:pStyle w:val="Popis"/>
        <w:framePr w:wrap="around" w:x="820" w:y="1934"/>
      </w:pPr>
      <w:r>
        <w:t xml:space="preserve">Tabuľka </w:t>
      </w:r>
      <w:r w:rsidR="001F05DE">
        <w:fldChar w:fldCharType="begin"/>
      </w:r>
      <w:r w:rsidR="001F05DE">
        <w:instrText xml:space="preserve"> SEQ Tabuľka \* ARABIC </w:instrText>
      </w:r>
      <w:r w:rsidR="001F05DE">
        <w:fldChar w:fldCharType="separate"/>
      </w:r>
      <w:r>
        <w:rPr>
          <w:noProof/>
        </w:rPr>
        <w:t>26</w:t>
      </w:r>
      <w:r w:rsidR="001F05DE">
        <w:rPr>
          <w:noProof/>
        </w:rPr>
        <w:fldChar w:fldCharType="end"/>
      </w:r>
      <w:r>
        <w:t xml:space="preserve"> - </w:t>
      </w:r>
      <w:r w:rsidRPr="00D54CBF">
        <w:t>Podmienené aktíva</w:t>
      </w:r>
      <w:r>
        <w:t xml:space="preserve"> </w:t>
      </w:r>
      <w:r>
        <w:tab/>
      </w:r>
      <w:r>
        <w:tab/>
      </w:r>
      <w:r>
        <w:tab/>
      </w:r>
      <w:r>
        <w:tab/>
      </w:r>
      <w:r>
        <w:tab/>
      </w:r>
      <w:r>
        <w:tab/>
      </w:r>
      <w:r>
        <w:tab/>
      </w:r>
      <w:r>
        <w:tab/>
        <w:t>v tis. eur</w:t>
      </w:r>
    </w:p>
    <w:p w14:paraId="209C34BD" w14:textId="7F34889D" w:rsidR="00FC0A41" w:rsidRPr="00176736" w:rsidRDefault="001D70BF" w:rsidP="00B6141B">
      <w:pPr>
        <w:spacing w:after="120" w:line="240" w:lineRule="auto"/>
        <w:jc w:val="both"/>
      </w:pPr>
      <w:r w:rsidRPr="001E7DBD">
        <w:t>Od roku 2017 je súčasťou podmienených aktív aj hodnota lesných porastov uvedená v poznámkach účtovnej závierky štátneho pod</w:t>
      </w:r>
      <w:r w:rsidR="001E7DBD">
        <w:t>niku Lesy Slovenskej republiky, </w:t>
      </w:r>
      <w:r w:rsidRPr="001E7DBD">
        <w:t>š.</w:t>
      </w:r>
      <w:r w:rsidR="001E7DBD">
        <w:t> </w:t>
      </w:r>
      <w:r w:rsidRPr="001E7DBD">
        <w:t>p., ktorá je pravidelne aktualizovaná znalcom Národného lesníckeho centra.</w:t>
      </w:r>
      <w:r w:rsidRPr="001D70BF">
        <w:t xml:space="preserve"> Toto iné aktívum tvorí 37,4</w:t>
      </w:r>
      <w:r w:rsidR="001E7DBD">
        <w:t> </w:t>
      </w:r>
      <w:r w:rsidRPr="001D70BF">
        <w:t>% doteraz identifikovaných mimobilančných aktív verejnej správy. Druhým najväčším podmieneným aktívom –</w:t>
      </w:r>
      <w:r w:rsidR="001E7DBD">
        <w:t xml:space="preserve"> </w:t>
      </w:r>
      <w:r w:rsidRPr="001D70BF">
        <w:t>31,2</w:t>
      </w:r>
      <w:r w:rsidR="001E7DBD">
        <w:t> </w:t>
      </w:r>
      <w:r w:rsidRPr="001D70BF">
        <w:t>%, sú pohľadávky postúpené z bankových inštitúcií alebo verejných inštitúcií na vymáhanie Slovenskej konsolidačnej,</w:t>
      </w:r>
      <w:r w:rsidR="001E7DBD">
        <w:t> </w:t>
      </w:r>
      <w:r w:rsidRPr="001D70BF">
        <w:t>a.</w:t>
      </w:r>
      <w:r w:rsidR="001E7DBD">
        <w:t> </w:t>
      </w:r>
      <w:r w:rsidRPr="001D70BF">
        <w:t xml:space="preserve">s., </w:t>
      </w:r>
      <w:r w:rsidRPr="00176736">
        <w:t>ktorá ich na základe príslušnej legislatívy vymáha a uplatňuje si z nich exekučné nároky.</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629"/>
        <w:gridCol w:w="1006"/>
        <w:gridCol w:w="1252"/>
        <w:gridCol w:w="1182"/>
        <w:gridCol w:w="1285"/>
      </w:tblGrid>
      <w:tr w:rsidR="00176736" w:rsidRPr="00176736" w14:paraId="2757ED74" w14:textId="77777777" w:rsidTr="008A6A1F">
        <w:trPr>
          <w:trHeight w:val="345"/>
          <w:tblHeader/>
          <w:jc w:val="center"/>
        </w:trPr>
        <w:tc>
          <w:tcPr>
            <w:tcW w:w="2474" w:type="pct"/>
            <w:tcBorders>
              <w:right w:val="nil"/>
            </w:tcBorders>
            <w:vAlign w:val="center"/>
            <w:hideMark/>
          </w:tcPr>
          <w:p w14:paraId="4AA0BE78" w14:textId="25F88685" w:rsidR="00176736" w:rsidRPr="00176736" w:rsidRDefault="00B62E67" w:rsidP="00B62E67">
            <w:pPr>
              <w:spacing w:after="0" w:line="240" w:lineRule="auto"/>
              <w:rPr>
                <w:b/>
                <w:sz w:val="18"/>
                <w:szCs w:val="18"/>
                <w:lang w:eastAsia="sk-SK"/>
              </w:rPr>
            </w:pPr>
            <w:r>
              <w:rPr>
                <w:b/>
                <w:sz w:val="18"/>
                <w:szCs w:val="18"/>
                <w:lang w:eastAsia="sk-SK"/>
              </w:rPr>
              <w:t>Subjekty</w:t>
            </w:r>
          </w:p>
        </w:tc>
        <w:tc>
          <w:tcPr>
            <w:tcW w:w="538" w:type="pct"/>
            <w:tcBorders>
              <w:left w:val="nil"/>
              <w:right w:val="nil"/>
            </w:tcBorders>
            <w:vAlign w:val="center"/>
          </w:tcPr>
          <w:p w14:paraId="13B7EC85" w14:textId="516DDB36" w:rsidR="00176736" w:rsidRPr="00176736" w:rsidRDefault="00176736" w:rsidP="00176736">
            <w:pPr>
              <w:spacing w:after="0" w:line="240" w:lineRule="auto"/>
              <w:jc w:val="right"/>
              <w:rPr>
                <w:b/>
                <w:sz w:val="18"/>
                <w:szCs w:val="18"/>
                <w:lang w:eastAsia="sk-SK"/>
              </w:rPr>
            </w:pPr>
            <w:r w:rsidRPr="00176736">
              <w:rPr>
                <w:b/>
                <w:sz w:val="18"/>
                <w:szCs w:val="18"/>
                <w:lang w:eastAsia="sk-SK"/>
              </w:rPr>
              <w:t>2021</w:t>
            </w:r>
          </w:p>
        </w:tc>
        <w:tc>
          <w:tcPr>
            <w:tcW w:w="669" w:type="pct"/>
            <w:tcBorders>
              <w:left w:val="nil"/>
              <w:right w:val="nil"/>
            </w:tcBorders>
            <w:vAlign w:val="center"/>
          </w:tcPr>
          <w:p w14:paraId="11F96583" w14:textId="7C309D04" w:rsidR="00176736" w:rsidRPr="00176736" w:rsidRDefault="00176736" w:rsidP="00176736">
            <w:pPr>
              <w:spacing w:after="0" w:line="240" w:lineRule="auto"/>
              <w:jc w:val="right"/>
              <w:rPr>
                <w:b/>
                <w:sz w:val="18"/>
                <w:szCs w:val="18"/>
                <w:lang w:eastAsia="sk-SK"/>
              </w:rPr>
            </w:pPr>
            <w:r w:rsidRPr="00176736">
              <w:rPr>
                <w:b/>
                <w:sz w:val="18"/>
                <w:szCs w:val="18"/>
                <w:lang w:eastAsia="sk-SK"/>
              </w:rPr>
              <w:t>2022</w:t>
            </w:r>
          </w:p>
        </w:tc>
        <w:tc>
          <w:tcPr>
            <w:tcW w:w="632" w:type="pct"/>
            <w:tcBorders>
              <w:left w:val="nil"/>
              <w:right w:val="nil"/>
            </w:tcBorders>
            <w:vAlign w:val="center"/>
          </w:tcPr>
          <w:p w14:paraId="27B81919" w14:textId="7EE6417F" w:rsidR="00176736" w:rsidRPr="00176736" w:rsidRDefault="00176736" w:rsidP="00176736">
            <w:pPr>
              <w:spacing w:after="0" w:line="240" w:lineRule="auto"/>
              <w:jc w:val="right"/>
              <w:rPr>
                <w:b/>
                <w:sz w:val="18"/>
                <w:szCs w:val="18"/>
                <w:lang w:eastAsia="sk-SK"/>
              </w:rPr>
            </w:pPr>
            <w:r w:rsidRPr="00176736">
              <w:rPr>
                <w:b/>
                <w:sz w:val="18"/>
                <w:szCs w:val="18"/>
                <w:lang w:eastAsia="sk-SK"/>
              </w:rPr>
              <w:t>2023</w:t>
            </w:r>
          </w:p>
        </w:tc>
        <w:tc>
          <w:tcPr>
            <w:tcW w:w="687" w:type="pct"/>
            <w:tcBorders>
              <w:left w:val="nil"/>
            </w:tcBorders>
            <w:vAlign w:val="center"/>
          </w:tcPr>
          <w:p w14:paraId="5CA7AAFF" w14:textId="55C15737" w:rsidR="00176736" w:rsidRPr="00176736" w:rsidRDefault="00176736" w:rsidP="00176736">
            <w:pPr>
              <w:spacing w:after="0" w:line="240" w:lineRule="auto"/>
              <w:jc w:val="right"/>
              <w:rPr>
                <w:b/>
                <w:bCs/>
                <w:sz w:val="18"/>
                <w:szCs w:val="18"/>
                <w:lang w:eastAsia="sk-SK"/>
              </w:rPr>
            </w:pPr>
            <w:r w:rsidRPr="00176736">
              <w:rPr>
                <w:b/>
                <w:sz w:val="18"/>
                <w:szCs w:val="18"/>
                <w:lang w:eastAsia="sk-SK"/>
              </w:rPr>
              <w:t>Δ 2023-2022</w:t>
            </w:r>
          </w:p>
        </w:tc>
      </w:tr>
      <w:tr w:rsidR="00176736" w:rsidRPr="00176736" w14:paraId="08463DF8" w14:textId="77777777" w:rsidTr="008A6A1F">
        <w:trPr>
          <w:trHeight w:val="330"/>
          <w:jc w:val="center"/>
        </w:trPr>
        <w:tc>
          <w:tcPr>
            <w:tcW w:w="2474" w:type="pct"/>
            <w:tcBorders>
              <w:bottom w:val="nil"/>
              <w:right w:val="nil"/>
            </w:tcBorders>
            <w:vAlign w:val="bottom"/>
          </w:tcPr>
          <w:p w14:paraId="733D356F" w14:textId="77777777" w:rsidR="00176736" w:rsidRPr="00176736" w:rsidRDefault="00176736" w:rsidP="00176736">
            <w:pPr>
              <w:spacing w:after="0" w:line="240" w:lineRule="auto"/>
              <w:rPr>
                <w:sz w:val="18"/>
                <w:szCs w:val="18"/>
                <w:lang w:eastAsia="sk-SK"/>
              </w:rPr>
            </w:pPr>
            <w:r w:rsidRPr="00176736">
              <w:rPr>
                <w:sz w:val="18"/>
                <w:szCs w:val="18"/>
                <w:lang w:eastAsia="sk-SK"/>
              </w:rPr>
              <w:t>Ústredná správa a podniky štátnej správy</w:t>
            </w:r>
          </w:p>
        </w:tc>
        <w:tc>
          <w:tcPr>
            <w:tcW w:w="538" w:type="pct"/>
            <w:tcBorders>
              <w:left w:val="nil"/>
              <w:bottom w:val="nil"/>
              <w:right w:val="nil"/>
            </w:tcBorders>
            <w:vAlign w:val="bottom"/>
          </w:tcPr>
          <w:p w14:paraId="0E37C94E" w14:textId="2D29A994" w:rsidR="00176736" w:rsidRPr="00176736" w:rsidRDefault="00176736" w:rsidP="00176736">
            <w:pPr>
              <w:spacing w:after="0" w:line="240" w:lineRule="auto"/>
              <w:jc w:val="right"/>
              <w:rPr>
                <w:sz w:val="18"/>
                <w:szCs w:val="18"/>
                <w:lang w:eastAsia="sk-SK"/>
              </w:rPr>
            </w:pPr>
            <w:r w:rsidRPr="00176736">
              <w:rPr>
                <w:sz w:val="18"/>
                <w:szCs w:val="18"/>
                <w:lang w:eastAsia="sk-SK"/>
              </w:rPr>
              <w:t>8 605 351</w:t>
            </w:r>
          </w:p>
        </w:tc>
        <w:tc>
          <w:tcPr>
            <w:tcW w:w="669" w:type="pct"/>
            <w:tcBorders>
              <w:left w:val="nil"/>
              <w:bottom w:val="nil"/>
              <w:right w:val="nil"/>
            </w:tcBorders>
            <w:vAlign w:val="bottom"/>
          </w:tcPr>
          <w:p w14:paraId="0D32710F" w14:textId="75BBE680" w:rsidR="00176736" w:rsidRPr="00176736" w:rsidRDefault="00176736" w:rsidP="00176736">
            <w:pPr>
              <w:spacing w:after="0" w:line="240" w:lineRule="auto"/>
              <w:jc w:val="right"/>
              <w:rPr>
                <w:sz w:val="18"/>
                <w:szCs w:val="18"/>
                <w:lang w:eastAsia="sk-SK"/>
              </w:rPr>
            </w:pPr>
            <w:r w:rsidRPr="00176736">
              <w:rPr>
                <w:sz w:val="18"/>
                <w:szCs w:val="18"/>
                <w:lang w:eastAsia="sk-SK"/>
              </w:rPr>
              <w:t>8 415 216</w:t>
            </w:r>
          </w:p>
        </w:tc>
        <w:tc>
          <w:tcPr>
            <w:tcW w:w="632" w:type="pct"/>
            <w:tcBorders>
              <w:left w:val="nil"/>
              <w:bottom w:val="nil"/>
              <w:right w:val="nil"/>
            </w:tcBorders>
            <w:vAlign w:val="bottom"/>
          </w:tcPr>
          <w:p w14:paraId="6327F702" w14:textId="7C3682D9" w:rsidR="00176736" w:rsidRPr="00176736" w:rsidRDefault="00176736" w:rsidP="00176736">
            <w:pPr>
              <w:spacing w:after="0" w:line="240" w:lineRule="auto"/>
              <w:jc w:val="right"/>
              <w:rPr>
                <w:sz w:val="18"/>
                <w:szCs w:val="18"/>
                <w:lang w:eastAsia="sk-SK"/>
              </w:rPr>
            </w:pPr>
            <w:r w:rsidRPr="00176736">
              <w:rPr>
                <w:sz w:val="18"/>
                <w:szCs w:val="18"/>
                <w:lang w:eastAsia="sk-SK"/>
              </w:rPr>
              <w:t>8 774 967</w:t>
            </w:r>
          </w:p>
        </w:tc>
        <w:tc>
          <w:tcPr>
            <w:tcW w:w="687" w:type="pct"/>
            <w:tcBorders>
              <w:left w:val="nil"/>
              <w:bottom w:val="nil"/>
            </w:tcBorders>
            <w:vAlign w:val="bottom"/>
          </w:tcPr>
          <w:p w14:paraId="0F3BE82A" w14:textId="7C1C1078" w:rsidR="00176736" w:rsidRPr="00176736" w:rsidRDefault="00176736" w:rsidP="00176736">
            <w:pPr>
              <w:spacing w:after="0" w:line="240" w:lineRule="auto"/>
              <w:jc w:val="right"/>
              <w:rPr>
                <w:sz w:val="18"/>
                <w:szCs w:val="18"/>
                <w:lang w:eastAsia="sk-SK"/>
              </w:rPr>
            </w:pPr>
            <w:r w:rsidRPr="00176736">
              <w:rPr>
                <w:sz w:val="18"/>
                <w:szCs w:val="18"/>
                <w:lang w:eastAsia="sk-SK"/>
              </w:rPr>
              <w:t>359 751</w:t>
            </w:r>
          </w:p>
        </w:tc>
      </w:tr>
      <w:tr w:rsidR="00176736" w:rsidRPr="00176736" w14:paraId="6358F589" w14:textId="77777777" w:rsidTr="008A6A1F">
        <w:trPr>
          <w:trHeight w:val="620"/>
          <w:jc w:val="center"/>
        </w:trPr>
        <w:tc>
          <w:tcPr>
            <w:tcW w:w="2474" w:type="pct"/>
            <w:tcBorders>
              <w:top w:val="nil"/>
              <w:bottom w:val="nil"/>
              <w:right w:val="nil"/>
            </w:tcBorders>
            <w:vAlign w:val="bottom"/>
          </w:tcPr>
          <w:p w14:paraId="09C41B1A" w14:textId="77777777" w:rsidR="00176736" w:rsidRPr="00176736" w:rsidRDefault="00176736" w:rsidP="00176736">
            <w:pPr>
              <w:spacing w:after="0" w:line="240" w:lineRule="auto"/>
              <w:rPr>
                <w:sz w:val="18"/>
                <w:szCs w:val="18"/>
                <w:lang w:eastAsia="sk-SK"/>
              </w:rPr>
            </w:pPr>
            <w:r w:rsidRPr="00176736">
              <w:rPr>
                <w:sz w:val="18"/>
                <w:szCs w:val="18"/>
                <w:lang w:eastAsia="sk-SK"/>
              </w:rPr>
              <w:t>Obce a ich rozpočtové a príspevkové organizácie a podniky územnej samosprávy</w:t>
            </w:r>
          </w:p>
        </w:tc>
        <w:tc>
          <w:tcPr>
            <w:tcW w:w="538" w:type="pct"/>
            <w:tcBorders>
              <w:top w:val="nil"/>
              <w:left w:val="nil"/>
              <w:bottom w:val="nil"/>
              <w:right w:val="nil"/>
            </w:tcBorders>
            <w:vAlign w:val="center"/>
          </w:tcPr>
          <w:p w14:paraId="43507D47" w14:textId="26A158CA" w:rsidR="00176736" w:rsidRPr="00176736" w:rsidRDefault="00176736" w:rsidP="00176736">
            <w:pPr>
              <w:spacing w:after="0" w:line="240" w:lineRule="auto"/>
              <w:jc w:val="right"/>
              <w:rPr>
                <w:sz w:val="18"/>
                <w:szCs w:val="18"/>
                <w:lang w:eastAsia="sk-SK"/>
              </w:rPr>
            </w:pPr>
            <w:r w:rsidRPr="00176736">
              <w:rPr>
                <w:sz w:val="18"/>
                <w:szCs w:val="18"/>
                <w:lang w:eastAsia="sk-SK"/>
              </w:rPr>
              <w:t>40 862</w:t>
            </w:r>
          </w:p>
        </w:tc>
        <w:tc>
          <w:tcPr>
            <w:tcW w:w="669" w:type="pct"/>
            <w:tcBorders>
              <w:top w:val="nil"/>
              <w:left w:val="nil"/>
              <w:bottom w:val="nil"/>
              <w:right w:val="nil"/>
            </w:tcBorders>
            <w:vAlign w:val="center"/>
          </w:tcPr>
          <w:p w14:paraId="01E2D58D" w14:textId="78287818" w:rsidR="00176736" w:rsidRPr="00176736" w:rsidRDefault="00176736" w:rsidP="00176736">
            <w:pPr>
              <w:spacing w:after="0" w:line="240" w:lineRule="auto"/>
              <w:jc w:val="right"/>
              <w:rPr>
                <w:sz w:val="18"/>
                <w:szCs w:val="18"/>
                <w:lang w:eastAsia="sk-SK"/>
              </w:rPr>
            </w:pPr>
            <w:r w:rsidRPr="00176736">
              <w:rPr>
                <w:sz w:val="18"/>
                <w:szCs w:val="18"/>
                <w:lang w:eastAsia="sk-SK"/>
              </w:rPr>
              <w:t>44 871</w:t>
            </w:r>
          </w:p>
        </w:tc>
        <w:tc>
          <w:tcPr>
            <w:tcW w:w="632" w:type="pct"/>
            <w:tcBorders>
              <w:top w:val="nil"/>
              <w:left w:val="nil"/>
              <w:bottom w:val="nil"/>
              <w:right w:val="nil"/>
            </w:tcBorders>
            <w:vAlign w:val="center"/>
          </w:tcPr>
          <w:p w14:paraId="76274402" w14:textId="2819F46A" w:rsidR="00176736" w:rsidRPr="00176736" w:rsidRDefault="00176736" w:rsidP="00176736">
            <w:pPr>
              <w:spacing w:after="0" w:line="240" w:lineRule="auto"/>
              <w:jc w:val="right"/>
              <w:rPr>
                <w:sz w:val="18"/>
                <w:szCs w:val="18"/>
                <w:lang w:eastAsia="sk-SK"/>
              </w:rPr>
            </w:pPr>
            <w:r w:rsidRPr="00176736">
              <w:rPr>
                <w:sz w:val="18"/>
                <w:szCs w:val="18"/>
                <w:lang w:eastAsia="sk-SK"/>
              </w:rPr>
              <w:t>546 305</w:t>
            </w:r>
          </w:p>
        </w:tc>
        <w:tc>
          <w:tcPr>
            <w:tcW w:w="687" w:type="pct"/>
            <w:tcBorders>
              <w:top w:val="nil"/>
              <w:left w:val="nil"/>
              <w:bottom w:val="nil"/>
            </w:tcBorders>
            <w:vAlign w:val="center"/>
          </w:tcPr>
          <w:p w14:paraId="5B68ED00" w14:textId="69253171" w:rsidR="00176736" w:rsidRPr="00176736" w:rsidRDefault="00176736" w:rsidP="00176736">
            <w:pPr>
              <w:spacing w:after="0" w:line="240" w:lineRule="auto"/>
              <w:jc w:val="right"/>
              <w:rPr>
                <w:sz w:val="18"/>
                <w:szCs w:val="18"/>
                <w:lang w:eastAsia="sk-SK"/>
              </w:rPr>
            </w:pPr>
            <w:r w:rsidRPr="00176736">
              <w:rPr>
                <w:sz w:val="18"/>
                <w:szCs w:val="18"/>
                <w:lang w:eastAsia="sk-SK"/>
              </w:rPr>
              <w:t>501 434</w:t>
            </w:r>
          </w:p>
        </w:tc>
      </w:tr>
      <w:tr w:rsidR="00176736" w:rsidRPr="00176736" w14:paraId="717254AC" w14:textId="77777777" w:rsidTr="008A6A1F">
        <w:trPr>
          <w:trHeight w:val="558"/>
          <w:jc w:val="center"/>
        </w:trPr>
        <w:tc>
          <w:tcPr>
            <w:tcW w:w="2474" w:type="pct"/>
            <w:tcBorders>
              <w:top w:val="nil"/>
              <w:right w:val="nil"/>
            </w:tcBorders>
            <w:vAlign w:val="bottom"/>
          </w:tcPr>
          <w:p w14:paraId="66D06F1F" w14:textId="77777777" w:rsidR="00176736" w:rsidRPr="00176736" w:rsidRDefault="00176736" w:rsidP="00176736">
            <w:pPr>
              <w:spacing w:after="0" w:line="240" w:lineRule="auto"/>
              <w:rPr>
                <w:sz w:val="18"/>
                <w:szCs w:val="18"/>
                <w:lang w:eastAsia="sk-SK"/>
              </w:rPr>
            </w:pPr>
            <w:r w:rsidRPr="00176736">
              <w:rPr>
                <w:sz w:val="18"/>
                <w:szCs w:val="18"/>
                <w:lang w:eastAsia="sk-SK"/>
              </w:rPr>
              <w:t>Vyššie územné celky a ich rozpočtové a príspevkové organizácie a podniky územnej samosprávy</w:t>
            </w:r>
          </w:p>
        </w:tc>
        <w:tc>
          <w:tcPr>
            <w:tcW w:w="538" w:type="pct"/>
            <w:tcBorders>
              <w:top w:val="nil"/>
              <w:left w:val="nil"/>
              <w:right w:val="nil"/>
            </w:tcBorders>
            <w:vAlign w:val="center"/>
          </w:tcPr>
          <w:p w14:paraId="6543D6BF" w14:textId="77D6C689" w:rsidR="00176736" w:rsidRPr="00176736" w:rsidRDefault="00176736" w:rsidP="00176736">
            <w:pPr>
              <w:spacing w:after="0" w:line="240" w:lineRule="auto"/>
              <w:jc w:val="right"/>
              <w:rPr>
                <w:sz w:val="18"/>
                <w:szCs w:val="18"/>
                <w:lang w:eastAsia="sk-SK"/>
              </w:rPr>
            </w:pPr>
            <w:r w:rsidRPr="00176736">
              <w:rPr>
                <w:sz w:val="18"/>
                <w:szCs w:val="18"/>
                <w:lang w:eastAsia="sk-SK"/>
              </w:rPr>
              <w:t>7 870</w:t>
            </w:r>
          </w:p>
        </w:tc>
        <w:tc>
          <w:tcPr>
            <w:tcW w:w="669" w:type="pct"/>
            <w:tcBorders>
              <w:top w:val="nil"/>
              <w:left w:val="nil"/>
              <w:right w:val="nil"/>
            </w:tcBorders>
            <w:vAlign w:val="center"/>
          </w:tcPr>
          <w:p w14:paraId="76923919" w14:textId="4E656F61" w:rsidR="00176736" w:rsidRPr="00176736" w:rsidRDefault="00176736" w:rsidP="00176736">
            <w:pPr>
              <w:spacing w:after="0" w:line="240" w:lineRule="auto"/>
              <w:jc w:val="right"/>
              <w:rPr>
                <w:sz w:val="18"/>
                <w:szCs w:val="18"/>
                <w:lang w:eastAsia="sk-SK"/>
              </w:rPr>
            </w:pPr>
            <w:r w:rsidRPr="00176736">
              <w:rPr>
                <w:sz w:val="18"/>
                <w:szCs w:val="18"/>
                <w:lang w:eastAsia="sk-SK"/>
              </w:rPr>
              <w:t>12 972</w:t>
            </w:r>
          </w:p>
        </w:tc>
        <w:tc>
          <w:tcPr>
            <w:tcW w:w="632" w:type="pct"/>
            <w:tcBorders>
              <w:top w:val="nil"/>
              <w:left w:val="nil"/>
              <w:right w:val="nil"/>
            </w:tcBorders>
            <w:vAlign w:val="center"/>
          </w:tcPr>
          <w:p w14:paraId="62A55A82" w14:textId="4632101A" w:rsidR="00176736" w:rsidRPr="00176736" w:rsidRDefault="00176736" w:rsidP="00176736">
            <w:pPr>
              <w:spacing w:after="0" w:line="240" w:lineRule="auto"/>
              <w:jc w:val="right"/>
              <w:rPr>
                <w:sz w:val="18"/>
                <w:szCs w:val="18"/>
                <w:lang w:eastAsia="sk-SK"/>
              </w:rPr>
            </w:pPr>
            <w:r w:rsidRPr="00176736">
              <w:rPr>
                <w:sz w:val="18"/>
                <w:szCs w:val="18"/>
                <w:lang w:eastAsia="sk-SK"/>
              </w:rPr>
              <w:t>38 508</w:t>
            </w:r>
          </w:p>
        </w:tc>
        <w:tc>
          <w:tcPr>
            <w:tcW w:w="687" w:type="pct"/>
            <w:tcBorders>
              <w:top w:val="nil"/>
              <w:left w:val="nil"/>
            </w:tcBorders>
            <w:vAlign w:val="center"/>
          </w:tcPr>
          <w:p w14:paraId="7C8E12C0" w14:textId="6F63982A" w:rsidR="00176736" w:rsidRPr="00176736" w:rsidRDefault="00176736" w:rsidP="00176736">
            <w:pPr>
              <w:spacing w:after="0" w:line="240" w:lineRule="auto"/>
              <w:jc w:val="right"/>
              <w:rPr>
                <w:sz w:val="18"/>
                <w:szCs w:val="18"/>
                <w:lang w:eastAsia="sk-SK"/>
              </w:rPr>
            </w:pPr>
            <w:r w:rsidRPr="00176736">
              <w:rPr>
                <w:sz w:val="18"/>
                <w:szCs w:val="18"/>
                <w:lang w:eastAsia="sk-SK"/>
              </w:rPr>
              <w:t>25 536</w:t>
            </w:r>
          </w:p>
        </w:tc>
      </w:tr>
      <w:tr w:rsidR="00176736" w:rsidRPr="00176736" w14:paraId="7C3FBDFC" w14:textId="77777777" w:rsidTr="008A6A1F">
        <w:trPr>
          <w:trHeight w:hRule="exact" w:val="346"/>
          <w:jc w:val="center"/>
        </w:trPr>
        <w:tc>
          <w:tcPr>
            <w:tcW w:w="2474" w:type="pct"/>
            <w:tcBorders>
              <w:right w:val="nil"/>
            </w:tcBorders>
            <w:noWrap/>
            <w:vAlign w:val="center"/>
            <w:hideMark/>
          </w:tcPr>
          <w:p w14:paraId="4A272D51" w14:textId="77777777" w:rsidR="00176736" w:rsidRPr="00176736" w:rsidRDefault="00176736" w:rsidP="00176736">
            <w:pPr>
              <w:spacing w:after="0" w:line="240" w:lineRule="auto"/>
              <w:rPr>
                <w:b/>
                <w:bCs/>
                <w:sz w:val="18"/>
                <w:szCs w:val="18"/>
                <w:lang w:eastAsia="sk-SK"/>
              </w:rPr>
            </w:pPr>
            <w:r w:rsidRPr="00176736">
              <w:rPr>
                <w:b/>
                <w:bCs/>
                <w:sz w:val="18"/>
                <w:szCs w:val="18"/>
                <w:lang w:eastAsia="sk-SK"/>
              </w:rPr>
              <w:t>Spolu  (nekonsolidované)</w:t>
            </w:r>
          </w:p>
        </w:tc>
        <w:tc>
          <w:tcPr>
            <w:tcW w:w="538" w:type="pct"/>
            <w:tcBorders>
              <w:left w:val="nil"/>
              <w:right w:val="nil"/>
            </w:tcBorders>
            <w:vAlign w:val="center"/>
          </w:tcPr>
          <w:p w14:paraId="5C024661" w14:textId="1E1D6BBF" w:rsidR="00176736" w:rsidRPr="00176736" w:rsidRDefault="00176736" w:rsidP="00176736">
            <w:pPr>
              <w:spacing w:after="0" w:line="240" w:lineRule="auto"/>
              <w:jc w:val="right"/>
              <w:rPr>
                <w:b/>
                <w:bCs/>
                <w:sz w:val="18"/>
                <w:szCs w:val="18"/>
                <w:lang w:eastAsia="sk-SK"/>
              </w:rPr>
            </w:pPr>
            <w:r w:rsidRPr="00176736">
              <w:rPr>
                <w:b/>
                <w:bCs/>
                <w:sz w:val="18"/>
                <w:szCs w:val="18"/>
                <w:lang w:eastAsia="sk-SK"/>
              </w:rPr>
              <w:t>8 654 083</w:t>
            </w:r>
          </w:p>
        </w:tc>
        <w:tc>
          <w:tcPr>
            <w:tcW w:w="669" w:type="pct"/>
            <w:tcBorders>
              <w:left w:val="nil"/>
              <w:right w:val="nil"/>
            </w:tcBorders>
            <w:vAlign w:val="center"/>
          </w:tcPr>
          <w:p w14:paraId="5E52DBCA" w14:textId="4DED7786" w:rsidR="00176736" w:rsidRPr="00176736" w:rsidRDefault="00176736" w:rsidP="00176736">
            <w:pPr>
              <w:spacing w:after="0" w:line="240" w:lineRule="auto"/>
              <w:jc w:val="right"/>
              <w:rPr>
                <w:b/>
                <w:bCs/>
                <w:sz w:val="18"/>
                <w:szCs w:val="18"/>
                <w:lang w:eastAsia="sk-SK"/>
              </w:rPr>
            </w:pPr>
            <w:r w:rsidRPr="00176736">
              <w:rPr>
                <w:b/>
                <w:bCs/>
                <w:sz w:val="18"/>
                <w:szCs w:val="18"/>
              </w:rPr>
              <w:t>8 473 059</w:t>
            </w:r>
          </w:p>
        </w:tc>
        <w:tc>
          <w:tcPr>
            <w:tcW w:w="632" w:type="pct"/>
            <w:tcBorders>
              <w:left w:val="nil"/>
              <w:right w:val="nil"/>
            </w:tcBorders>
            <w:vAlign w:val="center"/>
          </w:tcPr>
          <w:p w14:paraId="2BC6CB72" w14:textId="2576056F" w:rsidR="00176736" w:rsidRPr="00176736" w:rsidRDefault="00176736" w:rsidP="00176736">
            <w:pPr>
              <w:pStyle w:val="Odsekzoznamu"/>
              <w:ind w:left="139"/>
              <w:jc w:val="center"/>
              <w:rPr>
                <w:b/>
                <w:bCs/>
                <w:sz w:val="18"/>
                <w:szCs w:val="18"/>
              </w:rPr>
            </w:pPr>
            <w:r w:rsidRPr="00176736">
              <w:rPr>
                <w:b/>
                <w:bCs/>
                <w:sz w:val="18"/>
                <w:szCs w:val="18"/>
              </w:rPr>
              <w:t>9 359 780</w:t>
            </w:r>
          </w:p>
        </w:tc>
        <w:tc>
          <w:tcPr>
            <w:tcW w:w="687" w:type="pct"/>
            <w:tcBorders>
              <w:left w:val="nil"/>
            </w:tcBorders>
            <w:vAlign w:val="center"/>
          </w:tcPr>
          <w:p w14:paraId="04779FF2" w14:textId="1A4464AD" w:rsidR="00176736" w:rsidRPr="00176736" w:rsidRDefault="00176736" w:rsidP="00176736">
            <w:pPr>
              <w:spacing w:after="0"/>
              <w:jc w:val="right"/>
              <w:rPr>
                <w:b/>
                <w:bCs/>
                <w:sz w:val="18"/>
                <w:szCs w:val="18"/>
                <w:lang w:eastAsia="sk-SK"/>
              </w:rPr>
            </w:pPr>
            <w:r w:rsidRPr="00176736">
              <w:rPr>
                <w:b/>
                <w:bCs/>
                <w:sz w:val="18"/>
                <w:szCs w:val="18"/>
                <w:lang w:eastAsia="sk-SK"/>
              </w:rPr>
              <w:t>886 721</w:t>
            </w:r>
          </w:p>
        </w:tc>
      </w:tr>
      <w:tr w:rsidR="002132EC" w:rsidRPr="00176736" w14:paraId="3C9A1209" w14:textId="77777777" w:rsidTr="008A6A1F">
        <w:trPr>
          <w:trHeight w:hRule="exact" w:val="346"/>
          <w:jc w:val="center"/>
        </w:trPr>
        <w:tc>
          <w:tcPr>
            <w:tcW w:w="2474" w:type="pct"/>
            <w:tcBorders>
              <w:right w:val="nil"/>
            </w:tcBorders>
            <w:noWrap/>
            <w:vAlign w:val="center"/>
          </w:tcPr>
          <w:p w14:paraId="346859CB" w14:textId="77777777" w:rsidR="002132EC" w:rsidRPr="00176736" w:rsidRDefault="002132EC" w:rsidP="002132EC">
            <w:pPr>
              <w:spacing w:after="0" w:line="240" w:lineRule="auto"/>
              <w:rPr>
                <w:bCs/>
                <w:sz w:val="18"/>
                <w:szCs w:val="18"/>
                <w:lang w:eastAsia="sk-SK"/>
              </w:rPr>
            </w:pPr>
            <w:r w:rsidRPr="00176736">
              <w:rPr>
                <w:bCs/>
                <w:sz w:val="18"/>
                <w:szCs w:val="18"/>
                <w:lang w:eastAsia="sk-SK"/>
              </w:rPr>
              <w:t>Objem konsolidácie</w:t>
            </w:r>
          </w:p>
        </w:tc>
        <w:tc>
          <w:tcPr>
            <w:tcW w:w="538" w:type="pct"/>
            <w:tcBorders>
              <w:left w:val="nil"/>
              <w:right w:val="nil"/>
            </w:tcBorders>
            <w:vAlign w:val="center"/>
          </w:tcPr>
          <w:p w14:paraId="2249944B" w14:textId="34785A71" w:rsidR="002132EC" w:rsidRPr="00176736" w:rsidRDefault="002132EC" w:rsidP="002132EC">
            <w:pPr>
              <w:spacing w:after="0" w:line="240" w:lineRule="auto"/>
              <w:jc w:val="right"/>
              <w:rPr>
                <w:bCs/>
                <w:sz w:val="18"/>
                <w:szCs w:val="18"/>
                <w:lang w:eastAsia="sk-SK"/>
              </w:rPr>
            </w:pPr>
            <w:r>
              <w:rPr>
                <w:bCs/>
                <w:sz w:val="18"/>
                <w:szCs w:val="18"/>
                <w:lang w:eastAsia="sk-SK"/>
              </w:rPr>
              <w:t>3 519 435</w:t>
            </w:r>
          </w:p>
        </w:tc>
        <w:tc>
          <w:tcPr>
            <w:tcW w:w="669" w:type="pct"/>
            <w:tcBorders>
              <w:left w:val="nil"/>
              <w:right w:val="nil"/>
            </w:tcBorders>
            <w:vAlign w:val="center"/>
          </w:tcPr>
          <w:p w14:paraId="7BCAC906" w14:textId="13034C9E" w:rsidR="002132EC" w:rsidRPr="00176736" w:rsidRDefault="002132EC" w:rsidP="002132EC">
            <w:pPr>
              <w:spacing w:after="0" w:line="240" w:lineRule="auto"/>
              <w:jc w:val="right"/>
              <w:rPr>
                <w:bCs/>
                <w:sz w:val="18"/>
                <w:szCs w:val="18"/>
                <w:lang w:eastAsia="sk-SK"/>
              </w:rPr>
            </w:pPr>
            <w:r>
              <w:rPr>
                <w:bCs/>
                <w:sz w:val="18"/>
                <w:szCs w:val="18"/>
              </w:rPr>
              <w:t>3 526 564</w:t>
            </w:r>
          </w:p>
        </w:tc>
        <w:tc>
          <w:tcPr>
            <w:tcW w:w="632" w:type="pct"/>
            <w:tcBorders>
              <w:left w:val="nil"/>
              <w:right w:val="nil"/>
            </w:tcBorders>
            <w:vAlign w:val="center"/>
          </w:tcPr>
          <w:p w14:paraId="2D8EEBD5" w14:textId="72238355" w:rsidR="002132EC" w:rsidRPr="00176736" w:rsidRDefault="002132EC" w:rsidP="002132EC">
            <w:pPr>
              <w:pStyle w:val="Odsekzoznamu"/>
              <w:ind w:left="139"/>
              <w:jc w:val="center"/>
              <w:rPr>
                <w:bCs/>
                <w:sz w:val="18"/>
                <w:szCs w:val="18"/>
              </w:rPr>
            </w:pPr>
            <w:r>
              <w:rPr>
                <w:bCs/>
                <w:sz w:val="18"/>
                <w:szCs w:val="18"/>
              </w:rPr>
              <w:t>3 813 601</w:t>
            </w:r>
          </w:p>
        </w:tc>
        <w:tc>
          <w:tcPr>
            <w:tcW w:w="687" w:type="pct"/>
            <w:tcBorders>
              <w:left w:val="nil"/>
            </w:tcBorders>
            <w:vAlign w:val="center"/>
          </w:tcPr>
          <w:p w14:paraId="5EFA1F92" w14:textId="56391C1F" w:rsidR="002132EC" w:rsidRPr="00176736" w:rsidRDefault="002132EC" w:rsidP="002132EC">
            <w:pPr>
              <w:spacing w:after="0"/>
              <w:jc w:val="right"/>
              <w:rPr>
                <w:bCs/>
                <w:sz w:val="18"/>
                <w:szCs w:val="18"/>
                <w:lang w:eastAsia="sk-SK"/>
              </w:rPr>
            </w:pPr>
            <w:r>
              <w:rPr>
                <w:bCs/>
                <w:sz w:val="18"/>
                <w:szCs w:val="18"/>
                <w:lang w:eastAsia="sk-SK"/>
              </w:rPr>
              <w:t>287 037</w:t>
            </w:r>
          </w:p>
        </w:tc>
      </w:tr>
      <w:tr w:rsidR="00176736" w:rsidRPr="00176736" w14:paraId="426F2D2C" w14:textId="77777777" w:rsidTr="008A6A1F">
        <w:trPr>
          <w:trHeight w:hRule="exact" w:val="346"/>
          <w:jc w:val="center"/>
        </w:trPr>
        <w:tc>
          <w:tcPr>
            <w:tcW w:w="2474" w:type="pct"/>
            <w:tcBorders>
              <w:right w:val="nil"/>
            </w:tcBorders>
            <w:noWrap/>
            <w:vAlign w:val="center"/>
            <w:hideMark/>
          </w:tcPr>
          <w:p w14:paraId="7DB2AF9E" w14:textId="77777777" w:rsidR="00176736" w:rsidRPr="00176736" w:rsidRDefault="00176736" w:rsidP="00176736">
            <w:pPr>
              <w:spacing w:after="0" w:line="240" w:lineRule="auto"/>
              <w:rPr>
                <w:b/>
                <w:bCs/>
                <w:sz w:val="18"/>
                <w:szCs w:val="18"/>
                <w:lang w:eastAsia="sk-SK"/>
              </w:rPr>
            </w:pPr>
            <w:r w:rsidRPr="00176736">
              <w:rPr>
                <w:b/>
                <w:bCs/>
                <w:sz w:val="18"/>
                <w:szCs w:val="18"/>
                <w:lang w:eastAsia="sk-SK"/>
              </w:rPr>
              <w:t>Spolu  (konsolidované)</w:t>
            </w:r>
          </w:p>
        </w:tc>
        <w:tc>
          <w:tcPr>
            <w:tcW w:w="538" w:type="pct"/>
            <w:tcBorders>
              <w:left w:val="nil"/>
              <w:right w:val="nil"/>
            </w:tcBorders>
            <w:vAlign w:val="center"/>
          </w:tcPr>
          <w:p w14:paraId="4B08441F" w14:textId="3578F21C" w:rsidR="00176736" w:rsidRPr="00176736" w:rsidRDefault="00176736" w:rsidP="00176736">
            <w:pPr>
              <w:spacing w:after="0" w:line="240" w:lineRule="auto"/>
              <w:jc w:val="right"/>
              <w:rPr>
                <w:b/>
                <w:bCs/>
                <w:sz w:val="18"/>
                <w:szCs w:val="18"/>
                <w:lang w:eastAsia="sk-SK"/>
              </w:rPr>
            </w:pPr>
            <w:r w:rsidRPr="00176736">
              <w:rPr>
                <w:b/>
                <w:bCs/>
                <w:sz w:val="18"/>
                <w:szCs w:val="18"/>
                <w:lang w:eastAsia="sk-SK"/>
              </w:rPr>
              <w:t>5 134 648</w:t>
            </w:r>
          </w:p>
        </w:tc>
        <w:tc>
          <w:tcPr>
            <w:tcW w:w="669" w:type="pct"/>
            <w:tcBorders>
              <w:left w:val="nil"/>
              <w:right w:val="nil"/>
            </w:tcBorders>
            <w:vAlign w:val="center"/>
          </w:tcPr>
          <w:p w14:paraId="172A3FB1" w14:textId="4CD78090" w:rsidR="00176736" w:rsidRPr="00176736" w:rsidRDefault="00176736" w:rsidP="00176736">
            <w:pPr>
              <w:spacing w:after="0" w:line="240" w:lineRule="auto"/>
              <w:jc w:val="right"/>
              <w:rPr>
                <w:b/>
                <w:bCs/>
                <w:sz w:val="18"/>
                <w:szCs w:val="18"/>
                <w:lang w:eastAsia="sk-SK"/>
              </w:rPr>
            </w:pPr>
            <w:r w:rsidRPr="00176736">
              <w:rPr>
                <w:b/>
                <w:bCs/>
                <w:sz w:val="18"/>
                <w:szCs w:val="18"/>
                <w:lang w:eastAsia="sk-SK"/>
              </w:rPr>
              <w:t>4 946 495</w:t>
            </w:r>
          </w:p>
        </w:tc>
        <w:tc>
          <w:tcPr>
            <w:tcW w:w="632" w:type="pct"/>
            <w:tcBorders>
              <w:left w:val="nil"/>
              <w:right w:val="nil"/>
            </w:tcBorders>
            <w:vAlign w:val="center"/>
          </w:tcPr>
          <w:p w14:paraId="4ADA2864" w14:textId="028D94FB" w:rsidR="00176736" w:rsidRPr="00176736" w:rsidRDefault="00176736" w:rsidP="00176736">
            <w:pPr>
              <w:spacing w:after="0" w:line="240" w:lineRule="auto"/>
              <w:jc w:val="right"/>
              <w:rPr>
                <w:b/>
                <w:bCs/>
                <w:sz w:val="18"/>
                <w:szCs w:val="18"/>
                <w:lang w:eastAsia="sk-SK"/>
              </w:rPr>
            </w:pPr>
            <w:r w:rsidRPr="00176736">
              <w:rPr>
                <w:b/>
                <w:bCs/>
                <w:sz w:val="18"/>
                <w:szCs w:val="18"/>
                <w:lang w:eastAsia="sk-SK"/>
              </w:rPr>
              <w:t>5 546 179</w:t>
            </w:r>
          </w:p>
        </w:tc>
        <w:tc>
          <w:tcPr>
            <w:tcW w:w="687" w:type="pct"/>
            <w:tcBorders>
              <w:left w:val="nil"/>
            </w:tcBorders>
            <w:vAlign w:val="center"/>
          </w:tcPr>
          <w:p w14:paraId="2E4C5BEC" w14:textId="6786C264" w:rsidR="00176736" w:rsidRPr="00176736" w:rsidRDefault="00176736" w:rsidP="00176736">
            <w:pPr>
              <w:spacing w:after="0"/>
              <w:jc w:val="right"/>
              <w:rPr>
                <w:b/>
                <w:bCs/>
                <w:sz w:val="18"/>
                <w:szCs w:val="18"/>
                <w:lang w:eastAsia="sk-SK"/>
              </w:rPr>
            </w:pPr>
            <w:r w:rsidRPr="00176736">
              <w:rPr>
                <w:b/>
                <w:bCs/>
                <w:sz w:val="18"/>
                <w:szCs w:val="18"/>
                <w:lang w:eastAsia="sk-SK"/>
              </w:rPr>
              <w:t>599 684</w:t>
            </w:r>
          </w:p>
        </w:tc>
      </w:tr>
    </w:tbl>
    <w:p w14:paraId="11EADDED" w14:textId="47FB8183" w:rsidR="00B62E67" w:rsidRPr="00474213" w:rsidRDefault="00B62E67" w:rsidP="00B62E67">
      <w:pPr>
        <w:spacing w:line="240" w:lineRule="auto"/>
        <w:ind w:left="4963"/>
        <w:jc w:val="both"/>
        <w:rPr>
          <w:sz w:val="16"/>
          <w:szCs w:val="16"/>
        </w:rPr>
      </w:pPr>
      <w:r w:rsidRPr="00474213">
        <w:rPr>
          <w:sz w:val="16"/>
          <w:szCs w:val="16"/>
        </w:rPr>
        <w:t xml:space="preserve">         </w:t>
      </w:r>
      <w:r w:rsidR="00474213">
        <w:rPr>
          <w:sz w:val="16"/>
          <w:szCs w:val="16"/>
        </w:rPr>
        <w:t xml:space="preserve">           </w:t>
      </w:r>
      <w:r w:rsidRPr="00474213">
        <w:rPr>
          <w:sz w:val="16"/>
          <w:szCs w:val="16"/>
        </w:rPr>
        <w:t xml:space="preserve">  Zdroj: Účtovné závierky subjektov a databáza MF SR</w:t>
      </w:r>
    </w:p>
    <w:p w14:paraId="42A568D8" w14:textId="64D89C5C" w:rsidR="00B62E67" w:rsidRPr="007A33B2" w:rsidRDefault="00B62E67" w:rsidP="00B62E67">
      <w:pPr>
        <w:spacing w:before="120" w:line="240" w:lineRule="auto"/>
        <w:jc w:val="both"/>
        <w:rPr>
          <w:szCs w:val="22"/>
        </w:rPr>
      </w:pPr>
      <w:r w:rsidRPr="007A33B2">
        <w:rPr>
          <w:szCs w:val="22"/>
        </w:rPr>
        <w:t xml:space="preserve">Medziročná zmena nekonsolidovanej hodnoty iných aktív dosiahla </w:t>
      </w:r>
      <w:r>
        <w:rPr>
          <w:szCs w:val="22"/>
        </w:rPr>
        <w:t>886</w:t>
      </w:r>
      <w:r w:rsidR="00833792">
        <w:rPr>
          <w:szCs w:val="22"/>
        </w:rPr>
        <w:t> </w:t>
      </w:r>
      <w:r>
        <w:rPr>
          <w:szCs w:val="22"/>
        </w:rPr>
        <w:t>721</w:t>
      </w:r>
      <w:r w:rsidR="00833792">
        <w:rPr>
          <w:szCs w:val="22"/>
        </w:rPr>
        <w:t> </w:t>
      </w:r>
      <w:r w:rsidRPr="007A33B2">
        <w:rPr>
          <w:szCs w:val="22"/>
        </w:rPr>
        <w:t>tis.</w:t>
      </w:r>
      <w:r w:rsidR="00833792">
        <w:rPr>
          <w:szCs w:val="22"/>
        </w:rPr>
        <w:t> </w:t>
      </w:r>
      <w:r w:rsidRPr="007A33B2">
        <w:rPr>
          <w:szCs w:val="22"/>
        </w:rPr>
        <w:t xml:space="preserve">eur a bola zaznamenaná najmä v organizáciách </w:t>
      </w:r>
      <w:r>
        <w:rPr>
          <w:szCs w:val="22"/>
        </w:rPr>
        <w:t xml:space="preserve">územnej samosprávy </w:t>
      </w:r>
      <w:r w:rsidRPr="007A33B2">
        <w:rPr>
          <w:szCs w:val="22"/>
        </w:rPr>
        <w:t>(</w:t>
      </w:r>
      <w:r>
        <w:rPr>
          <w:szCs w:val="22"/>
        </w:rPr>
        <w:t>526</w:t>
      </w:r>
      <w:r w:rsidR="00833792">
        <w:rPr>
          <w:szCs w:val="22"/>
        </w:rPr>
        <w:t> </w:t>
      </w:r>
      <w:r>
        <w:rPr>
          <w:szCs w:val="22"/>
        </w:rPr>
        <w:t>970</w:t>
      </w:r>
      <w:r w:rsidR="00833792">
        <w:rPr>
          <w:szCs w:val="22"/>
        </w:rPr>
        <w:t> </w:t>
      </w:r>
      <w:r w:rsidRPr="007A33B2">
        <w:rPr>
          <w:szCs w:val="22"/>
        </w:rPr>
        <w:t>tis.</w:t>
      </w:r>
      <w:r w:rsidR="00833792">
        <w:rPr>
          <w:szCs w:val="22"/>
        </w:rPr>
        <w:t> </w:t>
      </w:r>
      <w:r w:rsidRPr="007A33B2">
        <w:rPr>
          <w:szCs w:val="22"/>
        </w:rPr>
        <w:t>eur).</w:t>
      </w:r>
      <w:r>
        <w:rPr>
          <w:szCs w:val="22"/>
        </w:rPr>
        <w:t xml:space="preserve"> Ide najmä o položky vykázané na</w:t>
      </w:r>
      <w:r w:rsidR="00833792">
        <w:rPr>
          <w:szCs w:val="22"/>
        </w:rPr>
        <w:t> </w:t>
      </w:r>
      <w:r>
        <w:rPr>
          <w:szCs w:val="22"/>
        </w:rPr>
        <w:t>podsúvahe, pričom môže ísť o rôzne položky majetku, ktorý sa z dôvodu účtovných postupov nevykazujú priamo v súvahe. Ústredná správa zvýšila iné aktíva o</w:t>
      </w:r>
      <w:r w:rsidR="00833792">
        <w:rPr>
          <w:szCs w:val="22"/>
        </w:rPr>
        <w:t> </w:t>
      </w:r>
      <w:r>
        <w:rPr>
          <w:szCs w:val="22"/>
        </w:rPr>
        <w:t>359</w:t>
      </w:r>
      <w:r w:rsidR="00833792">
        <w:rPr>
          <w:szCs w:val="22"/>
        </w:rPr>
        <w:t> 751 </w:t>
      </w:r>
      <w:r>
        <w:rPr>
          <w:szCs w:val="22"/>
        </w:rPr>
        <w:t>tis.</w:t>
      </w:r>
      <w:r w:rsidR="00833792">
        <w:rPr>
          <w:szCs w:val="22"/>
        </w:rPr>
        <w:t> </w:t>
      </w:r>
      <w:r>
        <w:rPr>
          <w:szCs w:val="22"/>
        </w:rPr>
        <w:t>eur, takisto najmä z vykázania hodnoty majetku evidovaného na podsúvahe (iného ako súdne spory, záruky, ručenie v prospech jednotky).</w:t>
      </w:r>
    </w:p>
    <w:p w14:paraId="5EB40135" w14:textId="722319AB" w:rsidR="00B62E67" w:rsidRDefault="00B62E67" w:rsidP="00B62E67">
      <w:pPr>
        <w:spacing w:after="120" w:line="240" w:lineRule="auto"/>
        <w:jc w:val="both"/>
      </w:pPr>
      <w:r w:rsidRPr="00C66720">
        <w:rPr>
          <w:szCs w:val="22"/>
        </w:rPr>
        <w:t xml:space="preserve">Z podmienených aktív vykazuje najvyššiu hodnotu štátny podnik </w:t>
      </w:r>
      <w:r w:rsidRPr="00C66720">
        <w:rPr>
          <w:szCs w:val="22"/>
          <w:u w:val="single"/>
        </w:rPr>
        <w:t>Lesy SR, š. p.</w:t>
      </w:r>
      <w:r w:rsidRPr="00C66720">
        <w:rPr>
          <w:szCs w:val="22"/>
        </w:rPr>
        <w:t xml:space="preserve"> z dôvodu ocenenia lesných porastov, ktoré podnik obhospodaruje na pozemkoch vo vlastníctve štátu, ktoré boli k 1.1.2010 jednotne ocenené podľa vyhlášky MS SR č. 492/2004 Z. z. o stanovení všeobecnej hodnoty podniku. Hodnota lesných porastov bola od 1.1.2010 evidovaná na podsúvahovom účte, pričom každoročne je táto hodnota aktualizovaná spolu so spresňovaním hodnoty lesných porastov vo vlastníctve štátu. Medziročne bola podsúvahová hodnota lesných porastov nižšia o</w:t>
      </w:r>
      <w:r>
        <w:rPr>
          <w:szCs w:val="22"/>
        </w:rPr>
        <w:t> 221 690</w:t>
      </w:r>
      <w:r w:rsidRPr="00C66720">
        <w:rPr>
          <w:szCs w:val="22"/>
        </w:rPr>
        <w:t xml:space="preserve"> tis. eur. Hlavným dôvodom  a podkladom na</w:t>
      </w:r>
      <w:r w:rsidR="00627A8D">
        <w:rPr>
          <w:szCs w:val="22"/>
        </w:rPr>
        <w:t> </w:t>
      </w:r>
      <w:r w:rsidRPr="00C66720">
        <w:rPr>
          <w:szCs w:val="22"/>
        </w:rPr>
        <w:t>zníženie hodnoty porastov je obnova programu starostlivosti o les po spracovaní veternej kalamity na</w:t>
      </w:r>
      <w:r w:rsidR="00627A8D">
        <w:rPr>
          <w:szCs w:val="22"/>
        </w:rPr>
        <w:t> </w:t>
      </w:r>
      <w:r w:rsidRPr="00C66720">
        <w:rPr>
          <w:szCs w:val="22"/>
        </w:rPr>
        <w:t>niektorých odštepných závodoch</w:t>
      </w:r>
      <w:r>
        <w:rPr>
          <w:szCs w:val="22"/>
        </w:rPr>
        <w:t>,</w:t>
      </w:r>
      <w:r w:rsidRPr="00C66720">
        <w:rPr>
          <w:szCs w:val="22"/>
        </w:rPr>
        <w:t xml:space="preserve"> ale aj vplyv odovzdania lesných pozemkov s lesnými porastami do</w:t>
      </w:r>
      <w:r w:rsidR="00627A8D">
        <w:rPr>
          <w:szCs w:val="22"/>
        </w:rPr>
        <w:t> </w:t>
      </w:r>
      <w:r w:rsidRPr="00C66720">
        <w:rPr>
          <w:szCs w:val="22"/>
        </w:rPr>
        <w:t>správy Správ národných parkov</w:t>
      </w:r>
      <w:r>
        <w:t xml:space="preserve">. </w:t>
      </w:r>
    </w:p>
    <w:p w14:paraId="3A9F26D2" w14:textId="5C408DF0" w:rsidR="00B62E67" w:rsidRPr="00C66720" w:rsidRDefault="00B62E67" w:rsidP="00B62E67">
      <w:pPr>
        <w:spacing w:before="120" w:after="0" w:line="240" w:lineRule="auto"/>
        <w:jc w:val="both"/>
        <w:rPr>
          <w:szCs w:val="22"/>
        </w:rPr>
      </w:pPr>
      <w:r w:rsidRPr="00C66720">
        <w:rPr>
          <w:szCs w:val="22"/>
          <w:u w:val="single"/>
        </w:rPr>
        <w:t>Slovenská konsolidačná,</w:t>
      </w:r>
      <w:r w:rsidR="00833792">
        <w:rPr>
          <w:szCs w:val="22"/>
          <w:u w:val="single"/>
        </w:rPr>
        <w:t> a. </w:t>
      </w:r>
      <w:r w:rsidRPr="00C66720">
        <w:rPr>
          <w:szCs w:val="22"/>
          <w:u w:val="single"/>
        </w:rPr>
        <w:t>s.</w:t>
      </w:r>
      <w:r w:rsidRPr="00C66720">
        <w:rPr>
          <w:szCs w:val="22"/>
        </w:rPr>
        <w:t xml:space="preserve"> (SKo,</w:t>
      </w:r>
      <w:r w:rsidR="00833792">
        <w:rPr>
          <w:szCs w:val="22"/>
        </w:rPr>
        <w:t> </w:t>
      </w:r>
      <w:r w:rsidRPr="00C66720">
        <w:rPr>
          <w:szCs w:val="22"/>
        </w:rPr>
        <w:t>a.</w:t>
      </w:r>
      <w:r w:rsidR="00833792">
        <w:rPr>
          <w:szCs w:val="22"/>
        </w:rPr>
        <w:t> </w:t>
      </w:r>
      <w:r w:rsidRPr="00C66720">
        <w:rPr>
          <w:szCs w:val="22"/>
        </w:rPr>
        <w:t>s.), ktorá je zo zákona č.</w:t>
      </w:r>
      <w:r w:rsidR="00833792">
        <w:rPr>
          <w:szCs w:val="22"/>
        </w:rPr>
        <w:t> </w:t>
      </w:r>
      <w:r w:rsidRPr="00C66720">
        <w:rPr>
          <w:szCs w:val="22"/>
        </w:rPr>
        <w:t>374/2014</w:t>
      </w:r>
      <w:r w:rsidR="00833792">
        <w:rPr>
          <w:szCs w:val="22"/>
        </w:rPr>
        <w:t> </w:t>
      </w:r>
      <w:r w:rsidRPr="00C66720">
        <w:rPr>
          <w:szCs w:val="22"/>
        </w:rPr>
        <w:t>Z.</w:t>
      </w:r>
      <w:r w:rsidR="00833792">
        <w:rPr>
          <w:szCs w:val="22"/>
        </w:rPr>
        <w:t> </w:t>
      </w:r>
      <w:r w:rsidRPr="00C66720">
        <w:rPr>
          <w:szCs w:val="22"/>
        </w:rPr>
        <w:t xml:space="preserve">z. o pohľadávkach štátu a o zmene a doplnení niektorých zákonov poverenou osobou pre konsolidáciu pohľadávok verejného sektora vykazuje druhú najväčšiu hodnotu podmienených aktív v hodnote </w:t>
      </w:r>
      <w:r w:rsidRPr="007A33B2">
        <w:rPr>
          <w:szCs w:val="22"/>
        </w:rPr>
        <w:t>2</w:t>
      </w:r>
      <w:r w:rsidR="00833792">
        <w:rPr>
          <w:szCs w:val="22"/>
        </w:rPr>
        <w:t> </w:t>
      </w:r>
      <w:r>
        <w:rPr>
          <w:szCs w:val="22"/>
        </w:rPr>
        <w:t>917</w:t>
      </w:r>
      <w:r w:rsidR="00833792">
        <w:rPr>
          <w:szCs w:val="22"/>
        </w:rPr>
        <w:t> </w:t>
      </w:r>
      <w:r>
        <w:rPr>
          <w:szCs w:val="22"/>
        </w:rPr>
        <w:t>450</w:t>
      </w:r>
      <w:r w:rsidR="00833792">
        <w:rPr>
          <w:szCs w:val="22"/>
        </w:rPr>
        <w:t> </w:t>
      </w:r>
      <w:r w:rsidRPr="00C66720">
        <w:rPr>
          <w:szCs w:val="22"/>
        </w:rPr>
        <w:t>tis.</w:t>
      </w:r>
      <w:r w:rsidR="00833792">
        <w:rPr>
          <w:szCs w:val="22"/>
        </w:rPr>
        <w:t> </w:t>
      </w:r>
      <w:r w:rsidRPr="00C66720">
        <w:rPr>
          <w:szCs w:val="22"/>
        </w:rPr>
        <w:t>eur. Časť nominálnej hodnoty pohľadávok SKo,</w:t>
      </w:r>
      <w:r w:rsidR="00833792">
        <w:rPr>
          <w:szCs w:val="22"/>
        </w:rPr>
        <w:t> </w:t>
      </w:r>
      <w:r w:rsidRPr="00C66720">
        <w:rPr>
          <w:szCs w:val="22"/>
        </w:rPr>
        <w:t>a.</w:t>
      </w:r>
      <w:r w:rsidR="00833792">
        <w:rPr>
          <w:szCs w:val="22"/>
        </w:rPr>
        <w:t> </w:t>
      </w:r>
      <w:r w:rsidRPr="00C66720">
        <w:rPr>
          <w:szCs w:val="22"/>
        </w:rPr>
        <w:t>s. (2</w:t>
      </w:r>
      <w:r w:rsidR="00833792">
        <w:rPr>
          <w:szCs w:val="22"/>
        </w:rPr>
        <w:t> </w:t>
      </w:r>
      <w:r>
        <w:rPr>
          <w:szCs w:val="22"/>
        </w:rPr>
        <w:t>457</w:t>
      </w:r>
      <w:r w:rsidR="00833792">
        <w:rPr>
          <w:szCs w:val="22"/>
        </w:rPr>
        <w:t> </w:t>
      </w:r>
      <w:r>
        <w:rPr>
          <w:szCs w:val="22"/>
        </w:rPr>
        <w:t>540</w:t>
      </w:r>
      <w:r w:rsidR="00833792">
        <w:rPr>
          <w:szCs w:val="22"/>
        </w:rPr>
        <w:t> </w:t>
      </w:r>
      <w:r w:rsidRPr="00C66720">
        <w:rPr>
          <w:szCs w:val="22"/>
        </w:rPr>
        <w:t>tis.</w:t>
      </w:r>
      <w:r w:rsidR="00833792">
        <w:rPr>
          <w:szCs w:val="22"/>
        </w:rPr>
        <w:t> </w:t>
      </w:r>
      <w:r w:rsidRPr="00C66720">
        <w:rPr>
          <w:szCs w:val="22"/>
        </w:rPr>
        <w:t xml:space="preserve">eur) je pre účely </w:t>
      </w:r>
      <w:r>
        <w:rPr>
          <w:szCs w:val="22"/>
        </w:rPr>
        <w:t>konsolidovanej účtovnej závierky ústrednej správy</w:t>
      </w:r>
      <w:r w:rsidRPr="00C66720">
        <w:rPr>
          <w:szCs w:val="22"/>
        </w:rPr>
        <w:t xml:space="preserve"> eliminovaná, čo zabezpečuje vykázanie pohľadávok len jednou hodnotou, a to priamo v súvahe spolu s prislúchajúcimi opravnými položkami</w:t>
      </w:r>
      <w:r>
        <w:rPr>
          <w:szCs w:val="22"/>
        </w:rPr>
        <w:t xml:space="preserve"> (takmer na 100</w:t>
      </w:r>
      <w:r w:rsidR="00FD250C">
        <w:rPr>
          <w:szCs w:val="22"/>
        </w:rPr>
        <w:t>,0</w:t>
      </w:r>
      <w:r w:rsidR="00833792">
        <w:rPr>
          <w:szCs w:val="22"/>
        </w:rPr>
        <w:t> </w:t>
      </w:r>
      <w:r>
        <w:rPr>
          <w:szCs w:val="22"/>
        </w:rPr>
        <w:t>% hodnoty)</w:t>
      </w:r>
      <w:r w:rsidRPr="00C66720">
        <w:rPr>
          <w:szCs w:val="22"/>
        </w:rPr>
        <w:t>.</w:t>
      </w:r>
    </w:p>
    <w:p w14:paraId="06A11498" w14:textId="0003D957" w:rsidR="00B62E67" w:rsidRPr="00C66720" w:rsidRDefault="00B62E67" w:rsidP="00B62E67">
      <w:pPr>
        <w:spacing w:before="120" w:after="0" w:line="240" w:lineRule="auto"/>
        <w:jc w:val="both"/>
        <w:rPr>
          <w:szCs w:val="22"/>
        </w:rPr>
      </w:pPr>
      <w:r w:rsidRPr="00C66720">
        <w:rPr>
          <w:b/>
          <w:szCs w:val="22"/>
        </w:rPr>
        <w:t>Zo súdnych sporov a iných právnych úkonov</w:t>
      </w:r>
      <w:r w:rsidRPr="00C66720">
        <w:rPr>
          <w:szCs w:val="22"/>
        </w:rPr>
        <w:t xml:space="preserve"> boli významné súdne konania, ktorých účastníkom je </w:t>
      </w:r>
      <w:r w:rsidRPr="00C66720">
        <w:rPr>
          <w:szCs w:val="22"/>
          <w:u w:val="single"/>
        </w:rPr>
        <w:t>Vodohospodárska výstavba,</w:t>
      </w:r>
      <w:r w:rsidR="00833792">
        <w:rPr>
          <w:szCs w:val="22"/>
          <w:u w:val="single"/>
        </w:rPr>
        <w:t> </w:t>
      </w:r>
      <w:r w:rsidRPr="00C66720">
        <w:rPr>
          <w:szCs w:val="22"/>
          <w:u w:val="single"/>
        </w:rPr>
        <w:t>š.</w:t>
      </w:r>
      <w:r w:rsidR="00833792">
        <w:rPr>
          <w:szCs w:val="22"/>
          <w:u w:val="single"/>
        </w:rPr>
        <w:t> </w:t>
      </w:r>
      <w:r w:rsidRPr="00C66720">
        <w:rPr>
          <w:szCs w:val="22"/>
          <w:u w:val="single"/>
        </w:rPr>
        <w:t>p.</w:t>
      </w:r>
      <w:r w:rsidRPr="00C66720">
        <w:rPr>
          <w:szCs w:val="22"/>
        </w:rPr>
        <w:t xml:space="preserve"> naj</w:t>
      </w:r>
      <w:r w:rsidR="00833792">
        <w:rPr>
          <w:szCs w:val="22"/>
        </w:rPr>
        <w:t>mä voči Slovenským elektrárňam, </w:t>
      </w:r>
      <w:r w:rsidRPr="00C66720">
        <w:rPr>
          <w:szCs w:val="22"/>
        </w:rPr>
        <w:t>a.</w:t>
      </w:r>
      <w:r w:rsidR="00833792">
        <w:rPr>
          <w:szCs w:val="22"/>
        </w:rPr>
        <w:t> </w:t>
      </w:r>
      <w:r w:rsidRPr="00C66720">
        <w:rPr>
          <w:szCs w:val="22"/>
        </w:rPr>
        <w:t>s. o be</w:t>
      </w:r>
      <w:r w:rsidR="00833792">
        <w:rPr>
          <w:szCs w:val="22"/>
        </w:rPr>
        <w:t>zdôvodné obohatenie v sume 407</w:t>
      </w:r>
      <w:r w:rsidR="00BD5906">
        <w:rPr>
          <w:szCs w:val="22"/>
        </w:rPr>
        <w:t> </w:t>
      </w:r>
      <w:r w:rsidR="00833792">
        <w:rPr>
          <w:szCs w:val="22"/>
        </w:rPr>
        <w:t>774</w:t>
      </w:r>
      <w:r w:rsidR="00BD5906">
        <w:rPr>
          <w:szCs w:val="22"/>
        </w:rPr>
        <w:t> </w:t>
      </w:r>
      <w:r w:rsidR="00833792">
        <w:rPr>
          <w:szCs w:val="22"/>
        </w:rPr>
        <w:t>tis.</w:t>
      </w:r>
      <w:r w:rsidR="00BD5906">
        <w:rPr>
          <w:szCs w:val="22"/>
        </w:rPr>
        <w:t> </w:t>
      </w:r>
      <w:r w:rsidRPr="00C66720">
        <w:rPr>
          <w:szCs w:val="22"/>
        </w:rPr>
        <w:t>eur. Spor sa týka platieb, ktoré platila Vodohospodárska výstavba,</w:t>
      </w:r>
      <w:r w:rsidR="00833792">
        <w:rPr>
          <w:szCs w:val="22"/>
        </w:rPr>
        <w:t> </w:t>
      </w:r>
      <w:r w:rsidRPr="00C66720">
        <w:rPr>
          <w:szCs w:val="22"/>
        </w:rPr>
        <w:t>š.</w:t>
      </w:r>
      <w:r w:rsidR="00833792">
        <w:rPr>
          <w:szCs w:val="22"/>
        </w:rPr>
        <w:t> </w:t>
      </w:r>
      <w:r w:rsidRPr="00C66720">
        <w:rPr>
          <w:szCs w:val="22"/>
        </w:rPr>
        <w:t>p. elektrárňam od</w:t>
      </w:r>
      <w:r w:rsidR="00833792">
        <w:rPr>
          <w:szCs w:val="22"/>
        </w:rPr>
        <w:t> </w:t>
      </w:r>
      <w:r w:rsidRPr="00C66720">
        <w:rPr>
          <w:szCs w:val="22"/>
        </w:rPr>
        <w:t>roku 2006 na základe zmlúv na užívanie Vodnej elektrárne Gabčíkovo, ktoré sú p</w:t>
      </w:r>
      <w:r w:rsidR="00BD5906">
        <w:rPr>
          <w:szCs w:val="22"/>
        </w:rPr>
        <w:t>odľa štátneho podniku neplatné.</w:t>
      </w:r>
    </w:p>
    <w:p w14:paraId="6C9FB793" w14:textId="407BD317" w:rsidR="00B62E67" w:rsidRPr="00C66720" w:rsidRDefault="00B62E67" w:rsidP="00B62E67">
      <w:pPr>
        <w:spacing w:before="120" w:after="120" w:line="240" w:lineRule="auto"/>
        <w:jc w:val="both"/>
        <w:rPr>
          <w:szCs w:val="22"/>
        </w:rPr>
      </w:pPr>
      <w:r w:rsidRPr="00C66720">
        <w:rPr>
          <w:szCs w:val="22"/>
        </w:rPr>
        <w:lastRenderedPageBreak/>
        <w:t xml:space="preserve">V prípade súdnych sporov vedených v prospech </w:t>
      </w:r>
      <w:r w:rsidRPr="00C66720">
        <w:rPr>
          <w:szCs w:val="22"/>
          <w:u w:val="single"/>
        </w:rPr>
        <w:t>MH</w:t>
      </w:r>
      <w:r w:rsidR="00BD5906">
        <w:rPr>
          <w:szCs w:val="22"/>
          <w:u w:val="single"/>
        </w:rPr>
        <w:t> </w:t>
      </w:r>
      <w:r w:rsidRPr="00C66720">
        <w:rPr>
          <w:szCs w:val="22"/>
          <w:u w:val="single"/>
        </w:rPr>
        <w:t>Manažmentu,</w:t>
      </w:r>
      <w:r w:rsidR="00BD5906">
        <w:rPr>
          <w:szCs w:val="22"/>
          <w:u w:val="single"/>
        </w:rPr>
        <w:t> </w:t>
      </w:r>
      <w:r w:rsidRPr="00C66720">
        <w:rPr>
          <w:szCs w:val="22"/>
          <w:u w:val="single"/>
        </w:rPr>
        <w:t>a.</w:t>
      </w:r>
      <w:r w:rsidR="00BD5906">
        <w:rPr>
          <w:szCs w:val="22"/>
          <w:u w:val="single"/>
        </w:rPr>
        <w:t> </w:t>
      </w:r>
      <w:r w:rsidRPr="00C66720">
        <w:rPr>
          <w:szCs w:val="22"/>
          <w:u w:val="single"/>
        </w:rPr>
        <w:t>s.</w:t>
      </w:r>
      <w:r w:rsidRPr="00C66720">
        <w:rPr>
          <w:szCs w:val="22"/>
        </w:rPr>
        <w:t xml:space="preserve"> bola zaznamenaná medziročne vyššia hodnota o</w:t>
      </w:r>
      <w:r w:rsidR="00BD5906">
        <w:rPr>
          <w:szCs w:val="22"/>
        </w:rPr>
        <w:t> </w:t>
      </w:r>
      <w:r>
        <w:rPr>
          <w:szCs w:val="22"/>
        </w:rPr>
        <w:t>2</w:t>
      </w:r>
      <w:r w:rsidR="00BD5906">
        <w:rPr>
          <w:szCs w:val="22"/>
        </w:rPr>
        <w:t> </w:t>
      </w:r>
      <w:r>
        <w:rPr>
          <w:szCs w:val="22"/>
        </w:rPr>
        <w:t>402</w:t>
      </w:r>
      <w:r w:rsidR="00BD5906">
        <w:rPr>
          <w:szCs w:val="22"/>
        </w:rPr>
        <w:t> </w:t>
      </w:r>
      <w:r w:rsidRPr="00C66720">
        <w:rPr>
          <w:szCs w:val="22"/>
        </w:rPr>
        <w:t>tis.</w:t>
      </w:r>
      <w:r w:rsidR="00BD5906">
        <w:rPr>
          <w:szCs w:val="22"/>
        </w:rPr>
        <w:t> </w:t>
      </w:r>
      <w:r w:rsidRPr="00C66720">
        <w:rPr>
          <w:szCs w:val="22"/>
        </w:rPr>
        <w:t xml:space="preserve">eur vrátane príslušenstva a tým podmienené aktíva zo súdnych sporov z titulu bezdôvodného obohatenia dosiahli hodnotu </w:t>
      </w:r>
      <w:r>
        <w:rPr>
          <w:szCs w:val="22"/>
        </w:rPr>
        <w:t>46</w:t>
      </w:r>
      <w:r w:rsidR="00BD5906">
        <w:rPr>
          <w:szCs w:val="22"/>
        </w:rPr>
        <w:t> </w:t>
      </w:r>
      <w:r>
        <w:rPr>
          <w:szCs w:val="22"/>
        </w:rPr>
        <w:t>059</w:t>
      </w:r>
      <w:r w:rsidR="00BD5906">
        <w:rPr>
          <w:szCs w:val="22"/>
        </w:rPr>
        <w:t> </w:t>
      </w:r>
      <w:r w:rsidRPr="00C66720">
        <w:rPr>
          <w:szCs w:val="22"/>
        </w:rPr>
        <w:t>tis.</w:t>
      </w:r>
      <w:r w:rsidR="00BD5906">
        <w:rPr>
          <w:szCs w:val="22"/>
        </w:rPr>
        <w:t> </w:t>
      </w:r>
      <w:r w:rsidRPr="00C66720">
        <w:rPr>
          <w:szCs w:val="22"/>
        </w:rPr>
        <w:t>eur.</w:t>
      </w:r>
    </w:p>
    <w:p w14:paraId="4652709F" w14:textId="2226C999" w:rsidR="00B62E67" w:rsidRPr="00C66720" w:rsidRDefault="00B62E67" w:rsidP="00B62E67">
      <w:pPr>
        <w:spacing w:before="120" w:after="120" w:line="240" w:lineRule="auto"/>
        <w:jc w:val="both"/>
        <w:rPr>
          <w:szCs w:val="22"/>
        </w:rPr>
      </w:pPr>
      <w:r w:rsidRPr="00C66720">
        <w:rPr>
          <w:szCs w:val="22"/>
          <w:u w:val="single"/>
        </w:rPr>
        <w:t>Finančné riaditeľstvo SR</w:t>
      </w:r>
      <w:r w:rsidRPr="009868D2">
        <w:rPr>
          <w:szCs w:val="22"/>
        </w:rPr>
        <w:t xml:space="preserve"> </w:t>
      </w:r>
      <w:r w:rsidRPr="00C66720">
        <w:rPr>
          <w:szCs w:val="22"/>
        </w:rPr>
        <w:t>je žalobcom v dvoch súdnych sporoch o náhradu škody, úhrnom za</w:t>
      </w:r>
      <w:r w:rsidR="00BD5906">
        <w:rPr>
          <w:szCs w:val="22"/>
        </w:rPr>
        <w:t> </w:t>
      </w:r>
      <w:r w:rsidRPr="00C66720">
        <w:rPr>
          <w:szCs w:val="22"/>
        </w:rPr>
        <w:t>4</w:t>
      </w:r>
      <w:r w:rsidR="00BD5906">
        <w:rPr>
          <w:szCs w:val="22"/>
        </w:rPr>
        <w:t> </w:t>
      </w:r>
      <w:r w:rsidRPr="00C66720">
        <w:rPr>
          <w:szCs w:val="22"/>
        </w:rPr>
        <w:t>077</w:t>
      </w:r>
      <w:r w:rsidR="00BD5906">
        <w:rPr>
          <w:szCs w:val="22"/>
        </w:rPr>
        <w:t> </w:t>
      </w:r>
      <w:r w:rsidRPr="00C66720">
        <w:rPr>
          <w:szCs w:val="22"/>
        </w:rPr>
        <w:t>tis.</w:t>
      </w:r>
      <w:r w:rsidR="00BD5906">
        <w:rPr>
          <w:szCs w:val="22"/>
        </w:rPr>
        <w:t> </w:t>
      </w:r>
      <w:r w:rsidRPr="00C66720">
        <w:rPr>
          <w:szCs w:val="22"/>
        </w:rPr>
        <w:t xml:space="preserve"> eur.</w:t>
      </w:r>
    </w:p>
    <w:p w14:paraId="63B76517" w14:textId="1AF9C501" w:rsidR="00B62E67" w:rsidRPr="00C66720" w:rsidRDefault="00B62E67" w:rsidP="00B62E67">
      <w:pPr>
        <w:spacing w:before="120" w:after="120" w:line="240" w:lineRule="auto"/>
        <w:jc w:val="both"/>
        <w:rPr>
          <w:szCs w:val="22"/>
        </w:rPr>
      </w:pPr>
      <w:r w:rsidRPr="00C66720">
        <w:rPr>
          <w:szCs w:val="22"/>
          <w:u w:val="single"/>
        </w:rPr>
        <w:t>Ministerstvo vnútra SR</w:t>
      </w:r>
      <w:r w:rsidRPr="00C66720">
        <w:rPr>
          <w:szCs w:val="22"/>
        </w:rPr>
        <w:t xml:space="preserve"> vykazuje aktívne súdne spory v celkovej sume 3</w:t>
      </w:r>
      <w:r w:rsidR="00BD5906">
        <w:rPr>
          <w:szCs w:val="22"/>
        </w:rPr>
        <w:t> </w:t>
      </w:r>
      <w:r w:rsidRPr="00C66720">
        <w:rPr>
          <w:szCs w:val="22"/>
        </w:rPr>
        <w:t>9</w:t>
      </w:r>
      <w:r>
        <w:rPr>
          <w:szCs w:val="22"/>
        </w:rPr>
        <w:t>84</w:t>
      </w:r>
      <w:r w:rsidR="00BD5906">
        <w:rPr>
          <w:szCs w:val="22"/>
        </w:rPr>
        <w:t> </w:t>
      </w:r>
      <w:r w:rsidRPr="00C66720">
        <w:rPr>
          <w:szCs w:val="22"/>
        </w:rPr>
        <w:t>tis.</w:t>
      </w:r>
      <w:r w:rsidR="00BD5906">
        <w:rPr>
          <w:szCs w:val="22"/>
        </w:rPr>
        <w:t> </w:t>
      </w:r>
      <w:r w:rsidRPr="00C66720">
        <w:rPr>
          <w:szCs w:val="22"/>
        </w:rPr>
        <w:t>eur, čo je v porovnaní z bezprostredne predchádzajúcim účtovným obdobím pokles o</w:t>
      </w:r>
      <w:r w:rsidR="00BD5906">
        <w:rPr>
          <w:szCs w:val="22"/>
        </w:rPr>
        <w:t> </w:t>
      </w:r>
      <w:r>
        <w:rPr>
          <w:szCs w:val="22"/>
        </w:rPr>
        <w:t>45</w:t>
      </w:r>
      <w:r w:rsidR="00BD5906">
        <w:rPr>
          <w:szCs w:val="22"/>
        </w:rPr>
        <w:t> </w:t>
      </w:r>
      <w:r w:rsidRPr="00C66720">
        <w:rPr>
          <w:szCs w:val="22"/>
        </w:rPr>
        <w:t>tis.</w:t>
      </w:r>
      <w:r w:rsidR="00BD5906">
        <w:rPr>
          <w:szCs w:val="22"/>
        </w:rPr>
        <w:t> </w:t>
      </w:r>
      <w:r w:rsidRPr="00C66720">
        <w:rPr>
          <w:szCs w:val="22"/>
        </w:rPr>
        <w:t>eur. Predmetom súdnych sporov bolo napr. zaplatenie sumy, vydanie bezdôvodného obohatenia, náhrada škody, vypratanie bytu, vysporiadanie nehnuteľnosti, nárok na regres a iné.</w:t>
      </w:r>
    </w:p>
    <w:p w14:paraId="647DC549" w14:textId="77777777" w:rsidR="00A035B0" w:rsidRDefault="00A035B0" w:rsidP="00A035B0">
      <w:pPr>
        <w:pStyle w:val="Popis"/>
        <w:framePr w:wrap="around" w:x="1720" w:y="1971"/>
      </w:pPr>
      <w:r>
        <w:t xml:space="preserve">Tabuľka </w:t>
      </w:r>
      <w:r w:rsidR="001F05DE">
        <w:fldChar w:fldCharType="begin"/>
      </w:r>
      <w:r w:rsidR="001F05DE">
        <w:instrText xml:space="preserve"> SEQ Tabuľka \* ARABIC </w:instrText>
      </w:r>
      <w:r w:rsidR="001F05DE">
        <w:fldChar w:fldCharType="separate"/>
      </w:r>
      <w:r>
        <w:rPr>
          <w:noProof/>
        </w:rPr>
        <w:t>27</w:t>
      </w:r>
      <w:r w:rsidR="001F05DE">
        <w:rPr>
          <w:noProof/>
        </w:rPr>
        <w:fldChar w:fldCharType="end"/>
      </w:r>
      <w:r>
        <w:t xml:space="preserve"> - </w:t>
      </w:r>
      <w:r w:rsidRPr="00F83107">
        <w:t xml:space="preserve">Vybrané podmienené aktíva detail – nekonsolidované </w:t>
      </w:r>
      <w:r>
        <w:tab/>
      </w:r>
      <w:r>
        <w:tab/>
      </w:r>
      <w:r>
        <w:tab/>
      </w:r>
      <w:r>
        <w:tab/>
        <w:t>v tis. eur</w:t>
      </w:r>
    </w:p>
    <w:p w14:paraId="46F9BEAA" w14:textId="4DC32AE5" w:rsidR="00FC0A41" w:rsidRPr="00B62E67" w:rsidRDefault="00B62E67" w:rsidP="00B62E67">
      <w:pPr>
        <w:spacing w:after="120" w:line="240" w:lineRule="auto"/>
        <w:jc w:val="both"/>
        <w:rPr>
          <w:b/>
          <w:szCs w:val="22"/>
        </w:rPr>
      </w:pPr>
      <w:r w:rsidRPr="00C66720">
        <w:rPr>
          <w:szCs w:val="22"/>
          <w:u w:val="single"/>
        </w:rPr>
        <w:t>Ministerstvo financií SR</w:t>
      </w:r>
      <w:r w:rsidRPr="00C66720">
        <w:rPr>
          <w:szCs w:val="22"/>
        </w:rPr>
        <w:t xml:space="preserve"> vystupuje ako žalobca v 6 súdnych sporoch. Hodnota aktívnych súdnych sporov je 3</w:t>
      </w:r>
      <w:r w:rsidR="001C4E20">
        <w:rPr>
          <w:szCs w:val="22"/>
        </w:rPr>
        <w:t> </w:t>
      </w:r>
      <w:r w:rsidRPr="00C66720">
        <w:rPr>
          <w:szCs w:val="22"/>
        </w:rPr>
        <w:t>910</w:t>
      </w:r>
      <w:r w:rsidR="001C4E20">
        <w:rPr>
          <w:szCs w:val="22"/>
        </w:rPr>
        <w:t> </w:t>
      </w:r>
      <w:r w:rsidRPr="00C66720">
        <w:rPr>
          <w:szCs w:val="22"/>
        </w:rPr>
        <w:t>tis.</w:t>
      </w:r>
      <w:r w:rsidR="001C4E20">
        <w:rPr>
          <w:szCs w:val="22"/>
        </w:rPr>
        <w:t> </w:t>
      </w:r>
      <w:r w:rsidRPr="00C66720">
        <w:rPr>
          <w:szCs w:val="22"/>
        </w:rPr>
        <w:t>eur a týkajú sa žalôb o náhradu škody spôsobenej orgánmi verejnej moci pri výkone verejnej moci podľa zákona č.</w:t>
      </w:r>
      <w:r w:rsidR="001C4E20">
        <w:rPr>
          <w:szCs w:val="22"/>
        </w:rPr>
        <w:t> 58/1969 </w:t>
      </w:r>
      <w:r w:rsidRPr="00C66720">
        <w:rPr>
          <w:szCs w:val="22"/>
        </w:rPr>
        <w:t>Zb. o zodpovednosti za škodu spôsobenú rozhodnutím orgánu štátu alebo jeho nesprávnym úradným postupom resp. zákon č.</w:t>
      </w:r>
      <w:r w:rsidR="001C4E20">
        <w:rPr>
          <w:szCs w:val="22"/>
        </w:rPr>
        <w:t> 514/2003 Z. </w:t>
      </w:r>
      <w:r w:rsidRPr="00C66720">
        <w:rPr>
          <w:szCs w:val="22"/>
        </w:rPr>
        <w:t>z. o zodpovednosti za škodu spôsobenú pri výkone verejnej moci a o zmene niektorých zákonov, reštitučné nároky podľa príslušných reštitučných predpisov, žaloby o preskúmanie zákonnosti rozhodnutia orgánu verejnej moci a uplatňovania náhrady škody, ktorá vznikla ministerstvu ako poškodenému v trestnom konaní.</w:t>
      </w:r>
    </w:p>
    <w:tbl>
      <w:tblPr>
        <w:tblW w:w="5000" w:type="pct"/>
        <w:tblCellMar>
          <w:left w:w="70" w:type="dxa"/>
          <w:right w:w="70" w:type="dxa"/>
        </w:tblCellMar>
        <w:tblLook w:val="04A0" w:firstRow="1" w:lastRow="0" w:firstColumn="1" w:lastColumn="0" w:noHBand="0" w:noVBand="1"/>
      </w:tblPr>
      <w:tblGrid>
        <w:gridCol w:w="4532"/>
        <w:gridCol w:w="1023"/>
        <w:gridCol w:w="1169"/>
        <w:gridCol w:w="1315"/>
        <w:gridCol w:w="1315"/>
      </w:tblGrid>
      <w:tr w:rsidR="00B62E67" w:rsidRPr="00B62E67" w14:paraId="264A8F7F" w14:textId="77777777" w:rsidTr="008A6A1F">
        <w:trPr>
          <w:trHeight w:val="284"/>
          <w:tblHeader/>
        </w:trPr>
        <w:tc>
          <w:tcPr>
            <w:tcW w:w="2422" w:type="pct"/>
            <w:tcBorders>
              <w:top w:val="single" w:sz="4" w:space="0" w:color="auto"/>
              <w:left w:val="nil"/>
              <w:bottom w:val="single" w:sz="4" w:space="0" w:color="auto"/>
              <w:right w:val="nil"/>
            </w:tcBorders>
            <w:shd w:val="clear" w:color="auto" w:fill="auto"/>
            <w:vAlign w:val="center"/>
            <w:hideMark/>
          </w:tcPr>
          <w:p w14:paraId="08533683" w14:textId="23164B8C" w:rsidR="00B62E67" w:rsidRPr="00B62E67" w:rsidRDefault="00B62E67" w:rsidP="00B62E67">
            <w:pPr>
              <w:spacing w:after="0" w:line="240" w:lineRule="auto"/>
              <w:rPr>
                <w:color w:val="FF0000"/>
                <w:sz w:val="18"/>
                <w:szCs w:val="18"/>
                <w:lang w:eastAsia="sk-SK"/>
              </w:rPr>
            </w:pPr>
          </w:p>
        </w:tc>
        <w:tc>
          <w:tcPr>
            <w:tcW w:w="547" w:type="pct"/>
            <w:tcBorders>
              <w:top w:val="single" w:sz="4" w:space="0" w:color="auto"/>
              <w:left w:val="nil"/>
              <w:bottom w:val="single" w:sz="4" w:space="0" w:color="auto"/>
              <w:right w:val="nil"/>
            </w:tcBorders>
            <w:vAlign w:val="center"/>
          </w:tcPr>
          <w:p w14:paraId="7B5EFDDA" w14:textId="0C068C5D" w:rsidR="00B62E67" w:rsidRPr="00B62E67" w:rsidRDefault="00B62E67" w:rsidP="00B62E67">
            <w:pPr>
              <w:spacing w:after="0" w:line="240" w:lineRule="auto"/>
              <w:jc w:val="center"/>
              <w:rPr>
                <w:b/>
                <w:bCs/>
                <w:sz w:val="18"/>
                <w:szCs w:val="18"/>
                <w:lang w:eastAsia="sk-SK"/>
              </w:rPr>
            </w:pPr>
            <w:r w:rsidRPr="00B62E67">
              <w:rPr>
                <w:b/>
                <w:bCs/>
                <w:sz w:val="18"/>
                <w:szCs w:val="18"/>
                <w:lang w:eastAsia="sk-SK"/>
              </w:rPr>
              <w:t xml:space="preserve">          2021</w:t>
            </w:r>
          </w:p>
        </w:tc>
        <w:tc>
          <w:tcPr>
            <w:tcW w:w="625" w:type="pct"/>
            <w:tcBorders>
              <w:top w:val="single" w:sz="4" w:space="0" w:color="auto"/>
              <w:left w:val="nil"/>
              <w:bottom w:val="single" w:sz="4" w:space="0" w:color="auto"/>
              <w:right w:val="nil"/>
            </w:tcBorders>
            <w:vAlign w:val="center"/>
          </w:tcPr>
          <w:p w14:paraId="063D923B" w14:textId="236A5405" w:rsidR="00B62E67" w:rsidRPr="00B62E67" w:rsidRDefault="00B62E67" w:rsidP="00B62E67">
            <w:pPr>
              <w:spacing w:after="0" w:line="240" w:lineRule="auto"/>
              <w:jc w:val="center"/>
              <w:rPr>
                <w:b/>
                <w:bCs/>
                <w:sz w:val="18"/>
                <w:szCs w:val="18"/>
                <w:lang w:eastAsia="sk-SK"/>
              </w:rPr>
            </w:pPr>
            <w:r w:rsidRPr="00B62E67">
              <w:rPr>
                <w:b/>
                <w:bCs/>
                <w:sz w:val="18"/>
                <w:szCs w:val="18"/>
                <w:lang w:eastAsia="sk-SK"/>
              </w:rPr>
              <w:t xml:space="preserve">             2022</w:t>
            </w:r>
          </w:p>
        </w:tc>
        <w:tc>
          <w:tcPr>
            <w:tcW w:w="703" w:type="pct"/>
            <w:tcBorders>
              <w:top w:val="single" w:sz="4" w:space="0" w:color="auto"/>
              <w:left w:val="nil"/>
              <w:bottom w:val="single" w:sz="4" w:space="0" w:color="auto"/>
              <w:right w:val="nil"/>
            </w:tcBorders>
            <w:shd w:val="clear" w:color="auto" w:fill="auto"/>
            <w:vAlign w:val="center"/>
          </w:tcPr>
          <w:p w14:paraId="031F82A2" w14:textId="6D7D9103" w:rsidR="00B62E67" w:rsidRPr="00B62E67" w:rsidRDefault="00B62E67" w:rsidP="00B62E67">
            <w:pPr>
              <w:spacing w:after="0" w:line="240" w:lineRule="auto"/>
              <w:jc w:val="center"/>
              <w:rPr>
                <w:b/>
                <w:bCs/>
                <w:sz w:val="18"/>
                <w:szCs w:val="18"/>
                <w:lang w:eastAsia="sk-SK"/>
              </w:rPr>
            </w:pPr>
            <w:r w:rsidRPr="00B62E67">
              <w:rPr>
                <w:b/>
                <w:bCs/>
                <w:sz w:val="18"/>
                <w:szCs w:val="18"/>
                <w:lang w:eastAsia="sk-SK"/>
              </w:rPr>
              <w:t xml:space="preserve">             2023</w:t>
            </w:r>
          </w:p>
        </w:tc>
        <w:tc>
          <w:tcPr>
            <w:tcW w:w="703" w:type="pct"/>
            <w:tcBorders>
              <w:top w:val="single" w:sz="4" w:space="0" w:color="auto"/>
              <w:left w:val="nil"/>
              <w:bottom w:val="single" w:sz="4" w:space="0" w:color="auto"/>
              <w:right w:val="nil"/>
            </w:tcBorders>
            <w:shd w:val="clear" w:color="auto" w:fill="auto"/>
            <w:vAlign w:val="center"/>
            <w:hideMark/>
          </w:tcPr>
          <w:p w14:paraId="6AE31FDF" w14:textId="4718815B" w:rsidR="00B62E67" w:rsidRPr="00B62E67" w:rsidRDefault="00B62E67" w:rsidP="00B62E67">
            <w:pPr>
              <w:spacing w:after="0" w:line="240" w:lineRule="auto"/>
              <w:jc w:val="right"/>
              <w:rPr>
                <w:b/>
                <w:bCs/>
                <w:sz w:val="18"/>
                <w:szCs w:val="18"/>
                <w:lang w:eastAsia="sk-SK"/>
              </w:rPr>
            </w:pPr>
            <w:r w:rsidRPr="00B62E67">
              <w:rPr>
                <w:b/>
                <w:bCs/>
                <w:sz w:val="18"/>
                <w:szCs w:val="18"/>
                <w:lang w:eastAsia="sk-SK"/>
              </w:rPr>
              <w:t>Δ 2023-2022</w:t>
            </w:r>
          </w:p>
        </w:tc>
      </w:tr>
      <w:tr w:rsidR="00B62E67" w:rsidRPr="00B62E67" w14:paraId="0EEAA276" w14:textId="77777777" w:rsidTr="008A6A1F">
        <w:trPr>
          <w:trHeight w:val="284"/>
        </w:trPr>
        <w:tc>
          <w:tcPr>
            <w:tcW w:w="2422" w:type="pct"/>
            <w:tcBorders>
              <w:top w:val="nil"/>
              <w:left w:val="nil"/>
              <w:bottom w:val="nil"/>
              <w:right w:val="nil"/>
            </w:tcBorders>
            <w:vAlign w:val="center"/>
          </w:tcPr>
          <w:p w14:paraId="156FD1AF" w14:textId="77777777" w:rsidR="00B62E67" w:rsidRPr="00B62E67" w:rsidRDefault="00B62E67" w:rsidP="00B62E67">
            <w:pPr>
              <w:spacing w:after="0" w:line="240" w:lineRule="auto"/>
              <w:rPr>
                <w:b/>
                <w:color w:val="FF0000"/>
                <w:sz w:val="18"/>
                <w:szCs w:val="18"/>
                <w:lang w:eastAsia="sk-SK"/>
              </w:rPr>
            </w:pPr>
            <w:r w:rsidRPr="00B62E67">
              <w:rPr>
                <w:b/>
                <w:sz w:val="18"/>
                <w:szCs w:val="18"/>
                <w:lang w:eastAsia="sk-SK"/>
              </w:rPr>
              <w:t>Súdne spory a konania</w:t>
            </w:r>
          </w:p>
        </w:tc>
        <w:tc>
          <w:tcPr>
            <w:tcW w:w="547" w:type="pct"/>
            <w:tcBorders>
              <w:top w:val="nil"/>
              <w:left w:val="nil"/>
              <w:bottom w:val="nil"/>
              <w:right w:val="nil"/>
            </w:tcBorders>
            <w:vAlign w:val="center"/>
          </w:tcPr>
          <w:p w14:paraId="7DCBD22E" w14:textId="4926B768" w:rsidR="00B62E67" w:rsidRPr="00B62E67" w:rsidRDefault="00B62E67" w:rsidP="00B62E67">
            <w:pPr>
              <w:spacing w:after="0" w:line="240" w:lineRule="auto"/>
              <w:jc w:val="right"/>
              <w:rPr>
                <w:b/>
                <w:sz w:val="18"/>
                <w:szCs w:val="18"/>
                <w:lang w:eastAsia="sk-SK"/>
              </w:rPr>
            </w:pPr>
            <w:r w:rsidRPr="00B62E67">
              <w:rPr>
                <w:b/>
                <w:sz w:val="18"/>
                <w:szCs w:val="18"/>
                <w:lang w:eastAsia="sk-SK"/>
              </w:rPr>
              <w:t>460 941</w:t>
            </w:r>
          </w:p>
        </w:tc>
        <w:tc>
          <w:tcPr>
            <w:tcW w:w="625" w:type="pct"/>
            <w:tcBorders>
              <w:top w:val="nil"/>
              <w:left w:val="nil"/>
              <w:bottom w:val="nil"/>
              <w:right w:val="nil"/>
            </w:tcBorders>
            <w:vAlign w:val="center"/>
          </w:tcPr>
          <w:p w14:paraId="0F4B23FA" w14:textId="3D1FC8A8" w:rsidR="00B62E67" w:rsidRPr="00B62E67" w:rsidRDefault="00B62E67" w:rsidP="00B62E67">
            <w:pPr>
              <w:spacing w:after="0" w:line="240" w:lineRule="auto"/>
              <w:jc w:val="right"/>
              <w:rPr>
                <w:b/>
                <w:sz w:val="18"/>
                <w:szCs w:val="18"/>
                <w:lang w:eastAsia="sk-SK"/>
              </w:rPr>
            </w:pPr>
            <w:r w:rsidRPr="00B62E67">
              <w:rPr>
                <w:b/>
                <w:sz w:val="18"/>
                <w:szCs w:val="18"/>
                <w:lang w:eastAsia="sk-SK"/>
              </w:rPr>
              <w:t>466 082</w:t>
            </w:r>
          </w:p>
        </w:tc>
        <w:tc>
          <w:tcPr>
            <w:tcW w:w="703" w:type="pct"/>
            <w:tcBorders>
              <w:top w:val="nil"/>
              <w:left w:val="nil"/>
              <w:bottom w:val="nil"/>
              <w:right w:val="nil"/>
            </w:tcBorders>
            <w:vAlign w:val="center"/>
          </w:tcPr>
          <w:p w14:paraId="50AFEBA3" w14:textId="462B98F7" w:rsidR="00B62E67" w:rsidRPr="00B62E67" w:rsidRDefault="00B62E67" w:rsidP="00B62E67">
            <w:pPr>
              <w:spacing w:after="0" w:line="240" w:lineRule="auto"/>
              <w:jc w:val="right"/>
              <w:rPr>
                <w:b/>
                <w:sz w:val="18"/>
                <w:szCs w:val="18"/>
                <w:lang w:eastAsia="sk-SK"/>
              </w:rPr>
            </w:pPr>
            <w:r w:rsidRPr="00B62E67">
              <w:rPr>
                <w:b/>
                <w:sz w:val="18"/>
                <w:szCs w:val="18"/>
                <w:lang w:eastAsia="sk-SK"/>
              </w:rPr>
              <w:t>465 496</w:t>
            </w:r>
          </w:p>
        </w:tc>
        <w:tc>
          <w:tcPr>
            <w:tcW w:w="703" w:type="pct"/>
            <w:tcBorders>
              <w:top w:val="nil"/>
              <w:left w:val="nil"/>
              <w:bottom w:val="nil"/>
              <w:right w:val="nil"/>
            </w:tcBorders>
            <w:vAlign w:val="center"/>
          </w:tcPr>
          <w:p w14:paraId="07EFA070" w14:textId="114421F1" w:rsidR="00B62E67" w:rsidRPr="00B62E67" w:rsidRDefault="00B62E67" w:rsidP="00B62E67">
            <w:pPr>
              <w:spacing w:after="0" w:line="240" w:lineRule="auto"/>
              <w:jc w:val="right"/>
              <w:rPr>
                <w:b/>
                <w:sz w:val="18"/>
                <w:szCs w:val="18"/>
                <w:lang w:eastAsia="sk-SK"/>
              </w:rPr>
            </w:pPr>
            <w:r w:rsidRPr="00B62E67">
              <w:rPr>
                <w:b/>
                <w:sz w:val="18"/>
                <w:szCs w:val="18"/>
                <w:lang w:eastAsia="sk-SK"/>
              </w:rPr>
              <w:t>-586</w:t>
            </w:r>
          </w:p>
        </w:tc>
      </w:tr>
      <w:tr w:rsidR="00B62E67" w:rsidRPr="00B62E67" w14:paraId="3C3F7552" w14:textId="77777777" w:rsidTr="008A6A1F">
        <w:trPr>
          <w:trHeight w:val="284"/>
        </w:trPr>
        <w:tc>
          <w:tcPr>
            <w:tcW w:w="2422" w:type="pct"/>
            <w:tcBorders>
              <w:top w:val="nil"/>
              <w:left w:val="nil"/>
              <w:bottom w:val="nil"/>
              <w:right w:val="nil"/>
            </w:tcBorders>
            <w:vAlign w:val="center"/>
          </w:tcPr>
          <w:p w14:paraId="5A673E11" w14:textId="77777777" w:rsidR="00B62E67" w:rsidRPr="00B62E67" w:rsidRDefault="00B62E67" w:rsidP="00B62E67">
            <w:pPr>
              <w:spacing w:after="0" w:line="240" w:lineRule="auto"/>
              <w:ind w:firstLineChars="178" w:firstLine="320"/>
              <w:rPr>
                <w:sz w:val="18"/>
                <w:szCs w:val="18"/>
                <w:lang w:eastAsia="sk-SK"/>
              </w:rPr>
            </w:pPr>
            <w:r w:rsidRPr="00B62E67">
              <w:rPr>
                <w:sz w:val="18"/>
                <w:szCs w:val="18"/>
                <w:lang w:eastAsia="sk-SK"/>
              </w:rPr>
              <w:t>Vodohospodárska výstavba, š. p.</w:t>
            </w:r>
          </w:p>
        </w:tc>
        <w:tc>
          <w:tcPr>
            <w:tcW w:w="547" w:type="pct"/>
            <w:tcBorders>
              <w:top w:val="nil"/>
              <w:left w:val="nil"/>
              <w:bottom w:val="nil"/>
              <w:right w:val="nil"/>
            </w:tcBorders>
            <w:vAlign w:val="center"/>
          </w:tcPr>
          <w:p w14:paraId="45C4EAAB" w14:textId="338B4126" w:rsidR="00B62E67" w:rsidRPr="00B62E67" w:rsidRDefault="00B62E67" w:rsidP="00B62E67">
            <w:pPr>
              <w:spacing w:after="0" w:line="240" w:lineRule="auto"/>
              <w:jc w:val="right"/>
              <w:rPr>
                <w:sz w:val="18"/>
                <w:szCs w:val="18"/>
                <w:lang w:eastAsia="sk-SK"/>
              </w:rPr>
            </w:pPr>
            <w:r w:rsidRPr="00B62E67">
              <w:rPr>
                <w:sz w:val="18"/>
                <w:szCs w:val="18"/>
                <w:lang w:eastAsia="sk-SK"/>
              </w:rPr>
              <w:t>408 419</w:t>
            </w:r>
          </w:p>
        </w:tc>
        <w:tc>
          <w:tcPr>
            <w:tcW w:w="625" w:type="pct"/>
            <w:tcBorders>
              <w:top w:val="nil"/>
              <w:left w:val="nil"/>
              <w:bottom w:val="nil"/>
              <w:right w:val="nil"/>
            </w:tcBorders>
            <w:vAlign w:val="center"/>
          </w:tcPr>
          <w:p w14:paraId="2E6B6974" w14:textId="76502533" w:rsidR="00B62E67" w:rsidRPr="00B62E67" w:rsidRDefault="00B62E67" w:rsidP="00B62E67">
            <w:pPr>
              <w:spacing w:after="0" w:line="240" w:lineRule="auto"/>
              <w:jc w:val="right"/>
              <w:rPr>
                <w:sz w:val="18"/>
                <w:szCs w:val="18"/>
                <w:lang w:eastAsia="sk-SK"/>
              </w:rPr>
            </w:pPr>
            <w:r w:rsidRPr="00B62E67">
              <w:rPr>
                <w:sz w:val="18"/>
                <w:szCs w:val="18"/>
                <w:lang w:eastAsia="sk-SK"/>
              </w:rPr>
              <w:t>410 499</w:t>
            </w:r>
          </w:p>
        </w:tc>
        <w:tc>
          <w:tcPr>
            <w:tcW w:w="703" w:type="pct"/>
            <w:tcBorders>
              <w:top w:val="nil"/>
              <w:left w:val="nil"/>
              <w:bottom w:val="nil"/>
              <w:right w:val="nil"/>
            </w:tcBorders>
            <w:vAlign w:val="center"/>
          </w:tcPr>
          <w:p w14:paraId="69B95DFB" w14:textId="2AEE61B6" w:rsidR="00B62E67" w:rsidRPr="00B62E67" w:rsidRDefault="00B62E67" w:rsidP="00B62E67">
            <w:pPr>
              <w:spacing w:after="0" w:line="240" w:lineRule="auto"/>
              <w:jc w:val="right"/>
              <w:rPr>
                <w:sz w:val="18"/>
                <w:szCs w:val="18"/>
                <w:lang w:eastAsia="sk-SK"/>
              </w:rPr>
            </w:pPr>
            <w:r w:rsidRPr="00B62E67">
              <w:rPr>
                <w:sz w:val="18"/>
                <w:szCs w:val="18"/>
                <w:lang w:eastAsia="sk-SK"/>
              </w:rPr>
              <w:t>407 466</w:t>
            </w:r>
          </w:p>
        </w:tc>
        <w:tc>
          <w:tcPr>
            <w:tcW w:w="703" w:type="pct"/>
            <w:tcBorders>
              <w:top w:val="nil"/>
              <w:left w:val="nil"/>
              <w:bottom w:val="nil"/>
              <w:right w:val="nil"/>
            </w:tcBorders>
            <w:vAlign w:val="center"/>
          </w:tcPr>
          <w:p w14:paraId="07575408" w14:textId="7A68EB3F" w:rsidR="00B62E67" w:rsidRPr="00B62E67" w:rsidRDefault="00B62E67" w:rsidP="00B62E67">
            <w:pPr>
              <w:spacing w:after="0" w:line="240" w:lineRule="auto"/>
              <w:jc w:val="right"/>
              <w:rPr>
                <w:sz w:val="18"/>
                <w:szCs w:val="18"/>
                <w:lang w:eastAsia="sk-SK"/>
              </w:rPr>
            </w:pPr>
            <w:r w:rsidRPr="00B62E67">
              <w:rPr>
                <w:sz w:val="18"/>
                <w:szCs w:val="18"/>
                <w:lang w:eastAsia="sk-SK"/>
              </w:rPr>
              <w:t>-3 033</w:t>
            </w:r>
          </w:p>
        </w:tc>
      </w:tr>
      <w:tr w:rsidR="00B62E67" w:rsidRPr="00B62E67" w14:paraId="2333A25E" w14:textId="77777777" w:rsidTr="008A6A1F">
        <w:trPr>
          <w:trHeight w:val="284"/>
        </w:trPr>
        <w:tc>
          <w:tcPr>
            <w:tcW w:w="2422" w:type="pct"/>
            <w:tcBorders>
              <w:top w:val="nil"/>
              <w:left w:val="nil"/>
              <w:bottom w:val="nil"/>
              <w:right w:val="nil"/>
            </w:tcBorders>
            <w:vAlign w:val="center"/>
          </w:tcPr>
          <w:p w14:paraId="6984B064" w14:textId="77777777" w:rsidR="00B62E67" w:rsidRPr="00B62E67" w:rsidRDefault="00B62E67" w:rsidP="00B62E67">
            <w:pPr>
              <w:spacing w:after="0" w:line="240" w:lineRule="auto"/>
              <w:ind w:firstLineChars="178" w:firstLine="320"/>
              <w:rPr>
                <w:color w:val="FF0000"/>
                <w:sz w:val="18"/>
                <w:szCs w:val="18"/>
                <w:lang w:eastAsia="sk-SK"/>
              </w:rPr>
            </w:pPr>
            <w:r w:rsidRPr="00B62E67">
              <w:rPr>
                <w:sz w:val="18"/>
                <w:szCs w:val="18"/>
                <w:lang w:eastAsia="sk-SK"/>
              </w:rPr>
              <w:t xml:space="preserve">MH Manažment, a. s. </w:t>
            </w:r>
          </w:p>
        </w:tc>
        <w:tc>
          <w:tcPr>
            <w:tcW w:w="547" w:type="pct"/>
            <w:tcBorders>
              <w:top w:val="nil"/>
              <w:left w:val="nil"/>
              <w:bottom w:val="nil"/>
              <w:right w:val="nil"/>
            </w:tcBorders>
            <w:vAlign w:val="center"/>
          </w:tcPr>
          <w:p w14:paraId="226FD1DC" w14:textId="2FB43EE5" w:rsidR="00B62E67" w:rsidRPr="00B62E67" w:rsidRDefault="00B62E67" w:rsidP="00B62E67">
            <w:pPr>
              <w:spacing w:after="0" w:line="240" w:lineRule="auto"/>
              <w:jc w:val="right"/>
              <w:rPr>
                <w:sz w:val="18"/>
                <w:szCs w:val="18"/>
                <w:lang w:eastAsia="sk-SK"/>
              </w:rPr>
            </w:pPr>
            <w:r w:rsidRPr="00B62E67">
              <w:rPr>
                <w:sz w:val="18"/>
                <w:szCs w:val="18"/>
                <w:lang w:eastAsia="sk-SK"/>
              </w:rPr>
              <w:t>41 213</w:t>
            </w:r>
          </w:p>
        </w:tc>
        <w:tc>
          <w:tcPr>
            <w:tcW w:w="625" w:type="pct"/>
            <w:tcBorders>
              <w:top w:val="nil"/>
              <w:left w:val="nil"/>
              <w:bottom w:val="nil"/>
              <w:right w:val="nil"/>
            </w:tcBorders>
            <w:vAlign w:val="center"/>
          </w:tcPr>
          <w:p w14:paraId="36D29D1E" w14:textId="414B0F32" w:rsidR="00B62E67" w:rsidRPr="00B62E67" w:rsidRDefault="00B62E67" w:rsidP="00B62E67">
            <w:pPr>
              <w:spacing w:after="0" w:line="240" w:lineRule="auto"/>
              <w:jc w:val="right"/>
              <w:rPr>
                <w:sz w:val="18"/>
                <w:szCs w:val="18"/>
                <w:lang w:eastAsia="sk-SK"/>
              </w:rPr>
            </w:pPr>
            <w:r w:rsidRPr="00B62E67">
              <w:rPr>
                <w:sz w:val="18"/>
                <w:szCs w:val="18"/>
                <w:lang w:eastAsia="sk-SK"/>
              </w:rPr>
              <w:t>43 657</w:t>
            </w:r>
          </w:p>
        </w:tc>
        <w:tc>
          <w:tcPr>
            <w:tcW w:w="703" w:type="pct"/>
            <w:tcBorders>
              <w:top w:val="nil"/>
              <w:left w:val="nil"/>
              <w:bottom w:val="nil"/>
              <w:right w:val="nil"/>
            </w:tcBorders>
            <w:vAlign w:val="center"/>
          </w:tcPr>
          <w:p w14:paraId="48E26A94" w14:textId="53243252" w:rsidR="00B62E67" w:rsidRPr="00B62E67" w:rsidRDefault="00B62E67" w:rsidP="00B62E67">
            <w:pPr>
              <w:spacing w:after="0" w:line="240" w:lineRule="auto"/>
              <w:jc w:val="right"/>
              <w:rPr>
                <w:sz w:val="18"/>
                <w:szCs w:val="18"/>
                <w:lang w:eastAsia="sk-SK"/>
              </w:rPr>
            </w:pPr>
            <w:r w:rsidRPr="00B62E67">
              <w:rPr>
                <w:sz w:val="18"/>
                <w:szCs w:val="18"/>
                <w:lang w:eastAsia="sk-SK"/>
              </w:rPr>
              <w:t>46 059</w:t>
            </w:r>
          </w:p>
        </w:tc>
        <w:tc>
          <w:tcPr>
            <w:tcW w:w="703" w:type="pct"/>
            <w:tcBorders>
              <w:top w:val="nil"/>
              <w:left w:val="nil"/>
              <w:bottom w:val="nil"/>
              <w:right w:val="nil"/>
            </w:tcBorders>
            <w:vAlign w:val="center"/>
          </w:tcPr>
          <w:p w14:paraId="311F9213" w14:textId="0093BFB6" w:rsidR="00B62E67" w:rsidRPr="00B62E67" w:rsidRDefault="00B62E67" w:rsidP="00B62E67">
            <w:pPr>
              <w:spacing w:after="0" w:line="240" w:lineRule="auto"/>
              <w:jc w:val="right"/>
              <w:rPr>
                <w:sz w:val="18"/>
                <w:szCs w:val="18"/>
                <w:lang w:eastAsia="sk-SK"/>
              </w:rPr>
            </w:pPr>
            <w:r w:rsidRPr="00B62E67">
              <w:rPr>
                <w:sz w:val="18"/>
                <w:szCs w:val="18"/>
                <w:lang w:eastAsia="sk-SK"/>
              </w:rPr>
              <w:t>2 402</w:t>
            </w:r>
          </w:p>
        </w:tc>
      </w:tr>
      <w:tr w:rsidR="00B62E67" w:rsidRPr="00B62E67" w14:paraId="5F68A06E" w14:textId="77777777" w:rsidTr="008A6A1F">
        <w:trPr>
          <w:trHeight w:val="284"/>
        </w:trPr>
        <w:tc>
          <w:tcPr>
            <w:tcW w:w="2422" w:type="pct"/>
            <w:tcBorders>
              <w:top w:val="nil"/>
              <w:left w:val="nil"/>
              <w:bottom w:val="nil"/>
              <w:right w:val="nil"/>
            </w:tcBorders>
            <w:vAlign w:val="center"/>
          </w:tcPr>
          <w:p w14:paraId="0EE8C439" w14:textId="77777777" w:rsidR="00B62E67" w:rsidRPr="00B62E67" w:rsidRDefault="00B62E67" w:rsidP="00B62E67">
            <w:pPr>
              <w:spacing w:after="0" w:line="240" w:lineRule="auto"/>
              <w:ind w:firstLineChars="178" w:firstLine="320"/>
              <w:rPr>
                <w:sz w:val="18"/>
                <w:szCs w:val="18"/>
                <w:lang w:eastAsia="sk-SK"/>
              </w:rPr>
            </w:pPr>
            <w:r w:rsidRPr="00B62E67">
              <w:rPr>
                <w:sz w:val="18"/>
                <w:szCs w:val="18"/>
                <w:lang w:eastAsia="sk-SK"/>
              </w:rPr>
              <w:t>Ministerstvo financií SR</w:t>
            </w:r>
          </w:p>
        </w:tc>
        <w:tc>
          <w:tcPr>
            <w:tcW w:w="547" w:type="pct"/>
            <w:tcBorders>
              <w:top w:val="nil"/>
              <w:left w:val="nil"/>
              <w:bottom w:val="nil"/>
              <w:right w:val="nil"/>
            </w:tcBorders>
            <w:vAlign w:val="center"/>
          </w:tcPr>
          <w:p w14:paraId="12BC6A8B" w14:textId="7007CBDF" w:rsidR="00B62E67" w:rsidRPr="00B62E67" w:rsidRDefault="00B62E67" w:rsidP="00B62E67">
            <w:pPr>
              <w:spacing w:after="0" w:line="240" w:lineRule="auto"/>
              <w:jc w:val="right"/>
              <w:rPr>
                <w:sz w:val="18"/>
                <w:szCs w:val="18"/>
                <w:lang w:eastAsia="sk-SK"/>
              </w:rPr>
            </w:pPr>
            <w:r w:rsidRPr="00B62E67">
              <w:rPr>
                <w:sz w:val="18"/>
                <w:szCs w:val="18"/>
                <w:lang w:eastAsia="sk-SK"/>
              </w:rPr>
              <w:t>3 910</w:t>
            </w:r>
          </w:p>
        </w:tc>
        <w:tc>
          <w:tcPr>
            <w:tcW w:w="625" w:type="pct"/>
            <w:tcBorders>
              <w:top w:val="nil"/>
              <w:left w:val="nil"/>
              <w:bottom w:val="nil"/>
              <w:right w:val="nil"/>
            </w:tcBorders>
            <w:vAlign w:val="center"/>
          </w:tcPr>
          <w:p w14:paraId="615013F0" w14:textId="0B52ABD6" w:rsidR="00B62E67" w:rsidRPr="00B62E67" w:rsidRDefault="00B62E67" w:rsidP="00B62E67">
            <w:pPr>
              <w:spacing w:after="0" w:line="240" w:lineRule="auto"/>
              <w:jc w:val="right"/>
              <w:rPr>
                <w:sz w:val="18"/>
                <w:szCs w:val="18"/>
                <w:lang w:eastAsia="sk-SK"/>
              </w:rPr>
            </w:pPr>
            <w:r w:rsidRPr="00B62E67">
              <w:rPr>
                <w:sz w:val="18"/>
                <w:szCs w:val="18"/>
                <w:lang w:eastAsia="sk-SK"/>
              </w:rPr>
              <w:t>3 910</w:t>
            </w:r>
          </w:p>
        </w:tc>
        <w:tc>
          <w:tcPr>
            <w:tcW w:w="703" w:type="pct"/>
            <w:tcBorders>
              <w:top w:val="nil"/>
              <w:left w:val="nil"/>
              <w:bottom w:val="nil"/>
              <w:right w:val="nil"/>
            </w:tcBorders>
            <w:vAlign w:val="center"/>
          </w:tcPr>
          <w:p w14:paraId="5819B5ED" w14:textId="21A3FFAC" w:rsidR="00B62E67" w:rsidRPr="00B62E67" w:rsidRDefault="00B62E67" w:rsidP="00B62E67">
            <w:pPr>
              <w:spacing w:after="0" w:line="240" w:lineRule="auto"/>
              <w:jc w:val="right"/>
              <w:rPr>
                <w:sz w:val="18"/>
                <w:szCs w:val="18"/>
                <w:lang w:eastAsia="sk-SK"/>
              </w:rPr>
            </w:pPr>
            <w:r w:rsidRPr="00B62E67">
              <w:rPr>
                <w:sz w:val="18"/>
                <w:szCs w:val="18"/>
                <w:lang w:eastAsia="sk-SK"/>
              </w:rPr>
              <w:t>3 910</w:t>
            </w:r>
          </w:p>
        </w:tc>
        <w:tc>
          <w:tcPr>
            <w:tcW w:w="703" w:type="pct"/>
            <w:tcBorders>
              <w:top w:val="nil"/>
              <w:left w:val="nil"/>
              <w:bottom w:val="nil"/>
              <w:right w:val="nil"/>
            </w:tcBorders>
            <w:vAlign w:val="center"/>
          </w:tcPr>
          <w:p w14:paraId="6D6539D5" w14:textId="6E7240A7" w:rsidR="00B62E67" w:rsidRPr="00B62E67" w:rsidRDefault="00B62E67" w:rsidP="00B62E67">
            <w:pPr>
              <w:spacing w:after="0" w:line="240" w:lineRule="auto"/>
              <w:jc w:val="right"/>
              <w:rPr>
                <w:sz w:val="18"/>
                <w:szCs w:val="18"/>
                <w:lang w:eastAsia="sk-SK"/>
              </w:rPr>
            </w:pPr>
            <w:r w:rsidRPr="00B62E67">
              <w:rPr>
                <w:sz w:val="18"/>
                <w:szCs w:val="18"/>
                <w:lang w:eastAsia="sk-SK"/>
              </w:rPr>
              <w:t>0</w:t>
            </w:r>
          </w:p>
        </w:tc>
      </w:tr>
      <w:tr w:rsidR="00B62E67" w:rsidRPr="00B62E67" w14:paraId="7B298964" w14:textId="77777777" w:rsidTr="008A6A1F">
        <w:trPr>
          <w:trHeight w:val="284"/>
        </w:trPr>
        <w:tc>
          <w:tcPr>
            <w:tcW w:w="2422" w:type="pct"/>
            <w:tcBorders>
              <w:top w:val="nil"/>
              <w:left w:val="nil"/>
              <w:bottom w:val="nil"/>
              <w:right w:val="nil"/>
            </w:tcBorders>
            <w:vAlign w:val="center"/>
          </w:tcPr>
          <w:p w14:paraId="4BDF8622" w14:textId="77777777" w:rsidR="00B62E67" w:rsidRPr="00B62E67" w:rsidRDefault="00B62E67" w:rsidP="00B62E67">
            <w:pPr>
              <w:spacing w:after="0" w:line="240" w:lineRule="auto"/>
              <w:ind w:firstLineChars="178" w:firstLine="320"/>
              <w:rPr>
                <w:color w:val="FF0000"/>
                <w:sz w:val="18"/>
                <w:szCs w:val="18"/>
                <w:lang w:eastAsia="sk-SK"/>
              </w:rPr>
            </w:pPr>
            <w:r w:rsidRPr="00B62E67">
              <w:rPr>
                <w:sz w:val="18"/>
                <w:szCs w:val="18"/>
                <w:lang w:eastAsia="sk-SK"/>
              </w:rPr>
              <w:t>Ministerstvo vnútra SR</w:t>
            </w:r>
          </w:p>
        </w:tc>
        <w:tc>
          <w:tcPr>
            <w:tcW w:w="547" w:type="pct"/>
            <w:tcBorders>
              <w:top w:val="nil"/>
              <w:left w:val="nil"/>
              <w:bottom w:val="nil"/>
              <w:right w:val="nil"/>
            </w:tcBorders>
            <w:vAlign w:val="center"/>
          </w:tcPr>
          <w:p w14:paraId="5929AEF3" w14:textId="6E43E5D7" w:rsidR="00B62E67" w:rsidRPr="00B62E67" w:rsidRDefault="00B62E67" w:rsidP="00B62E67">
            <w:pPr>
              <w:spacing w:after="0" w:line="240" w:lineRule="auto"/>
              <w:jc w:val="right"/>
              <w:rPr>
                <w:sz w:val="18"/>
                <w:szCs w:val="18"/>
                <w:lang w:eastAsia="sk-SK"/>
              </w:rPr>
            </w:pPr>
            <w:r w:rsidRPr="00B62E67">
              <w:rPr>
                <w:sz w:val="18"/>
                <w:szCs w:val="18"/>
                <w:lang w:eastAsia="sk-SK"/>
              </w:rPr>
              <w:t>3 322</w:t>
            </w:r>
          </w:p>
        </w:tc>
        <w:tc>
          <w:tcPr>
            <w:tcW w:w="625" w:type="pct"/>
            <w:tcBorders>
              <w:top w:val="nil"/>
              <w:left w:val="nil"/>
              <w:bottom w:val="nil"/>
              <w:right w:val="nil"/>
            </w:tcBorders>
            <w:vAlign w:val="center"/>
          </w:tcPr>
          <w:p w14:paraId="2F298FFF" w14:textId="3FB7278D" w:rsidR="00B62E67" w:rsidRPr="00B62E67" w:rsidRDefault="00B62E67" w:rsidP="00B62E67">
            <w:pPr>
              <w:spacing w:after="0" w:line="240" w:lineRule="auto"/>
              <w:jc w:val="right"/>
              <w:rPr>
                <w:sz w:val="18"/>
                <w:szCs w:val="18"/>
                <w:lang w:eastAsia="sk-SK"/>
              </w:rPr>
            </w:pPr>
            <w:r w:rsidRPr="00B62E67">
              <w:rPr>
                <w:sz w:val="18"/>
                <w:szCs w:val="18"/>
                <w:lang w:eastAsia="sk-SK"/>
              </w:rPr>
              <w:t>3 939</w:t>
            </w:r>
          </w:p>
        </w:tc>
        <w:tc>
          <w:tcPr>
            <w:tcW w:w="703" w:type="pct"/>
            <w:tcBorders>
              <w:top w:val="nil"/>
              <w:left w:val="nil"/>
              <w:bottom w:val="nil"/>
              <w:right w:val="nil"/>
            </w:tcBorders>
            <w:vAlign w:val="center"/>
          </w:tcPr>
          <w:p w14:paraId="6885FCCE" w14:textId="5A251B44" w:rsidR="00B62E67" w:rsidRPr="00B62E67" w:rsidRDefault="00B62E67" w:rsidP="00B62E67">
            <w:pPr>
              <w:spacing w:after="0" w:line="240" w:lineRule="auto"/>
              <w:jc w:val="right"/>
              <w:rPr>
                <w:sz w:val="18"/>
                <w:szCs w:val="18"/>
                <w:lang w:eastAsia="sk-SK"/>
              </w:rPr>
            </w:pPr>
            <w:r w:rsidRPr="00B62E67">
              <w:rPr>
                <w:sz w:val="18"/>
                <w:szCs w:val="18"/>
                <w:lang w:eastAsia="sk-SK"/>
              </w:rPr>
              <w:t>3 984</w:t>
            </w:r>
          </w:p>
        </w:tc>
        <w:tc>
          <w:tcPr>
            <w:tcW w:w="703" w:type="pct"/>
            <w:tcBorders>
              <w:top w:val="nil"/>
              <w:left w:val="nil"/>
              <w:bottom w:val="nil"/>
              <w:right w:val="nil"/>
            </w:tcBorders>
            <w:vAlign w:val="center"/>
          </w:tcPr>
          <w:p w14:paraId="77405C80" w14:textId="31F319CE" w:rsidR="00B62E67" w:rsidRPr="00B62E67" w:rsidRDefault="00B62E67" w:rsidP="00B62E67">
            <w:pPr>
              <w:spacing w:after="0" w:line="240" w:lineRule="auto"/>
              <w:jc w:val="right"/>
              <w:rPr>
                <w:sz w:val="18"/>
                <w:szCs w:val="18"/>
                <w:lang w:eastAsia="sk-SK"/>
              </w:rPr>
            </w:pPr>
            <w:r w:rsidRPr="00B62E67">
              <w:rPr>
                <w:sz w:val="18"/>
                <w:szCs w:val="18"/>
                <w:lang w:eastAsia="sk-SK"/>
              </w:rPr>
              <w:t>45</w:t>
            </w:r>
          </w:p>
        </w:tc>
      </w:tr>
      <w:tr w:rsidR="00B62E67" w:rsidRPr="00B62E67" w14:paraId="4700D783" w14:textId="77777777" w:rsidTr="008A6A1F">
        <w:trPr>
          <w:trHeight w:val="284"/>
        </w:trPr>
        <w:tc>
          <w:tcPr>
            <w:tcW w:w="2422" w:type="pct"/>
            <w:tcBorders>
              <w:top w:val="nil"/>
              <w:left w:val="nil"/>
              <w:bottom w:val="nil"/>
              <w:right w:val="nil"/>
            </w:tcBorders>
            <w:vAlign w:val="center"/>
          </w:tcPr>
          <w:p w14:paraId="0388BAF1" w14:textId="77777777" w:rsidR="00B62E67" w:rsidRPr="00B62E67" w:rsidRDefault="00B62E67" w:rsidP="00B62E67">
            <w:pPr>
              <w:spacing w:after="0" w:line="240" w:lineRule="auto"/>
              <w:ind w:firstLineChars="178" w:firstLine="320"/>
              <w:rPr>
                <w:color w:val="FF0000"/>
                <w:sz w:val="18"/>
                <w:szCs w:val="18"/>
                <w:lang w:eastAsia="sk-SK"/>
              </w:rPr>
            </w:pPr>
            <w:r w:rsidRPr="00B62E67">
              <w:rPr>
                <w:sz w:val="18"/>
                <w:szCs w:val="18"/>
                <w:lang w:eastAsia="sk-SK"/>
              </w:rPr>
              <w:t>Finančné riaditeľstvo SR</w:t>
            </w:r>
          </w:p>
        </w:tc>
        <w:tc>
          <w:tcPr>
            <w:tcW w:w="547" w:type="pct"/>
            <w:tcBorders>
              <w:top w:val="nil"/>
              <w:left w:val="nil"/>
              <w:bottom w:val="nil"/>
              <w:right w:val="nil"/>
            </w:tcBorders>
            <w:vAlign w:val="center"/>
          </w:tcPr>
          <w:p w14:paraId="2F785B89" w14:textId="4B7EE7A1" w:rsidR="00B62E67" w:rsidRPr="00B62E67" w:rsidRDefault="00B62E67" w:rsidP="00B62E67">
            <w:pPr>
              <w:spacing w:after="0" w:line="240" w:lineRule="auto"/>
              <w:jc w:val="right"/>
              <w:rPr>
                <w:sz w:val="18"/>
                <w:szCs w:val="18"/>
                <w:lang w:eastAsia="sk-SK"/>
              </w:rPr>
            </w:pPr>
            <w:r w:rsidRPr="00B62E67">
              <w:rPr>
                <w:sz w:val="18"/>
                <w:szCs w:val="18"/>
                <w:lang w:eastAsia="sk-SK"/>
              </w:rPr>
              <w:t>4 077</w:t>
            </w:r>
          </w:p>
        </w:tc>
        <w:tc>
          <w:tcPr>
            <w:tcW w:w="625" w:type="pct"/>
            <w:tcBorders>
              <w:top w:val="nil"/>
              <w:left w:val="nil"/>
              <w:bottom w:val="nil"/>
              <w:right w:val="nil"/>
            </w:tcBorders>
            <w:vAlign w:val="center"/>
          </w:tcPr>
          <w:p w14:paraId="375C6226" w14:textId="4487DC8D" w:rsidR="00B62E67" w:rsidRPr="00B62E67" w:rsidRDefault="00B62E67" w:rsidP="00B62E67">
            <w:pPr>
              <w:spacing w:after="0" w:line="240" w:lineRule="auto"/>
              <w:jc w:val="right"/>
              <w:rPr>
                <w:sz w:val="18"/>
                <w:szCs w:val="18"/>
                <w:lang w:eastAsia="sk-SK"/>
              </w:rPr>
            </w:pPr>
            <w:r w:rsidRPr="00B62E67">
              <w:rPr>
                <w:sz w:val="18"/>
                <w:szCs w:val="18"/>
                <w:lang w:eastAsia="sk-SK"/>
              </w:rPr>
              <w:t>4 077</w:t>
            </w:r>
          </w:p>
        </w:tc>
        <w:tc>
          <w:tcPr>
            <w:tcW w:w="703" w:type="pct"/>
            <w:tcBorders>
              <w:top w:val="nil"/>
              <w:left w:val="nil"/>
              <w:bottom w:val="nil"/>
              <w:right w:val="nil"/>
            </w:tcBorders>
            <w:vAlign w:val="center"/>
          </w:tcPr>
          <w:p w14:paraId="6E2E1B4D" w14:textId="407F30F8" w:rsidR="00B62E67" w:rsidRPr="00B62E67" w:rsidRDefault="00B62E67" w:rsidP="00B62E67">
            <w:pPr>
              <w:spacing w:after="0" w:line="240" w:lineRule="auto"/>
              <w:jc w:val="right"/>
              <w:rPr>
                <w:sz w:val="18"/>
                <w:szCs w:val="18"/>
                <w:lang w:eastAsia="sk-SK"/>
              </w:rPr>
            </w:pPr>
            <w:r w:rsidRPr="00B62E67">
              <w:rPr>
                <w:sz w:val="18"/>
                <w:szCs w:val="18"/>
                <w:lang w:eastAsia="sk-SK"/>
              </w:rPr>
              <w:t>4 077</w:t>
            </w:r>
          </w:p>
        </w:tc>
        <w:tc>
          <w:tcPr>
            <w:tcW w:w="703" w:type="pct"/>
            <w:tcBorders>
              <w:top w:val="nil"/>
              <w:left w:val="nil"/>
              <w:bottom w:val="nil"/>
              <w:right w:val="nil"/>
            </w:tcBorders>
            <w:vAlign w:val="center"/>
          </w:tcPr>
          <w:p w14:paraId="79DA4E75" w14:textId="43372834" w:rsidR="00B62E67" w:rsidRPr="00B62E67" w:rsidRDefault="00B62E67" w:rsidP="00B62E67">
            <w:pPr>
              <w:spacing w:after="0" w:line="240" w:lineRule="auto"/>
              <w:jc w:val="right"/>
              <w:rPr>
                <w:sz w:val="18"/>
                <w:szCs w:val="18"/>
                <w:lang w:eastAsia="sk-SK"/>
              </w:rPr>
            </w:pPr>
            <w:r w:rsidRPr="00B62E67">
              <w:rPr>
                <w:sz w:val="18"/>
                <w:szCs w:val="18"/>
                <w:lang w:eastAsia="sk-SK"/>
              </w:rPr>
              <w:t>0</w:t>
            </w:r>
          </w:p>
        </w:tc>
      </w:tr>
      <w:tr w:rsidR="00B62E67" w:rsidRPr="00B62E67" w14:paraId="60830C00" w14:textId="77777777" w:rsidTr="008A6A1F">
        <w:trPr>
          <w:trHeight w:val="284"/>
        </w:trPr>
        <w:tc>
          <w:tcPr>
            <w:tcW w:w="2422" w:type="pct"/>
            <w:tcBorders>
              <w:top w:val="nil"/>
              <w:left w:val="nil"/>
              <w:bottom w:val="nil"/>
              <w:right w:val="nil"/>
            </w:tcBorders>
            <w:vAlign w:val="center"/>
          </w:tcPr>
          <w:p w14:paraId="0658A3EB" w14:textId="77777777" w:rsidR="00B62E67" w:rsidRPr="00B62E67" w:rsidRDefault="00B62E67" w:rsidP="00B62E67">
            <w:pPr>
              <w:spacing w:after="0" w:line="240" w:lineRule="auto"/>
              <w:rPr>
                <w:b/>
                <w:sz w:val="18"/>
                <w:szCs w:val="18"/>
                <w:lang w:eastAsia="sk-SK"/>
              </w:rPr>
            </w:pPr>
            <w:r w:rsidRPr="00B62E67">
              <w:rPr>
                <w:b/>
                <w:sz w:val="18"/>
                <w:szCs w:val="18"/>
                <w:lang w:eastAsia="sk-SK"/>
              </w:rPr>
              <w:t>Iné (štátne podniky)</w:t>
            </w:r>
          </w:p>
        </w:tc>
        <w:tc>
          <w:tcPr>
            <w:tcW w:w="547" w:type="pct"/>
            <w:tcBorders>
              <w:top w:val="nil"/>
              <w:left w:val="nil"/>
              <w:bottom w:val="nil"/>
              <w:right w:val="nil"/>
            </w:tcBorders>
            <w:vAlign w:val="center"/>
          </w:tcPr>
          <w:p w14:paraId="1195345B" w14:textId="5858594B" w:rsidR="00B62E67" w:rsidRPr="00B62E67" w:rsidRDefault="00B62E67" w:rsidP="00B62E67">
            <w:pPr>
              <w:spacing w:after="0" w:line="240" w:lineRule="auto"/>
              <w:jc w:val="right"/>
              <w:rPr>
                <w:b/>
                <w:sz w:val="18"/>
                <w:szCs w:val="18"/>
                <w:lang w:eastAsia="sk-SK"/>
              </w:rPr>
            </w:pPr>
            <w:r w:rsidRPr="00B62E67">
              <w:rPr>
                <w:b/>
                <w:sz w:val="18"/>
                <w:szCs w:val="18"/>
                <w:lang w:eastAsia="sk-SK"/>
              </w:rPr>
              <w:t>8 096 525</w:t>
            </w:r>
          </w:p>
        </w:tc>
        <w:tc>
          <w:tcPr>
            <w:tcW w:w="625" w:type="pct"/>
            <w:tcBorders>
              <w:top w:val="nil"/>
              <w:left w:val="nil"/>
              <w:bottom w:val="nil"/>
              <w:right w:val="nil"/>
            </w:tcBorders>
            <w:vAlign w:val="center"/>
          </w:tcPr>
          <w:p w14:paraId="24065390" w14:textId="08696A56" w:rsidR="00B62E67" w:rsidRPr="00B62E67" w:rsidRDefault="00B62E67" w:rsidP="00B62E67">
            <w:pPr>
              <w:spacing w:after="0" w:line="240" w:lineRule="auto"/>
              <w:jc w:val="right"/>
              <w:rPr>
                <w:b/>
                <w:sz w:val="18"/>
                <w:szCs w:val="18"/>
                <w:lang w:eastAsia="sk-SK"/>
              </w:rPr>
            </w:pPr>
            <w:r w:rsidRPr="00B62E67">
              <w:rPr>
                <w:b/>
                <w:sz w:val="18"/>
                <w:szCs w:val="18"/>
                <w:lang w:eastAsia="sk-SK"/>
              </w:rPr>
              <w:t>7 792 958</w:t>
            </w:r>
          </w:p>
        </w:tc>
        <w:tc>
          <w:tcPr>
            <w:tcW w:w="703" w:type="pct"/>
            <w:tcBorders>
              <w:top w:val="nil"/>
              <w:left w:val="nil"/>
              <w:bottom w:val="nil"/>
              <w:right w:val="nil"/>
            </w:tcBorders>
            <w:vAlign w:val="center"/>
          </w:tcPr>
          <w:p w14:paraId="21C08040" w14:textId="41DB323E" w:rsidR="00B62E67" w:rsidRPr="00B62E67" w:rsidRDefault="00B62E67" w:rsidP="00B62E67">
            <w:pPr>
              <w:spacing w:after="0" w:line="240" w:lineRule="auto"/>
              <w:jc w:val="right"/>
              <w:rPr>
                <w:b/>
                <w:sz w:val="18"/>
                <w:szCs w:val="18"/>
                <w:lang w:eastAsia="sk-SK"/>
              </w:rPr>
            </w:pPr>
            <w:r w:rsidRPr="00B62E67">
              <w:rPr>
                <w:b/>
                <w:sz w:val="18"/>
                <w:szCs w:val="18"/>
                <w:lang w:eastAsia="sk-SK"/>
              </w:rPr>
              <w:t>7 394 747</w:t>
            </w:r>
          </w:p>
        </w:tc>
        <w:tc>
          <w:tcPr>
            <w:tcW w:w="703" w:type="pct"/>
            <w:tcBorders>
              <w:top w:val="nil"/>
              <w:left w:val="nil"/>
              <w:bottom w:val="nil"/>
              <w:right w:val="nil"/>
            </w:tcBorders>
            <w:vAlign w:val="center"/>
          </w:tcPr>
          <w:p w14:paraId="7104CEEB" w14:textId="12B5D522" w:rsidR="00B62E67" w:rsidRPr="00B62E67" w:rsidRDefault="00B62E67" w:rsidP="00B62E67">
            <w:pPr>
              <w:spacing w:after="0" w:line="240" w:lineRule="auto"/>
              <w:jc w:val="right"/>
              <w:rPr>
                <w:b/>
                <w:sz w:val="18"/>
                <w:szCs w:val="18"/>
                <w:lang w:eastAsia="sk-SK"/>
              </w:rPr>
            </w:pPr>
            <w:r w:rsidRPr="00B62E67">
              <w:rPr>
                <w:b/>
                <w:sz w:val="18"/>
                <w:szCs w:val="18"/>
                <w:lang w:eastAsia="sk-SK"/>
              </w:rPr>
              <w:t>-398 211</w:t>
            </w:r>
          </w:p>
        </w:tc>
      </w:tr>
      <w:tr w:rsidR="00B62E67" w:rsidRPr="00B62E67" w14:paraId="3D1E8E2C" w14:textId="77777777" w:rsidTr="008A6A1F">
        <w:trPr>
          <w:trHeight w:val="284"/>
        </w:trPr>
        <w:tc>
          <w:tcPr>
            <w:tcW w:w="2422" w:type="pct"/>
            <w:tcBorders>
              <w:top w:val="nil"/>
              <w:left w:val="nil"/>
              <w:bottom w:val="nil"/>
              <w:right w:val="nil"/>
            </w:tcBorders>
            <w:vAlign w:val="center"/>
          </w:tcPr>
          <w:p w14:paraId="1E7034F1" w14:textId="77777777" w:rsidR="00B62E67" w:rsidRPr="00B62E67" w:rsidRDefault="00B62E67" w:rsidP="00B62E67">
            <w:pPr>
              <w:spacing w:after="0" w:line="240" w:lineRule="auto"/>
              <w:ind w:firstLineChars="178" w:firstLine="320"/>
              <w:rPr>
                <w:color w:val="FF0000"/>
                <w:sz w:val="18"/>
                <w:szCs w:val="18"/>
                <w:lang w:eastAsia="sk-SK"/>
              </w:rPr>
            </w:pPr>
            <w:r w:rsidRPr="00B62E67">
              <w:rPr>
                <w:sz w:val="18"/>
                <w:szCs w:val="18"/>
                <w:lang w:eastAsia="sk-SK"/>
              </w:rPr>
              <w:t>Lesy SR, š. p. (hodnota lesných porastov)</w:t>
            </w:r>
          </w:p>
        </w:tc>
        <w:tc>
          <w:tcPr>
            <w:tcW w:w="547" w:type="pct"/>
            <w:tcBorders>
              <w:top w:val="nil"/>
              <w:left w:val="nil"/>
              <w:bottom w:val="nil"/>
              <w:right w:val="nil"/>
            </w:tcBorders>
            <w:vAlign w:val="center"/>
          </w:tcPr>
          <w:p w14:paraId="51ABCC54" w14:textId="6F1B0F10" w:rsidR="00B62E67" w:rsidRPr="00B62E67" w:rsidRDefault="00B62E67" w:rsidP="00B62E67">
            <w:pPr>
              <w:spacing w:after="0" w:line="240" w:lineRule="auto"/>
              <w:jc w:val="right"/>
              <w:rPr>
                <w:sz w:val="18"/>
                <w:szCs w:val="18"/>
                <w:lang w:eastAsia="sk-SK"/>
              </w:rPr>
            </w:pPr>
            <w:r w:rsidRPr="00B62E67">
              <w:rPr>
                <w:sz w:val="18"/>
                <w:szCs w:val="18"/>
                <w:lang w:eastAsia="sk-SK"/>
              </w:rPr>
              <w:t>3 930 916</w:t>
            </w:r>
          </w:p>
        </w:tc>
        <w:tc>
          <w:tcPr>
            <w:tcW w:w="625" w:type="pct"/>
            <w:tcBorders>
              <w:top w:val="nil"/>
              <w:left w:val="nil"/>
              <w:bottom w:val="nil"/>
              <w:right w:val="nil"/>
            </w:tcBorders>
            <w:vAlign w:val="center"/>
          </w:tcPr>
          <w:p w14:paraId="46CA96FF" w14:textId="1FFE817F" w:rsidR="00B62E67" w:rsidRPr="00B62E67" w:rsidRDefault="00B62E67" w:rsidP="00B62E67">
            <w:pPr>
              <w:spacing w:after="0" w:line="240" w:lineRule="auto"/>
              <w:jc w:val="right"/>
              <w:rPr>
                <w:sz w:val="18"/>
                <w:szCs w:val="18"/>
                <w:lang w:eastAsia="sk-SK"/>
              </w:rPr>
            </w:pPr>
            <w:r w:rsidRPr="00B62E67">
              <w:rPr>
                <w:sz w:val="18"/>
                <w:szCs w:val="18"/>
                <w:lang w:eastAsia="sk-SK"/>
              </w:rPr>
              <w:t>3 814 721</w:t>
            </w:r>
          </w:p>
        </w:tc>
        <w:tc>
          <w:tcPr>
            <w:tcW w:w="703" w:type="pct"/>
            <w:tcBorders>
              <w:top w:val="nil"/>
              <w:left w:val="nil"/>
              <w:bottom w:val="nil"/>
              <w:right w:val="nil"/>
            </w:tcBorders>
            <w:vAlign w:val="center"/>
          </w:tcPr>
          <w:p w14:paraId="650F7E5D" w14:textId="6FE7C069" w:rsidR="00B62E67" w:rsidRPr="00B62E67" w:rsidRDefault="00B62E67" w:rsidP="00B62E67">
            <w:pPr>
              <w:spacing w:after="0" w:line="240" w:lineRule="auto"/>
              <w:jc w:val="right"/>
              <w:rPr>
                <w:sz w:val="18"/>
                <w:szCs w:val="18"/>
                <w:lang w:eastAsia="sk-SK"/>
              </w:rPr>
            </w:pPr>
            <w:r w:rsidRPr="00B62E67">
              <w:rPr>
                <w:sz w:val="18"/>
                <w:szCs w:val="18"/>
                <w:lang w:eastAsia="sk-SK"/>
              </w:rPr>
              <w:t>3 492 264</w:t>
            </w:r>
          </w:p>
        </w:tc>
        <w:tc>
          <w:tcPr>
            <w:tcW w:w="703" w:type="pct"/>
            <w:tcBorders>
              <w:top w:val="nil"/>
              <w:left w:val="nil"/>
              <w:bottom w:val="nil"/>
              <w:right w:val="nil"/>
            </w:tcBorders>
            <w:vAlign w:val="center"/>
          </w:tcPr>
          <w:p w14:paraId="1E6FABCD" w14:textId="6B036F37" w:rsidR="00B62E67" w:rsidRPr="00B62E67" w:rsidRDefault="00B62E67" w:rsidP="00B62E67">
            <w:pPr>
              <w:spacing w:after="0" w:line="240" w:lineRule="auto"/>
              <w:jc w:val="right"/>
              <w:rPr>
                <w:sz w:val="18"/>
                <w:szCs w:val="18"/>
                <w:lang w:eastAsia="sk-SK"/>
              </w:rPr>
            </w:pPr>
            <w:r w:rsidRPr="00B62E67">
              <w:rPr>
                <w:sz w:val="18"/>
                <w:szCs w:val="18"/>
                <w:lang w:eastAsia="sk-SK"/>
              </w:rPr>
              <w:t>-322 457</w:t>
            </w:r>
          </w:p>
        </w:tc>
      </w:tr>
      <w:tr w:rsidR="00B62E67" w:rsidRPr="00B62E67" w14:paraId="756F509D" w14:textId="77777777" w:rsidTr="008A6A1F">
        <w:trPr>
          <w:trHeight w:val="284"/>
        </w:trPr>
        <w:tc>
          <w:tcPr>
            <w:tcW w:w="2422" w:type="pct"/>
            <w:tcBorders>
              <w:top w:val="nil"/>
              <w:left w:val="nil"/>
              <w:bottom w:val="nil"/>
              <w:right w:val="nil"/>
            </w:tcBorders>
            <w:vAlign w:val="center"/>
          </w:tcPr>
          <w:p w14:paraId="5840F863" w14:textId="77777777" w:rsidR="00B62E67" w:rsidRPr="00B62E67" w:rsidRDefault="00B62E67" w:rsidP="00B62E67">
            <w:pPr>
              <w:spacing w:after="0" w:line="240" w:lineRule="auto"/>
              <w:ind w:firstLineChars="178" w:firstLine="320"/>
              <w:rPr>
                <w:sz w:val="18"/>
                <w:szCs w:val="18"/>
                <w:lang w:eastAsia="sk-SK"/>
              </w:rPr>
            </w:pPr>
            <w:r w:rsidRPr="00B62E67">
              <w:rPr>
                <w:sz w:val="18"/>
                <w:szCs w:val="18"/>
                <w:lang w:eastAsia="sk-SK"/>
              </w:rPr>
              <w:t>SKo, a. s.  (pohľadávky na podsúvahe)</w:t>
            </w:r>
          </w:p>
        </w:tc>
        <w:tc>
          <w:tcPr>
            <w:tcW w:w="547" w:type="pct"/>
            <w:tcBorders>
              <w:top w:val="nil"/>
              <w:left w:val="nil"/>
              <w:bottom w:val="nil"/>
              <w:right w:val="nil"/>
            </w:tcBorders>
            <w:vAlign w:val="center"/>
          </w:tcPr>
          <w:p w14:paraId="4F85D5F7" w14:textId="77AA74FF" w:rsidR="00B62E67" w:rsidRPr="00B62E67" w:rsidRDefault="00B62E67" w:rsidP="00B62E67">
            <w:pPr>
              <w:spacing w:after="0" w:line="240" w:lineRule="auto"/>
              <w:jc w:val="right"/>
              <w:rPr>
                <w:sz w:val="18"/>
                <w:szCs w:val="18"/>
                <w:lang w:eastAsia="sk-SK"/>
              </w:rPr>
            </w:pPr>
            <w:r w:rsidRPr="00B62E67">
              <w:rPr>
                <w:sz w:val="18"/>
                <w:szCs w:val="18"/>
                <w:lang w:eastAsia="sk-SK"/>
              </w:rPr>
              <w:t>3 162 420</w:t>
            </w:r>
          </w:p>
        </w:tc>
        <w:tc>
          <w:tcPr>
            <w:tcW w:w="625" w:type="pct"/>
            <w:tcBorders>
              <w:top w:val="nil"/>
              <w:left w:val="nil"/>
              <w:bottom w:val="nil"/>
              <w:right w:val="nil"/>
            </w:tcBorders>
            <w:vAlign w:val="center"/>
          </w:tcPr>
          <w:p w14:paraId="5C6E4310" w14:textId="6B7367D2" w:rsidR="00B62E67" w:rsidRPr="00B62E67" w:rsidRDefault="00B62E67" w:rsidP="00B62E67">
            <w:pPr>
              <w:spacing w:after="0" w:line="240" w:lineRule="auto"/>
              <w:jc w:val="right"/>
              <w:rPr>
                <w:sz w:val="18"/>
                <w:szCs w:val="18"/>
                <w:lang w:eastAsia="sk-SK"/>
              </w:rPr>
            </w:pPr>
            <w:r w:rsidRPr="00B62E67">
              <w:rPr>
                <w:sz w:val="18"/>
                <w:szCs w:val="18"/>
                <w:lang w:eastAsia="sk-SK"/>
              </w:rPr>
              <w:t>2 920 022</w:t>
            </w:r>
          </w:p>
        </w:tc>
        <w:tc>
          <w:tcPr>
            <w:tcW w:w="703" w:type="pct"/>
            <w:tcBorders>
              <w:top w:val="nil"/>
              <w:left w:val="nil"/>
              <w:bottom w:val="nil"/>
              <w:right w:val="nil"/>
            </w:tcBorders>
            <w:vAlign w:val="center"/>
          </w:tcPr>
          <w:p w14:paraId="0D0FB0F4" w14:textId="7BFADEE5" w:rsidR="00B62E67" w:rsidRPr="00B62E67" w:rsidRDefault="00B62E67" w:rsidP="00B62E67">
            <w:pPr>
              <w:spacing w:after="0" w:line="240" w:lineRule="auto"/>
              <w:jc w:val="right"/>
              <w:rPr>
                <w:sz w:val="18"/>
                <w:szCs w:val="18"/>
                <w:lang w:eastAsia="sk-SK"/>
              </w:rPr>
            </w:pPr>
            <w:r w:rsidRPr="00B62E67">
              <w:rPr>
                <w:sz w:val="18"/>
                <w:szCs w:val="18"/>
                <w:lang w:eastAsia="sk-SK"/>
              </w:rPr>
              <w:t>2 917 450</w:t>
            </w:r>
          </w:p>
        </w:tc>
        <w:tc>
          <w:tcPr>
            <w:tcW w:w="703" w:type="pct"/>
            <w:tcBorders>
              <w:top w:val="nil"/>
              <w:left w:val="nil"/>
              <w:bottom w:val="nil"/>
              <w:right w:val="nil"/>
            </w:tcBorders>
            <w:vAlign w:val="center"/>
          </w:tcPr>
          <w:p w14:paraId="2E0448F3" w14:textId="326FC129" w:rsidR="00B62E67" w:rsidRPr="00B62E67" w:rsidRDefault="00B62E67" w:rsidP="00B62E67">
            <w:pPr>
              <w:spacing w:after="0" w:line="240" w:lineRule="auto"/>
              <w:jc w:val="right"/>
              <w:rPr>
                <w:sz w:val="18"/>
                <w:szCs w:val="18"/>
                <w:lang w:eastAsia="sk-SK"/>
              </w:rPr>
            </w:pPr>
            <w:r w:rsidRPr="00B62E67">
              <w:rPr>
                <w:sz w:val="18"/>
                <w:szCs w:val="18"/>
                <w:lang w:eastAsia="sk-SK"/>
              </w:rPr>
              <w:t>-2 572</w:t>
            </w:r>
          </w:p>
        </w:tc>
      </w:tr>
      <w:tr w:rsidR="00B62E67" w:rsidRPr="00B62E67" w14:paraId="2F940983" w14:textId="77777777" w:rsidTr="008A6A1F">
        <w:trPr>
          <w:trHeight w:val="284"/>
        </w:trPr>
        <w:tc>
          <w:tcPr>
            <w:tcW w:w="2422" w:type="pct"/>
            <w:tcBorders>
              <w:top w:val="nil"/>
              <w:left w:val="nil"/>
              <w:bottom w:val="nil"/>
              <w:right w:val="nil"/>
            </w:tcBorders>
            <w:vAlign w:val="center"/>
          </w:tcPr>
          <w:p w14:paraId="4A749C08" w14:textId="005979DC" w:rsidR="00B62E67" w:rsidRPr="00B62E67" w:rsidRDefault="00B62E67" w:rsidP="00B62E67">
            <w:pPr>
              <w:spacing w:after="0" w:line="240" w:lineRule="auto"/>
              <w:ind w:firstLineChars="178" w:firstLine="320"/>
              <w:rPr>
                <w:sz w:val="18"/>
                <w:szCs w:val="18"/>
                <w:lang w:eastAsia="sk-SK"/>
              </w:rPr>
            </w:pPr>
            <w:r w:rsidRPr="00B62E67">
              <w:rPr>
                <w:sz w:val="18"/>
                <w:szCs w:val="18"/>
                <w:lang w:eastAsia="sk-SK"/>
              </w:rPr>
              <w:t xml:space="preserve">Exportno-importná banka </w:t>
            </w:r>
            <w:r w:rsidR="0063052B">
              <w:rPr>
                <w:sz w:val="18"/>
                <w:szCs w:val="18"/>
                <w:lang w:eastAsia="sk-SK"/>
              </w:rPr>
              <w:t xml:space="preserve">SR </w:t>
            </w:r>
            <w:r w:rsidRPr="00B62E67">
              <w:rPr>
                <w:sz w:val="18"/>
                <w:szCs w:val="18"/>
                <w:lang w:eastAsia="sk-SK"/>
              </w:rPr>
              <w:t>(záruky)</w:t>
            </w:r>
          </w:p>
        </w:tc>
        <w:tc>
          <w:tcPr>
            <w:tcW w:w="547" w:type="pct"/>
            <w:tcBorders>
              <w:top w:val="nil"/>
              <w:left w:val="nil"/>
              <w:bottom w:val="nil"/>
              <w:right w:val="nil"/>
            </w:tcBorders>
            <w:vAlign w:val="center"/>
          </w:tcPr>
          <w:p w14:paraId="7692C8A1" w14:textId="59B492DC" w:rsidR="00B62E67" w:rsidRPr="00B62E67" w:rsidRDefault="00B62E67" w:rsidP="00B62E67">
            <w:pPr>
              <w:spacing w:after="0" w:line="240" w:lineRule="auto"/>
              <w:jc w:val="right"/>
              <w:rPr>
                <w:sz w:val="18"/>
                <w:szCs w:val="18"/>
                <w:lang w:eastAsia="sk-SK"/>
              </w:rPr>
            </w:pPr>
            <w:r w:rsidRPr="00B62E67">
              <w:rPr>
                <w:sz w:val="18"/>
                <w:szCs w:val="18"/>
                <w:lang w:eastAsia="sk-SK"/>
              </w:rPr>
              <w:t>418 023</w:t>
            </w:r>
          </w:p>
        </w:tc>
        <w:tc>
          <w:tcPr>
            <w:tcW w:w="625" w:type="pct"/>
            <w:tcBorders>
              <w:top w:val="nil"/>
              <w:left w:val="nil"/>
              <w:bottom w:val="nil"/>
              <w:right w:val="nil"/>
            </w:tcBorders>
            <w:vAlign w:val="center"/>
          </w:tcPr>
          <w:p w14:paraId="7827ADA3" w14:textId="770EDADC" w:rsidR="00B62E67" w:rsidRPr="00B62E67" w:rsidRDefault="00B62E67" w:rsidP="00B62E67">
            <w:pPr>
              <w:spacing w:after="0" w:line="240" w:lineRule="auto"/>
              <w:jc w:val="right"/>
              <w:rPr>
                <w:sz w:val="18"/>
                <w:szCs w:val="18"/>
                <w:lang w:eastAsia="sk-SK"/>
              </w:rPr>
            </w:pPr>
            <w:r w:rsidRPr="00B62E67">
              <w:rPr>
                <w:sz w:val="18"/>
                <w:szCs w:val="18"/>
                <w:lang w:eastAsia="sk-SK"/>
              </w:rPr>
              <w:t>369 968</w:t>
            </w:r>
          </w:p>
        </w:tc>
        <w:tc>
          <w:tcPr>
            <w:tcW w:w="703" w:type="pct"/>
            <w:tcBorders>
              <w:top w:val="nil"/>
              <w:left w:val="nil"/>
              <w:bottom w:val="nil"/>
              <w:right w:val="nil"/>
            </w:tcBorders>
            <w:vAlign w:val="center"/>
          </w:tcPr>
          <w:p w14:paraId="253D4ED0" w14:textId="627DFE68" w:rsidR="00B62E67" w:rsidRPr="00B62E67" w:rsidRDefault="00B62E67" w:rsidP="00B62E67">
            <w:pPr>
              <w:spacing w:after="0" w:line="240" w:lineRule="auto"/>
              <w:jc w:val="right"/>
              <w:rPr>
                <w:sz w:val="18"/>
                <w:szCs w:val="18"/>
                <w:lang w:eastAsia="sk-SK"/>
              </w:rPr>
            </w:pPr>
            <w:r w:rsidRPr="00B62E67">
              <w:rPr>
                <w:sz w:val="18"/>
                <w:szCs w:val="18"/>
                <w:lang w:eastAsia="sk-SK"/>
              </w:rPr>
              <w:t>359 246</w:t>
            </w:r>
          </w:p>
        </w:tc>
        <w:tc>
          <w:tcPr>
            <w:tcW w:w="703" w:type="pct"/>
            <w:tcBorders>
              <w:top w:val="nil"/>
              <w:left w:val="nil"/>
              <w:bottom w:val="nil"/>
              <w:right w:val="nil"/>
            </w:tcBorders>
            <w:vAlign w:val="center"/>
          </w:tcPr>
          <w:p w14:paraId="3C053A22" w14:textId="0DDD4775" w:rsidR="00B62E67" w:rsidRPr="00B62E67" w:rsidRDefault="00B62E67" w:rsidP="00B62E67">
            <w:pPr>
              <w:spacing w:after="0" w:line="240" w:lineRule="auto"/>
              <w:jc w:val="right"/>
              <w:rPr>
                <w:sz w:val="18"/>
                <w:szCs w:val="18"/>
                <w:lang w:eastAsia="sk-SK"/>
              </w:rPr>
            </w:pPr>
            <w:r w:rsidRPr="00B62E67">
              <w:rPr>
                <w:sz w:val="18"/>
                <w:szCs w:val="18"/>
                <w:lang w:eastAsia="sk-SK"/>
              </w:rPr>
              <w:t>-10 722</w:t>
            </w:r>
          </w:p>
        </w:tc>
      </w:tr>
      <w:tr w:rsidR="00B62E67" w:rsidRPr="00B62E67" w14:paraId="1592AF18" w14:textId="77777777" w:rsidTr="008A6A1F">
        <w:trPr>
          <w:trHeight w:val="284"/>
        </w:trPr>
        <w:tc>
          <w:tcPr>
            <w:tcW w:w="2422" w:type="pct"/>
            <w:tcBorders>
              <w:top w:val="nil"/>
              <w:left w:val="nil"/>
              <w:bottom w:val="nil"/>
              <w:right w:val="nil"/>
            </w:tcBorders>
            <w:vAlign w:val="center"/>
          </w:tcPr>
          <w:p w14:paraId="313899F8" w14:textId="77777777" w:rsidR="00B62E67" w:rsidRPr="00B62E67" w:rsidRDefault="00B62E67" w:rsidP="00B62E67">
            <w:pPr>
              <w:spacing w:after="0" w:line="240" w:lineRule="auto"/>
              <w:ind w:firstLineChars="178" w:firstLine="320"/>
              <w:rPr>
                <w:sz w:val="18"/>
                <w:szCs w:val="18"/>
                <w:lang w:eastAsia="sk-SK"/>
              </w:rPr>
            </w:pPr>
            <w:r w:rsidRPr="00B62E67">
              <w:rPr>
                <w:sz w:val="18"/>
                <w:szCs w:val="18"/>
                <w:lang w:eastAsia="sk-SK"/>
              </w:rPr>
              <w:t>Slovenský plynárenský priemysel (záruky)</w:t>
            </w:r>
          </w:p>
        </w:tc>
        <w:tc>
          <w:tcPr>
            <w:tcW w:w="547" w:type="pct"/>
            <w:tcBorders>
              <w:top w:val="nil"/>
              <w:left w:val="nil"/>
              <w:bottom w:val="nil"/>
              <w:right w:val="nil"/>
            </w:tcBorders>
            <w:vAlign w:val="center"/>
          </w:tcPr>
          <w:p w14:paraId="63777AF6" w14:textId="29379274" w:rsidR="00B62E67" w:rsidRPr="00B62E67" w:rsidRDefault="00B62E67" w:rsidP="00B62E67">
            <w:pPr>
              <w:spacing w:after="0" w:line="240" w:lineRule="auto"/>
              <w:jc w:val="right"/>
              <w:rPr>
                <w:sz w:val="18"/>
                <w:szCs w:val="18"/>
                <w:lang w:eastAsia="sk-SK"/>
              </w:rPr>
            </w:pPr>
            <w:r w:rsidRPr="00B62E67">
              <w:rPr>
                <w:sz w:val="18"/>
                <w:szCs w:val="18"/>
                <w:lang w:eastAsia="sk-SK"/>
              </w:rPr>
              <w:t>225 660</w:t>
            </w:r>
          </w:p>
        </w:tc>
        <w:tc>
          <w:tcPr>
            <w:tcW w:w="625" w:type="pct"/>
            <w:tcBorders>
              <w:top w:val="nil"/>
              <w:left w:val="nil"/>
              <w:bottom w:val="nil"/>
              <w:right w:val="nil"/>
            </w:tcBorders>
            <w:vAlign w:val="center"/>
          </w:tcPr>
          <w:p w14:paraId="79B50E39" w14:textId="42F40483" w:rsidR="00B62E67" w:rsidRPr="00B62E67" w:rsidRDefault="00B62E67" w:rsidP="00B62E67">
            <w:pPr>
              <w:spacing w:after="0" w:line="240" w:lineRule="auto"/>
              <w:jc w:val="right"/>
              <w:rPr>
                <w:sz w:val="18"/>
                <w:szCs w:val="18"/>
                <w:lang w:eastAsia="sk-SK"/>
              </w:rPr>
            </w:pPr>
            <w:r w:rsidRPr="00B62E67">
              <w:rPr>
                <w:sz w:val="18"/>
                <w:szCs w:val="18"/>
                <w:lang w:eastAsia="sk-SK"/>
              </w:rPr>
              <w:t>254 379</w:t>
            </w:r>
          </w:p>
        </w:tc>
        <w:tc>
          <w:tcPr>
            <w:tcW w:w="703" w:type="pct"/>
            <w:tcBorders>
              <w:top w:val="nil"/>
              <w:left w:val="nil"/>
              <w:bottom w:val="nil"/>
              <w:right w:val="nil"/>
            </w:tcBorders>
            <w:vAlign w:val="center"/>
          </w:tcPr>
          <w:p w14:paraId="31EF9F43" w14:textId="7BE26A33" w:rsidR="00B62E67" w:rsidRPr="00B62E67" w:rsidRDefault="00B62E67" w:rsidP="00B62E67">
            <w:pPr>
              <w:spacing w:after="0" w:line="240" w:lineRule="auto"/>
              <w:jc w:val="right"/>
              <w:rPr>
                <w:sz w:val="18"/>
                <w:szCs w:val="18"/>
                <w:lang w:eastAsia="sk-SK"/>
              </w:rPr>
            </w:pPr>
            <w:r w:rsidRPr="00B62E67">
              <w:rPr>
                <w:sz w:val="18"/>
                <w:szCs w:val="18"/>
                <w:lang w:eastAsia="sk-SK"/>
              </w:rPr>
              <w:t>242 656</w:t>
            </w:r>
          </w:p>
        </w:tc>
        <w:tc>
          <w:tcPr>
            <w:tcW w:w="703" w:type="pct"/>
            <w:tcBorders>
              <w:top w:val="nil"/>
              <w:left w:val="nil"/>
              <w:bottom w:val="nil"/>
              <w:right w:val="nil"/>
            </w:tcBorders>
            <w:vAlign w:val="center"/>
          </w:tcPr>
          <w:p w14:paraId="50BD9F3C" w14:textId="04ABA9D3" w:rsidR="00B62E67" w:rsidRPr="00B62E67" w:rsidRDefault="00B62E67" w:rsidP="00B62E67">
            <w:pPr>
              <w:spacing w:after="0" w:line="240" w:lineRule="auto"/>
              <w:jc w:val="right"/>
              <w:rPr>
                <w:sz w:val="18"/>
                <w:szCs w:val="18"/>
                <w:lang w:eastAsia="sk-SK"/>
              </w:rPr>
            </w:pPr>
            <w:r w:rsidRPr="00B62E67">
              <w:rPr>
                <w:sz w:val="18"/>
                <w:szCs w:val="18"/>
                <w:lang w:eastAsia="sk-SK"/>
              </w:rPr>
              <w:t>-11 723</w:t>
            </w:r>
          </w:p>
        </w:tc>
      </w:tr>
      <w:tr w:rsidR="00B62E67" w:rsidRPr="00B62E67" w14:paraId="60987C54" w14:textId="77777777" w:rsidTr="008A6A1F">
        <w:trPr>
          <w:trHeight w:val="284"/>
        </w:trPr>
        <w:tc>
          <w:tcPr>
            <w:tcW w:w="2422" w:type="pct"/>
            <w:tcBorders>
              <w:top w:val="nil"/>
              <w:left w:val="nil"/>
              <w:bottom w:val="nil"/>
              <w:right w:val="nil"/>
            </w:tcBorders>
            <w:vAlign w:val="center"/>
          </w:tcPr>
          <w:p w14:paraId="3753ED95" w14:textId="77777777" w:rsidR="00B62E67" w:rsidRPr="00B62E67" w:rsidRDefault="00B62E67" w:rsidP="00B62E67">
            <w:pPr>
              <w:spacing w:after="0" w:line="240" w:lineRule="auto"/>
              <w:ind w:firstLineChars="178" w:firstLine="320"/>
              <w:rPr>
                <w:sz w:val="18"/>
                <w:szCs w:val="18"/>
                <w:lang w:eastAsia="sk-SK"/>
              </w:rPr>
            </w:pPr>
            <w:r w:rsidRPr="00B62E67">
              <w:rPr>
                <w:sz w:val="18"/>
                <w:szCs w:val="18"/>
                <w:lang w:eastAsia="sk-SK"/>
              </w:rPr>
              <w:t>Slovenská elektrizačná prenosová sústava, a. s.  (záruky)</w:t>
            </w:r>
          </w:p>
        </w:tc>
        <w:tc>
          <w:tcPr>
            <w:tcW w:w="547" w:type="pct"/>
            <w:tcBorders>
              <w:top w:val="nil"/>
              <w:left w:val="nil"/>
              <w:bottom w:val="nil"/>
              <w:right w:val="nil"/>
            </w:tcBorders>
            <w:vAlign w:val="center"/>
          </w:tcPr>
          <w:p w14:paraId="29CE3A02" w14:textId="09A278A9" w:rsidR="00B62E67" w:rsidRPr="00B62E67" w:rsidRDefault="00B62E67" w:rsidP="00B62E67">
            <w:pPr>
              <w:spacing w:after="0" w:line="240" w:lineRule="auto"/>
              <w:jc w:val="right"/>
              <w:rPr>
                <w:sz w:val="18"/>
                <w:szCs w:val="18"/>
                <w:lang w:eastAsia="sk-SK"/>
              </w:rPr>
            </w:pPr>
            <w:r w:rsidRPr="00B62E67">
              <w:rPr>
                <w:sz w:val="18"/>
                <w:szCs w:val="18"/>
                <w:lang w:eastAsia="sk-SK"/>
              </w:rPr>
              <w:t>224 513</w:t>
            </w:r>
          </w:p>
        </w:tc>
        <w:tc>
          <w:tcPr>
            <w:tcW w:w="625" w:type="pct"/>
            <w:tcBorders>
              <w:top w:val="nil"/>
              <w:left w:val="nil"/>
              <w:bottom w:val="nil"/>
              <w:right w:val="nil"/>
            </w:tcBorders>
            <w:vAlign w:val="center"/>
          </w:tcPr>
          <w:p w14:paraId="67942023" w14:textId="25A09E7E" w:rsidR="00B62E67" w:rsidRPr="00B62E67" w:rsidRDefault="00B62E67" w:rsidP="00B62E67">
            <w:pPr>
              <w:spacing w:after="0" w:line="240" w:lineRule="auto"/>
              <w:jc w:val="right"/>
              <w:rPr>
                <w:sz w:val="18"/>
                <w:szCs w:val="18"/>
                <w:lang w:eastAsia="sk-SK"/>
              </w:rPr>
            </w:pPr>
            <w:r w:rsidRPr="00B62E67">
              <w:rPr>
                <w:sz w:val="18"/>
                <w:szCs w:val="18"/>
                <w:lang w:eastAsia="sk-SK"/>
              </w:rPr>
              <w:t>317 912</w:t>
            </w:r>
          </w:p>
        </w:tc>
        <w:tc>
          <w:tcPr>
            <w:tcW w:w="703" w:type="pct"/>
            <w:tcBorders>
              <w:top w:val="nil"/>
              <w:left w:val="nil"/>
              <w:bottom w:val="nil"/>
              <w:right w:val="nil"/>
            </w:tcBorders>
            <w:vAlign w:val="center"/>
          </w:tcPr>
          <w:p w14:paraId="38A1CE82" w14:textId="27EB325D" w:rsidR="00B62E67" w:rsidRPr="00B62E67" w:rsidRDefault="00B62E67" w:rsidP="00B62E67">
            <w:pPr>
              <w:spacing w:after="0" w:line="240" w:lineRule="auto"/>
              <w:jc w:val="right"/>
              <w:rPr>
                <w:sz w:val="18"/>
                <w:szCs w:val="18"/>
                <w:lang w:eastAsia="sk-SK"/>
              </w:rPr>
            </w:pPr>
            <w:r w:rsidRPr="00B62E67">
              <w:rPr>
                <w:sz w:val="18"/>
                <w:szCs w:val="18"/>
                <w:lang w:eastAsia="sk-SK"/>
              </w:rPr>
              <w:t>283 113</w:t>
            </w:r>
          </w:p>
        </w:tc>
        <w:tc>
          <w:tcPr>
            <w:tcW w:w="703" w:type="pct"/>
            <w:tcBorders>
              <w:top w:val="nil"/>
              <w:left w:val="nil"/>
              <w:bottom w:val="nil"/>
              <w:right w:val="nil"/>
            </w:tcBorders>
            <w:vAlign w:val="center"/>
          </w:tcPr>
          <w:p w14:paraId="327C2B5E" w14:textId="33A99C92" w:rsidR="00B62E67" w:rsidRPr="00B62E67" w:rsidRDefault="00B62E67" w:rsidP="00B62E67">
            <w:pPr>
              <w:spacing w:after="0" w:line="240" w:lineRule="auto"/>
              <w:jc w:val="right"/>
              <w:rPr>
                <w:sz w:val="18"/>
                <w:szCs w:val="18"/>
                <w:lang w:eastAsia="sk-SK"/>
              </w:rPr>
            </w:pPr>
            <w:r w:rsidRPr="00B62E67">
              <w:rPr>
                <w:sz w:val="18"/>
                <w:szCs w:val="18"/>
                <w:lang w:eastAsia="sk-SK"/>
              </w:rPr>
              <w:t>-34 799</w:t>
            </w:r>
          </w:p>
        </w:tc>
      </w:tr>
      <w:tr w:rsidR="00B62E67" w:rsidRPr="00B62E67" w14:paraId="3D28A87F" w14:textId="77777777" w:rsidTr="008A6A1F">
        <w:trPr>
          <w:trHeight w:val="284"/>
        </w:trPr>
        <w:tc>
          <w:tcPr>
            <w:tcW w:w="2422" w:type="pct"/>
            <w:tcBorders>
              <w:top w:val="nil"/>
              <w:left w:val="nil"/>
              <w:bottom w:val="nil"/>
              <w:right w:val="nil"/>
            </w:tcBorders>
            <w:vAlign w:val="center"/>
          </w:tcPr>
          <w:p w14:paraId="54E691C8" w14:textId="77777777" w:rsidR="00B62E67" w:rsidRPr="00B62E67" w:rsidRDefault="00B62E67" w:rsidP="00B62E67">
            <w:pPr>
              <w:spacing w:after="0" w:line="240" w:lineRule="auto"/>
              <w:ind w:firstLineChars="178" w:firstLine="320"/>
              <w:rPr>
                <w:sz w:val="18"/>
                <w:szCs w:val="18"/>
                <w:lang w:eastAsia="sk-SK"/>
              </w:rPr>
            </w:pPr>
            <w:r w:rsidRPr="00B62E67">
              <w:rPr>
                <w:sz w:val="18"/>
                <w:szCs w:val="18"/>
                <w:lang w:eastAsia="sk-SK"/>
              </w:rPr>
              <w:t>MH Manažment, a. s. (privatizovaný majetok)</w:t>
            </w:r>
          </w:p>
        </w:tc>
        <w:tc>
          <w:tcPr>
            <w:tcW w:w="547" w:type="pct"/>
            <w:tcBorders>
              <w:top w:val="nil"/>
              <w:left w:val="nil"/>
              <w:bottom w:val="nil"/>
              <w:right w:val="nil"/>
            </w:tcBorders>
            <w:vAlign w:val="center"/>
          </w:tcPr>
          <w:p w14:paraId="2C739BBF" w14:textId="48F0CC3B" w:rsidR="00B62E67" w:rsidRPr="00B62E67" w:rsidRDefault="00B62E67" w:rsidP="00B62E67">
            <w:pPr>
              <w:spacing w:after="0" w:line="240" w:lineRule="auto"/>
              <w:jc w:val="right"/>
              <w:rPr>
                <w:sz w:val="18"/>
                <w:szCs w:val="18"/>
                <w:lang w:eastAsia="sk-SK"/>
              </w:rPr>
            </w:pPr>
            <w:r w:rsidRPr="00B62E67">
              <w:rPr>
                <w:sz w:val="18"/>
                <w:szCs w:val="18"/>
                <w:lang w:eastAsia="sk-SK"/>
              </w:rPr>
              <w:t>79 689</w:t>
            </w:r>
          </w:p>
        </w:tc>
        <w:tc>
          <w:tcPr>
            <w:tcW w:w="625" w:type="pct"/>
            <w:tcBorders>
              <w:top w:val="nil"/>
              <w:left w:val="nil"/>
              <w:bottom w:val="nil"/>
              <w:right w:val="nil"/>
            </w:tcBorders>
            <w:vAlign w:val="center"/>
          </w:tcPr>
          <w:p w14:paraId="6A2AAC0D" w14:textId="6B8B9559" w:rsidR="00B62E67" w:rsidRPr="00B62E67" w:rsidRDefault="00B62E67" w:rsidP="00B62E67">
            <w:pPr>
              <w:spacing w:after="0" w:line="240" w:lineRule="auto"/>
              <w:jc w:val="right"/>
              <w:rPr>
                <w:sz w:val="18"/>
                <w:szCs w:val="18"/>
                <w:lang w:eastAsia="sk-SK"/>
              </w:rPr>
            </w:pPr>
            <w:r w:rsidRPr="00B62E67">
              <w:rPr>
                <w:sz w:val="18"/>
                <w:szCs w:val="18"/>
                <w:lang w:eastAsia="sk-SK"/>
              </w:rPr>
              <w:t>79 689</w:t>
            </w:r>
          </w:p>
        </w:tc>
        <w:tc>
          <w:tcPr>
            <w:tcW w:w="703" w:type="pct"/>
            <w:tcBorders>
              <w:top w:val="nil"/>
              <w:left w:val="nil"/>
              <w:bottom w:val="nil"/>
              <w:right w:val="nil"/>
            </w:tcBorders>
            <w:vAlign w:val="center"/>
          </w:tcPr>
          <w:p w14:paraId="02175B5F" w14:textId="01AE5B86" w:rsidR="00B62E67" w:rsidRPr="00B62E67" w:rsidRDefault="00B62E67" w:rsidP="00B62E67">
            <w:pPr>
              <w:spacing w:after="0" w:line="240" w:lineRule="auto"/>
              <w:jc w:val="right"/>
              <w:rPr>
                <w:sz w:val="18"/>
                <w:szCs w:val="18"/>
                <w:lang w:eastAsia="sk-SK"/>
              </w:rPr>
            </w:pPr>
            <w:r w:rsidRPr="00B62E67">
              <w:rPr>
                <w:sz w:val="18"/>
                <w:szCs w:val="18"/>
                <w:lang w:eastAsia="sk-SK"/>
              </w:rPr>
              <w:t>686 258</w:t>
            </w:r>
          </w:p>
        </w:tc>
        <w:tc>
          <w:tcPr>
            <w:tcW w:w="703" w:type="pct"/>
            <w:tcBorders>
              <w:top w:val="nil"/>
              <w:left w:val="nil"/>
              <w:bottom w:val="nil"/>
              <w:right w:val="nil"/>
            </w:tcBorders>
            <w:vAlign w:val="center"/>
          </w:tcPr>
          <w:p w14:paraId="55190D86" w14:textId="41F12007" w:rsidR="00B62E67" w:rsidRPr="00B62E67" w:rsidRDefault="00B62E67" w:rsidP="00B62E67">
            <w:pPr>
              <w:spacing w:after="0" w:line="240" w:lineRule="auto"/>
              <w:jc w:val="right"/>
              <w:rPr>
                <w:sz w:val="18"/>
                <w:szCs w:val="18"/>
                <w:lang w:eastAsia="sk-SK"/>
              </w:rPr>
            </w:pPr>
            <w:r w:rsidRPr="00B62E67">
              <w:rPr>
                <w:sz w:val="18"/>
                <w:szCs w:val="18"/>
                <w:lang w:eastAsia="sk-SK"/>
              </w:rPr>
              <w:t>-11 431</w:t>
            </w:r>
          </w:p>
        </w:tc>
      </w:tr>
      <w:tr w:rsidR="00B62E67" w:rsidRPr="00B62E67" w14:paraId="43B08986" w14:textId="77777777" w:rsidTr="008A6A1F">
        <w:trPr>
          <w:trHeight w:val="284"/>
        </w:trPr>
        <w:tc>
          <w:tcPr>
            <w:tcW w:w="2422" w:type="pct"/>
            <w:tcBorders>
              <w:top w:val="nil"/>
              <w:left w:val="nil"/>
              <w:bottom w:val="nil"/>
              <w:right w:val="nil"/>
            </w:tcBorders>
            <w:vAlign w:val="center"/>
          </w:tcPr>
          <w:p w14:paraId="5BD4E04F" w14:textId="77777777" w:rsidR="00B62E67" w:rsidRPr="00B62E67" w:rsidRDefault="00B62E67" w:rsidP="00B62E67">
            <w:pPr>
              <w:spacing w:after="0" w:line="240" w:lineRule="auto"/>
              <w:ind w:firstLineChars="178" w:firstLine="320"/>
              <w:rPr>
                <w:sz w:val="18"/>
                <w:szCs w:val="18"/>
                <w:lang w:eastAsia="sk-SK"/>
              </w:rPr>
            </w:pPr>
            <w:r w:rsidRPr="00B62E67">
              <w:rPr>
                <w:sz w:val="18"/>
                <w:szCs w:val="18"/>
                <w:lang w:eastAsia="sk-SK"/>
              </w:rPr>
              <w:t>Environmentálny fond (záložné zmluvy)</w:t>
            </w:r>
          </w:p>
        </w:tc>
        <w:tc>
          <w:tcPr>
            <w:tcW w:w="547" w:type="pct"/>
            <w:tcBorders>
              <w:top w:val="nil"/>
              <w:left w:val="nil"/>
              <w:bottom w:val="nil"/>
              <w:right w:val="nil"/>
            </w:tcBorders>
            <w:vAlign w:val="center"/>
          </w:tcPr>
          <w:p w14:paraId="10AE1E2E" w14:textId="2991B709" w:rsidR="00B62E67" w:rsidRPr="00B62E67" w:rsidRDefault="00B62E67" w:rsidP="00B62E67">
            <w:pPr>
              <w:spacing w:after="0" w:line="240" w:lineRule="auto"/>
              <w:jc w:val="right"/>
              <w:rPr>
                <w:sz w:val="18"/>
                <w:szCs w:val="18"/>
                <w:lang w:eastAsia="sk-SK"/>
              </w:rPr>
            </w:pPr>
            <w:r w:rsidRPr="00B62E67">
              <w:rPr>
                <w:sz w:val="18"/>
                <w:szCs w:val="18"/>
                <w:lang w:eastAsia="sk-SK"/>
              </w:rPr>
              <w:t>55 304</w:t>
            </w:r>
          </w:p>
        </w:tc>
        <w:tc>
          <w:tcPr>
            <w:tcW w:w="625" w:type="pct"/>
            <w:tcBorders>
              <w:top w:val="nil"/>
              <w:left w:val="nil"/>
              <w:bottom w:val="nil"/>
              <w:right w:val="nil"/>
            </w:tcBorders>
            <w:vAlign w:val="center"/>
          </w:tcPr>
          <w:p w14:paraId="02C87845" w14:textId="480D9F59" w:rsidR="00B62E67" w:rsidRPr="00B62E67" w:rsidRDefault="00B62E67" w:rsidP="00B62E67">
            <w:pPr>
              <w:spacing w:after="0" w:line="240" w:lineRule="auto"/>
              <w:jc w:val="right"/>
              <w:rPr>
                <w:sz w:val="18"/>
                <w:szCs w:val="18"/>
                <w:lang w:eastAsia="sk-SK"/>
              </w:rPr>
            </w:pPr>
            <w:r w:rsidRPr="00B62E67">
              <w:rPr>
                <w:sz w:val="18"/>
                <w:szCs w:val="18"/>
                <w:lang w:eastAsia="sk-SK"/>
              </w:rPr>
              <w:t>36 267</w:t>
            </w:r>
          </w:p>
        </w:tc>
        <w:tc>
          <w:tcPr>
            <w:tcW w:w="703" w:type="pct"/>
            <w:tcBorders>
              <w:top w:val="nil"/>
              <w:left w:val="nil"/>
              <w:bottom w:val="nil"/>
              <w:right w:val="nil"/>
            </w:tcBorders>
            <w:vAlign w:val="center"/>
          </w:tcPr>
          <w:p w14:paraId="5FBAB353" w14:textId="199AA759" w:rsidR="00B62E67" w:rsidRPr="00B62E67" w:rsidRDefault="00B62E67" w:rsidP="00B62E67">
            <w:pPr>
              <w:spacing w:after="0" w:line="240" w:lineRule="auto"/>
              <w:jc w:val="right"/>
              <w:rPr>
                <w:sz w:val="18"/>
                <w:szCs w:val="18"/>
                <w:lang w:eastAsia="sk-SK"/>
              </w:rPr>
            </w:pPr>
            <w:r w:rsidRPr="00B62E67">
              <w:rPr>
                <w:sz w:val="18"/>
                <w:szCs w:val="18"/>
                <w:lang w:eastAsia="sk-SK"/>
              </w:rPr>
              <w:t>31 760</w:t>
            </w:r>
          </w:p>
        </w:tc>
        <w:tc>
          <w:tcPr>
            <w:tcW w:w="703" w:type="pct"/>
            <w:tcBorders>
              <w:top w:val="nil"/>
              <w:left w:val="nil"/>
              <w:bottom w:val="nil"/>
              <w:right w:val="nil"/>
            </w:tcBorders>
            <w:vAlign w:val="center"/>
          </w:tcPr>
          <w:p w14:paraId="187E6334" w14:textId="3324EA0F" w:rsidR="00B62E67" w:rsidRPr="00B62E67" w:rsidRDefault="00B62E67" w:rsidP="00B62E67">
            <w:pPr>
              <w:spacing w:after="0" w:line="240" w:lineRule="auto"/>
              <w:jc w:val="right"/>
              <w:rPr>
                <w:sz w:val="18"/>
                <w:szCs w:val="18"/>
                <w:lang w:eastAsia="sk-SK"/>
              </w:rPr>
            </w:pPr>
            <w:r w:rsidRPr="00B62E67">
              <w:rPr>
                <w:sz w:val="18"/>
                <w:szCs w:val="18"/>
                <w:lang w:eastAsia="sk-SK"/>
              </w:rPr>
              <w:t>-4 507</w:t>
            </w:r>
          </w:p>
        </w:tc>
      </w:tr>
      <w:tr w:rsidR="00B62E67" w:rsidRPr="00B62E67" w14:paraId="5E0EC7F9" w14:textId="77777777" w:rsidTr="008A6A1F">
        <w:trPr>
          <w:trHeight w:val="284"/>
        </w:trPr>
        <w:tc>
          <w:tcPr>
            <w:tcW w:w="2422" w:type="pct"/>
            <w:tcBorders>
              <w:top w:val="single" w:sz="4" w:space="0" w:color="auto"/>
              <w:left w:val="nil"/>
              <w:bottom w:val="single" w:sz="4" w:space="0" w:color="auto"/>
              <w:right w:val="nil"/>
            </w:tcBorders>
            <w:shd w:val="clear" w:color="auto" w:fill="auto"/>
            <w:noWrap/>
            <w:vAlign w:val="center"/>
            <w:hideMark/>
          </w:tcPr>
          <w:p w14:paraId="6698A608" w14:textId="77777777" w:rsidR="00B62E67" w:rsidRPr="00B62E67" w:rsidRDefault="00B62E67" w:rsidP="00B62E67">
            <w:pPr>
              <w:spacing w:after="0" w:line="240" w:lineRule="auto"/>
              <w:rPr>
                <w:b/>
                <w:bCs/>
                <w:color w:val="FF0000"/>
                <w:sz w:val="18"/>
                <w:szCs w:val="18"/>
                <w:lang w:eastAsia="sk-SK"/>
              </w:rPr>
            </w:pPr>
            <w:r w:rsidRPr="00B62E67">
              <w:rPr>
                <w:b/>
                <w:bCs/>
                <w:sz w:val="18"/>
                <w:szCs w:val="18"/>
                <w:lang w:eastAsia="sk-SK"/>
              </w:rPr>
              <w:t>Spolu</w:t>
            </w:r>
          </w:p>
        </w:tc>
        <w:tc>
          <w:tcPr>
            <w:tcW w:w="547" w:type="pct"/>
            <w:tcBorders>
              <w:top w:val="single" w:sz="4" w:space="0" w:color="auto"/>
              <w:left w:val="nil"/>
              <w:bottom w:val="single" w:sz="4" w:space="0" w:color="auto"/>
              <w:right w:val="nil"/>
            </w:tcBorders>
            <w:vAlign w:val="center"/>
          </w:tcPr>
          <w:p w14:paraId="09265E45" w14:textId="642D7E3F" w:rsidR="00B62E67" w:rsidRPr="00B62E67" w:rsidRDefault="00B62E67" w:rsidP="00B62E67">
            <w:pPr>
              <w:spacing w:after="0" w:line="240" w:lineRule="auto"/>
              <w:jc w:val="right"/>
              <w:rPr>
                <w:b/>
                <w:bCs/>
                <w:sz w:val="18"/>
                <w:szCs w:val="18"/>
                <w:lang w:eastAsia="sk-SK"/>
              </w:rPr>
            </w:pPr>
            <w:r w:rsidRPr="00B62E67">
              <w:rPr>
                <w:b/>
                <w:bCs/>
                <w:sz w:val="18"/>
                <w:szCs w:val="18"/>
                <w:lang w:eastAsia="sk-SK"/>
              </w:rPr>
              <w:t>8 557 466</w:t>
            </w:r>
          </w:p>
        </w:tc>
        <w:tc>
          <w:tcPr>
            <w:tcW w:w="625" w:type="pct"/>
            <w:tcBorders>
              <w:top w:val="single" w:sz="4" w:space="0" w:color="auto"/>
              <w:left w:val="nil"/>
              <w:bottom w:val="single" w:sz="4" w:space="0" w:color="auto"/>
              <w:right w:val="nil"/>
            </w:tcBorders>
            <w:vAlign w:val="center"/>
          </w:tcPr>
          <w:p w14:paraId="1FFB3CFC" w14:textId="0271306F" w:rsidR="00B62E67" w:rsidRPr="00B62E67" w:rsidRDefault="00B62E67" w:rsidP="00B62E67">
            <w:pPr>
              <w:spacing w:after="0" w:line="240" w:lineRule="auto"/>
              <w:jc w:val="right"/>
              <w:rPr>
                <w:b/>
                <w:bCs/>
                <w:sz w:val="18"/>
                <w:szCs w:val="18"/>
                <w:lang w:eastAsia="sk-SK"/>
              </w:rPr>
            </w:pPr>
            <w:r w:rsidRPr="00B62E67">
              <w:rPr>
                <w:b/>
                <w:bCs/>
                <w:sz w:val="18"/>
                <w:szCs w:val="18"/>
                <w:lang w:eastAsia="sk-SK"/>
              </w:rPr>
              <w:t>8 259 040</w:t>
            </w:r>
          </w:p>
        </w:tc>
        <w:tc>
          <w:tcPr>
            <w:tcW w:w="703" w:type="pct"/>
            <w:tcBorders>
              <w:top w:val="single" w:sz="4" w:space="0" w:color="auto"/>
              <w:left w:val="nil"/>
              <w:bottom w:val="single" w:sz="4" w:space="0" w:color="auto"/>
              <w:right w:val="nil"/>
            </w:tcBorders>
            <w:shd w:val="clear" w:color="auto" w:fill="auto"/>
            <w:vAlign w:val="center"/>
          </w:tcPr>
          <w:p w14:paraId="045F40B4" w14:textId="1AE29999" w:rsidR="00B62E67" w:rsidRPr="00B62E67" w:rsidRDefault="00B62E67" w:rsidP="00B62E67">
            <w:pPr>
              <w:spacing w:after="0" w:line="240" w:lineRule="auto"/>
              <w:jc w:val="right"/>
              <w:rPr>
                <w:b/>
                <w:bCs/>
                <w:sz w:val="18"/>
                <w:szCs w:val="18"/>
                <w:lang w:eastAsia="sk-SK"/>
              </w:rPr>
            </w:pPr>
            <w:r w:rsidRPr="00B62E67">
              <w:rPr>
                <w:b/>
                <w:bCs/>
                <w:sz w:val="18"/>
                <w:szCs w:val="18"/>
                <w:lang w:eastAsia="sk-SK"/>
              </w:rPr>
              <w:t>7 860 243</w:t>
            </w:r>
          </w:p>
        </w:tc>
        <w:tc>
          <w:tcPr>
            <w:tcW w:w="703" w:type="pct"/>
            <w:tcBorders>
              <w:top w:val="single" w:sz="4" w:space="0" w:color="auto"/>
              <w:left w:val="nil"/>
              <w:bottom w:val="single" w:sz="4" w:space="0" w:color="auto"/>
              <w:right w:val="nil"/>
            </w:tcBorders>
            <w:shd w:val="clear" w:color="auto" w:fill="auto"/>
            <w:vAlign w:val="center"/>
          </w:tcPr>
          <w:p w14:paraId="5541F2DC" w14:textId="507D7B55" w:rsidR="00B62E67" w:rsidRPr="00B62E67" w:rsidRDefault="00B62E67" w:rsidP="00B62E67">
            <w:pPr>
              <w:spacing w:after="0" w:line="240" w:lineRule="auto"/>
              <w:jc w:val="right"/>
              <w:rPr>
                <w:b/>
                <w:bCs/>
                <w:sz w:val="18"/>
                <w:szCs w:val="18"/>
                <w:lang w:eastAsia="sk-SK"/>
              </w:rPr>
            </w:pPr>
            <w:r w:rsidRPr="00B62E67">
              <w:rPr>
                <w:b/>
                <w:bCs/>
                <w:sz w:val="18"/>
                <w:szCs w:val="18"/>
                <w:lang w:eastAsia="sk-SK"/>
              </w:rPr>
              <w:t>-398 797</w:t>
            </w:r>
          </w:p>
        </w:tc>
      </w:tr>
    </w:tbl>
    <w:p w14:paraId="781A846E" w14:textId="77777777" w:rsidR="00FC0A41" w:rsidRPr="00474213" w:rsidRDefault="00FC0A41" w:rsidP="00FC0A41">
      <w:pPr>
        <w:spacing w:after="120" w:line="240" w:lineRule="auto"/>
        <w:jc w:val="right"/>
        <w:rPr>
          <w:sz w:val="16"/>
          <w:szCs w:val="16"/>
          <w:highlight w:val="yellow"/>
        </w:rPr>
      </w:pPr>
      <w:r w:rsidRPr="00474213">
        <w:rPr>
          <w:sz w:val="16"/>
          <w:szCs w:val="16"/>
        </w:rPr>
        <w:t>Zdroj: Účtovné závierky subjektov, Centrálny konsolidačný systém a databáza MF SR</w:t>
      </w:r>
      <w:r w:rsidRPr="00474213">
        <w:rPr>
          <w:sz w:val="16"/>
          <w:szCs w:val="16"/>
          <w:highlight w:val="yellow"/>
        </w:rPr>
        <w:t xml:space="preserve"> </w:t>
      </w:r>
    </w:p>
    <w:p w14:paraId="614A8F1F" w14:textId="7B6F9A5E" w:rsidR="00BA41C4" w:rsidRPr="00B92C4E" w:rsidRDefault="00BA41C4" w:rsidP="00BA41C4">
      <w:pPr>
        <w:spacing w:line="240" w:lineRule="auto"/>
        <w:jc w:val="both"/>
      </w:pPr>
      <w:r w:rsidRPr="009868D2">
        <w:rPr>
          <w:b/>
        </w:rPr>
        <w:t>Z ostatných položiek podmienených aktív</w:t>
      </w:r>
      <w:r w:rsidRPr="009868D2">
        <w:t xml:space="preserve"> je významná hodnota zabezpečenia pohľadávok z </w:t>
      </w:r>
      <w:r w:rsidRPr="00B92C4E">
        <w:t xml:space="preserve">poskytnutých úverov a poskytnutých záruk </w:t>
      </w:r>
      <w:r w:rsidRPr="00B92C4E">
        <w:rPr>
          <w:u w:val="single"/>
        </w:rPr>
        <w:t>Ex</w:t>
      </w:r>
      <w:r w:rsidR="0063052B">
        <w:rPr>
          <w:u w:val="single"/>
        </w:rPr>
        <w:t>im</w:t>
      </w:r>
      <w:r w:rsidRPr="00B92C4E">
        <w:rPr>
          <w:u w:val="single"/>
        </w:rPr>
        <w:t>banky</w:t>
      </w:r>
      <w:r w:rsidR="0063052B">
        <w:rPr>
          <w:u w:val="single"/>
        </w:rPr>
        <w:t xml:space="preserve"> SR</w:t>
      </w:r>
      <w:r w:rsidRPr="00B92C4E">
        <w:t xml:space="preserve"> v hodnote 359</w:t>
      </w:r>
      <w:r w:rsidR="001C4E20">
        <w:t> 246 </w:t>
      </w:r>
      <w:r w:rsidRPr="00B92C4E">
        <w:t>tis.</w:t>
      </w:r>
      <w:r w:rsidR="001C4E20">
        <w:t> </w:t>
      </w:r>
      <w:r w:rsidRPr="00B92C4E">
        <w:t>eur. Z</w:t>
      </w:r>
      <w:r w:rsidR="001C4E20">
        <w:t> </w:t>
      </w:r>
      <w:r w:rsidRPr="00B92C4E">
        <w:t>ostatných položiek podmienených aktív je významná ho</w:t>
      </w:r>
      <w:r w:rsidR="00645EDA">
        <w:t>dnota zabezpečenia pohľadávok z </w:t>
      </w:r>
      <w:r w:rsidRPr="00B92C4E">
        <w:t>poskytnutých úverov a</w:t>
      </w:r>
      <w:r w:rsidR="00970EC7">
        <w:t> </w:t>
      </w:r>
      <w:r w:rsidRPr="00B92C4E">
        <w:t>poskytnutých záruk Eximbanky</w:t>
      </w:r>
      <w:r w:rsidR="0063052B">
        <w:t xml:space="preserve"> SR</w:t>
      </w:r>
      <w:r w:rsidRPr="00B92C4E">
        <w:t xml:space="preserve"> v hodnote 359</w:t>
      </w:r>
      <w:r w:rsidR="001C4E20">
        <w:t> 246 </w:t>
      </w:r>
      <w:r w:rsidRPr="00B92C4E">
        <w:t>tis.</w:t>
      </w:r>
      <w:r w:rsidR="001C4E20">
        <w:t> </w:t>
      </w:r>
      <w:r w:rsidRPr="00B92C4E">
        <w:t>eur. Prijaté záruky a</w:t>
      </w:r>
      <w:r w:rsidR="001C4E20">
        <w:t> </w:t>
      </w:r>
      <w:r w:rsidRPr="00B92C4E">
        <w:t>ručenie tvorilo 70</w:t>
      </w:r>
      <w:r w:rsidR="001C4E20">
        <w:t> </w:t>
      </w:r>
      <w:r w:rsidRPr="00B92C4E">
        <w:t>202</w:t>
      </w:r>
      <w:r w:rsidR="001C4E20">
        <w:t> </w:t>
      </w:r>
      <w:r w:rsidRPr="00B92C4E">
        <w:t>tis.</w:t>
      </w:r>
      <w:r w:rsidR="001C4E20">
        <w:t> </w:t>
      </w:r>
      <w:r w:rsidRPr="00B92C4E">
        <w:t>eur, záruky na nehnuteľnosti 216</w:t>
      </w:r>
      <w:r w:rsidR="001C4E20">
        <w:t> </w:t>
      </w:r>
      <w:r w:rsidRPr="00B92C4E">
        <w:t>532</w:t>
      </w:r>
      <w:r w:rsidR="001C4E20">
        <w:t> </w:t>
      </w:r>
      <w:r w:rsidRPr="00B92C4E">
        <w:t>tis.</w:t>
      </w:r>
      <w:r w:rsidR="001C4E20">
        <w:t> </w:t>
      </w:r>
      <w:r w:rsidRPr="00B92C4E">
        <w:t>eur, ostatné záruky 72</w:t>
      </w:r>
      <w:r w:rsidR="001C4E20">
        <w:t> </w:t>
      </w:r>
      <w:r w:rsidRPr="00B92C4E">
        <w:t>512</w:t>
      </w:r>
      <w:r w:rsidR="001C4E20">
        <w:t> </w:t>
      </w:r>
      <w:r w:rsidRPr="00B92C4E">
        <w:t>tis.</w:t>
      </w:r>
      <w:r w:rsidR="001C4E20">
        <w:t> </w:t>
      </w:r>
      <w:r w:rsidRPr="00B92C4E">
        <w:t>eur. Medziročný pokles bol spôsobený poklesom prijatých záruk a ručenia o</w:t>
      </w:r>
      <w:r w:rsidR="001C4E20">
        <w:t> </w:t>
      </w:r>
      <w:r w:rsidRPr="00B92C4E">
        <w:t>30</w:t>
      </w:r>
      <w:r w:rsidR="001C4E20">
        <w:t> </w:t>
      </w:r>
      <w:r w:rsidRPr="00B92C4E">
        <w:t>375</w:t>
      </w:r>
      <w:r w:rsidR="001C4E20">
        <w:t> </w:t>
      </w:r>
      <w:r w:rsidRPr="00B92C4E">
        <w:t>tis.</w:t>
      </w:r>
      <w:r w:rsidR="001C4E20">
        <w:t> </w:t>
      </w:r>
      <w:r w:rsidRPr="00B92C4E">
        <w:t>eur, pokleso</w:t>
      </w:r>
      <w:r w:rsidR="001C4E20">
        <w:t>m ostatných prijatých záruk o 4 </w:t>
      </w:r>
      <w:r w:rsidRPr="00B92C4E">
        <w:t>608</w:t>
      </w:r>
      <w:r w:rsidR="001C4E20">
        <w:t> </w:t>
      </w:r>
      <w:r w:rsidRPr="00B92C4E">
        <w:t>tis.</w:t>
      </w:r>
      <w:r w:rsidR="001C4E20">
        <w:t> </w:t>
      </w:r>
      <w:r w:rsidRPr="00B92C4E">
        <w:t>eur a za súčasného nárastu prijatých záruk na nehnuteľný majetok o</w:t>
      </w:r>
      <w:r w:rsidR="001C4E20">
        <w:t> </w:t>
      </w:r>
      <w:r w:rsidRPr="00B92C4E">
        <w:t>24</w:t>
      </w:r>
      <w:r w:rsidR="001C4E20">
        <w:t> </w:t>
      </w:r>
      <w:r w:rsidRPr="00B92C4E">
        <w:t>262</w:t>
      </w:r>
      <w:r w:rsidR="001C4E20">
        <w:t> </w:t>
      </w:r>
      <w:r w:rsidRPr="00B92C4E">
        <w:t>tis.</w:t>
      </w:r>
      <w:r w:rsidR="001C4E20">
        <w:t> </w:t>
      </w:r>
      <w:r w:rsidRPr="00B92C4E">
        <w:t>eur.</w:t>
      </w:r>
    </w:p>
    <w:p w14:paraId="0461861C" w14:textId="3EB309DD" w:rsidR="00BA41C4" w:rsidRPr="00C66720" w:rsidRDefault="00BA41C4" w:rsidP="00BA41C4">
      <w:pPr>
        <w:spacing w:after="120" w:line="240" w:lineRule="auto"/>
        <w:jc w:val="both"/>
        <w:rPr>
          <w:szCs w:val="22"/>
        </w:rPr>
      </w:pPr>
      <w:r w:rsidRPr="00C66720">
        <w:rPr>
          <w:szCs w:val="22"/>
          <w:u w:val="single"/>
        </w:rPr>
        <w:t>SEPS</w:t>
      </w:r>
      <w:r w:rsidRPr="00C66720">
        <w:rPr>
          <w:szCs w:val="22"/>
        </w:rPr>
        <w:t xml:space="preserve"> vykázala v konsolidovanej účtovnej závierke ako podmienené aktíva sumu prijatých bankových záruk vo výške </w:t>
      </w:r>
      <w:r>
        <w:rPr>
          <w:szCs w:val="22"/>
        </w:rPr>
        <w:t>283</w:t>
      </w:r>
      <w:r w:rsidR="001C4E20">
        <w:rPr>
          <w:szCs w:val="22"/>
        </w:rPr>
        <w:t> </w:t>
      </w:r>
      <w:r>
        <w:rPr>
          <w:szCs w:val="22"/>
        </w:rPr>
        <w:t>113</w:t>
      </w:r>
      <w:r w:rsidRPr="00C66720">
        <w:rPr>
          <w:szCs w:val="22"/>
        </w:rPr>
        <w:t> tis.</w:t>
      </w:r>
      <w:r w:rsidR="001C4E20">
        <w:rPr>
          <w:szCs w:val="22"/>
        </w:rPr>
        <w:t> </w:t>
      </w:r>
      <w:r w:rsidRPr="00C66720">
        <w:rPr>
          <w:szCs w:val="22"/>
        </w:rPr>
        <w:t>eur. Bankové záruky sú uzat</w:t>
      </w:r>
      <w:r w:rsidR="001C4E20">
        <w:rPr>
          <w:szCs w:val="22"/>
        </w:rPr>
        <w:t>várané v prospech skupiny SEPS</w:t>
      </w:r>
      <w:r w:rsidR="00EC4753">
        <w:rPr>
          <w:szCs w:val="22"/>
        </w:rPr>
        <w:t xml:space="preserve"> </w:t>
      </w:r>
      <w:r w:rsidRPr="00C66720">
        <w:rPr>
          <w:szCs w:val="22"/>
        </w:rPr>
        <w:t>účastníkmi krátkodobého trhu s elektrickou energiou, ktoré chránia skupinu pred ich prípadnou platobnou neschopnosťou.</w:t>
      </w:r>
    </w:p>
    <w:p w14:paraId="2C629E97" w14:textId="672EAC3D" w:rsidR="00BA41C4" w:rsidRPr="00C66720" w:rsidRDefault="00EC4753" w:rsidP="00BA41C4">
      <w:pPr>
        <w:spacing w:after="120" w:line="240" w:lineRule="auto"/>
        <w:jc w:val="both"/>
        <w:rPr>
          <w:szCs w:val="22"/>
        </w:rPr>
      </w:pPr>
      <w:r>
        <w:rPr>
          <w:szCs w:val="22"/>
          <w:u w:val="single"/>
        </w:rPr>
        <w:t>SPP</w:t>
      </w:r>
      <w:r w:rsidR="00BA41C4" w:rsidRPr="00C66720">
        <w:rPr>
          <w:szCs w:val="22"/>
        </w:rPr>
        <w:t xml:space="preserve"> vykazuje poskytnuté záruky, ktoré vystavili mater</w:t>
      </w:r>
      <w:r>
        <w:rPr>
          <w:szCs w:val="22"/>
        </w:rPr>
        <w:t>ské spoločnosti zákazníkov. SPP</w:t>
      </w:r>
      <w:r w:rsidR="00BA41C4" w:rsidRPr="00C66720">
        <w:rPr>
          <w:szCs w:val="22"/>
        </w:rPr>
        <w:t xml:space="preserve"> si tak v prípade neplnenia povinností zo strany zákazníkov môže uplatňovať plnenie u ich materských spoločností.</w:t>
      </w:r>
    </w:p>
    <w:p w14:paraId="5E6AC618" w14:textId="630A4939" w:rsidR="00BA41C4" w:rsidRPr="00C66720" w:rsidRDefault="001C4E20" w:rsidP="00BA41C4">
      <w:pPr>
        <w:spacing w:after="120" w:line="240" w:lineRule="auto"/>
        <w:jc w:val="both"/>
        <w:rPr>
          <w:szCs w:val="22"/>
          <w:u w:val="single"/>
        </w:rPr>
      </w:pPr>
      <w:r>
        <w:rPr>
          <w:szCs w:val="22"/>
          <w:u w:val="single"/>
        </w:rPr>
        <w:lastRenderedPageBreak/>
        <w:t>MH </w:t>
      </w:r>
      <w:r w:rsidR="00BA41C4" w:rsidRPr="00C66720">
        <w:rPr>
          <w:szCs w:val="22"/>
          <w:u w:val="single"/>
        </w:rPr>
        <w:t>Manažment,</w:t>
      </w:r>
      <w:r>
        <w:rPr>
          <w:szCs w:val="22"/>
          <w:u w:val="single"/>
        </w:rPr>
        <w:t> </w:t>
      </w:r>
      <w:r w:rsidR="00BA41C4" w:rsidRPr="00C66720">
        <w:rPr>
          <w:szCs w:val="22"/>
          <w:u w:val="single"/>
        </w:rPr>
        <w:t>a.</w:t>
      </w:r>
      <w:r>
        <w:rPr>
          <w:szCs w:val="22"/>
          <w:u w:val="single"/>
        </w:rPr>
        <w:t> </w:t>
      </w:r>
      <w:r w:rsidR="00BA41C4" w:rsidRPr="00C66720">
        <w:rPr>
          <w:szCs w:val="22"/>
          <w:u w:val="single"/>
        </w:rPr>
        <w:t>s.</w:t>
      </w:r>
      <w:r w:rsidR="00BA41C4" w:rsidRPr="00C66720">
        <w:rPr>
          <w:szCs w:val="22"/>
        </w:rPr>
        <w:t xml:space="preserve"> vykazuje podmienené aktívum zo zmluvy o predaji štá</w:t>
      </w:r>
      <w:r w:rsidR="00627A8D">
        <w:rPr>
          <w:szCs w:val="22"/>
        </w:rPr>
        <w:t>tneho podielu v </w:t>
      </w:r>
      <w:r>
        <w:rPr>
          <w:szCs w:val="22"/>
        </w:rPr>
        <w:t>Slovak Telekom, </w:t>
      </w:r>
      <w:r w:rsidR="00BA41C4" w:rsidRPr="00C66720">
        <w:rPr>
          <w:szCs w:val="22"/>
        </w:rPr>
        <w:t>a.</w:t>
      </w:r>
      <w:r>
        <w:rPr>
          <w:szCs w:val="22"/>
        </w:rPr>
        <w:t> </w:t>
      </w:r>
      <w:r w:rsidR="00BA41C4" w:rsidRPr="00C66720">
        <w:rPr>
          <w:szCs w:val="22"/>
        </w:rPr>
        <w:t xml:space="preserve">s. Platba vo výške </w:t>
      </w:r>
      <w:r w:rsidR="00BA41C4">
        <w:rPr>
          <w:szCs w:val="22"/>
        </w:rPr>
        <w:t>68</w:t>
      </w:r>
      <w:r>
        <w:rPr>
          <w:szCs w:val="22"/>
        </w:rPr>
        <w:t> </w:t>
      </w:r>
      <w:r w:rsidR="00BA41C4">
        <w:rPr>
          <w:szCs w:val="22"/>
        </w:rPr>
        <w:t>258</w:t>
      </w:r>
      <w:r>
        <w:rPr>
          <w:szCs w:val="22"/>
        </w:rPr>
        <w:t> </w:t>
      </w:r>
      <w:r w:rsidR="00BA41C4" w:rsidRPr="00C66720">
        <w:rPr>
          <w:szCs w:val="22"/>
        </w:rPr>
        <w:t>tis.</w:t>
      </w:r>
      <w:r>
        <w:rPr>
          <w:szCs w:val="22"/>
        </w:rPr>
        <w:t> </w:t>
      </w:r>
      <w:r w:rsidR="00BA41C4" w:rsidRPr="00C66720">
        <w:rPr>
          <w:szCs w:val="22"/>
        </w:rPr>
        <w:t>eur je uložená a viazaná na účte, pričom vyplatenie týchto prostriedkov závisí od ukončenia Sporu vo veci hlasových služieb a Sporu s Európskou komisiou.</w:t>
      </w:r>
    </w:p>
    <w:p w14:paraId="2478C640" w14:textId="2B9F3F28" w:rsidR="00FC0A41" w:rsidRPr="002746C4" w:rsidRDefault="00BA41C4" w:rsidP="00BA41C4">
      <w:pPr>
        <w:spacing w:after="120" w:line="240" w:lineRule="auto"/>
        <w:jc w:val="both"/>
        <w:rPr>
          <w:szCs w:val="22"/>
          <w:highlight w:val="yellow"/>
        </w:rPr>
      </w:pPr>
      <w:r w:rsidRPr="00C66720">
        <w:rPr>
          <w:szCs w:val="22"/>
          <w:u w:val="single"/>
        </w:rPr>
        <w:t>Environmentálny fond</w:t>
      </w:r>
      <w:r w:rsidRPr="00C66720">
        <w:rPr>
          <w:szCs w:val="22"/>
        </w:rPr>
        <w:t xml:space="preserve"> eviduje potenciálne plnenie zo záložných zmlúv uzavretých bývalým Recyklačným fondom, ktorého činnosť prešla na Environmentálny fond v decembri 2017. Recyklačný fond poskytoval subjektom dotácie napríklad na separáciu odpadov (plastov, železa a podobne) na viacročné obdobie a v prípade, že subjekt nesplnil podmienky pre dotáciu, bol povinný vrátiť dot</w:t>
      </w:r>
      <w:r w:rsidR="001C4E20">
        <w:rPr>
          <w:szCs w:val="22"/>
        </w:rPr>
        <w:t>áciu aj so zmluvnou pokutou. Vo </w:t>
      </w:r>
      <w:r w:rsidRPr="00C66720">
        <w:rPr>
          <w:szCs w:val="22"/>
        </w:rPr>
        <w:t>výške dotácie a možnej pokuty boli uzatvárané záložné zmluvy a ručiteľské vyhlásenia.</w:t>
      </w:r>
    </w:p>
    <w:p w14:paraId="2144EDCC" w14:textId="77777777" w:rsidR="009B0DE7" w:rsidRPr="002746C4" w:rsidRDefault="009B0DE7" w:rsidP="009B0DE7">
      <w:pPr>
        <w:spacing w:before="120" w:after="120" w:line="336" w:lineRule="auto"/>
        <w:jc w:val="both"/>
        <w:rPr>
          <w:color w:val="BFBFBF" w:themeColor="background1" w:themeShade="BF"/>
          <w:szCs w:val="22"/>
          <w:highlight w:val="yellow"/>
        </w:rPr>
      </w:pPr>
    </w:p>
    <w:p w14:paraId="06A3F98D" w14:textId="77777777" w:rsidR="007A3FF8" w:rsidRPr="00BB4B6F" w:rsidRDefault="007A3FF8">
      <w:pPr>
        <w:rPr>
          <w:color w:val="BFBFBF" w:themeColor="background1" w:themeShade="BF"/>
          <w:szCs w:val="22"/>
          <w:highlight w:val="yellow"/>
        </w:rPr>
        <w:sectPr w:rsidR="007A3FF8" w:rsidRPr="00BB4B6F" w:rsidSect="00234A6C">
          <w:headerReference w:type="default" r:id="rId20"/>
          <w:footerReference w:type="default" r:id="rId21"/>
          <w:pgSz w:w="11906" w:h="16838" w:code="9"/>
          <w:pgMar w:top="1418" w:right="851" w:bottom="1418" w:left="1134" w:header="709" w:footer="709" w:gutter="567"/>
          <w:pgNumType w:start="1"/>
          <w:cols w:space="708"/>
          <w:docGrid w:linePitch="360"/>
        </w:sectPr>
      </w:pPr>
      <w:bookmarkStart w:id="79" w:name="_Toc370908644"/>
      <w:bookmarkStart w:id="80" w:name="_Toc401920038"/>
      <w:bookmarkEnd w:id="62"/>
      <w:bookmarkEnd w:id="63"/>
      <w:bookmarkEnd w:id="64"/>
      <w:bookmarkEnd w:id="65"/>
      <w:bookmarkEnd w:id="66"/>
      <w:bookmarkEnd w:id="67"/>
    </w:p>
    <w:p w14:paraId="5BA943A1" w14:textId="3F9F9773" w:rsidR="00352012" w:rsidRPr="00A605ED" w:rsidRDefault="00352012" w:rsidP="00220857">
      <w:pPr>
        <w:pStyle w:val="Nadpis1"/>
        <w:numPr>
          <w:ilvl w:val="0"/>
          <w:numId w:val="0"/>
        </w:numPr>
        <w:spacing w:after="0"/>
        <w:ind w:left="714" w:hanging="714"/>
        <w:rPr>
          <w:rFonts w:eastAsia="Times New Roman"/>
          <w:sz w:val="22"/>
          <w:szCs w:val="22"/>
        </w:rPr>
      </w:pPr>
      <w:bookmarkStart w:id="81" w:name="_Toc465255058"/>
      <w:bookmarkStart w:id="82" w:name="_Toc495990501"/>
      <w:bookmarkStart w:id="83" w:name="_Toc181095981"/>
      <w:r w:rsidRPr="00A605ED">
        <w:lastRenderedPageBreak/>
        <w:t>Zoznam skratiek</w:t>
      </w:r>
      <w:bookmarkEnd w:id="79"/>
      <w:bookmarkEnd w:id="80"/>
      <w:bookmarkEnd w:id="81"/>
      <w:bookmarkEnd w:id="82"/>
      <w:bookmarkEnd w:id="83"/>
    </w:p>
    <w:p w14:paraId="79502BF1" w14:textId="781C3EF1" w:rsidR="00661C75" w:rsidRPr="0040316C" w:rsidRDefault="00661C75" w:rsidP="00220857">
      <w:pPr>
        <w:spacing w:after="0" w:line="312" w:lineRule="auto"/>
        <w:jc w:val="both"/>
        <w:rPr>
          <w:sz w:val="20"/>
          <w:szCs w:val="20"/>
        </w:rPr>
      </w:pPr>
      <w:r w:rsidRPr="0040316C">
        <w:rPr>
          <w:b/>
          <w:sz w:val="20"/>
          <w:szCs w:val="20"/>
        </w:rPr>
        <w:t xml:space="preserve">BIDSF </w:t>
      </w:r>
      <w:r w:rsidRPr="0040316C">
        <w:rPr>
          <w:sz w:val="20"/>
          <w:szCs w:val="20"/>
        </w:rPr>
        <w:t>–</w:t>
      </w:r>
      <w:r w:rsidR="00F45414" w:rsidRPr="0040316C">
        <w:rPr>
          <w:sz w:val="20"/>
          <w:szCs w:val="20"/>
        </w:rPr>
        <w:t xml:space="preserve"> </w:t>
      </w:r>
      <w:r w:rsidRPr="0040316C">
        <w:rPr>
          <w:sz w:val="20"/>
          <w:szCs w:val="20"/>
        </w:rPr>
        <w:t>Bohunice International Decommissioning Support Fund</w:t>
      </w:r>
    </w:p>
    <w:p w14:paraId="55C32290" w14:textId="7536695A" w:rsidR="00F40ABA" w:rsidRPr="0040316C" w:rsidRDefault="00F40ABA" w:rsidP="00220857">
      <w:pPr>
        <w:spacing w:after="0" w:line="312" w:lineRule="auto"/>
        <w:jc w:val="both"/>
        <w:rPr>
          <w:sz w:val="20"/>
          <w:szCs w:val="20"/>
        </w:rPr>
      </w:pPr>
      <w:r w:rsidRPr="0040316C">
        <w:rPr>
          <w:b/>
          <w:sz w:val="20"/>
          <w:szCs w:val="20"/>
        </w:rPr>
        <w:t>COVID-19</w:t>
      </w:r>
      <w:r w:rsidRPr="0040316C">
        <w:rPr>
          <w:sz w:val="20"/>
          <w:szCs w:val="20"/>
        </w:rPr>
        <w:t xml:space="preserve"> </w:t>
      </w:r>
      <w:r w:rsidRPr="0040316C">
        <w:rPr>
          <w:b/>
          <w:sz w:val="20"/>
          <w:szCs w:val="20"/>
        </w:rPr>
        <w:t>-</w:t>
      </w:r>
      <w:r w:rsidRPr="0040316C">
        <w:rPr>
          <w:sz w:val="20"/>
          <w:szCs w:val="20"/>
        </w:rPr>
        <w:t xml:space="preserve"> Corona Virus Disease 2019</w:t>
      </w:r>
    </w:p>
    <w:p w14:paraId="606E1045" w14:textId="662D778C" w:rsidR="00352012" w:rsidRPr="0040316C" w:rsidRDefault="00352012" w:rsidP="00220857">
      <w:pPr>
        <w:spacing w:after="0" w:line="312" w:lineRule="auto"/>
        <w:jc w:val="both"/>
        <w:rPr>
          <w:sz w:val="20"/>
          <w:szCs w:val="20"/>
        </w:rPr>
      </w:pPr>
      <w:r w:rsidRPr="0040316C">
        <w:rPr>
          <w:b/>
          <w:sz w:val="20"/>
          <w:szCs w:val="20"/>
        </w:rPr>
        <w:t>DPH</w:t>
      </w:r>
      <w:r w:rsidRPr="0040316C">
        <w:rPr>
          <w:sz w:val="20"/>
          <w:szCs w:val="20"/>
        </w:rPr>
        <w:t xml:space="preserve"> – daň z pridanej hodnoty</w:t>
      </w:r>
    </w:p>
    <w:p w14:paraId="566EF5C7" w14:textId="6EFCDF7C" w:rsidR="00220857" w:rsidRPr="0040316C" w:rsidRDefault="00220857" w:rsidP="00220857">
      <w:pPr>
        <w:spacing w:after="0" w:line="312" w:lineRule="auto"/>
        <w:jc w:val="both"/>
        <w:rPr>
          <w:b/>
          <w:sz w:val="20"/>
          <w:szCs w:val="20"/>
        </w:rPr>
      </w:pPr>
      <w:r w:rsidRPr="0040316C">
        <w:rPr>
          <w:b/>
          <w:sz w:val="20"/>
          <w:szCs w:val="20"/>
        </w:rPr>
        <w:t xml:space="preserve">DPPO – </w:t>
      </w:r>
      <w:r w:rsidRPr="0040316C">
        <w:rPr>
          <w:sz w:val="20"/>
          <w:szCs w:val="20"/>
        </w:rPr>
        <w:t xml:space="preserve">daň z príjmov </w:t>
      </w:r>
      <w:r w:rsidR="00B567AE" w:rsidRPr="0040316C">
        <w:rPr>
          <w:sz w:val="20"/>
          <w:szCs w:val="20"/>
        </w:rPr>
        <w:t xml:space="preserve">právnickej </w:t>
      </w:r>
      <w:r w:rsidRPr="0040316C">
        <w:rPr>
          <w:sz w:val="20"/>
          <w:szCs w:val="20"/>
        </w:rPr>
        <w:t>os</w:t>
      </w:r>
      <w:r w:rsidR="00B567AE" w:rsidRPr="0040316C">
        <w:rPr>
          <w:sz w:val="20"/>
          <w:szCs w:val="20"/>
        </w:rPr>
        <w:t>oby</w:t>
      </w:r>
    </w:p>
    <w:p w14:paraId="6256204E" w14:textId="21762B99" w:rsidR="00220857" w:rsidRPr="0040316C" w:rsidRDefault="00220857" w:rsidP="00220857">
      <w:pPr>
        <w:spacing w:after="0" w:line="312" w:lineRule="auto"/>
        <w:jc w:val="both"/>
        <w:rPr>
          <w:sz w:val="20"/>
          <w:szCs w:val="20"/>
        </w:rPr>
      </w:pPr>
      <w:r w:rsidRPr="0040316C">
        <w:rPr>
          <w:b/>
          <w:sz w:val="20"/>
          <w:szCs w:val="20"/>
        </w:rPr>
        <w:t xml:space="preserve">DPFO - </w:t>
      </w:r>
      <w:r w:rsidRPr="0040316C">
        <w:rPr>
          <w:sz w:val="20"/>
          <w:szCs w:val="20"/>
        </w:rPr>
        <w:t>daň z príjmov fyzick</w:t>
      </w:r>
      <w:r w:rsidR="00B567AE" w:rsidRPr="0040316C">
        <w:rPr>
          <w:sz w:val="20"/>
          <w:szCs w:val="20"/>
        </w:rPr>
        <w:t>ej</w:t>
      </w:r>
      <w:r w:rsidRPr="0040316C">
        <w:rPr>
          <w:sz w:val="20"/>
          <w:szCs w:val="20"/>
        </w:rPr>
        <w:t xml:space="preserve"> os</w:t>
      </w:r>
      <w:r w:rsidR="00B567AE" w:rsidRPr="0040316C">
        <w:rPr>
          <w:sz w:val="20"/>
          <w:szCs w:val="20"/>
        </w:rPr>
        <w:t>o</w:t>
      </w:r>
      <w:r w:rsidRPr="0040316C">
        <w:rPr>
          <w:sz w:val="20"/>
          <w:szCs w:val="20"/>
        </w:rPr>
        <w:t>b</w:t>
      </w:r>
      <w:r w:rsidR="00B567AE" w:rsidRPr="0040316C">
        <w:rPr>
          <w:sz w:val="20"/>
          <w:szCs w:val="20"/>
        </w:rPr>
        <w:t>y</w:t>
      </w:r>
    </w:p>
    <w:p w14:paraId="4D73412E" w14:textId="148745BD" w:rsidR="00A605ED" w:rsidRPr="0040316C" w:rsidRDefault="00A605ED" w:rsidP="00220857">
      <w:pPr>
        <w:spacing w:after="0" w:line="312" w:lineRule="auto"/>
        <w:jc w:val="both"/>
        <w:rPr>
          <w:sz w:val="20"/>
          <w:szCs w:val="20"/>
        </w:rPr>
      </w:pPr>
      <w:r w:rsidRPr="0040316C">
        <w:rPr>
          <w:b/>
          <w:sz w:val="20"/>
          <w:szCs w:val="20"/>
        </w:rPr>
        <w:t>ECB</w:t>
      </w:r>
      <w:r w:rsidRPr="0040316C">
        <w:rPr>
          <w:sz w:val="20"/>
          <w:szCs w:val="20"/>
        </w:rPr>
        <w:t xml:space="preserve"> – Európska centrálna banka</w:t>
      </w:r>
    </w:p>
    <w:p w14:paraId="248B2B5E" w14:textId="4073BB34" w:rsidR="004E5213" w:rsidRPr="0040316C" w:rsidRDefault="004E5213" w:rsidP="00220857">
      <w:pPr>
        <w:spacing w:after="0" w:line="312" w:lineRule="auto"/>
        <w:jc w:val="both"/>
        <w:rPr>
          <w:b/>
          <w:sz w:val="20"/>
          <w:szCs w:val="20"/>
        </w:rPr>
      </w:pPr>
      <w:r w:rsidRPr="0040316C">
        <w:rPr>
          <w:b/>
          <w:sz w:val="20"/>
          <w:szCs w:val="20"/>
        </w:rPr>
        <w:t>eDZ</w:t>
      </w:r>
      <w:r w:rsidRPr="0040316C">
        <w:rPr>
          <w:sz w:val="20"/>
          <w:szCs w:val="20"/>
        </w:rPr>
        <w:t xml:space="preserve"> – elektronická diaľničná známka</w:t>
      </w:r>
    </w:p>
    <w:p w14:paraId="797323AB" w14:textId="0CA5067C" w:rsidR="00352012" w:rsidRPr="0040316C" w:rsidRDefault="00352012" w:rsidP="00220857">
      <w:pPr>
        <w:spacing w:after="0" w:line="312" w:lineRule="auto"/>
        <w:jc w:val="both"/>
        <w:rPr>
          <w:sz w:val="20"/>
          <w:szCs w:val="20"/>
        </w:rPr>
      </w:pPr>
      <w:r w:rsidRPr="0040316C">
        <w:rPr>
          <w:b/>
          <w:sz w:val="20"/>
          <w:szCs w:val="20"/>
        </w:rPr>
        <w:t>EFSF</w:t>
      </w:r>
      <w:r w:rsidRPr="0040316C">
        <w:rPr>
          <w:sz w:val="20"/>
          <w:szCs w:val="20"/>
        </w:rPr>
        <w:t xml:space="preserve"> – Európsky nástroj finančnej stability</w:t>
      </w:r>
    </w:p>
    <w:p w14:paraId="0A8CE864" w14:textId="1664E59C" w:rsidR="00786FDD" w:rsidRPr="0040316C" w:rsidRDefault="00786FDD" w:rsidP="00220857">
      <w:pPr>
        <w:spacing w:after="0" w:line="312" w:lineRule="auto"/>
        <w:jc w:val="both"/>
        <w:rPr>
          <w:sz w:val="20"/>
          <w:szCs w:val="20"/>
        </w:rPr>
      </w:pPr>
      <w:r w:rsidRPr="0040316C">
        <w:rPr>
          <w:b/>
          <w:sz w:val="20"/>
          <w:szCs w:val="20"/>
        </w:rPr>
        <w:t xml:space="preserve">EK – </w:t>
      </w:r>
      <w:r w:rsidRPr="0040316C">
        <w:rPr>
          <w:sz w:val="20"/>
          <w:szCs w:val="20"/>
        </w:rPr>
        <w:t>Európska komisia</w:t>
      </w:r>
    </w:p>
    <w:p w14:paraId="512C59F2" w14:textId="77777777" w:rsidR="00352012" w:rsidRPr="0040316C" w:rsidRDefault="00352012" w:rsidP="00220857">
      <w:pPr>
        <w:spacing w:after="0" w:line="312" w:lineRule="auto"/>
        <w:jc w:val="both"/>
        <w:rPr>
          <w:sz w:val="20"/>
          <w:szCs w:val="20"/>
        </w:rPr>
      </w:pPr>
      <w:r w:rsidRPr="0040316C">
        <w:rPr>
          <w:b/>
          <w:sz w:val="20"/>
          <w:szCs w:val="20"/>
        </w:rPr>
        <w:t>ESM</w:t>
      </w:r>
      <w:r w:rsidRPr="0040316C">
        <w:rPr>
          <w:sz w:val="20"/>
          <w:szCs w:val="20"/>
        </w:rPr>
        <w:t xml:space="preserve"> – Európsky mechanizmus pre stabilitu</w:t>
      </w:r>
      <w:r w:rsidRPr="0040316C">
        <w:rPr>
          <w:b/>
          <w:sz w:val="20"/>
          <w:szCs w:val="20"/>
        </w:rPr>
        <w:t xml:space="preserve"> </w:t>
      </w:r>
    </w:p>
    <w:p w14:paraId="2D837873" w14:textId="37F7231E" w:rsidR="00352012" w:rsidRPr="0040316C" w:rsidRDefault="000C2F69" w:rsidP="00220857">
      <w:pPr>
        <w:spacing w:after="0" w:line="312" w:lineRule="auto"/>
        <w:jc w:val="both"/>
        <w:rPr>
          <w:sz w:val="20"/>
          <w:szCs w:val="20"/>
        </w:rPr>
      </w:pPr>
      <w:r w:rsidRPr="0040316C">
        <w:rPr>
          <w:b/>
          <w:sz w:val="20"/>
          <w:szCs w:val="20"/>
        </w:rPr>
        <w:t>ESA</w:t>
      </w:r>
      <w:r w:rsidR="00C61F74">
        <w:rPr>
          <w:b/>
          <w:sz w:val="20"/>
          <w:szCs w:val="20"/>
        </w:rPr>
        <w:t> </w:t>
      </w:r>
      <w:r w:rsidRPr="0040316C">
        <w:rPr>
          <w:b/>
          <w:sz w:val="20"/>
          <w:szCs w:val="20"/>
        </w:rPr>
        <w:t>2010</w:t>
      </w:r>
      <w:r w:rsidR="00C61F74">
        <w:rPr>
          <w:sz w:val="20"/>
          <w:szCs w:val="20"/>
        </w:rPr>
        <w:t xml:space="preserve"> </w:t>
      </w:r>
      <w:r w:rsidR="00352012" w:rsidRPr="0040316C">
        <w:rPr>
          <w:b/>
          <w:sz w:val="20"/>
          <w:szCs w:val="20"/>
        </w:rPr>
        <w:t xml:space="preserve">- </w:t>
      </w:r>
      <w:r w:rsidR="00352012" w:rsidRPr="0040316C">
        <w:rPr>
          <w:sz w:val="20"/>
          <w:szCs w:val="20"/>
        </w:rPr>
        <w:t>Európsky systém národných a regionálnych účtov 2010</w:t>
      </w:r>
    </w:p>
    <w:p w14:paraId="6C1CBF77" w14:textId="70CCCB4F" w:rsidR="00C76D8F" w:rsidRPr="0040316C" w:rsidRDefault="00C76D8F" w:rsidP="00220857">
      <w:pPr>
        <w:spacing w:after="0" w:line="312" w:lineRule="auto"/>
        <w:jc w:val="both"/>
        <w:rPr>
          <w:b/>
          <w:sz w:val="20"/>
          <w:szCs w:val="20"/>
        </w:rPr>
      </w:pPr>
      <w:r w:rsidRPr="0040316C">
        <w:rPr>
          <w:b/>
          <w:sz w:val="20"/>
          <w:szCs w:val="20"/>
        </w:rPr>
        <w:t xml:space="preserve">EŠIF </w:t>
      </w:r>
      <w:r w:rsidR="00C43846" w:rsidRPr="0040316C">
        <w:rPr>
          <w:b/>
          <w:sz w:val="20"/>
          <w:szCs w:val="20"/>
        </w:rPr>
        <w:t>–</w:t>
      </w:r>
      <w:r w:rsidRPr="0040316C">
        <w:rPr>
          <w:b/>
          <w:sz w:val="20"/>
          <w:szCs w:val="20"/>
        </w:rPr>
        <w:t xml:space="preserve"> </w:t>
      </w:r>
      <w:r w:rsidR="00C43846" w:rsidRPr="0040316C">
        <w:rPr>
          <w:sz w:val="20"/>
          <w:szCs w:val="20"/>
        </w:rPr>
        <w:t>Európske</w:t>
      </w:r>
      <w:r w:rsidR="00135B55" w:rsidRPr="0040316C">
        <w:rPr>
          <w:sz w:val="20"/>
          <w:szCs w:val="20"/>
        </w:rPr>
        <w:t xml:space="preserve"> štrukturálne a investičné fondy</w:t>
      </w:r>
    </w:p>
    <w:p w14:paraId="27B09DF5" w14:textId="64367FE9" w:rsidR="00352012" w:rsidRPr="0040316C" w:rsidRDefault="00352012" w:rsidP="00220857">
      <w:pPr>
        <w:spacing w:after="0" w:line="312" w:lineRule="auto"/>
        <w:jc w:val="both"/>
        <w:rPr>
          <w:sz w:val="20"/>
          <w:szCs w:val="20"/>
        </w:rPr>
      </w:pPr>
      <w:r w:rsidRPr="0040316C">
        <w:rPr>
          <w:b/>
          <w:sz w:val="20"/>
          <w:szCs w:val="20"/>
        </w:rPr>
        <w:t>EUROSTAT</w:t>
      </w:r>
      <w:r w:rsidRPr="0040316C">
        <w:rPr>
          <w:sz w:val="20"/>
          <w:szCs w:val="20"/>
        </w:rPr>
        <w:t xml:space="preserve"> – Štatistický úrad Európskeho spoločenstva</w:t>
      </w:r>
    </w:p>
    <w:p w14:paraId="37C957BB" w14:textId="3C72F294" w:rsidR="00786FDD" w:rsidRPr="0040316C" w:rsidRDefault="00786FDD" w:rsidP="00220857">
      <w:pPr>
        <w:spacing w:after="0" w:line="312" w:lineRule="auto"/>
        <w:jc w:val="both"/>
        <w:rPr>
          <w:sz w:val="20"/>
          <w:szCs w:val="20"/>
        </w:rPr>
      </w:pPr>
      <w:r w:rsidRPr="0040316C">
        <w:rPr>
          <w:b/>
          <w:sz w:val="20"/>
          <w:szCs w:val="20"/>
        </w:rPr>
        <w:t xml:space="preserve">EÚ – </w:t>
      </w:r>
      <w:r w:rsidRPr="0040316C">
        <w:rPr>
          <w:sz w:val="20"/>
          <w:szCs w:val="20"/>
        </w:rPr>
        <w:t>Európska únia</w:t>
      </w:r>
    </w:p>
    <w:p w14:paraId="20D0E59E" w14:textId="60499FB7" w:rsidR="004E5213" w:rsidRPr="0040316C" w:rsidRDefault="004E5213" w:rsidP="00220857">
      <w:pPr>
        <w:spacing w:after="0" w:line="312" w:lineRule="auto"/>
        <w:jc w:val="both"/>
        <w:rPr>
          <w:sz w:val="20"/>
          <w:szCs w:val="20"/>
        </w:rPr>
      </w:pPr>
      <w:r w:rsidRPr="0040316C">
        <w:rPr>
          <w:b/>
          <w:sz w:val="20"/>
          <w:szCs w:val="20"/>
        </w:rPr>
        <w:t>ETC</w:t>
      </w:r>
      <w:r w:rsidRPr="0040316C">
        <w:rPr>
          <w:sz w:val="20"/>
          <w:szCs w:val="20"/>
        </w:rPr>
        <w:t xml:space="preserve"> – elektronický výber mýta</w:t>
      </w:r>
    </w:p>
    <w:p w14:paraId="0EF10A5E" w14:textId="63CD3EB8" w:rsidR="00661C75" w:rsidRPr="0040316C" w:rsidRDefault="00661C75" w:rsidP="00220857">
      <w:pPr>
        <w:spacing w:after="0" w:line="312" w:lineRule="auto"/>
        <w:jc w:val="both"/>
        <w:rPr>
          <w:sz w:val="20"/>
          <w:szCs w:val="20"/>
        </w:rPr>
      </w:pPr>
      <w:r w:rsidRPr="0040316C">
        <w:rPr>
          <w:b/>
          <w:sz w:val="20"/>
          <w:szCs w:val="20"/>
        </w:rPr>
        <w:t>ETCS -</w:t>
      </w:r>
      <w:r w:rsidR="00F45414" w:rsidRPr="0040316C">
        <w:rPr>
          <w:sz w:val="20"/>
          <w:szCs w:val="20"/>
        </w:rPr>
        <w:t xml:space="preserve"> </w:t>
      </w:r>
      <w:r w:rsidRPr="0040316C">
        <w:rPr>
          <w:sz w:val="20"/>
          <w:szCs w:val="20"/>
        </w:rPr>
        <w:t>European Train Control System</w:t>
      </w:r>
    </w:p>
    <w:p w14:paraId="53EC0AA9" w14:textId="111D4A41" w:rsidR="0045126E" w:rsidRPr="0040316C" w:rsidRDefault="0045126E" w:rsidP="00220857">
      <w:pPr>
        <w:spacing w:after="0" w:line="312" w:lineRule="auto"/>
        <w:jc w:val="both"/>
        <w:rPr>
          <w:b/>
          <w:sz w:val="20"/>
          <w:szCs w:val="20"/>
        </w:rPr>
      </w:pPr>
      <w:r w:rsidRPr="0040316C">
        <w:rPr>
          <w:b/>
          <w:sz w:val="20"/>
          <w:szCs w:val="20"/>
        </w:rPr>
        <w:t xml:space="preserve">Eximbanka SR – </w:t>
      </w:r>
      <w:r w:rsidRPr="0040316C">
        <w:rPr>
          <w:sz w:val="20"/>
          <w:szCs w:val="20"/>
        </w:rPr>
        <w:t>Exportno-importná banka SR</w:t>
      </w:r>
    </w:p>
    <w:p w14:paraId="3DA8931A" w14:textId="77777777" w:rsidR="00352012" w:rsidRPr="0040316C" w:rsidRDefault="00352012" w:rsidP="00220857">
      <w:pPr>
        <w:spacing w:after="0" w:line="312" w:lineRule="auto"/>
        <w:jc w:val="both"/>
        <w:rPr>
          <w:sz w:val="20"/>
          <w:szCs w:val="20"/>
        </w:rPr>
      </w:pPr>
      <w:r w:rsidRPr="0040316C">
        <w:rPr>
          <w:b/>
          <w:sz w:val="20"/>
          <w:szCs w:val="20"/>
        </w:rPr>
        <w:t>FNM SR</w:t>
      </w:r>
      <w:r w:rsidRPr="0040316C">
        <w:rPr>
          <w:sz w:val="20"/>
          <w:szCs w:val="20"/>
        </w:rPr>
        <w:t xml:space="preserve"> – Fond národného majetku Slovenskej republiky</w:t>
      </w:r>
    </w:p>
    <w:p w14:paraId="072010C9" w14:textId="56C54E04" w:rsidR="00352012" w:rsidRPr="0040316C" w:rsidRDefault="00352012" w:rsidP="00220857">
      <w:pPr>
        <w:spacing w:after="0" w:line="312" w:lineRule="auto"/>
        <w:jc w:val="both"/>
        <w:rPr>
          <w:sz w:val="20"/>
          <w:szCs w:val="20"/>
        </w:rPr>
      </w:pPr>
      <w:r w:rsidRPr="0040316C">
        <w:rPr>
          <w:b/>
          <w:sz w:val="20"/>
          <w:szCs w:val="20"/>
        </w:rPr>
        <w:t>GNI</w:t>
      </w:r>
      <w:r w:rsidR="00C61F74">
        <w:rPr>
          <w:sz w:val="20"/>
          <w:szCs w:val="20"/>
        </w:rPr>
        <w:t xml:space="preserve"> – h</w:t>
      </w:r>
      <w:r w:rsidRPr="0040316C">
        <w:rPr>
          <w:sz w:val="20"/>
          <w:szCs w:val="20"/>
        </w:rPr>
        <w:t>rubý národný príjem</w:t>
      </w:r>
    </w:p>
    <w:p w14:paraId="7430954E" w14:textId="013962E1" w:rsidR="00352012" w:rsidRPr="0040316C" w:rsidRDefault="00352012" w:rsidP="00220857">
      <w:pPr>
        <w:spacing w:after="0" w:line="312" w:lineRule="auto"/>
        <w:jc w:val="both"/>
        <w:rPr>
          <w:sz w:val="20"/>
          <w:szCs w:val="20"/>
        </w:rPr>
      </w:pPr>
      <w:r w:rsidRPr="0040316C">
        <w:rPr>
          <w:b/>
          <w:sz w:val="20"/>
          <w:szCs w:val="20"/>
        </w:rPr>
        <w:t>HDP</w:t>
      </w:r>
      <w:r w:rsidRPr="0040316C">
        <w:rPr>
          <w:sz w:val="20"/>
          <w:szCs w:val="20"/>
        </w:rPr>
        <w:t xml:space="preserve"> – hrubý domáci produkt</w:t>
      </w:r>
    </w:p>
    <w:p w14:paraId="3DBBBDEF" w14:textId="77777777" w:rsidR="00A605ED" w:rsidRPr="0040316C" w:rsidRDefault="00A605ED" w:rsidP="00A605ED">
      <w:pPr>
        <w:spacing w:after="0" w:line="312" w:lineRule="auto"/>
        <w:jc w:val="both"/>
        <w:rPr>
          <w:sz w:val="20"/>
          <w:szCs w:val="20"/>
        </w:rPr>
      </w:pPr>
      <w:r w:rsidRPr="0040316C">
        <w:rPr>
          <w:b/>
          <w:sz w:val="20"/>
          <w:szCs w:val="20"/>
        </w:rPr>
        <w:t>IFP</w:t>
      </w:r>
      <w:r w:rsidRPr="0040316C">
        <w:rPr>
          <w:sz w:val="20"/>
          <w:szCs w:val="20"/>
        </w:rPr>
        <w:t xml:space="preserve"> – Inštitút finančnej politiky</w:t>
      </w:r>
    </w:p>
    <w:p w14:paraId="667251A3" w14:textId="033E2D8C" w:rsidR="00A605ED" w:rsidRPr="0040316C" w:rsidRDefault="00A605ED" w:rsidP="00A605ED">
      <w:pPr>
        <w:spacing w:after="0" w:line="312" w:lineRule="auto"/>
        <w:jc w:val="both"/>
        <w:rPr>
          <w:sz w:val="20"/>
          <w:szCs w:val="20"/>
        </w:rPr>
      </w:pPr>
      <w:r w:rsidRPr="0040316C">
        <w:rPr>
          <w:b/>
          <w:sz w:val="20"/>
          <w:szCs w:val="20"/>
        </w:rPr>
        <w:t>IBRD</w:t>
      </w:r>
      <w:r w:rsidRPr="0040316C">
        <w:rPr>
          <w:sz w:val="20"/>
          <w:szCs w:val="20"/>
        </w:rPr>
        <w:t xml:space="preserve"> – Medzinárodná banka pre obnovu a</w:t>
      </w:r>
      <w:r w:rsidR="00F45414" w:rsidRPr="0040316C">
        <w:rPr>
          <w:sz w:val="20"/>
          <w:szCs w:val="20"/>
        </w:rPr>
        <w:t> </w:t>
      </w:r>
      <w:r w:rsidRPr="0040316C">
        <w:rPr>
          <w:sz w:val="20"/>
          <w:szCs w:val="20"/>
        </w:rPr>
        <w:t>rozvoj</w:t>
      </w:r>
    </w:p>
    <w:p w14:paraId="06DCCA93" w14:textId="321EF850" w:rsidR="00352012" w:rsidRPr="0040316C" w:rsidRDefault="00352012" w:rsidP="00220857">
      <w:pPr>
        <w:spacing w:after="0" w:line="312" w:lineRule="auto"/>
        <w:rPr>
          <w:sz w:val="20"/>
          <w:szCs w:val="20"/>
        </w:rPr>
      </w:pPr>
      <w:r w:rsidRPr="0040316C">
        <w:rPr>
          <w:b/>
          <w:sz w:val="20"/>
          <w:szCs w:val="20"/>
        </w:rPr>
        <w:t>IPSAS</w:t>
      </w:r>
      <w:r w:rsidRPr="0040316C">
        <w:rPr>
          <w:sz w:val="20"/>
          <w:szCs w:val="20"/>
        </w:rPr>
        <w:t xml:space="preserve"> </w:t>
      </w:r>
      <w:r w:rsidRPr="0040316C">
        <w:rPr>
          <w:b/>
          <w:sz w:val="20"/>
          <w:szCs w:val="20"/>
        </w:rPr>
        <w:t>-</w:t>
      </w:r>
      <w:r w:rsidRPr="0040316C">
        <w:rPr>
          <w:sz w:val="20"/>
          <w:szCs w:val="20"/>
        </w:rPr>
        <w:t xml:space="preserve"> Medzinárodné účtovné štandardy pre</w:t>
      </w:r>
      <w:r w:rsidR="00F45414" w:rsidRPr="0040316C">
        <w:rPr>
          <w:sz w:val="20"/>
          <w:szCs w:val="20"/>
        </w:rPr>
        <w:t> </w:t>
      </w:r>
      <w:r w:rsidRPr="0040316C">
        <w:rPr>
          <w:sz w:val="20"/>
          <w:szCs w:val="20"/>
        </w:rPr>
        <w:t>verejný sektor</w:t>
      </w:r>
    </w:p>
    <w:p w14:paraId="6928E3F6" w14:textId="63C63CC9" w:rsidR="005368AD" w:rsidRPr="0040316C" w:rsidRDefault="005368AD" w:rsidP="00220857">
      <w:pPr>
        <w:spacing w:after="0" w:line="312" w:lineRule="auto"/>
        <w:rPr>
          <w:sz w:val="20"/>
          <w:szCs w:val="20"/>
        </w:rPr>
      </w:pPr>
      <w:r w:rsidRPr="0040316C">
        <w:rPr>
          <w:b/>
          <w:sz w:val="20"/>
          <w:szCs w:val="20"/>
        </w:rPr>
        <w:t>JAVYS</w:t>
      </w:r>
      <w:r w:rsidRPr="0040316C">
        <w:rPr>
          <w:sz w:val="20"/>
          <w:szCs w:val="20"/>
        </w:rPr>
        <w:t xml:space="preserve"> – Jadrová a vyraďovacia spoločnosť, a. s.</w:t>
      </w:r>
    </w:p>
    <w:p w14:paraId="5F5418FB" w14:textId="27152735" w:rsidR="00352012" w:rsidRPr="0040316C" w:rsidRDefault="00352012" w:rsidP="00220857">
      <w:pPr>
        <w:spacing w:after="0" w:line="312" w:lineRule="auto"/>
        <w:jc w:val="both"/>
        <w:rPr>
          <w:sz w:val="20"/>
          <w:szCs w:val="20"/>
        </w:rPr>
      </w:pPr>
      <w:r w:rsidRPr="0040316C">
        <w:rPr>
          <w:b/>
          <w:sz w:val="20"/>
          <w:szCs w:val="20"/>
        </w:rPr>
        <w:t>KÚZ</w:t>
      </w:r>
      <w:r w:rsidRPr="0040316C">
        <w:rPr>
          <w:sz w:val="20"/>
          <w:szCs w:val="20"/>
        </w:rPr>
        <w:t xml:space="preserve"> – konsolidovaná účtovná závierka</w:t>
      </w:r>
    </w:p>
    <w:p w14:paraId="6DF763CC" w14:textId="065257F0" w:rsidR="00A605ED" w:rsidRPr="0040316C" w:rsidRDefault="00A605ED" w:rsidP="00A605ED">
      <w:pPr>
        <w:spacing w:after="0" w:line="312" w:lineRule="auto"/>
        <w:jc w:val="both"/>
        <w:rPr>
          <w:sz w:val="20"/>
          <w:szCs w:val="20"/>
        </w:rPr>
      </w:pPr>
      <w:r w:rsidRPr="0040316C">
        <w:rPr>
          <w:b/>
          <w:sz w:val="20"/>
          <w:szCs w:val="20"/>
        </w:rPr>
        <w:t>MAS</w:t>
      </w:r>
      <w:r w:rsidR="00C61F74">
        <w:rPr>
          <w:sz w:val="20"/>
          <w:szCs w:val="20"/>
        </w:rPr>
        <w:t xml:space="preserve"> – m</w:t>
      </w:r>
      <w:r w:rsidRPr="0040316C">
        <w:rPr>
          <w:sz w:val="20"/>
          <w:szCs w:val="20"/>
        </w:rPr>
        <w:t>iestne akčné skupiny</w:t>
      </w:r>
    </w:p>
    <w:p w14:paraId="384F3C23" w14:textId="2D830E5C" w:rsidR="00352012" w:rsidRPr="0040316C" w:rsidRDefault="00352012" w:rsidP="00220857">
      <w:pPr>
        <w:spacing w:after="0" w:line="312" w:lineRule="auto"/>
        <w:jc w:val="both"/>
        <w:rPr>
          <w:sz w:val="20"/>
          <w:szCs w:val="20"/>
        </w:rPr>
      </w:pPr>
      <w:r w:rsidRPr="0040316C">
        <w:rPr>
          <w:b/>
          <w:sz w:val="20"/>
          <w:szCs w:val="20"/>
        </w:rPr>
        <w:t>MF</w:t>
      </w:r>
      <w:r w:rsidRPr="0040316C">
        <w:rPr>
          <w:sz w:val="20"/>
          <w:szCs w:val="20"/>
        </w:rPr>
        <w:t> </w:t>
      </w:r>
      <w:r w:rsidRPr="0040316C">
        <w:rPr>
          <w:b/>
          <w:sz w:val="20"/>
          <w:szCs w:val="20"/>
        </w:rPr>
        <w:t>SR</w:t>
      </w:r>
      <w:r w:rsidRPr="0040316C">
        <w:rPr>
          <w:sz w:val="20"/>
          <w:szCs w:val="20"/>
        </w:rPr>
        <w:t xml:space="preserve"> – Ministerstvo financií Slovenskej republiky</w:t>
      </w:r>
    </w:p>
    <w:p w14:paraId="17D11738" w14:textId="77777777" w:rsidR="00A605ED" w:rsidRPr="0040316C" w:rsidRDefault="00A605ED" w:rsidP="00A605ED">
      <w:pPr>
        <w:spacing w:after="0" w:line="312" w:lineRule="auto"/>
        <w:jc w:val="both"/>
        <w:rPr>
          <w:sz w:val="20"/>
          <w:szCs w:val="20"/>
        </w:rPr>
      </w:pPr>
      <w:r w:rsidRPr="0040316C">
        <w:rPr>
          <w:b/>
          <w:sz w:val="20"/>
          <w:szCs w:val="20"/>
        </w:rPr>
        <w:t>MIRRI</w:t>
      </w:r>
      <w:r w:rsidRPr="0040316C">
        <w:rPr>
          <w:sz w:val="20"/>
          <w:szCs w:val="20"/>
        </w:rPr>
        <w:t xml:space="preserve"> – Ministerstvo investícií, regionálneho rozvoja a informatizácie SR</w:t>
      </w:r>
    </w:p>
    <w:p w14:paraId="3609BFB1" w14:textId="33B1156A" w:rsidR="00661C75" w:rsidRPr="0040316C" w:rsidRDefault="00661C75" w:rsidP="00220857">
      <w:pPr>
        <w:spacing w:after="0" w:line="312" w:lineRule="auto"/>
        <w:jc w:val="both"/>
        <w:rPr>
          <w:sz w:val="20"/>
          <w:szCs w:val="20"/>
        </w:rPr>
      </w:pPr>
      <w:r w:rsidRPr="0040316C">
        <w:rPr>
          <w:b/>
          <w:sz w:val="20"/>
          <w:szCs w:val="20"/>
        </w:rPr>
        <w:t xml:space="preserve">MK SR </w:t>
      </w:r>
      <w:r w:rsidRPr="0040316C">
        <w:rPr>
          <w:sz w:val="20"/>
          <w:szCs w:val="20"/>
        </w:rPr>
        <w:t>– Ministerstvo kultúry Slovenskej republiky</w:t>
      </w:r>
    </w:p>
    <w:p w14:paraId="52C2D438" w14:textId="25CCA764" w:rsidR="00352012" w:rsidRDefault="00352012" w:rsidP="00220857">
      <w:pPr>
        <w:spacing w:after="0" w:line="312" w:lineRule="auto"/>
        <w:jc w:val="both"/>
        <w:rPr>
          <w:sz w:val="20"/>
          <w:szCs w:val="20"/>
        </w:rPr>
      </w:pPr>
      <w:r w:rsidRPr="0040316C">
        <w:rPr>
          <w:b/>
          <w:sz w:val="20"/>
          <w:szCs w:val="20"/>
        </w:rPr>
        <w:t>MMF</w:t>
      </w:r>
      <w:r w:rsidRPr="0040316C">
        <w:rPr>
          <w:sz w:val="20"/>
          <w:szCs w:val="20"/>
        </w:rPr>
        <w:t xml:space="preserve"> – Medzinárodný menový fond</w:t>
      </w:r>
    </w:p>
    <w:p w14:paraId="373E77CD" w14:textId="488E5006" w:rsidR="00C84D36" w:rsidRPr="0040316C" w:rsidRDefault="00C84D36" w:rsidP="00220857">
      <w:pPr>
        <w:spacing w:after="0" w:line="312" w:lineRule="auto"/>
        <w:jc w:val="both"/>
        <w:rPr>
          <w:sz w:val="20"/>
          <w:szCs w:val="20"/>
        </w:rPr>
      </w:pPr>
      <w:r w:rsidRPr="00C84D36">
        <w:rPr>
          <w:b/>
          <w:sz w:val="20"/>
          <w:szCs w:val="20"/>
        </w:rPr>
        <w:t>MS SR</w:t>
      </w:r>
      <w:r>
        <w:rPr>
          <w:sz w:val="20"/>
          <w:szCs w:val="20"/>
        </w:rPr>
        <w:t xml:space="preserve"> – Ministerstvo spravodlivosti Slovenskej republiky</w:t>
      </w:r>
    </w:p>
    <w:p w14:paraId="18EE23DE" w14:textId="068EA378" w:rsidR="00A605ED" w:rsidRDefault="00A605ED" w:rsidP="00A605ED">
      <w:pPr>
        <w:spacing w:after="0" w:line="312" w:lineRule="auto"/>
        <w:jc w:val="both"/>
        <w:rPr>
          <w:sz w:val="20"/>
          <w:szCs w:val="20"/>
        </w:rPr>
      </w:pPr>
      <w:r w:rsidRPr="0040316C">
        <w:rPr>
          <w:b/>
          <w:sz w:val="20"/>
          <w:szCs w:val="20"/>
        </w:rPr>
        <w:t>NBS</w:t>
      </w:r>
      <w:r w:rsidRPr="0040316C">
        <w:rPr>
          <w:sz w:val="20"/>
          <w:szCs w:val="20"/>
        </w:rPr>
        <w:t xml:space="preserve"> – Národná banka Slovenska</w:t>
      </w:r>
    </w:p>
    <w:p w14:paraId="2921DEA7" w14:textId="68A0963C" w:rsidR="00C61F74" w:rsidRDefault="00C61F74" w:rsidP="00A605ED">
      <w:pPr>
        <w:spacing w:after="0" w:line="312" w:lineRule="auto"/>
        <w:jc w:val="both"/>
        <w:rPr>
          <w:sz w:val="20"/>
          <w:szCs w:val="20"/>
        </w:rPr>
      </w:pPr>
      <w:r w:rsidRPr="00C61F74">
        <w:rPr>
          <w:b/>
          <w:sz w:val="20"/>
          <w:szCs w:val="20"/>
        </w:rPr>
        <w:t>NDF I</w:t>
      </w:r>
      <w:r>
        <w:rPr>
          <w:sz w:val="20"/>
          <w:szCs w:val="20"/>
        </w:rPr>
        <w:t xml:space="preserve"> – National Development Fund I., s. r. o.</w:t>
      </w:r>
    </w:p>
    <w:p w14:paraId="3042021D" w14:textId="3F324412" w:rsidR="00C61F74" w:rsidRPr="0040316C" w:rsidRDefault="00C61F74" w:rsidP="00A605ED">
      <w:pPr>
        <w:spacing w:after="0" w:line="312" w:lineRule="auto"/>
        <w:jc w:val="both"/>
        <w:rPr>
          <w:sz w:val="20"/>
          <w:szCs w:val="20"/>
        </w:rPr>
      </w:pPr>
      <w:r w:rsidRPr="00C61F74">
        <w:rPr>
          <w:b/>
          <w:sz w:val="20"/>
          <w:szCs w:val="20"/>
        </w:rPr>
        <w:t>NDF II</w:t>
      </w:r>
      <w:r>
        <w:rPr>
          <w:sz w:val="20"/>
          <w:szCs w:val="20"/>
        </w:rPr>
        <w:t xml:space="preserve"> - National Development Fund II., a. s.</w:t>
      </w:r>
    </w:p>
    <w:p w14:paraId="02E2B533" w14:textId="77777777" w:rsidR="00A605ED" w:rsidRPr="0040316C" w:rsidRDefault="00A605ED" w:rsidP="00A605ED">
      <w:pPr>
        <w:spacing w:after="0" w:line="312" w:lineRule="auto"/>
        <w:jc w:val="both"/>
        <w:rPr>
          <w:sz w:val="20"/>
          <w:szCs w:val="20"/>
        </w:rPr>
      </w:pPr>
      <w:r w:rsidRPr="0040316C">
        <w:rPr>
          <w:b/>
          <w:sz w:val="20"/>
          <w:szCs w:val="20"/>
        </w:rPr>
        <w:t>NO</w:t>
      </w:r>
      <w:r w:rsidRPr="0040316C">
        <w:rPr>
          <w:sz w:val="20"/>
          <w:szCs w:val="20"/>
        </w:rPr>
        <w:t xml:space="preserve"> – neziskové organizácie</w:t>
      </w:r>
    </w:p>
    <w:p w14:paraId="17544974" w14:textId="24CF7489" w:rsidR="00352012" w:rsidRPr="0040316C" w:rsidRDefault="00352012" w:rsidP="00220857">
      <w:pPr>
        <w:spacing w:after="0" w:line="312" w:lineRule="auto"/>
        <w:jc w:val="both"/>
        <w:rPr>
          <w:sz w:val="20"/>
          <w:szCs w:val="20"/>
        </w:rPr>
      </w:pPr>
      <w:r w:rsidRPr="0040316C">
        <w:rPr>
          <w:b/>
          <w:sz w:val="20"/>
          <w:szCs w:val="20"/>
        </w:rPr>
        <w:t>OECD</w:t>
      </w:r>
      <w:r w:rsidRPr="0040316C">
        <w:rPr>
          <w:sz w:val="20"/>
          <w:szCs w:val="20"/>
        </w:rPr>
        <w:t xml:space="preserve"> – Organizácia pre</w:t>
      </w:r>
      <w:r w:rsidR="00F45414" w:rsidRPr="0040316C">
        <w:rPr>
          <w:sz w:val="20"/>
          <w:szCs w:val="20"/>
        </w:rPr>
        <w:t> </w:t>
      </w:r>
      <w:r w:rsidRPr="0040316C">
        <w:rPr>
          <w:sz w:val="20"/>
          <w:szCs w:val="20"/>
        </w:rPr>
        <w:t>hospodársku spoluprácu a</w:t>
      </w:r>
      <w:r w:rsidR="00C2563F" w:rsidRPr="0040316C">
        <w:rPr>
          <w:sz w:val="20"/>
          <w:szCs w:val="20"/>
        </w:rPr>
        <w:t> </w:t>
      </w:r>
      <w:r w:rsidRPr="0040316C">
        <w:rPr>
          <w:sz w:val="20"/>
          <w:szCs w:val="20"/>
        </w:rPr>
        <w:t>rozvoj</w:t>
      </w:r>
    </w:p>
    <w:p w14:paraId="71BD9609" w14:textId="2C55128A" w:rsidR="00C2563F" w:rsidRPr="0040316C" w:rsidRDefault="00C2563F" w:rsidP="00220857">
      <w:pPr>
        <w:spacing w:after="0" w:line="312" w:lineRule="auto"/>
        <w:jc w:val="both"/>
        <w:rPr>
          <w:sz w:val="20"/>
          <w:szCs w:val="20"/>
        </w:rPr>
      </w:pPr>
      <w:r w:rsidRPr="0040316C">
        <w:rPr>
          <w:b/>
          <w:sz w:val="20"/>
          <w:szCs w:val="20"/>
        </w:rPr>
        <w:t>OP</w:t>
      </w:r>
      <w:r w:rsidRPr="0040316C">
        <w:rPr>
          <w:sz w:val="20"/>
          <w:szCs w:val="20"/>
        </w:rPr>
        <w:t xml:space="preserve"> – operačný program</w:t>
      </w:r>
    </w:p>
    <w:p w14:paraId="1792AA34" w14:textId="77777777" w:rsidR="00352012" w:rsidRPr="0040316C" w:rsidRDefault="00352012" w:rsidP="00220857">
      <w:pPr>
        <w:spacing w:after="0" w:line="312" w:lineRule="auto"/>
        <w:jc w:val="both"/>
        <w:rPr>
          <w:sz w:val="20"/>
          <w:szCs w:val="20"/>
        </w:rPr>
      </w:pPr>
      <w:r w:rsidRPr="0040316C">
        <w:rPr>
          <w:b/>
          <w:sz w:val="20"/>
          <w:szCs w:val="20"/>
        </w:rPr>
        <w:t>OS</w:t>
      </w:r>
      <w:r w:rsidRPr="0040316C">
        <w:rPr>
          <w:sz w:val="20"/>
          <w:szCs w:val="20"/>
        </w:rPr>
        <w:t xml:space="preserve"> – obchodné spoločnosti</w:t>
      </w:r>
    </w:p>
    <w:p w14:paraId="7098562B" w14:textId="77777777" w:rsidR="00352012" w:rsidRPr="0040316C" w:rsidRDefault="00352012" w:rsidP="00220857">
      <w:pPr>
        <w:spacing w:after="0" w:line="312" w:lineRule="auto"/>
        <w:jc w:val="both"/>
        <w:rPr>
          <w:sz w:val="20"/>
          <w:szCs w:val="20"/>
        </w:rPr>
      </w:pPr>
      <w:r w:rsidRPr="0040316C">
        <w:rPr>
          <w:b/>
          <w:sz w:val="20"/>
          <w:szCs w:val="20"/>
        </w:rPr>
        <w:t>OSN</w:t>
      </w:r>
      <w:r w:rsidRPr="0040316C">
        <w:rPr>
          <w:sz w:val="20"/>
          <w:szCs w:val="20"/>
        </w:rPr>
        <w:t xml:space="preserve"> – Organizácia spojených národov</w:t>
      </w:r>
    </w:p>
    <w:p w14:paraId="1F2EA230" w14:textId="77777777" w:rsidR="00352012" w:rsidRPr="0040316C" w:rsidRDefault="00352012" w:rsidP="00220857">
      <w:pPr>
        <w:spacing w:after="0" w:line="312" w:lineRule="auto"/>
        <w:jc w:val="both"/>
        <w:rPr>
          <w:sz w:val="20"/>
          <w:szCs w:val="20"/>
        </w:rPr>
      </w:pPr>
      <w:r w:rsidRPr="0040316C">
        <w:rPr>
          <w:b/>
          <w:sz w:val="20"/>
          <w:szCs w:val="20"/>
        </w:rPr>
        <w:t xml:space="preserve">PPP </w:t>
      </w:r>
      <w:r w:rsidRPr="0040316C">
        <w:rPr>
          <w:sz w:val="20"/>
          <w:szCs w:val="20"/>
        </w:rPr>
        <w:t>– projekt verejno-súkromného partnerstva</w:t>
      </w:r>
    </w:p>
    <w:p w14:paraId="5B10DAEF" w14:textId="77777777" w:rsidR="00352012" w:rsidRPr="0040316C" w:rsidRDefault="00352012" w:rsidP="00220857">
      <w:pPr>
        <w:spacing w:after="0" w:line="312" w:lineRule="auto"/>
        <w:jc w:val="both"/>
        <w:rPr>
          <w:sz w:val="20"/>
          <w:szCs w:val="20"/>
        </w:rPr>
      </w:pPr>
      <w:r w:rsidRPr="0040316C">
        <w:rPr>
          <w:b/>
          <w:sz w:val="20"/>
          <w:szCs w:val="20"/>
        </w:rPr>
        <w:t>PO</w:t>
      </w:r>
      <w:r w:rsidRPr="0040316C">
        <w:rPr>
          <w:sz w:val="20"/>
          <w:szCs w:val="20"/>
        </w:rPr>
        <w:t xml:space="preserve"> – príspevkové organizácie</w:t>
      </w:r>
    </w:p>
    <w:p w14:paraId="5C81A1C4" w14:textId="79E08D50" w:rsidR="00A605ED" w:rsidRPr="0040316C" w:rsidRDefault="00352012" w:rsidP="00220857">
      <w:pPr>
        <w:spacing w:after="0" w:line="312" w:lineRule="auto"/>
        <w:jc w:val="both"/>
        <w:rPr>
          <w:sz w:val="20"/>
          <w:szCs w:val="20"/>
        </w:rPr>
      </w:pPr>
      <w:r w:rsidRPr="0040316C">
        <w:rPr>
          <w:b/>
          <w:sz w:val="20"/>
          <w:szCs w:val="20"/>
        </w:rPr>
        <w:t>RO</w:t>
      </w:r>
      <w:r w:rsidRPr="0040316C">
        <w:rPr>
          <w:sz w:val="20"/>
          <w:szCs w:val="20"/>
        </w:rPr>
        <w:t xml:space="preserve"> – rozpočtové organizácie</w:t>
      </w:r>
    </w:p>
    <w:p w14:paraId="767B0808" w14:textId="77777777" w:rsidR="00A605ED" w:rsidRPr="0040316C" w:rsidRDefault="00A605ED" w:rsidP="00A605ED">
      <w:pPr>
        <w:spacing w:after="0" w:line="312" w:lineRule="auto"/>
        <w:jc w:val="both"/>
        <w:rPr>
          <w:sz w:val="20"/>
          <w:szCs w:val="20"/>
        </w:rPr>
      </w:pPr>
      <w:r w:rsidRPr="0040316C">
        <w:rPr>
          <w:b/>
          <w:sz w:val="20"/>
          <w:szCs w:val="20"/>
        </w:rPr>
        <w:t>SD</w:t>
      </w:r>
      <w:r w:rsidRPr="0040316C">
        <w:rPr>
          <w:sz w:val="20"/>
          <w:szCs w:val="20"/>
        </w:rPr>
        <w:t xml:space="preserve"> – spotrebné dane</w:t>
      </w:r>
    </w:p>
    <w:p w14:paraId="5061E7B5" w14:textId="1EEE76D8" w:rsidR="00BF11BC" w:rsidRPr="0040316C" w:rsidRDefault="00BF11BC" w:rsidP="00220857">
      <w:pPr>
        <w:spacing w:after="0" w:line="312" w:lineRule="auto"/>
        <w:jc w:val="both"/>
        <w:rPr>
          <w:sz w:val="20"/>
          <w:szCs w:val="20"/>
        </w:rPr>
      </w:pPr>
      <w:r w:rsidRPr="0040316C">
        <w:rPr>
          <w:b/>
          <w:sz w:val="20"/>
          <w:szCs w:val="20"/>
        </w:rPr>
        <w:t>SDR</w:t>
      </w:r>
      <w:r w:rsidR="009F6BD6" w:rsidRPr="0040316C">
        <w:rPr>
          <w:b/>
          <w:sz w:val="20"/>
          <w:szCs w:val="20"/>
        </w:rPr>
        <w:t xml:space="preserve"> – </w:t>
      </w:r>
      <w:r w:rsidR="009F6BD6" w:rsidRPr="0040316C">
        <w:rPr>
          <w:sz w:val="20"/>
          <w:szCs w:val="20"/>
        </w:rPr>
        <w:t>špeciálne práva čerpania</w:t>
      </w:r>
      <w:r w:rsidR="005E7ABD" w:rsidRPr="0040316C">
        <w:rPr>
          <w:sz w:val="20"/>
          <w:szCs w:val="20"/>
        </w:rPr>
        <w:t>, jednotná menová a</w:t>
      </w:r>
      <w:r w:rsidR="00627A8D" w:rsidRPr="0040316C">
        <w:rPr>
          <w:sz w:val="20"/>
          <w:szCs w:val="20"/>
        </w:rPr>
        <w:t> </w:t>
      </w:r>
      <w:r w:rsidR="005E7ABD" w:rsidRPr="0040316C">
        <w:rPr>
          <w:sz w:val="20"/>
          <w:szCs w:val="20"/>
        </w:rPr>
        <w:t>účtovná jednotka používaná v rámci Medzinárodného menového fondu</w:t>
      </w:r>
    </w:p>
    <w:p w14:paraId="342BCD3D" w14:textId="044EDB96" w:rsidR="00A605ED" w:rsidRPr="0040316C" w:rsidRDefault="00A605ED" w:rsidP="00A605ED">
      <w:pPr>
        <w:spacing w:after="0" w:line="312" w:lineRule="auto"/>
        <w:jc w:val="both"/>
        <w:rPr>
          <w:sz w:val="20"/>
          <w:szCs w:val="20"/>
        </w:rPr>
      </w:pPr>
      <w:r w:rsidRPr="0040316C">
        <w:rPr>
          <w:b/>
          <w:sz w:val="20"/>
          <w:szCs w:val="20"/>
        </w:rPr>
        <w:t>SE</w:t>
      </w:r>
      <w:r w:rsidRPr="0040316C">
        <w:rPr>
          <w:sz w:val="20"/>
          <w:szCs w:val="20"/>
        </w:rPr>
        <w:t xml:space="preserve"> – Slovenské ele</w:t>
      </w:r>
      <w:r w:rsidR="00F45414" w:rsidRPr="0040316C">
        <w:rPr>
          <w:sz w:val="20"/>
          <w:szCs w:val="20"/>
        </w:rPr>
        <w:t>ktrárne, </w:t>
      </w:r>
      <w:r w:rsidRPr="0040316C">
        <w:rPr>
          <w:sz w:val="20"/>
          <w:szCs w:val="20"/>
        </w:rPr>
        <w:t>a.</w:t>
      </w:r>
      <w:r w:rsidR="00F45414" w:rsidRPr="0040316C">
        <w:rPr>
          <w:sz w:val="20"/>
          <w:szCs w:val="20"/>
        </w:rPr>
        <w:t> </w:t>
      </w:r>
      <w:r w:rsidRPr="0040316C">
        <w:rPr>
          <w:sz w:val="20"/>
          <w:szCs w:val="20"/>
        </w:rPr>
        <w:t>s.</w:t>
      </w:r>
    </w:p>
    <w:p w14:paraId="0F6D5AD4" w14:textId="5F771B41" w:rsidR="00A605ED" w:rsidRPr="0040316C" w:rsidRDefault="00A605ED" w:rsidP="00A605ED">
      <w:pPr>
        <w:spacing w:after="0" w:line="312" w:lineRule="auto"/>
        <w:jc w:val="both"/>
        <w:rPr>
          <w:sz w:val="20"/>
          <w:szCs w:val="20"/>
        </w:rPr>
      </w:pPr>
      <w:r w:rsidRPr="0040316C">
        <w:rPr>
          <w:b/>
          <w:sz w:val="20"/>
          <w:szCs w:val="20"/>
        </w:rPr>
        <w:t>SEPS</w:t>
      </w:r>
      <w:r w:rsidRPr="0040316C">
        <w:rPr>
          <w:sz w:val="20"/>
          <w:szCs w:val="20"/>
        </w:rPr>
        <w:t xml:space="preserve"> – Slovenská el</w:t>
      </w:r>
      <w:r w:rsidR="005368AD" w:rsidRPr="0040316C">
        <w:rPr>
          <w:sz w:val="20"/>
          <w:szCs w:val="20"/>
        </w:rPr>
        <w:t>ektrizačná</w:t>
      </w:r>
      <w:r w:rsidR="00F45414" w:rsidRPr="0040316C">
        <w:rPr>
          <w:sz w:val="20"/>
          <w:szCs w:val="20"/>
        </w:rPr>
        <w:t> prenosová sústava, </w:t>
      </w:r>
      <w:r w:rsidRPr="0040316C">
        <w:rPr>
          <w:sz w:val="20"/>
          <w:szCs w:val="20"/>
        </w:rPr>
        <w:t>a.</w:t>
      </w:r>
      <w:r w:rsidR="00F45414" w:rsidRPr="0040316C">
        <w:rPr>
          <w:sz w:val="20"/>
          <w:szCs w:val="20"/>
        </w:rPr>
        <w:t> </w:t>
      </w:r>
      <w:r w:rsidRPr="0040316C">
        <w:rPr>
          <w:sz w:val="20"/>
          <w:szCs w:val="20"/>
        </w:rPr>
        <w:t>s.</w:t>
      </w:r>
    </w:p>
    <w:p w14:paraId="775D6819" w14:textId="5F3DB4AD" w:rsidR="00017CC3" w:rsidRPr="0040316C" w:rsidRDefault="00017CC3" w:rsidP="00A605ED">
      <w:pPr>
        <w:spacing w:after="0" w:line="312" w:lineRule="auto"/>
        <w:jc w:val="both"/>
        <w:rPr>
          <w:sz w:val="20"/>
          <w:szCs w:val="20"/>
        </w:rPr>
      </w:pPr>
      <w:r w:rsidRPr="0040316C">
        <w:rPr>
          <w:b/>
          <w:sz w:val="20"/>
          <w:szCs w:val="20"/>
        </w:rPr>
        <w:t>SIH</w:t>
      </w:r>
      <w:r w:rsidRPr="0040316C">
        <w:rPr>
          <w:sz w:val="20"/>
          <w:szCs w:val="20"/>
        </w:rPr>
        <w:t xml:space="preserve"> – Slovak Investment Holding, a. s.</w:t>
      </w:r>
    </w:p>
    <w:p w14:paraId="71423D4C" w14:textId="3214AB3A" w:rsidR="00A605ED" w:rsidRPr="0040316C" w:rsidRDefault="00A605ED" w:rsidP="00A605ED">
      <w:pPr>
        <w:spacing w:after="0" w:line="312" w:lineRule="auto"/>
        <w:jc w:val="both"/>
        <w:rPr>
          <w:sz w:val="20"/>
          <w:szCs w:val="20"/>
        </w:rPr>
      </w:pPr>
      <w:r w:rsidRPr="0040316C">
        <w:rPr>
          <w:b/>
          <w:sz w:val="20"/>
          <w:szCs w:val="20"/>
        </w:rPr>
        <w:t>SKo, a.</w:t>
      </w:r>
      <w:r w:rsidR="00F45414" w:rsidRPr="0040316C">
        <w:rPr>
          <w:b/>
          <w:sz w:val="20"/>
          <w:szCs w:val="20"/>
        </w:rPr>
        <w:t> </w:t>
      </w:r>
      <w:r w:rsidRPr="0040316C">
        <w:rPr>
          <w:b/>
          <w:sz w:val="20"/>
          <w:szCs w:val="20"/>
        </w:rPr>
        <w:t>s.</w:t>
      </w:r>
      <w:r w:rsidR="00F45414" w:rsidRPr="0040316C">
        <w:rPr>
          <w:sz w:val="20"/>
          <w:szCs w:val="20"/>
        </w:rPr>
        <w:t xml:space="preserve"> – Slovenská konsolidačná, </w:t>
      </w:r>
      <w:r w:rsidRPr="0040316C">
        <w:rPr>
          <w:sz w:val="20"/>
          <w:szCs w:val="20"/>
        </w:rPr>
        <w:t>a.</w:t>
      </w:r>
      <w:r w:rsidR="00F45414" w:rsidRPr="0040316C">
        <w:rPr>
          <w:sz w:val="20"/>
          <w:szCs w:val="20"/>
        </w:rPr>
        <w:t> </w:t>
      </w:r>
      <w:r w:rsidRPr="0040316C">
        <w:rPr>
          <w:sz w:val="20"/>
          <w:szCs w:val="20"/>
        </w:rPr>
        <w:t>s.</w:t>
      </w:r>
    </w:p>
    <w:p w14:paraId="153674FD" w14:textId="590B107F" w:rsidR="00A605ED" w:rsidRPr="0040316C" w:rsidRDefault="00A605ED" w:rsidP="00A605ED">
      <w:pPr>
        <w:spacing w:after="0" w:line="312" w:lineRule="auto"/>
        <w:jc w:val="both"/>
        <w:rPr>
          <w:sz w:val="20"/>
          <w:szCs w:val="20"/>
        </w:rPr>
      </w:pPr>
      <w:r w:rsidRPr="0040316C">
        <w:rPr>
          <w:b/>
          <w:sz w:val="20"/>
          <w:szCs w:val="20"/>
        </w:rPr>
        <w:t>SPP</w:t>
      </w:r>
      <w:r w:rsidRPr="0040316C">
        <w:rPr>
          <w:sz w:val="20"/>
          <w:szCs w:val="20"/>
        </w:rPr>
        <w:t xml:space="preserve"> – S</w:t>
      </w:r>
      <w:r w:rsidR="00F45414" w:rsidRPr="0040316C">
        <w:rPr>
          <w:sz w:val="20"/>
          <w:szCs w:val="20"/>
        </w:rPr>
        <w:t>lovenský plynárenský priemysel, </w:t>
      </w:r>
      <w:r w:rsidRPr="0040316C">
        <w:rPr>
          <w:sz w:val="20"/>
          <w:szCs w:val="20"/>
        </w:rPr>
        <w:t>a.</w:t>
      </w:r>
      <w:r w:rsidR="00F45414" w:rsidRPr="0040316C">
        <w:rPr>
          <w:sz w:val="20"/>
          <w:szCs w:val="20"/>
        </w:rPr>
        <w:t> </w:t>
      </w:r>
      <w:r w:rsidRPr="0040316C">
        <w:rPr>
          <w:sz w:val="20"/>
          <w:szCs w:val="20"/>
        </w:rPr>
        <w:t>s.</w:t>
      </w:r>
    </w:p>
    <w:p w14:paraId="6532C26F" w14:textId="3D2D0054" w:rsidR="00A605ED" w:rsidRPr="0040316C" w:rsidRDefault="00A605ED" w:rsidP="00A605ED">
      <w:pPr>
        <w:spacing w:after="0" w:line="312" w:lineRule="auto"/>
        <w:jc w:val="both"/>
        <w:rPr>
          <w:b/>
          <w:sz w:val="20"/>
          <w:szCs w:val="20"/>
        </w:rPr>
      </w:pPr>
      <w:r w:rsidRPr="0040316C">
        <w:rPr>
          <w:b/>
          <w:sz w:val="20"/>
          <w:szCs w:val="20"/>
        </w:rPr>
        <w:t>SVP</w:t>
      </w:r>
      <w:r w:rsidRPr="0040316C">
        <w:rPr>
          <w:sz w:val="20"/>
          <w:szCs w:val="20"/>
        </w:rPr>
        <w:t xml:space="preserve"> – Sl</w:t>
      </w:r>
      <w:r w:rsidR="00F45414" w:rsidRPr="0040316C">
        <w:rPr>
          <w:sz w:val="20"/>
          <w:szCs w:val="20"/>
        </w:rPr>
        <w:t>ovenský vodohospodársky podnik, </w:t>
      </w:r>
      <w:r w:rsidRPr="0040316C">
        <w:rPr>
          <w:sz w:val="20"/>
          <w:szCs w:val="20"/>
        </w:rPr>
        <w:t>š.</w:t>
      </w:r>
      <w:r w:rsidR="00F45414" w:rsidRPr="0040316C">
        <w:rPr>
          <w:sz w:val="20"/>
          <w:szCs w:val="20"/>
        </w:rPr>
        <w:t> </w:t>
      </w:r>
      <w:r w:rsidRPr="0040316C">
        <w:rPr>
          <w:sz w:val="20"/>
          <w:szCs w:val="20"/>
        </w:rPr>
        <w:t>p.</w:t>
      </w:r>
    </w:p>
    <w:p w14:paraId="5702F201" w14:textId="77777777" w:rsidR="00352012" w:rsidRPr="0040316C" w:rsidRDefault="00352012" w:rsidP="00220857">
      <w:pPr>
        <w:spacing w:after="0" w:line="312" w:lineRule="auto"/>
        <w:jc w:val="both"/>
        <w:rPr>
          <w:sz w:val="20"/>
          <w:szCs w:val="20"/>
        </w:rPr>
      </w:pPr>
      <w:r w:rsidRPr="0040316C">
        <w:rPr>
          <w:b/>
          <w:sz w:val="20"/>
          <w:szCs w:val="20"/>
        </w:rPr>
        <w:t>SVS</w:t>
      </w:r>
      <w:r w:rsidRPr="0040316C">
        <w:rPr>
          <w:sz w:val="20"/>
          <w:szCs w:val="20"/>
        </w:rPr>
        <w:t xml:space="preserve"> – Súhrnná výročná správa SR</w:t>
      </w:r>
    </w:p>
    <w:p w14:paraId="270AF5BE" w14:textId="67F84915" w:rsidR="00352012" w:rsidRPr="0040316C" w:rsidRDefault="00352012" w:rsidP="00220857">
      <w:pPr>
        <w:spacing w:after="0" w:line="312" w:lineRule="auto"/>
        <w:jc w:val="both"/>
        <w:rPr>
          <w:sz w:val="20"/>
          <w:szCs w:val="20"/>
        </w:rPr>
      </w:pPr>
      <w:r w:rsidRPr="0040316C">
        <w:rPr>
          <w:b/>
          <w:sz w:val="20"/>
          <w:szCs w:val="20"/>
        </w:rPr>
        <w:t>SZČO</w:t>
      </w:r>
      <w:r w:rsidRPr="0040316C">
        <w:rPr>
          <w:sz w:val="20"/>
          <w:szCs w:val="20"/>
        </w:rPr>
        <w:t xml:space="preserve"> – samostatne zárobkovo činná osoba</w:t>
      </w:r>
    </w:p>
    <w:p w14:paraId="6F32A76A" w14:textId="3A7B84D1" w:rsidR="00A605ED" w:rsidRPr="0040316C" w:rsidRDefault="00A605ED" w:rsidP="00A605ED">
      <w:pPr>
        <w:spacing w:after="0" w:line="312" w:lineRule="auto"/>
        <w:jc w:val="both"/>
        <w:rPr>
          <w:sz w:val="20"/>
          <w:szCs w:val="20"/>
        </w:rPr>
      </w:pPr>
      <w:r w:rsidRPr="0040316C">
        <w:rPr>
          <w:b/>
          <w:sz w:val="20"/>
          <w:szCs w:val="20"/>
        </w:rPr>
        <w:t>SZRB</w:t>
      </w:r>
      <w:r w:rsidRPr="0040316C">
        <w:rPr>
          <w:sz w:val="20"/>
          <w:szCs w:val="20"/>
        </w:rPr>
        <w:t xml:space="preserve"> – Slovenská záručná a rozvojová banka</w:t>
      </w:r>
      <w:r w:rsidR="003F0818" w:rsidRPr="0040316C">
        <w:rPr>
          <w:sz w:val="20"/>
          <w:szCs w:val="20"/>
        </w:rPr>
        <w:t>, a. s.</w:t>
      </w:r>
    </w:p>
    <w:p w14:paraId="5E25D255" w14:textId="4421FB31" w:rsidR="00265D08" w:rsidRPr="0040316C" w:rsidRDefault="00265D08" w:rsidP="00220857">
      <w:pPr>
        <w:spacing w:after="0" w:line="312" w:lineRule="auto"/>
        <w:jc w:val="both"/>
        <w:rPr>
          <w:sz w:val="20"/>
          <w:szCs w:val="20"/>
        </w:rPr>
      </w:pPr>
      <w:r w:rsidRPr="0040316C">
        <w:rPr>
          <w:b/>
          <w:sz w:val="20"/>
          <w:szCs w:val="20"/>
        </w:rPr>
        <w:t xml:space="preserve">ŠFA – </w:t>
      </w:r>
      <w:r w:rsidRPr="0040316C">
        <w:rPr>
          <w:sz w:val="20"/>
          <w:szCs w:val="20"/>
        </w:rPr>
        <w:t>štátne finančné aktíva</w:t>
      </w:r>
    </w:p>
    <w:p w14:paraId="593F5B76" w14:textId="77777777" w:rsidR="00A605ED" w:rsidRPr="0040316C" w:rsidRDefault="00A605ED" w:rsidP="00A605ED">
      <w:pPr>
        <w:spacing w:after="0" w:line="312" w:lineRule="auto"/>
        <w:jc w:val="both"/>
        <w:rPr>
          <w:b/>
          <w:sz w:val="20"/>
          <w:szCs w:val="20"/>
        </w:rPr>
      </w:pPr>
      <w:r w:rsidRPr="0040316C">
        <w:rPr>
          <w:b/>
          <w:sz w:val="20"/>
          <w:szCs w:val="20"/>
        </w:rPr>
        <w:t>ŠR</w:t>
      </w:r>
      <w:r w:rsidRPr="0040316C">
        <w:rPr>
          <w:sz w:val="20"/>
          <w:szCs w:val="20"/>
        </w:rPr>
        <w:t xml:space="preserve"> – štátny rozpočet</w:t>
      </w:r>
    </w:p>
    <w:p w14:paraId="6A824AA5" w14:textId="2D34D03F" w:rsidR="00352012" w:rsidRPr="0040316C" w:rsidRDefault="00352012" w:rsidP="00220857">
      <w:pPr>
        <w:spacing w:after="0" w:line="312" w:lineRule="auto"/>
        <w:jc w:val="both"/>
        <w:rPr>
          <w:sz w:val="20"/>
          <w:szCs w:val="20"/>
        </w:rPr>
      </w:pPr>
      <w:r w:rsidRPr="0040316C">
        <w:rPr>
          <w:b/>
          <w:sz w:val="20"/>
          <w:szCs w:val="20"/>
        </w:rPr>
        <w:t>ŠÚ</w:t>
      </w:r>
      <w:r w:rsidRPr="0040316C">
        <w:rPr>
          <w:sz w:val="20"/>
          <w:szCs w:val="20"/>
        </w:rPr>
        <w:t> </w:t>
      </w:r>
      <w:r w:rsidRPr="0040316C">
        <w:rPr>
          <w:b/>
          <w:sz w:val="20"/>
          <w:szCs w:val="20"/>
        </w:rPr>
        <w:t>SR</w:t>
      </w:r>
      <w:r w:rsidRPr="0040316C">
        <w:rPr>
          <w:sz w:val="20"/>
          <w:szCs w:val="20"/>
        </w:rPr>
        <w:t xml:space="preserve"> – Štatistický úrad Slovenskej republiky</w:t>
      </w:r>
    </w:p>
    <w:p w14:paraId="237686DE" w14:textId="77777777" w:rsidR="00352012" w:rsidRPr="0040316C" w:rsidRDefault="00352012" w:rsidP="00220857">
      <w:pPr>
        <w:spacing w:after="0" w:line="312" w:lineRule="auto"/>
        <w:jc w:val="both"/>
        <w:rPr>
          <w:sz w:val="20"/>
          <w:szCs w:val="20"/>
        </w:rPr>
      </w:pPr>
      <w:r w:rsidRPr="0040316C">
        <w:rPr>
          <w:b/>
          <w:sz w:val="20"/>
          <w:szCs w:val="20"/>
        </w:rPr>
        <w:t xml:space="preserve">ŠZÚ </w:t>
      </w:r>
      <w:r w:rsidRPr="0040316C">
        <w:rPr>
          <w:sz w:val="20"/>
          <w:szCs w:val="20"/>
        </w:rPr>
        <w:t>– Štátny záverečný účet SR</w:t>
      </w:r>
    </w:p>
    <w:p w14:paraId="1520ADD8" w14:textId="3C49DCB5" w:rsidR="00352012" w:rsidRPr="0040316C" w:rsidRDefault="00352012" w:rsidP="00220857">
      <w:pPr>
        <w:spacing w:after="0" w:line="312" w:lineRule="auto"/>
        <w:jc w:val="both"/>
        <w:rPr>
          <w:sz w:val="20"/>
          <w:szCs w:val="20"/>
        </w:rPr>
      </w:pPr>
      <w:r w:rsidRPr="0040316C">
        <w:rPr>
          <w:b/>
          <w:sz w:val="20"/>
          <w:szCs w:val="20"/>
        </w:rPr>
        <w:t xml:space="preserve">ÚJ </w:t>
      </w:r>
      <w:r w:rsidRPr="0040316C">
        <w:rPr>
          <w:sz w:val="20"/>
          <w:szCs w:val="20"/>
        </w:rPr>
        <w:t>– účtovná jednotka</w:t>
      </w:r>
    </w:p>
    <w:p w14:paraId="636E9556" w14:textId="77777777" w:rsidR="00A605ED" w:rsidRPr="0040316C" w:rsidRDefault="00A605ED" w:rsidP="00A605ED">
      <w:pPr>
        <w:spacing w:after="0" w:line="312" w:lineRule="auto"/>
        <w:jc w:val="both"/>
        <w:rPr>
          <w:sz w:val="20"/>
          <w:szCs w:val="20"/>
        </w:rPr>
      </w:pPr>
      <w:r w:rsidRPr="0040316C">
        <w:rPr>
          <w:b/>
          <w:sz w:val="20"/>
          <w:szCs w:val="20"/>
        </w:rPr>
        <w:t>VS</w:t>
      </w:r>
      <w:r w:rsidRPr="0040316C">
        <w:rPr>
          <w:sz w:val="20"/>
          <w:szCs w:val="20"/>
        </w:rPr>
        <w:t xml:space="preserve"> – verejná správa</w:t>
      </w:r>
    </w:p>
    <w:p w14:paraId="2463F430" w14:textId="1C13EE2D" w:rsidR="00A605ED" w:rsidRPr="0040316C" w:rsidRDefault="00A605ED" w:rsidP="00A605ED">
      <w:pPr>
        <w:spacing w:after="0" w:line="312" w:lineRule="auto"/>
        <w:jc w:val="both"/>
        <w:rPr>
          <w:sz w:val="20"/>
          <w:szCs w:val="20"/>
        </w:rPr>
      </w:pPr>
      <w:r w:rsidRPr="0040316C">
        <w:rPr>
          <w:b/>
          <w:sz w:val="20"/>
          <w:szCs w:val="20"/>
        </w:rPr>
        <w:t>VSEH</w:t>
      </w:r>
      <w:r w:rsidRPr="0040316C">
        <w:rPr>
          <w:sz w:val="20"/>
          <w:szCs w:val="20"/>
        </w:rPr>
        <w:t xml:space="preserve"> – Východoslovenská energetika Holding,</w:t>
      </w:r>
      <w:r w:rsidR="00F45414" w:rsidRPr="0040316C">
        <w:rPr>
          <w:sz w:val="20"/>
          <w:szCs w:val="20"/>
        </w:rPr>
        <w:t> </w:t>
      </w:r>
      <w:r w:rsidRPr="0040316C">
        <w:rPr>
          <w:sz w:val="20"/>
          <w:szCs w:val="20"/>
        </w:rPr>
        <w:t>a.</w:t>
      </w:r>
      <w:r w:rsidR="00F45414" w:rsidRPr="0040316C">
        <w:rPr>
          <w:sz w:val="20"/>
          <w:szCs w:val="20"/>
        </w:rPr>
        <w:t> </w:t>
      </w:r>
      <w:r w:rsidRPr="0040316C">
        <w:rPr>
          <w:sz w:val="20"/>
          <w:szCs w:val="20"/>
        </w:rPr>
        <w:t>s.</w:t>
      </w:r>
    </w:p>
    <w:p w14:paraId="21B9FDFA" w14:textId="3D85E7A1" w:rsidR="00352012" w:rsidRPr="0040316C" w:rsidRDefault="00352012" w:rsidP="00220857">
      <w:pPr>
        <w:spacing w:after="0" w:line="312" w:lineRule="auto"/>
        <w:jc w:val="both"/>
        <w:rPr>
          <w:sz w:val="20"/>
          <w:szCs w:val="20"/>
        </w:rPr>
      </w:pPr>
      <w:r w:rsidRPr="0040316C">
        <w:rPr>
          <w:b/>
          <w:sz w:val="20"/>
          <w:szCs w:val="20"/>
        </w:rPr>
        <w:t>VÚC</w:t>
      </w:r>
      <w:r w:rsidRPr="0040316C">
        <w:rPr>
          <w:sz w:val="20"/>
          <w:szCs w:val="20"/>
        </w:rPr>
        <w:t xml:space="preserve"> – vyššie územné celky</w:t>
      </w:r>
    </w:p>
    <w:p w14:paraId="7856FC2E" w14:textId="735BEB39" w:rsidR="00A605ED" w:rsidRPr="0040316C" w:rsidRDefault="00A605ED" w:rsidP="00A605ED">
      <w:pPr>
        <w:spacing w:after="0" w:line="312" w:lineRule="auto"/>
        <w:jc w:val="both"/>
        <w:rPr>
          <w:sz w:val="20"/>
          <w:szCs w:val="20"/>
        </w:rPr>
      </w:pPr>
      <w:r w:rsidRPr="0040316C">
        <w:rPr>
          <w:b/>
          <w:sz w:val="20"/>
          <w:szCs w:val="20"/>
        </w:rPr>
        <w:t>VV</w:t>
      </w:r>
      <w:r w:rsidR="00F45414" w:rsidRPr="0040316C">
        <w:rPr>
          <w:sz w:val="20"/>
          <w:szCs w:val="20"/>
        </w:rPr>
        <w:t xml:space="preserve"> – Vodohospodárska výstavba, </w:t>
      </w:r>
      <w:r w:rsidRPr="0040316C">
        <w:rPr>
          <w:sz w:val="20"/>
          <w:szCs w:val="20"/>
        </w:rPr>
        <w:t>š.</w:t>
      </w:r>
      <w:r w:rsidR="00F45414" w:rsidRPr="0040316C">
        <w:rPr>
          <w:sz w:val="20"/>
          <w:szCs w:val="20"/>
        </w:rPr>
        <w:t> </w:t>
      </w:r>
      <w:r w:rsidRPr="0040316C">
        <w:rPr>
          <w:sz w:val="20"/>
          <w:szCs w:val="20"/>
        </w:rPr>
        <w:t>p.</w:t>
      </w:r>
    </w:p>
    <w:p w14:paraId="3F46B726" w14:textId="753C2201" w:rsidR="00661C75" w:rsidRPr="0040316C" w:rsidRDefault="00661C75" w:rsidP="00220857">
      <w:pPr>
        <w:spacing w:after="0" w:line="312" w:lineRule="auto"/>
        <w:jc w:val="both"/>
        <w:rPr>
          <w:sz w:val="20"/>
          <w:szCs w:val="20"/>
        </w:rPr>
      </w:pPr>
      <w:r w:rsidRPr="0040316C">
        <w:rPr>
          <w:b/>
          <w:sz w:val="20"/>
          <w:szCs w:val="20"/>
        </w:rPr>
        <w:t xml:space="preserve">ÚDZS – </w:t>
      </w:r>
      <w:r w:rsidRPr="0040316C">
        <w:rPr>
          <w:sz w:val="20"/>
          <w:szCs w:val="20"/>
        </w:rPr>
        <w:t>Úrad pre dohľad nad zdravotnou starostlivosťou</w:t>
      </w:r>
    </w:p>
    <w:p w14:paraId="775136BC" w14:textId="4988F93B" w:rsidR="00352012" w:rsidRPr="0040316C" w:rsidRDefault="00352012" w:rsidP="00220857">
      <w:pPr>
        <w:spacing w:after="0" w:line="312" w:lineRule="auto"/>
        <w:jc w:val="both"/>
        <w:rPr>
          <w:sz w:val="20"/>
          <w:szCs w:val="20"/>
        </w:rPr>
      </w:pPr>
      <w:r w:rsidRPr="0040316C">
        <w:rPr>
          <w:b/>
          <w:sz w:val="20"/>
          <w:szCs w:val="20"/>
        </w:rPr>
        <w:t>ústavný zákon o rozpočtovej zodpovednosti</w:t>
      </w:r>
      <w:r w:rsidRPr="0040316C">
        <w:rPr>
          <w:sz w:val="20"/>
          <w:szCs w:val="20"/>
        </w:rPr>
        <w:t xml:space="preserve"> </w:t>
      </w:r>
      <w:r w:rsidRPr="0040316C">
        <w:rPr>
          <w:b/>
          <w:sz w:val="20"/>
          <w:szCs w:val="20"/>
        </w:rPr>
        <w:t>-</w:t>
      </w:r>
      <w:r w:rsidR="00F45414" w:rsidRPr="0040316C">
        <w:rPr>
          <w:sz w:val="20"/>
          <w:szCs w:val="20"/>
        </w:rPr>
        <w:t xml:space="preserve"> ústavný zákon č. 493/2011 </w:t>
      </w:r>
      <w:r w:rsidRPr="0040316C">
        <w:rPr>
          <w:sz w:val="20"/>
          <w:szCs w:val="20"/>
        </w:rPr>
        <w:t>Z.</w:t>
      </w:r>
      <w:r w:rsidR="00F45414" w:rsidRPr="0040316C">
        <w:rPr>
          <w:sz w:val="20"/>
          <w:szCs w:val="20"/>
        </w:rPr>
        <w:t> </w:t>
      </w:r>
      <w:r w:rsidRPr="0040316C">
        <w:rPr>
          <w:sz w:val="20"/>
          <w:szCs w:val="20"/>
        </w:rPr>
        <w:t>z. o rozpočtovej zodpovednosti</w:t>
      </w:r>
    </w:p>
    <w:p w14:paraId="3DAAD335" w14:textId="6A1D0BDC" w:rsidR="00661C75" w:rsidRPr="0040316C" w:rsidRDefault="00661C75" w:rsidP="00220857">
      <w:pPr>
        <w:spacing w:after="0" w:line="312" w:lineRule="auto"/>
        <w:jc w:val="both"/>
        <w:rPr>
          <w:sz w:val="20"/>
          <w:szCs w:val="20"/>
        </w:rPr>
      </w:pPr>
      <w:r w:rsidRPr="0040316C">
        <w:rPr>
          <w:b/>
          <w:sz w:val="20"/>
          <w:szCs w:val="20"/>
        </w:rPr>
        <w:t xml:space="preserve">VPS </w:t>
      </w:r>
      <w:r w:rsidRPr="0040316C">
        <w:rPr>
          <w:sz w:val="20"/>
          <w:szCs w:val="20"/>
        </w:rPr>
        <w:t>– Všeobecná pokladničná správa</w:t>
      </w:r>
    </w:p>
    <w:p w14:paraId="01ADBF1D" w14:textId="4EAF3E1B" w:rsidR="00352012" w:rsidRPr="0040316C" w:rsidRDefault="00352012" w:rsidP="00220857">
      <w:pPr>
        <w:spacing w:after="0" w:line="312" w:lineRule="auto"/>
        <w:jc w:val="both"/>
        <w:rPr>
          <w:sz w:val="20"/>
          <w:szCs w:val="20"/>
        </w:rPr>
      </w:pPr>
      <w:r w:rsidRPr="0040316C">
        <w:rPr>
          <w:b/>
          <w:sz w:val="20"/>
          <w:szCs w:val="20"/>
        </w:rPr>
        <w:t>zákon o rozpočtových pravidlách verejnej správy (rozpočtové pravidlá</w:t>
      </w:r>
      <w:r w:rsidRPr="0040316C">
        <w:rPr>
          <w:sz w:val="20"/>
          <w:szCs w:val="20"/>
        </w:rPr>
        <w:t xml:space="preserve">) </w:t>
      </w:r>
      <w:r w:rsidRPr="0040316C">
        <w:rPr>
          <w:b/>
          <w:sz w:val="20"/>
          <w:szCs w:val="20"/>
        </w:rPr>
        <w:t>-</w:t>
      </w:r>
      <w:r w:rsidR="00E17549" w:rsidRPr="0040316C">
        <w:rPr>
          <w:sz w:val="20"/>
          <w:szCs w:val="20"/>
        </w:rPr>
        <w:t xml:space="preserve"> zákon č. </w:t>
      </w:r>
      <w:r w:rsidRPr="0040316C">
        <w:rPr>
          <w:sz w:val="20"/>
          <w:szCs w:val="20"/>
        </w:rPr>
        <w:t>523/2004</w:t>
      </w:r>
      <w:r w:rsidR="00F45414" w:rsidRPr="0040316C">
        <w:rPr>
          <w:sz w:val="20"/>
          <w:szCs w:val="20"/>
        </w:rPr>
        <w:t> </w:t>
      </w:r>
      <w:r w:rsidRPr="0040316C">
        <w:rPr>
          <w:sz w:val="20"/>
          <w:szCs w:val="20"/>
        </w:rPr>
        <w:t>Z.</w:t>
      </w:r>
      <w:r w:rsidR="00F45414" w:rsidRPr="0040316C">
        <w:rPr>
          <w:sz w:val="20"/>
          <w:szCs w:val="20"/>
        </w:rPr>
        <w:t> z. o </w:t>
      </w:r>
      <w:r w:rsidRPr="0040316C">
        <w:rPr>
          <w:sz w:val="20"/>
          <w:szCs w:val="20"/>
        </w:rPr>
        <w:t>rozpočtový</w:t>
      </w:r>
      <w:r w:rsidR="00E17549" w:rsidRPr="0040316C">
        <w:rPr>
          <w:sz w:val="20"/>
          <w:szCs w:val="20"/>
        </w:rPr>
        <w:t>ch pravidlách verejnej správy a</w:t>
      </w:r>
      <w:r w:rsidR="00627A8D" w:rsidRPr="0040316C">
        <w:rPr>
          <w:sz w:val="20"/>
          <w:szCs w:val="20"/>
        </w:rPr>
        <w:t> </w:t>
      </w:r>
      <w:r w:rsidR="00E17549" w:rsidRPr="0040316C">
        <w:rPr>
          <w:sz w:val="20"/>
          <w:szCs w:val="20"/>
        </w:rPr>
        <w:t>o</w:t>
      </w:r>
      <w:r w:rsidR="00627A8D" w:rsidRPr="0040316C">
        <w:rPr>
          <w:sz w:val="20"/>
          <w:szCs w:val="20"/>
        </w:rPr>
        <w:t> </w:t>
      </w:r>
      <w:r w:rsidRPr="0040316C">
        <w:rPr>
          <w:sz w:val="20"/>
          <w:szCs w:val="20"/>
        </w:rPr>
        <w:t>zmene a</w:t>
      </w:r>
      <w:r w:rsidR="00627A8D" w:rsidRPr="0040316C">
        <w:rPr>
          <w:sz w:val="20"/>
          <w:szCs w:val="20"/>
        </w:rPr>
        <w:t> </w:t>
      </w:r>
      <w:r w:rsidRPr="0040316C">
        <w:rPr>
          <w:sz w:val="20"/>
          <w:szCs w:val="20"/>
        </w:rPr>
        <w:t>doplnení niektorých zákonov v znení neskorších predpisov</w:t>
      </w:r>
    </w:p>
    <w:p w14:paraId="018975E9" w14:textId="6D89D044" w:rsidR="00352012" w:rsidRPr="0040316C" w:rsidRDefault="00352012" w:rsidP="00220857">
      <w:pPr>
        <w:spacing w:after="0" w:line="312" w:lineRule="auto"/>
        <w:jc w:val="both"/>
        <w:rPr>
          <w:sz w:val="20"/>
          <w:szCs w:val="20"/>
        </w:rPr>
      </w:pPr>
      <w:r w:rsidRPr="0040316C">
        <w:rPr>
          <w:b/>
          <w:sz w:val="20"/>
          <w:szCs w:val="20"/>
        </w:rPr>
        <w:t>zákon o účtovníctve</w:t>
      </w:r>
      <w:r w:rsidRPr="0040316C">
        <w:rPr>
          <w:sz w:val="20"/>
          <w:szCs w:val="20"/>
        </w:rPr>
        <w:t xml:space="preserve"> </w:t>
      </w:r>
      <w:r w:rsidRPr="0040316C">
        <w:rPr>
          <w:b/>
          <w:sz w:val="20"/>
          <w:szCs w:val="20"/>
        </w:rPr>
        <w:t>-</w:t>
      </w:r>
      <w:r w:rsidR="00F45414" w:rsidRPr="0040316C">
        <w:rPr>
          <w:sz w:val="20"/>
          <w:szCs w:val="20"/>
        </w:rPr>
        <w:t xml:space="preserve"> z</w:t>
      </w:r>
      <w:r w:rsidRPr="0040316C">
        <w:rPr>
          <w:sz w:val="20"/>
          <w:szCs w:val="20"/>
        </w:rPr>
        <w:t>ákon č.</w:t>
      </w:r>
      <w:r w:rsidR="00F45414" w:rsidRPr="0040316C">
        <w:rPr>
          <w:sz w:val="20"/>
          <w:szCs w:val="20"/>
        </w:rPr>
        <w:t> </w:t>
      </w:r>
      <w:r w:rsidRPr="0040316C">
        <w:rPr>
          <w:sz w:val="20"/>
          <w:szCs w:val="20"/>
        </w:rPr>
        <w:t>431/2002</w:t>
      </w:r>
      <w:r w:rsidR="00F45414" w:rsidRPr="0040316C">
        <w:rPr>
          <w:sz w:val="20"/>
          <w:szCs w:val="20"/>
        </w:rPr>
        <w:t> </w:t>
      </w:r>
      <w:r w:rsidRPr="0040316C">
        <w:rPr>
          <w:sz w:val="20"/>
          <w:szCs w:val="20"/>
        </w:rPr>
        <w:t>Z.</w:t>
      </w:r>
      <w:r w:rsidR="00F45414" w:rsidRPr="0040316C">
        <w:rPr>
          <w:sz w:val="20"/>
          <w:szCs w:val="20"/>
        </w:rPr>
        <w:t> </w:t>
      </w:r>
      <w:r w:rsidRPr="0040316C">
        <w:rPr>
          <w:sz w:val="20"/>
          <w:szCs w:val="20"/>
        </w:rPr>
        <w:t>z. o</w:t>
      </w:r>
      <w:r w:rsidR="00F45414" w:rsidRPr="0040316C">
        <w:rPr>
          <w:sz w:val="20"/>
          <w:szCs w:val="20"/>
        </w:rPr>
        <w:t> </w:t>
      </w:r>
      <w:r w:rsidRPr="0040316C">
        <w:rPr>
          <w:sz w:val="20"/>
          <w:szCs w:val="20"/>
        </w:rPr>
        <w:t xml:space="preserve"> účtovníctve v znení neskorších predpisov</w:t>
      </w:r>
    </w:p>
    <w:p w14:paraId="117D0BDF" w14:textId="68784BA9" w:rsidR="00352012" w:rsidRPr="0040316C" w:rsidRDefault="00352012" w:rsidP="00220857">
      <w:pPr>
        <w:spacing w:after="0" w:line="312" w:lineRule="auto"/>
        <w:jc w:val="both"/>
        <w:rPr>
          <w:bCs/>
          <w:sz w:val="20"/>
          <w:szCs w:val="20"/>
        </w:rPr>
      </w:pPr>
      <w:r w:rsidRPr="0040316C">
        <w:rPr>
          <w:b/>
          <w:sz w:val="20"/>
          <w:szCs w:val="20"/>
        </w:rPr>
        <w:lastRenderedPageBreak/>
        <w:t xml:space="preserve">zákon </w:t>
      </w:r>
      <w:r w:rsidRPr="0040316C">
        <w:rPr>
          <w:b/>
          <w:bCs/>
          <w:sz w:val="20"/>
          <w:szCs w:val="20"/>
        </w:rPr>
        <w:t>o organizácii vlády a ústrednej štátnej správy</w:t>
      </w:r>
      <w:r w:rsidRPr="0040316C">
        <w:rPr>
          <w:bCs/>
          <w:sz w:val="20"/>
          <w:szCs w:val="20"/>
        </w:rPr>
        <w:t xml:space="preserve"> </w:t>
      </w:r>
      <w:r w:rsidRPr="0040316C">
        <w:rPr>
          <w:b/>
          <w:bCs/>
          <w:sz w:val="20"/>
          <w:szCs w:val="20"/>
        </w:rPr>
        <w:t>-</w:t>
      </w:r>
      <w:r w:rsidRPr="0040316C">
        <w:rPr>
          <w:bCs/>
          <w:sz w:val="20"/>
          <w:szCs w:val="20"/>
        </w:rPr>
        <w:t xml:space="preserve"> </w:t>
      </w:r>
      <w:r w:rsidRPr="0040316C">
        <w:rPr>
          <w:sz w:val="20"/>
          <w:szCs w:val="20"/>
        </w:rPr>
        <w:t>zákon č.</w:t>
      </w:r>
      <w:r w:rsidR="00F45414" w:rsidRPr="0040316C">
        <w:rPr>
          <w:sz w:val="20"/>
          <w:szCs w:val="20"/>
        </w:rPr>
        <w:t> </w:t>
      </w:r>
      <w:r w:rsidRPr="0040316C">
        <w:rPr>
          <w:bCs/>
          <w:sz w:val="20"/>
          <w:szCs w:val="20"/>
        </w:rPr>
        <w:t>575/2001</w:t>
      </w:r>
      <w:r w:rsidR="00F45414" w:rsidRPr="0040316C">
        <w:rPr>
          <w:bCs/>
          <w:sz w:val="20"/>
          <w:szCs w:val="20"/>
        </w:rPr>
        <w:t> </w:t>
      </w:r>
      <w:r w:rsidRPr="0040316C">
        <w:rPr>
          <w:bCs/>
          <w:sz w:val="20"/>
          <w:szCs w:val="20"/>
        </w:rPr>
        <w:t>Z.</w:t>
      </w:r>
      <w:r w:rsidR="00F45414" w:rsidRPr="0040316C">
        <w:rPr>
          <w:bCs/>
          <w:sz w:val="20"/>
          <w:szCs w:val="20"/>
        </w:rPr>
        <w:t> </w:t>
      </w:r>
      <w:r w:rsidRPr="0040316C">
        <w:rPr>
          <w:bCs/>
          <w:sz w:val="20"/>
          <w:szCs w:val="20"/>
        </w:rPr>
        <w:t>z. o</w:t>
      </w:r>
      <w:r w:rsidR="00F45414" w:rsidRPr="0040316C">
        <w:rPr>
          <w:bCs/>
          <w:sz w:val="20"/>
          <w:szCs w:val="20"/>
        </w:rPr>
        <w:t> </w:t>
      </w:r>
      <w:r w:rsidRPr="0040316C">
        <w:rPr>
          <w:bCs/>
          <w:sz w:val="20"/>
          <w:szCs w:val="20"/>
        </w:rPr>
        <w:t>organizácii činnosti vlády a</w:t>
      </w:r>
      <w:r w:rsidR="00627A8D" w:rsidRPr="0040316C">
        <w:rPr>
          <w:bCs/>
          <w:sz w:val="20"/>
          <w:szCs w:val="20"/>
        </w:rPr>
        <w:t> </w:t>
      </w:r>
      <w:r w:rsidRPr="0040316C">
        <w:rPr>
          <w:bCs/>
          <w:sz w:val="20"/>
          <w:szCs w:val="20"/>
        </w:rPr>
        <w:t>organizácii ústrednej štátnej správy v znení neskorších predpisov</w:t>
      </w:r>
    </w:p>
    <w:p w14:paraId="053D122C" w14:textId="72064DDE" w:rsidR="00352012" w:rsidRPr="0040316C" w:rsidRDefault="00352012" w:rsidP="00220857">
      <w:pPr>
        <w:spacing w:after="0" w:line="312" w:lineRule="auto"/>
        <w:jc w:val="both"/>
        <w:rPr>
          <w:bCs/>
          <w:sz w:val="20"/>
          <w:szCs w:val="20"/>
        </w:rPr>
      </w:pPr>
      <w:r w:rsidRPr="0040316C">
        <w:rPr>
          <w:b/>
          <w:sz w:val="20"/>
          <w:szCs w:val="20"/>
        </w:rPr>
        <w:t xml:space="preserve">zákon </w:t>
      </w:r>
      <w:r w:rsidRPr="0040316C">
        <w:rPr>
          <w:b/>
          <w:bCs/>
          <w:sz w:val="20"/>
          <w:szCs w:val="20"/>
        </w:rPr>
        <w:t>o obecnom zriadení</w:t>
      </w:r>
      <w:r w:rsidRPr="0040316C">
        <w:rPr>
          <w:bCs/>
          <w:sz w:val="20"/>
          <w:szCs w:val="20"/>
        </w:rPr>
        <w:t xml:space="preserve"> </w:t>
      </w:r>
      <w:r w:rsidRPr="0040316C">
        <w:rPr>
          <w:b/>
          <w:bCs/>
          <w:sz w:val="20"/>
          <w:szCs w:val="20"/>
        </w:rPr>
        <w:t>-</w:t>
      </w:r>
      <w:r w:rsidRPr="0040316C">
        <w:rPr>
          <w:bCs/>
          <w:sz w:val="20"/>
          <w:szCs w:val="20"/>
        </w:rPr>
        <w:t xml:space="preserve"> </w:t>
      </w:r>
      <w:r w:rsidRPr="0040316C">
        <w:rPr>
          <w:sz w:val="20"/>
          <w:szCs w:val="20"/>
        </w:rPr>
        <w:t xml:space="preserve">zákon </w:t>
      </w:r>
      <w:r w:rsidR="00F45414" w:rsidRPr="0040316C">
        <w:rPr>
          <w:bCs/>
          <w:sz w:val="20"/>
          <w:szCs w:val="20"/>
        </w:rPr>
        <w:t>Slovenskej národnej rady č. </w:t>
      </w:r>
      <w:r w:rsidRPr="0040316C">
        <w:rPr>
          <w:bCs/>
          <w:sz w:val="20"/>
          <w:szCs w:val="20"/>
        </w:rPr>
        <w:t>369/</w:t>
      </w:r>
      <w:r w:rsidRPr="0040316C">
        <w:rPr>
          <w:sz w:val="20"/>
          <w:szCs w:val="20"/>
        </w:rPr>
        <w:t>1990</w:t>
      </w:r>
      <w:r w:rsidR="00F45414" w:rsidRPr="0040316C">
        <w:rPr>
          <w:sz w:val="20"/>
          <w:szCs w:val="20"/>
        </w:rPr>
        <w:t> </w:t>
      </w:r>
      <w:r w:rsidRPr="0040316C">
        <w:rPr>
          <w:sz w:val="20"/>
          <w:szCs w:val="20"/>
        </w:rPr>
        <w:t xml:space="preserve">Zb. </w:t>
      </w:r>
      <w:r w:rsidRPr="0040316C">
        <w:rPr>
          <w:bCs/>
          <w:sz w:val="20"/>
          <w:szCs w:val="20"/>
        </w:rPr>
        <w:t>o</w:t>
      </w:r>
      <w:r w:rsidR="00F45414" w:rsidRPr="0040316C">
        <w:rPr>
          <w:bCs/>
          <w:sz w:val="20"/>
          <w:szCs w:val="20"/>
        </w:rPr>
        <w:t> </w:t>
      </w:r>
      <w:r w:rsidRPr="0040316C">
        <w:rPr>
          <w:bCs/>
          <w:sz w:val="20"/>
          <w:szCs w:val="20"/>
        </w:rPr>
        <w:t>obecnom zriadení v znení neskorších predpisov</w:t>
      </w:r>
    </w:p>
    <w:p w14:paraId="12EED020" w14:textId="7A31B2EB" w:rsidR="00352012" w:rsidRPr="0040316C" w:rsidRDefault="00352012" w:rsidP="00220857">
      <w:pPr>
        <w:spacing w:after="0" w:line="312" w:lineRule="auto"/>
        <w:jc w:val="both"/>
        <w:rPr>
          <w:bCs/>
          <w:sz w:val="20"/>
          <w:szCs w:val="20"/>
        </w:rPr>
      </w:pPr>
      <w:r w:rsidRPr="0040316C">
        <w:rPr>
          <w:b/>
          <w:bCs/>
          <w:sz w:val="20"/>
          <w:szCs w:val="20"/>
        </w:rPr>
        <w:t>zákon o samosprávnych krajoch</w:t>
      </w:r>
      <w:r w:rsidRPr="0040316C">
        <w:rPr>
          <w:bCs/>
          <w:sz w:val="20"/>
          <w:szCs w:val="20"/>
        </w:rPr>
        <w:t xml:space="preserve"> </w:t>
      </w:r>
      <w:r w:rsidRPr="0040316C">
        <w:rPr>
          <w:b/>
          <w:bCs/>
          <w:sz w:val="20"/>
          <w:szCs w:val="20"/>
        </w:rPr>
        <w:t>-</w:t>
      </w:r>
      <w:r w:rsidR="00E17549" w:rsidRPr="0040316C">
        <w:rPr>
          <w:bCs/>
          <w:sz w:val="20"/>
          <w:szCs w:val="20"/>
        </w:rPr>
        <w:t xml:space="preserve"> zákon č. </w:t>
      </w:r>
      <w:r w:rsidR="00F45414" w:rsidRPr="0040316C">
        <w:rPr>
          <w:bCs/>
          <w:sz w:val="20"/>
          <w:szCs w:val="20"/>
        </w:rPr>
        <w:t>302/2001 </w:t>
      </w:r>
      <w:r w:rsidRPr="0040316C">
        <w:rPr>
          <w:bCs/>
          <w:sz w:val="20"/>
          <w:szCs w:val="20"/>
        </w:rPr>
        <w:t>Z.</w:t>
      </w:r>
      <w:r w:rsidR="00F45414" w:rsidRPr="0040316C">
        <w:rPr>
          <w:bCs/>
          <w:sz w:val="20"/>
          <w:szCs w:val="20"/>
        </w:rPr>
        <w:t> </w:t>
      </w:r>
      <w:r w:rsidRPr="0040316C">
        <w:rPr>
          <w:bCs/>
          <w:sz w:val="20"/>
          <w:szCs w:val="20"/>
        </w:rPr>
        <w:t>z. o samospráve vyšších územných celkov v znení neskorších predpisov</w:t>
      </w:r>
    </w:p>
    <w:p w14:paraId="6EB312C0" w14:textId="35BDBACE" w:rsidR="00352012" w:rsidRPr="0040316C" w:rsidRDefault="00352012" w:rsidP="00220857">
      <w:pPr>
        <w:spacing w:after="0" w:line="312" w:lineRule="auto"/>
        <w:jc w:val="both"/>
        <w:rPr>
          <w:bCs/>
          <w:sz w:val="20"/>
          <w:szCs w:val="20"/>
        </w:rPr>
      </w:pPr>
      <w:r w:rsidRPr="0040316C">
        <w:rPr>
          <w:b/>
          <w:sz w:val="20"/>
          <w:szCs w:val="20"/>
        </w:rPr>
        <w:t>zákon o Sociálnej poisťovni</w:t>
      </w:r>
      <w:r w:rsidRPr="0040316C">
        <w:rPr>
          <w:sz w:val="20"/>
          <w:szCs w:val="20"/>
        </w:rPr>
        <w:t xml:space="preserve"> </w:t>
      </w:r>
      <w:r w:rsidRPr="0040316C">
        <w:rPr>
          <w:bCs/>
          <w:sz w:val="20"/>
          <w:szCs w:val="20"/>
        </w:rPr>
        <w:t xml:space="preserve">– </w:t>
      </w:r>
      <w:r w:rsidRPr="0040316C">
        <w:rPr>
          <w:sz w:val="20"/>
          <w:szCs w:val="20"/>
        </w:rPr>
        <w:t>zákon č.</w:t>
      </w:r>
      <w:r w:rsidR="00E17549" w:rsidRPr="0040316C">
        <w:rPr>
          <w:sz w:val="20"/>
          <w:szCs w:val="20"/>
        </w:rPr>
        <w:t> </w:t>
      </w:r>
      <w:r w:rsidR="00F45414" w:rsidRPr="0040316C">
        <w:rPr>
          <w:sz w:val="20"/>
          <w:szCs w:val="20"/>
        </w:rPr>
        <w:t>274/1994 </w:t>
      </w:r>
      <w:r w:rsidRPr="0040316C">
        <w:rPr>
          <w:sz w:val="20"/>
          <w:szCs w:val="20"/>
        </w:rPr>
        <w:t xml:space="preserve">Z. z. o Sociálnej poisťovni </w:t>
      </w:r>
      <w:r w:rsidRPr="0040316C">
        <w:rPr>
          <w:bCs/>
          <w:sz w:val="20"/>
          <w:szCs w:val="20"/>
        </w:rPr>
        <w:t>v znení neskorších predpisov</w:t>
      </w:r>
    </w:p>
    <w:p w14:paraId="66E34BCF" w14:textId="53B5F4EF" w:rsidR="00352012" w:rsidRPr="0040316C" w:rsidRDefault="00352012" w:rsidP="00220857">
      <w:pPr>
        <w:spacing w:after="0" w:line="312" w:lineRule="auto"/>
        <w:jc w:val="both"/>
        <w:rPr>
          <w:bCs/>
          <w:sz w:val="20"/>
          <w:szCs w:val="20"/>
        </w:rPr>
      </w:pPr>
      <w:r w:rsidRPr="0040316C">
        <w:rPr>
          <w:b/>
          <w:sz w:val="20"/>
          <w:szCs w:val="20"/>
        </w:rPr>
        <w:t xml:space="preserve">zákon </w:t>
      </w:r>
      <w:r w:rsidRPr="0040316C">
        <w:rPr>
          <w:b/>
          <w:bCs/>
          <w:sz w:val="20"/>
          <w:szCs w:val="20"/>
        </w:rPr>
        <w:t>o zdravotných poisťovniach</w:t>
      </w:r>
      <w:r w:rsidRPr="0040316C">
        <w:rPr>
          <w:bCs/>
          <w:sz w:val="20"/>
          <w:szCs w:val="20"/>
        </w:rPr>
        <w:t xml:space="preserve"> </w:t>
      </w:r>
      <w:r w:rsidRPr="0040316C">
        <w:rPr>
          <w:b/>
          <w:bCs/>
          <w:sz w:val="20"/>
          <w:szCs w:val="20"/>
        </w:rPr>
        <w:t>-</w:t>
      </w:r>
      <w:r w:rsidRPr="0040316C">
        <w:rPr>
          <w:bCs/>
          <w:sz w:val="20"/>
          <w:szCs w:val="20"/>
        </w:rPr>
        <w:t xml:space="preserve"> </w:t>
      </w:r>
      <w:r w:rsidRPr="0040316C">
        <w:rPr>
          <w:sz w:val="20"/>
          <w:szCs w:val="20"/>
        </w:rPr>
        <w:t>zákon č.</w:t>
      </w:r>
      <w:r w:rsidR="00E17549" w:rsidRPr="0040316C">
        <w:rPr>
          <w:sz w:val="20"/>
          <w:szCs w:val="20"/>
        </w:rPr>
        <w:t> </w:t>
      </w:r>
      <w:r w:rsidRPr="0040316C">
        <w:rPr>
          <w:bCs/>
          <w:sz w:val="20"/>
          <w:szCs w:val="20"/>
        </w:rPr>
        <w:t>581/</w:t>
      </w:r>
      <w:r w:rsidRPr="0040316C">
        <w:rPr>
          <w:sz w:val="20"/>
          <w:szCs w:val="20"/>
        </w:rPr>
        <w:t>2004</w:t>
      </w:r>
      <w:r w:rsidR="00F45414" w:rsidRPr="0040316C">
        <w:rPr>
          <w:sz w:val="20"/>
          <w:szCs w:val="20"/>
        </w:rPr>
        <w:t> </w:t>
      </w:r>
      <w:r w:rsidRPr="0040316C">
        <w:rPr>
          <w:sz w:val="20"/>
          <w:szCs w:val="20"/>
        </w:rPr>
        <w:t>Z.</w:t>
      </w:r>
      <w:r w:rsidR="00F45414" w:rsidRPr="0040316C">
        <w:rPr>
          <w:sz w:val="20"/>
          <w:szCs w:val="20"/>
        </w:rPr>
        <w:t> </w:t>
      </w:r>
      <w:r w:rsidRPr="0040316C">
        <w:rPr>
          <w:sz w:val="20"/>
          <w:szCs w:val="20"/>
        </w:rPr>
        <w:t xml:space="preserve">z. </w:t>
      </w:r>
      <w:r w:rsidRPr="0040316C">
        <w:rPr>
          <w:bCs/>
          <w:sz w:val="20"/>
          <w:szCs w:val="20"/>
        </w:rPr>
        <w:t>o zdravotných poisťovniach, dohľade nad</w:t>
      </w:r>
      <w:r w:rsidR="00627A8D" w:rsidRPr="0040316C">
        <w:rPr>
          <w:bCs/>
          <w:sz w:val="20"/>
          <w:szCs w:val="20"/>
        </w:rPr>
        <w:t> </w:t>
      </w:r>
      <w:r w:rsidR="00E17549" w:rsidRPr="0040316C">
        <w:rPr>
          <w:bCs/>
          <w:sz w:val="20"/>
          <w:szCs w:val="20"/>
        </w:rPr>
        <w:t>zdravotnou starostlivosťou a o </w:t>
      </w:r>
      <w:r w:rsidR="00627A8D" w:rsidRPr="0040316C">
        <w:rPr>
          <w:bCs/>
          <w:sz w:val="20"/>
          <w:szCs w:val="20"/>
        </w:rPr>
        <w:t>zmene a </w:t>
      </w:r>
      <w:r w:rsidRPr="0040316C">
        <w:rPr>
          <w:bCs/>
          <w:sz w:val="20"/>
          <w:szCs w:val="20"/>
        </w:rPr>
        <w:t>doplnení niektorých zákonov v znení neskorších predpisov</w:t>
      </w:r>
    </w:p>
    <w:p w14:paraId="5C3604F5" w14:textId="4E7260CD" w:rsidR="00661C75" w:rsidRPr="0040316C" w:rsidRDefault="00352012" w:rsidP="00220857">
      <w:pPr>
        <w:spacing w:after="0" w:line="312" w:lineRule="auto"/>
        <w:jc w:val="both"/>
        <w:rPr>
          <w:bCs/>
          <w:sz w:val="20"/>
          <w:szCs w:val="20"/>
        </w:rPr>
      </w:pPr>
      <w:r w:rsidRPr="0040316C">
        <w:rPr>
          <w:b/>
          <w:bCs/>
          <w:sz w:val="20"/>
          <w:szCs w:val="20"/>
        </w:rPr>
        <w:t>zákon o audítoroch -</w:t>
      </w:r>
      <w:r w:rsidRPr="0040316C">
        <w:rPr>
          <w:bCs/>
          <w:sz w:val="20"/>
          <w:szCs w:val="20"/>
        </w:rPr>
        <w:t xml:space="preserve"> </w:t>
      </w:r>
      <w:r w:rsidRPr="0040316C">
        <w:rPr>
          <w:sz w:val="20"/>
          <w:szCs w:val="20"/>
        </w:rPr>
        <w:t>zákon č.</w:t>
      </w:r>
      <w:r w:rsidR="00F45414" w:rsidRPr="0040316C">
        <w:rPr>
          <w:sz w:val="20"/>
          <w:szCs w:val="20"/>
        </w:rPr>
        <w:t> 540/2007 </w:t>
      </w:r>
      <w:r w:rsidRPr="0040316C">
        <w:rPr>
          <w:sz w:val="20"/>
          <w:szCs w:val="20"/>
        </w:rPr>
        <w:t>Z.</w:t>
      </w:r>
      <w:r w:rsidR="00F45414" w:rsidRPr="0040316C">
        <w:rPr>
          <w:sz w:val="20"/>
          <w:szCs w:val="20"/>
        </w:rPr>
        <w:t> </w:t>
      </w:r>
      <w:r w:rsidRPr="0040316C">
        <w:rPr>
          <w:sz w:val="20"/>
          <w:szCs w:val="20"/>
        </w:rPr>
        <w:t xml:space="preserve">z. </w:t>
      </w:r>
      <w:r w:rsidR="00E17549" w:rsidRPr="0040316C">
        <w:rPr>
          <w:bCs/>
          <w:sz w:val="20"/>
          <w:szCs w:val="20"/>
        </w:rPr>
        <w:t>o </w:t>
      </w:r>
      <w:r w:rsidRPr="0040316C">
        <w:rPr>
          <w:bCs/>
          <w:sz w:val="20"/>
          <w:szCs w:val="20"/>
        </w:rPr>
        <w:t>a</w:t>
      </w:r>
      <w:r w:rsidR="00F45414" w:rsidRPr="0040316C">
        <w:rPr>
          <w:bCs/>
          <w:sz w:val="20"/>
          <w:szCs w:val="20"/>
        </w:rPr>
        <w:t>udítoroch, audite a dohľade nad </w:t>
      </w:r>
      <w:r w:rsidR="00627A8D" w:rsidRPr="0040316C">
        <w:rPr>
          <w:bCs/>
          <w:sz w:val="20"/>
          <w:szCs w:val="20"/>
        </w:rPr>
        <w:t>výkonom auditu a o </w:t>
      </w:r>
      <w:r w:rsidRPr="0040316C">
        <w:rPr>
          <w:bCs/>
          <w:sz w:val="20"/>
          <w:szCs w:val="20"/>
        </w:rPr>
        <w:t>zmene a</w:t>
      </w:r>
      <w:r w:rsidR="00627A8D" w:rsidRPr="0040316C">
        <w:rPr>
          <w:bCs/>
          <w:sz w:val="20"/>
          <w:szCs w:val="20"/>
        </w:rPr>
        <w:t> </w:t>
      </w:r>
      <w:r w:rsidRPr="0040316C">
        <w:rPr>
          <w:bCs/>
          <w:sz w:val="20"/>
          <w:szCs w:val="20"/>
        </w:rPr>
        <w:t>doplnení zákona č.</w:t>
      </w:r>
      <w:r w:rsidR="00F45414" w:rsidRPr="0040316C">
        <w:rPr>
          <w:bCs/>
          <w:sz w:val="20"/>
          <w:szCs w:val="20"/>
        </w:rPr>
        <w:t> </w:t>
      </w:r>
      <w:r w:rsidRPr="0040316C">
        <w:rPr>
          <w:bCs/>
          <w:sz w:val="20"/>
          <w:szCs w:val="20"/>
        </w:rPr>
        <w:t>431/2002</w:t>
      </w:r>
      <w:r w:rsidR="00F45414" w:rsidRPr="0040316C">
        <w:rPr>
          <w:bCs/>
          <w:sz w:val="20"/>
          <w:szCs w:val="20"/>
        </w:rPr>
        <w:t> </w:t>
      </w:r>
      <w:r w:rsidRPr="0040316C">
        <w:rPr>
          <w:bCs/>
          <w:sz w:val="20"/>
          <w:szCs w:val="20"/>
        </w:rPr>
        <w:t>Z.</w:t>
      </w:r>
      <w:r w:rsidR="00F45414" w:rsidRPr="0040316C">
        <w:rPr>
          <w:bCs/>
          <w:sz w:val="20"/>
          <w:szCs w:val="20"/>
        </w:rPr>
        <w:t> z. o účtovníctve v </w:t>
      </w:r>
      <w:r w:rsidRPr="0040316C">
        <w:rPr>
          <w:bCs/>
          <w:sz w:val="20"/>
          <w:szCs w:val="20"/>
        </w:rPr>
        <w:t>znení neskorších predpisov</w:t>
      </w:r>
    </w:p>
    <w:p w14:paraId="7A6CB9BE" w14:textId="47140526" w:rsidR="00A605ED" w:rsidRPr="0040316C" w:rsidRDefault="00A605ED" w:rsidP="00A605ED">
      <w:pPr>
        <w:spacing w:after="0" w:line="312" w:lineRule="auto"/>
        <w:jc w:val="both"/>
        <w:rPr>
          <w:bCs/>
          <w:sz w:val="20"/>
          <w:szCs w:val="20"/>
        </w:rPr>
      </w:pPr>
      <w:r w:rsidRPr="0040316C">
        <w:rPr>
          <w:b/>
          <w:bCs/>
          <w:sz w:val="20"/>
          <w:szCs w:val="20"/>
        </w:rPr>
        <w:t>ZSE</w:t>
      </w:r>
      <w:r w:rsidR="00F45414" w:rsidRPr="0040316C">
        <w:rPr>
          <w:bCs/>
          <w:sz w:val="20"/>
          <w:szCs w:val="20"/>
        </w:rPr>
        <w:t xml:space="preserve"> – Západoslovenská energetika, </w:t>
      </w:r>
      <w:r w:rsidRPr="0040316C">
        <w:rPr>
          <w:bCs/>
          <w:sz w:val="20"/>
          <w:szCs w:val="20"/>
        </w:rPr>
        <w:t>a.</w:t>
      </w:r>
      <w:r w:rsidR="00F45414" w:rsidRPr="0040316C">
        <w:rPr>
          <w:bCs/>
          <w:sz w:val="20"/>
          <w:szCs w:val="20"/>
        </w:rPr>
        <w:t> </w:t>
      </w:r>
      <w:r w:rsidRPr="0040316C">
        <w:rPr>
          <w:bCs/>
          <w:sz w:val="20"/>
          <w:szCs w:val="20"/>
        </w:rPr>
        <w:t>s.</w:t>
      </w:r>
    </w:p>
    <w:p w14:paraId="66166A5B" w14:textId="36C20718" w:rsidR="00B6008D" w:rsidRPr="0040316C" w:rsidRDefault="00B6008D" w:rsidP="00A605ED">
      <w:pPr>
        <w:spacing w:after="0" w:line="312" w:lineRule="auto"/>
        <w:jc w:val="both"/>
        <w:rPr>
          <w:bCs/>
          <w:sz w:val="20"/>
          <w:szCs w:val="20"/>
        </w:rPr>
      </w:pPr>
      <w:r w:rsidRPr="0040316C">
        <w:rPr>
          <w:b/>
          <w:bCs/>
          <w:sz w:val="20"/>
          <w:szCs w:val="20"/>
        </w:rPr>
        <w:t>ZSSK</w:t>
      </w:r>
      <w:r w:rsidRPr="0040316C">
        <w:rPr>
          <w:bCs/>
          <w:sz w:val="20"/>
          <w:szCs w:val="20"/>
        </w:rPr>
        <w:t xml:space="preserve"> – Ž</w:t>
      </w:r>
      <w:r w:rsidR="00970EC7">
        <w:rPr>
          <w:bCs/>
          <w:sz w:val="20"/>
          <w:szCs w:val="20"/>
        </w:rPr>
        <w:t>elezničná spoločnosť Slovensko, </w:t>
      </w:r>
      <w:r w:rsidRPr="0040316C">
        <w:rPr>
          <w:bCs/>
          <w:sz w:val="20"/>
          <w:szCs w:val="20"/>
        </w:rPr>
        <w:t>a. s.</w:t>
      </w:r>
    </w:p>
    <w:p w14:paraId="081351D9" w14:textId="45C6E1EC" w:rsidR="00DD0C52" w:rsidRPr="0040316C" w:rsidRDefault="00661C75" w:rsidP="00A918F3">
      <w:pPr>
        <w:spacing w:after="0" w:line="312" w:lineRule="auto"/>
        <w:jc w:val="both"/>
        <w:rPr>
          <w:sz w:val="20"/>
          <w:szCs w:val="20"/>
        </w:rPr>
      </w:pPr>
      <w:r w:rsidRPr="0040316C">
        <w:rPr>
          <w:b/>
          <w:bCs/>
          <w:sz w:val="20"/>
          <w:szCs w:val="20"/>
        </w:rPr>
        <w:t>ŽKV</w:t>
      </w:r>
      <w:r w:rsidRPr="0040316C">
        <w:rPr>
          <w:b/>
          <w:sz w:val="20"/>
          <w:szCs w:val="20"/>
        </w:rPr>
        <w:t xml:space="preserve"> </w:t>
      </w:r>
      <w:r w:rsidRPr="0040316C">
        <w:rPr>
          <w:sz w:val="20"/>
          <w:szCs w:val="20"/>
        </w:rPr>
        <w:t>–</w:t>
      </w:r>
      <w:r w:rsidR="00CE6D16" w:rsidRPr="0040316C">
        <w:rPr>
          <w:sz w:val="20"/>
          <w:szCs w:val="20"/>
        </w:rPr>
        <w:t xml:space="preserve"> </w:t>
      </w:r>
      <w:r w:rsidRPr="0040316C">
        <w:rPr>
          <w:sz w:val="20"/>
          <w:szCs w:val="20"/>
        </w:rPr>
        <w:t>železničné koľajové vozidlá</w:t>
      </w:r>
    </w:p>
    <w:p w14:paraId="79D5E5F6" w14:textId="49EB8422" w:rsidR="00B6008D" w:rsidRPr="0040316C" w:rsidRDefault="00B6008D" w:rsidP="00A918F3">
      <w:pPr>
        <w:spacing w:after="0" w:line="312" w:lineRule="auto"/>
        <w:jc w:val="both"/>
        <w:rPr>
          <w:rFonts w:eastAsiaTheme="majorEastAsia"/>
          <w:b/>
          <w:bCs/>
          <w:sz w:val="20"/>
          <w:szCs w:val="20"/>
        </w:rPr>
      </w:pPr>
      <w:r w:rsidRPr="0040316C">
        <w:rPr>
          <w:b/>
          <w:sz w:val="20"/>
          <w:szCs w:val="20"/>
        </w:rPr>
        <w:t>ŽSR</w:t>
      </w:r>
      <w:r w:rsidRPr="0040316C">
        <w:rPr>
          <w:sz w:val="20"/>
          <w:szCs w:val="20"/>
        </w:rPr>
        <w:t xml:space="preserve"> – Železnice Slovenskej republiky</w:t>
      </w:r>
    </w:p>
    <w:sectPr w:rsidR="00B6008D" w:rsidRPr="0040316C" w:rsidSect="00A918F3">
      <w:footerReference w:type="default" r:id="rId22"/>
      <w:pgSz w:w="11906" w:h="16838" w:code="9"/>
      <w:pgMar w:top="1418" w:right="851" w:bottom="1418" w:left="1134" w:header="709" w:footer="709" w:gutter="567"/>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E3697" w14:textId="77777777" w:rsidR="002D19D1" w:rsidRDefault="002D19D1" w:rsidP="007304A5">
      <w:pPr>
        <w:spacing w:after="0" w:line="240" w:lineRule="auto"/>
      </w:pPr>
      <w:r>
        <w:separator/>
      </w:r>
    </w:p>
    <w:p w14:paraId="72A0E464" w14:textId="77777777" w:rsidR="002D19D1" w:rsidRDefault="002D19D1"/>
    <w:p w14:paraId="2166D09C" w14:textId="77777777" w:rsidR="002D19D1" w:rsidRDefault="002D19D1" w:rsidP="00F201D1"/>
  </w:endnote>
  <w:endnote w:type="continuationSeparator" w:id="0">
    <w:p w14:paraId="2341198C" w14:textId="77777777" w:rsidR="002D19D1" w:rsidRDefault="002D19D1" w:rsidP="007304A5">
      <w:pPr>
        <w:spacing w:after="0" w:line="240" w:lineRule="auto"/>
      </w:pPr>
      <w:r>
        <w:continuationSeparator/>
      </w:r>
    </w:p>
    <w:p w14:paraId="137DDE77" w14:textId="77777777" w:rsidR="002D19D1" w:rsidRDefault="002D19D1"/>
    <w:p w14:paraId="5ECC2B7C" w14:textId="77777777" w:rsidR="002D19D1" w:rsidRDefault="002D19D1" w:rsidP="00F201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Dutch801 SWC">
    <w:altName w:val="Times New Roman"/>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AT* Times New Roman">
    <w:altName w:val="Courier New"/>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 Itc TCE">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5C8CD" w14:textId="77777777" w:rsidR="002D19D1" w:rsidRDefault="002D19D1">
    <w:pPr>
      <w:pStyle w:val="Pta"/>
      <w:jc w:val="center"/>
    </w:pPr>
  </w:p>
  <w:p w14:paraId="6B352315" w14:textId="77777777" w:rsidR="002D19D1" w:rsidRDefault="002D19D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D2D7D" w14:textId="7A79641F" w:rsidR="002D19D1" w:rsidRPr="002B7C16" w:rsidRDefault="002D19D1">
    <w:pPr>
      <w:pStyle w:val="Pta"/>
      <w:jc w:val="center"/>
      <w:rPr>
        <w:sz w:val="20"/>
        <w:szCs w:val="20"/>
      </w:rPr>
    </w:pPr>
    <w:r w:rsidRPr="002B7C16">
      <w:rPr>
        <w:sz w:val="20"/>
        <w:szCs w:val="20"/>
      </w:rPr>
      <w:fldChar w:fldCharType="begin"/>
    </w:r>
    <w:r w:rsidRPr="001C7146">
      <w:rPr>
        <w:sz w:val="20"/>
        <w:szCs w:val="20"/>
      </w:rPr>
      <w:instrText>PAGE   \* MERGEFORMAT</w:instrText>
    </w:r>
    <w:r w:rsidRPr="002B7C16">
      <w:rPr>
        <w:sz w:val="20"/>
        <w:szCs w:val="20"/>
      </w:rPr>
      <w:fldChar w:fldCharType="separate"/>
    </w:r>
    <w:r w:rsidR="00C1557D">
      <w:rPr>
        <w:noProof/>
        <w:sz w:val="20"/>
        <w:szCs w:val="20"/>
      </w:rPr>
      <w:t>3</w:t>
    </w:r>
    <w:r w:rsidRPr="002B7C16">
      <w:rPr>
        <w:sz w:val="20"/>
        <w:szCs w:val="20"/>
      </w:rPr>
      <w:fldChar w:fldCharType="end"/>
    </w:r>
  </w:p>
  <w:p w14:paraId="694715F5" w14:textId="77777777" w:rsidR="002D19D1" w:rsidRDefault="002D19D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4F70C" w14:textId="36C1921E" w:rsidR="002D19D1" w:rsidRPr="007251D7" w:rsidRDefault="002D19D1">
    <w:pPr>
      <w:pStyle w:val="Pta"/>
      <w:jc w:val="center"/>
      <w:rPr>
        <w:sz w:val="20"/>
        <w:szCs w:val="20"/>
      </w:rPr>
    </w:pPr>
    <w:r w:rsidRPr="00C55223">
      <w:rPr>
        <w:szCs w:val="22"/>
      </w:rPr>
      <w:fldChar w:fldCharType="begin"/>
    </w:r>
    <w:r w:rsidRPr="00C55223">
      <w:rPr>
        <w:szCs w:val="22"/>
      </w:rPr>
      <w:instrText>PAGE   \* MERGEFORMAT</w:instrText>
    </w:r>
    <w:r w:rsidRPr="00C55223">
      <w:rPr>
        <w:szCs w:val="22"/>
      </w:rPr>
      <w:fldChar w:fldCharType="separate"/>
    </w:r>
    <w:r w:rsidR="00C1557D">
      <w:rPr>
        <w:noProof/>
        <w:szCs w:val="22"/>
      </w:rPr>
      <w:t>5</w:t>
    </w:r>
    <w:r w:rsidR="00C1557D">
      <w:rPr>
        <w:noProof/>
        <w:szCs w:val="22"/>
      </w:rPr>
      <w:t>5</w:t>
    </w:r>
    <w:r w:rsidRPr="00C55223">
      <w:rPr>
        <w:szCs w:val="22"/>
      </w:rPr>
      <w:fldChar w:fldCharType="end"/>
    </w:r>
  </w:p>
  <w:p w14:paraId="6FB65834" w14:textId="77777777" w:rsidR="002D19D1" w:rsidRDefault="002D19D1">
    <w:pPr>
      <w:pStyle w:val="Pta"/>
    </w:pPr>
  </w:p>
  <w:p w14:paraId="4162C2B8" w14:textId="77777777" w:rsidR="002D19D1" w:rsidRDefault="002D19D1"/>
  <w:p w14:paraId="04D4E231" w14:textId="77777777" w:rsidR="002D19D1" w:rsidRDefault="002D19D1" w:rsidP="00F201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0EA74" w14:textId="77777777" w:rsidR="002D19D1" w:rsidRDefault="002D19D1" w:rsidP="007304A5">
      <w:pPr>
        <w:spacing w:after="0" w:line="240" w:lineRule="auto"/>
      </w:pPr>
      <w:r>
        <w:separator/>
      </w:r>
    </w:p>
  </w:footnote>
  <w:footnote w:type="continuationSeparator" w:id="0">
    <w:p w14:paraId="68ACB3CA" w14:textId="77777777" w:rsidR="002D19D1" w:rsidRDefault="002D19D1" w:rsidP="007304A5">
      <w:pPr>
        <w:spacing w:after="0" w:line="240" w:lineRule="auto"/>
      </w:pPr>
      <w:r>
        <w:continuationSeparator/>
      </w:r>
    </w:p>
    <w:p w14:paraId="447A2D91" w14:textId="77777777" w:rsidR="002D19D1" w:rsidRDefault="002D19D1"/>
    <w:p w14:paraId="1E32DDB5" w14:textId="77777777" w:rsidR="002D19D1" w:rsidRDefault="002D19D1" w:rsidP="00F201D1"/>
  </w:footnote>
  <w:footnote w:id="1">
    <w:p w14:paraId="66B4070F" w14:textId="5AF3EA3C"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Nariadenie Európskeho parlamentu a Rady (EÚ) č. 549/2013 z 21. mája 2013 o európskom systéme národných a regionálnych účtov v Európskej únii (Ú. v. v platnom znení EÚ L 174, 26. 06. 2013).</w:t>
      </w:r>
    </w:p>
  </w:footnote>
  <w:footnote w:id="2">
    <w:p w14:paraId="68659790" w14:textId="6238F8A0"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 xml:space="preserve">Podrobná štatistika je zverejňovaná a aktualizovaná na stránke ŠÚ SR </w:t>
      </w:r>
      <w:hyperlink r:id="rId1" w:history="1">
        <w:r w:rsidRPr="009C4C76">
          <w:rPr>
            <w:rStyle w:val="Hypertextovprepojenie"/>
            <w:color w:val="548DD4" w:themeColor="text2" w:themeTint="99"/>
            <w:sz w:val="18"/>
            <w:szCs w:val="18"/>
          </w:rPr>
          <w:t>http://datacube.statistics.sk/</w:t>
        </w:r>
      </w:hyperlink>
    </w:p>
  </w:footnote>
  <w:footnote w:id="3">
    <w:p w14:paraId="4EACC077" w14:textId="526B840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hyperlink r:id="rId2" w:history="1">
        <w:r w:rsidRPr="009C4C76">
          <w:rPr>
            <w:rStyle w:val="Hypertextovprepojenie"/>
            <w:color w:val="548DD4" w:themeColor="text2" w:themeTint="99"/>
            <w:sz w:val="18"/>
            <w:szCs w:val="18"/>
          </w:rPr>
          <w:t>www.statistics.sk</w:t>
        </w:r>
      </w:hyperlink>
    </w:p>
  </w:footnote>
  <w:footnote w:id="4">
    <w:p w14:paraId="21C2FCD7" w14:textId="2ACC6D8C"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hyperlink r:id="rId3" w:history="1">
        <w:r w:rsidRPr="009C4C76">
          <w:rPr>
            <w:rStyle w:val="Hypertextovprepojenie"/>
            <w:color w:val="548DD4" w:themeColor="text2" w:themeTint="99"/>
            <w:sz w:val="18"/>
            <w:szCs w:val="18"/>
          </w:rPr>
          <w:t>https://eur-lex.europa.eu/legal-content/SK</w:t>
        </w:r>
      </w:hyperlink>
    </w:p>
    <w:p w14:paraId="6C082A7D" w14:textId="77777777" w:rsidR="002D19D1" w:rsidRPr="009C4C76" w:rsidRDefault="002D19D1" w:rsidP="009037BB">
      <w:pPr>
        <w:pStyle w:val="Textpoznmkypodiarou"/>
        <w:jc w:val="both"/>
        <w:rPr>
          <w:sz w:val="18"/>
          <w:szCs w:val="18"/>
        </w:rPr>
      </w:pPr>
    </w:p>
  </w:footnote>
  <w:footnote w:id="5">
    <w:p w14:paraId="1CF01592" w14:textId="67E6053A" w:rsidR="002D19D1" w:rsidRPr="009C4C76" w:rsidRDefault="002D19D1" w:rsidP="009037BB">
      <w:pPr>
        <w:widowControl w:val="0"/>
        <w:spacing w:after="0" w:line="240" w:lineRule="auto"/>
        <w:jc w:val="both"/>
        <w:rPr>
          <w:sz w:val="18"/>
          <w:szCs w:val="18"/>
        </w:rPr>
      </w:pPr>
      <w:r w:rsidRPr="009C4C76">
        <w:rPr>
          <w:rStyle w:val="Odkaznapoznmkupodiarou"/>
          <w:sz w:val="18"/>
          <w:szCs w:val="18"/>
        </w:rPr>
        <w:footnoteRef/>
      </w:r>
      <w:r w:rsidRPr="009C4C76">
        <w:rPr>
          <w:sz w:val="18"/>
          <w:szCs w:val="18"/>
        </w:rPr>
        <w:t xml:space="preserve"> </w:t>
      </w:r>
      <w:r w:rsidRPr="009C4C76">
        <w:rPr>
          <w:b/>
          <w:i/>
          <w:sz w:val="18"/>
          <w:szCs w:val="18"/>
        </w:rPr>
        <w:t xml:space="preserve">Aktualizácie </w:t>
      </w:r>
      <w:r w:rsidRPr="009C4C76">
        <w:rPr>
          <w:sz w:val="18"/>
          <w:szCs w:val="18"/>
        </w:rPr>
        <w:t>spresňujú už vyčíslené hodnoty príjmov, výdavkov alebo pohľadávok a záväzkov na základe údajov, ktoré v čase jarnej notifikácie objektívne nemohli byť k dispozícii. Ide napríklad o daňové priznania, výsledok zúčtovania sociálnych a zdravotných odvodov a ďalšie.</w:t>
      </w:r>
    </w:p>
    <w:p w14:paraId="3C1CD574" w14:textId="018E3E6F" w:rsidR="002D19D1" w:rsidRPr="009C4C76" w:rsidRDefault="002D19D1" w:rsidP="009037BB">
      <w:pPr>
        <w:widowControl w:val="0"/>
        <w:spacing w:after="0" w:line="240" w:lineRule="auto"/>
        <w:jc w:val="both"/>
        <w:rPr>
          <w:sz w:val="18"/>
          <w:szCs w:val="18"/>
          <w:u w:val="single"/>
        </w:rPr>
      </w:pPr>
      <w:r w:rsidRPr="009C4C76">
        <w:rPr>
          <w:b/>
          <w:i/>
          <w:sz w:val="18"/>
          <w:szCs w:val="18"/>
        </w:rPr>
        <w:t xml:space="preserve">Imputácie </w:t>
      </w:r>
      <w:r w:rsidRPr="009C4C76">
        <w:rPr>
          <w:sz w:val="18"/>
          <w:szCs w:val="18"/>
        </w:rPr>
        <w:t>predstavujú takisto aktualizáciu údajov o hodnoty, ktoré ešte neboli predmetom štatistického vykazovania. Napríklad nový záväzok, nová pohľadávka, o ktorých sa podľa národnej metodiky neúčtuje ale podľa metodiky ESA 2010 je nutné ich zohľadniť do obdobia, s ktorým časovo a vecne súvisia.</w:t>
      </w:r>
    </w:p>
  </w:footnote>
  <w:footnote w:id="6">
    <w:p w14:paraId="3EA3C6E2" w14:textId="1C52B6E7" w:rsidR="002D19D1" w:rsidRPr="009C4C76" w:rsidRDefault="002D19D1" w:rsidP="009037BB">
      <w:pPr>
        <w:pStyle w:val="Textpoznmkypodiarou"/>
        <w:jc w:val="both"/>
        <w:rPr>
          <w:color w:val="548DD4" w:themeColor="text2" w:themeTint="99"/>
          <w:sz w:val="18"/>
          <w:szCs w:val="18"/>
        </w:rPr>
      </w:pPr>
      <w:r w:rsidRPr="009C4C76">
        <w:rPr>
          <w:rStyle w:val="Odkaznapoznmkupodiarou"/>
          <w:sz w:val="18"/>
          <w:szCs w:val="18"/>
        </w:rPr>
        <w:footnoteRef/>
      </w:r>
      <w:r w:rsidRPr="009C4C76">
        <w:rPr>
          <w:sz w:val="18"/>
          <w:szCs w:val="18"/>
        </w:rPr>
        <w:t xml:space="preserve"> </w:t>
      </w:r>
      <w:hyperlink r:id="rId4" w:history="1">
        <w:r w:rsidRPr="009C4C76">
          <w:rPr>
            <w:rStyle w:val="Hypertextovprepojenie"/>
            <w:color w:val="548DD4" w:themeColor="text2" w:themeTint="99"/>
            <w:sz w:val="18"/>
            <w:szCs w:val="18"/>
          </w:rPr>
          <w:t>https://www.aspi.sk/products/lawText/1/99837/1/2/zakon-c-519-2022</w:t>
        </w:r>
      </w:hyperlink>
    </w:p>
    <w:p w14:paraId="5177DFFD" w14:textId="77777777" w:rsidR="002D19D1" w:rsidRPr="009C4C76" w:rsidRDefault="002D19D1" w:rsidP="009037BB">
      <w:pPr>
        <w:pStyle w:val="Textpoznmkypodiarou"/>
        <w:jc w:val="both"/>
        <w:rPr>
          <w:sz w:val="18"/>
          <w:szCs w:val="18"/>
        </w:rPr>
      </w:pPr>
    </w:p>
  </w:footnote>
  <w:footnote w:id="7">
    <w:p w14:paraId="6081E378" w14:textId="2975195C"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hyperlink r:id="rId5" w:history="1">
        <w:r w:rsidRPr="009C4C76">
          <w:rPr>
            <w:rStyle w:val="Hypertextovprepojenie"/>
            <w:color w:val="548DD4" w:themeColor="text2" w:themeTint="99"/>
            <w:sz w:val="18"/>
            <w:szCs w:val="18"/>
          </w:rPr>
          <w:t>https://s-circabc.europa.eu/ui/group</w:t>
        </w:r>
      </w:hyperlink>
    </w:p>
  </w:footnote>
  <w:footnote w:id="8">
    <w:p w14:paraId="2C1D3DD3" w14:textId="2E91429A" w:rsidR="002D19D1" w:rsidRDefault="002D19D1">
      <w:pPr>
        <w:pStyle w:val="Textpoznmkypodiarou"/>
      </w:pPr>
      <w:r>
        <w:rPr>
          <w:rStyle w:val="Odkaznapoznmkupodiarou"/>
        </w:rPr>
        <w:footnoteRef/>
      </w:r>
      <w:r>
        <w:t xml:space="preserve"> </w:t>
      </w:r>
      <w:r w:rsidRPr="00F80F51">
        <w:rPr>
          <w:sz w:val="18"/>
          <w:szCs w:val="18"/>
        </w:rPr>
        <w:t>Prvýkrát vyplatený v polovici roka podľa výšky dôchodku (od 50 do 300 eur), druhýkrát vyplatený na konci r</w:t>
      </w:r>
      <w:r>
        <w:rPr>
          <w:sz w:val="18"/>
          <w:szCs w:val="18"/>
        </w:rPr>
        <w:t>o</w:t>
      </w:r>
      <w:r w:rsidRPr="00F80F51">
        <w:rPr>
          <w:sz w:val="18"/>
          <w:szCs w:val="18"/>
        </w:rPr>
        <w:t>ka vo výške 300</w:t>
      </w:r>
      <w:r>
        <w:rPr>
          <w:sz w:val="18"/>
          <w:szCs w:val="18"/>
        </w:rPr>
        <w:t> </w:t>
      </w:r>
      <w:r w:rsidRPr="00F80F51">
        <w:rPr>
          <w:sz w:val="18"/>
          <w:szCs w:val="18"/>
        </w:rPr>
        <w:t>eur.</w:t>
      </w:r>
    </w:p>
  </w:footnote>
  <w:footnote w:id="9">
    <w:p w14:paraId="5855C870" w14:textId="77777777" w:rsidR="002D19D1" w:rsidRPr="009C4C76" w:rsidRDefault="002D19D1" w:rsidP="001C4FC9">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Revízie ovplyvnili roky 1995 až 2019.</w:t>
      </w:r>
    </w:p>
  </w:footnote>
  <w:footnote w:id="10">
    <w:p w14:paraId="07CA3323" w14:textId="58A6F9D8"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hyperlink r:id="rId6" w:history="1">
        <w:r w:rsidRPr="009C4C76">
          <w:rPr>
            <w:rStyle w:val="Hypertextovprepojenie"/>
            <w:color w:val="548DD4" w:themeColor="text2" w:themeTint="99"/>
            <w:sz w:val="18"/>
            <w:szCs w:val="18"/>
          </w:rPr>
          <w:t>https://slovak.statistics.sk/wps/portal/ext/products/informationmessages/inf_sprava_detail</w:t>
        </w:r>
      </w:hyperlink>
    </w:p>
  </w:footnote>
  <w:footnote w:id="11">
    <w:p w14:paraId="6AE7BBB6" w14:textId="5B56952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hyperlink r:id="rId7" w:history="1">
        <w:r w:rsidRPr="009C4C76">
          <w:rPr>
            <w:rStyle w:val="Hypertextovprepojenie"/>
            <w:color w:val="548DD4" w:themeColor="text2" w:themeTint="99"/>
            <w:sz w:val="18"/>
            <w:szCs w:val="18"/>
          </w:rPr>
          <w:t>https://ec.europa.eu/eurostat/data/data-revision-policy</w:t>
        </w:r>
      </w:hyperlink>
    </w:p>
  </w:footnote>
  <w:footnote w:id="12">
    <w:p w14:paraId="6769E134" w14:textId="0D8601C6"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Ďalej v dokumente sú použité makroekonomické predpoklady schválené Výborom pre makroekonomické prognózy v septembri 2024, nakoľko detailná štruktúra ukazovateľov po jesennej revízii nie je aktuálne k dispozícii. Rast nominálneho HDP bol podľa schválenej prognózy 11,9 %.</w:t>
      </w:r>
    </w:p>
  </w:footnote>
  <w:footnote w:id="13">
    <w:p w14:paraId="38CEC7BD" w14:textId="098241E4"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Daňová kvóta je ukazovateľ, ktorý vyjadruje celkové daňové zaťaženie krajiny. Daňová kvóta 2 je podiel daní a odvodov na HDP.</w:t>
      </w:r>
    </w:p>
  </w:footnote>
  <w:footnote w:id="14">
    <w:p w14:paraId="477D71AF" w14:textId="2BF793B2"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Súčasťou spotrebných daní je aj výnos zo zelenej energie. Pri podpore zelenej energie vzniká časový nesúlad medzi „subvenciami“, ktoré poskytujú distribútori výrobcom pri nákupe energie a poplatkami, ktoré následne vyberú od konečných spotrebiteľov. Tento časový nesúlad má za následok aj rozdiel v cene elektrickej energie, pričom tento nesúlad by sa mal podľa metodiky ESA 2010 započítavať do deficitu. Zmena zvyšuje zároveň úroveň daňových príjmov aj subvencií. Výbor pre daňové prognózy tento vplyv nezahŕňal.</w:t>
      </w:r>
    </w:p>
  </w:footnote>
  <w:footnote w:id="15">
    <w:p w14:paraId="52AA4C6B" w14:textId="11F78659"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 xml:space="preserve">V zmysle </w:t>
      </w:r>
      <w:hyperlink r:id="rId8" w:history="1">
        <w:r w:rsidRPr="009C4C76">
          <w:rPr>
            <w:rStyle w:val="Hypertextovprepojenie"/>
            <w:color w:val="548DD4" w:themeColor="text2" w:themeTint="99"/>
            <w:sz w:val="18"/>
            <w:szCs w:val="18"/>
          </w:rPr>
          <w:t>zákona č. 580/2004</w:t>
        </w:r>
      </w:hyperlink>
      <w:r w:rsidRPr="009C4C76">
        <w:rPr>
          <w:sz w:val="18"/>
          <w:szCs w:val="18"/>
        </w:rPr>
        <w:t xml:space="preserve"> o zdravotnom poistení a o zmene a doplnení zákona č. 95/2002 Z. z. o poisťovníctve a o zmene a</w:t>
      </w:r>
      <w:r>
        <w:rPr>
          <w:sz w:val="18"/>
          <w:szCs w:val="18"/>
        </w:rPr>
        <w:t> </w:t>
      </w:r>
      <w:r w:rsidRPr="009C4C76">
        <w:rPr>
          <w:sz w:val="18"/>
          <w:szCs w:val="18"/>
        </w:rPr>
        <w:t>doplnení niektorých zákonov.</w:t>
      </w:r>
    </w:p>
  </w:footnote>
  <w:footnote w:id="16">
    <w:p w14:paraId="0DAA6750" w14:textId="2575A671" w:rsidR="002D19D1" w:rsidRPr="008F7AAF" w:rsidRDefault="002D19D1" w:rsidP="009037BB">
      <w:pPr>
        <w:pStyle w:val="Textpoznmkypodiarou"/>
        <w:jc w:val="both"/>
        <w:rPr>
          <w:sz w:val="18"/>
          <w:szCs w:val="18"/>
        </w:rPr>
      </w:pPr>
      <w:r w:rsidRPr="008F7AAF">
        <w:rPr>
          <w:rStyle w:val="Odkaznapoznmkupodiarou"/>
          <w:sz w:val="18"/>
          <w:szCs w:val="18"/>
        </w:rPr>
        <w:footnoteRef/>
      </w:r>
      <w:r w:rsidRPr="008F7AAF">
        <w:rPr>
          <w:sz w:val="18"/>
          <w:szCs w:val="18"/>
        </w:rPr>
        <w:t xml:space="preserve"> </w:t>
      </w:r>
      <w:r w:rsidRPr="008F7AAF">
        <w:rPr>
          <w:sz w:val="18"/>
          <w:szCs w:val="18"/>
        </w:rPr>
        <w:t>Podľa metodiky ESA 2010 platby za tovary a služby predávané za ekonomicky signifika</w:t>
      </w:r>
      <w:r>
        <w:rPr>
          <w:sz w:val="18"/>
          <w:szCs w:val="18"/>
        </w:rPr>
        <w:t>n</w:t>
      </w:r>
      <w:r w:rsidRPr="008F7AAF">
        <w:rPr>
          <w:sz w:val="18"/>
          <w:szCs w:val="18"/>
        </w:rPr>
        <w:t>tné ceny sa zaznamenávajú ako tržby.</w:t>
      </w:r>
    </w:p>
  </w:footnote>
  <w:footnote w:id="17">
    <w:p w14:paraId="007B8FDC" w14:textId="75A66203"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Fast care - (program Flexible Assistance for Territories – Flexibilná pomoc územiam) – CARE, podpora krajín a regiónov, ktoré prichýlili vysídlené osoby z Ukrajiny, ako aj o riešenie niektorých nepriaznivých hospodárskych vplyvov ruskej agresie.</w:t>
      </w:r>
    </w:p>
  </w:footnote>
  <w:footnote w:id="18">
    <w:p w14:paraId="19642B0D" w14:textId="174EC768" w:rsidR="002D19D1" w:rsidRPr="004D6DF5" w:rsidRDefault="002D19D1">
      <w:pPr>
        <w:pStyle w:val="Textpoznmkypodiarou"/>
        <w:rPr>
          <w:sz w:val="18"/>
          <w:szCs w:val="18"/>
        </w:rPr>
      </w:pPr>
      <w:r w:rsidRPr="004D6DF5">
        <w:rPr>
          <w:rStyle w:val="Odkaznapoznmkupodiarou"/>
          <w:sz w:val="18"/>
          <w:szCs w:val="18"/>
        </w:rPr>
        <w:footnoteRef/>
      </w:r>
      <w:r w:rsidRPr="004D6DF5">
        <w:rPr>
          <w:sz w:val="18"/>
          <w:szCs w:val="18"/>
        </w:rPr>
        <w:t xml:space="preserve"> </w:t>
      </w:r>
      <w:r>
        <w:rPr>
          <w:sz w:val="18"/>
          <w:szCs w:val="18"/>
        </w:rPr>
        <w:t xml:space="preserve">Uznesenie vlády </w:t>
      </w:r>
      <w:r w:rsidRPr="004D6DF5">
        <w:rPr>
          <w:sz w:val="18"/>
          <w:szCs w:val="18"/>
        </w:rPr>
        <w:t>k návrhu na zníženie štátnych finančných aktív v správe Ministerstva financií Slovenskej republiky (ďalej ako „uznesenie č. 459/2023“)</w:t>
      </w:r>
      <w:r>
        <w:rPr>
          <w:sz w:val="18"/>
          <w:szCs w:val="18"/>
        </w:rPr>
        <w:t>.</w:t>
      </w:r>
    </w:p>
  </w:footnote>
  <w:footnote w:id="19">
    <w:p w14:paraId="09C93EFD" w14:textId="4E5612E4" w:rsidR="002D19D1" w:rsidRDefault="002D19D1">
      <w:pPr>
        <w:pStyle w:val="Textpoznmkypodiarou"/>
      </w:pPr>
      <w:r>
        <w:rPr>
          <w:rStyle w:val="Odkaznapoznmkupodiarou"/>
        </w:rPr>
        <w:footnoteRef/>
      </w:r>
      <w:r>
        <w:t xml:space="preserve"> </w:t>
      </w:r>
      <w:r w:rsidRPr="00735DD8">
        <w:rPr>
          <w:sz w:val="18"/>
          <w:szCs w:val="18"/>
        </w:rPr>
        <w:t>Celkový vplyv odpustenia návratných výpomocí na verejnú správu je nulový</w:t>
      </w:r>
      <w:r>
        <w:t>.</w:t>
      </w:r>
    </w:p>
  </w:footnote>
  <w:footnote w:id="20">
    <w:p w14:paraId="535AB166" w14:textId="0F40EB05"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Vláda SR uznesením č. 762/2022 schválila „Návrh na schválenie fina</w:t>
      </w:r>
      <w:r>
        <w:rPr>
          <w:sz w:val="18"/>
          <w:szCs w:val="18"/>
        </w:rPr>
        <w:t xml:space="preserve">nčných prostriedkov určených </w:t>
      </w:r>
      <w:r w:rsidRPr="00C765EA">
        <w:t>na</w:t>
      </w:r>
      <w:r>
        <w:t> </w:t>
      </w:r>
      <w:r w:rsidRPr="00C765EA">
        <w:t>stabilizáciu</w:t>
      </w:r>
      <w:r w:rsidRPr="009C4C76">
        <w:rPr>
          <w:sz w:val="18"/>
          <w:szCs w:val="18"/>
        </w:rPr>
        <w:t xml:space="preserve"> zdravotníckych pracovníkov v rámci ústavnej zdravotnej starostlivosti a ambulancií záchrannej zdravotnej služby prostredníctvom stabilizačného príspevku.“</w:t>
      </w:r>
    </w:p>
  </w:footnote>
  <w:footnote w:id="21">
    <w:p w14:paraId="6456A13A" w14:textId="56817CEE"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Na základe novozavedenej ekonomickej klasifikácie podpoložky 637 044 – DPH od 1.1.2023.</w:t>
      </w:r>
    </w:p>
  </w:footnote>
  <w:footnote w:id="22">
    <w:p w14:paraId="28B61BD4" w14:textId="7777777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Subvencia predstavuje finančný príspevok vlády alebo verejno-právnej inštitúcie. Ide o platby vykonané na podporu obchodných aktivít príjemcov, ktorí nie sú zaradení v sektore verejnej správy.</w:t>
      </w:r>
    </w:p>
  </w:footnote>
  <w:footnote w:id="23">
    <w:p w14:paraId="2A11E8AA" w14:textId="7777777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V súvislosti s novelou zákona č. 43/2004 Z. z. o starobnom dôchodkovom sporení a o zmene a doplnení niektorých zákonov v znení neskorších predpisov a ktorým sa menia a dopĺňajú niektoré zákony.</w:t>
      </w:r>
    </w:p>
  </w:footnote>
  <w:footnote w:id="24">
    <w:p w14:paraId="15BDBC12" w14:textId="2E6FAA3C"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S účinnosťou od 1. augusta 2023 boli v nadväznosti na zákon č. 295/2023 Z. z., ktorým bol novelizovaný zákon č. 447/2008 Z. z. o peňažných príspevkoch na kompenzáciu sociálnych dôsledkov ťažkého zdravotného postihnutia a o zmene a doplnení niektorých zákonov v znení neskorších predpisov, upravené výšky niektorých peňažných príspevkov na kompenzáciu a niektoré podmienky poskytovania peňažných príspevkov na kompenzáciu.</w:t>
      </w:r>
    </w:p>
  </w:footnote>
  <w:footnote w:id="25">
    <w:p w14:paraId="56ACE620" w14:textId="73B40AB3"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Sa uvádzajú doplatky poistenca za lieky, zdravotnícke pomôcky a dietetické potraviny podľa § 6 ods. 1 písm. s) zákona č.</w:t>
      </w:r>
      <w:r>
        <w:rPr>
          <w:sz w:val="18"/>
          <w:szCs w:val="18"/>
        </w:rPr>
        <w:t> </w:t>
      </w:r>
      <w:r w:rsidRPr="009C4C76">
        <w:rPr>
          <w:sz w:val="18"/>
          <w:szCs w:val="18"/>
        </w:rPr>
        <w:t>581/2004 Z. z. a podľa § 87a až 87d zákona č. 363/2011 Z. z.</w:t>
      </w:r>
    </w:p>
  </w:footnote>
  <w:footnote w:id="26">
    <w:p w14:paraId="41D62F42" w14:textId="3FF5833C" w:rsidR="002D19D1" w:rsidRDefault="002D19D1" w:rsidP="009037BB">
      <w:pPr>
        <w:pStyle w:val="Textpoznmkypodiarou"/>
        <w:jc w:val="both"/>
      </w:pPr>
      <w:r>
        <w:rPr>
          <w:rStyle w:val="Odkaznapoznmkupodiarou"/>
        </w:rPr>
        <w:footnoteRef/>
      </w:r>
      <w:r>
        <w:t xml:space="preserve"> </w:t>
      </w:r>
      <w:r w:rsidRPr="009C4C76">
        <w:rPr>
          <w:sz w:val="18"/>
          <w:szCs w:val="18"/>
        </w:rPr>
        <w:t xml:space="preserve">Od 1.1.2022 sa v zmysle zákona č. 215/2021 Z. z. o podpore v čase skrátenej práce a o zmene a doplnení niektorých zákonov začala poskytovať podpora, ktorá zabezpečuje pokrytie čiastočných nákladov zamestnávateľa </w:t>
      </w:r>
      <w:r>
        <w:rPr>
          <w:sz w:val="18"/>
          <w:szCs w:val="18"/>
        </w:rPr>
        <w:t xml:space="preserve">na náhradu mzdy zamestnanca, ak </w:t>
      </w:r>
      <w:r w:rsidRPr="009C4C76">
        <w:rPr>
          <w:sz w:val="18"/>
          <w:szCs w:val="18"/>
        </w:rPr>
        <w:t>došlo k obmedzeniu činnosti zamestnávateľa vplyvom vonkajšieho faktora. Vyplácanie tejto podpory sa realizuje prostredníctvom Ministerstva práce, sociálnych vecí a rodiny SR.</w:t>
      </w:r>
    </w:p>
  </w:footnote>
  <w:footnote w:id="27">
    <w:p w14:paraId="1B6ECD9E" w14:textId="53469D2B" w:rsidR="002D19D1" w:rsidRPr="009C4C76" w:rsidRDefault="002D19D1" w:rsidP="009037BB">
      <w:pPr>
        <w:pStyle w:val="Textpoznmkypodiarou"/>
        <w:jc w:val="both"/>
        <w:rPr>
          <w:sz w:val="18"/>
          <w:szCs w:val="18"/>
          <w:highlight w:val="yellow"/>
        </w:rPr>
      </w:pPr>
      <w:r w:rsidRPr="009C4C76">
        <w:rPr>
          <w:rStyle w:val="Odkaznapoznmkupodiarou"/>
          <w:rFonts w:eastAsiaTheme="majorEastAsia"/>
          <w:sz w:val="18"/>
          <w:szCs w:val="18"/>
        </w:rPr>
        <w:footnoteRef/>
      </w:r>
      <w:r w:rsidRPr="009C4C76">
        <w:rPr>
          <w:sz w:val="18"/>
          <w:szCs w:val="18"/>
        </w:rPr>
        <w:t xml:space="preserve"> </w:t>
      </w:r>
      <w:r w:rsidRPr="009C4C76">
        <w:rPr>
          <w:sz w:val="18"/>
          <w:szCs w:val="18"/>
        </w:rPr>
        <w:t>Pre účely súhrnnej výročnej správy používa MFSR údaje z jesennej notifikácie Eurostatu. Odhad cyklickej zložky vychádza z produkčnej medzery na základe najaktuálnejšej prognózy MF SR schválenej výborom pre makroekonomické prognózy. Odhad jednorazových a dočasných opatrení vychádza primárne z národnej metodiky MF SR.</w:t>
      </w:r>
    </w:p>
  </w:footnote>
  <w:footnote w:id="28">
    <w:p w14:paraId="5143B9F9" w14:textId="77777777" w:rsidR="002D19D1" w:rsidRPr="009C4C76" w:rsidRDefault="002D19D1" w:rsidP="009037BB">
      <w:pPr>
        <w:pStyle w:val="Textpoznmkypodiarou"/>
        <w:jc w:val="both"/>
        <w:rPr>
          <w:sz w:val="18"/>
          <w:szCs w:val="18"/>
        </w:rPr>
      </w:pPr>
      <w:r w:rsidRPr="009C4C76">
        <w:rPr>
          <w:rStyle w:val="Odkaznapoznmkupodiarou"/>
          <w:rFonts w:eastAsiaTheme="majorEastAsia"/>
          <w:sz w:val="18"/>
          <w:szCs w:val="18"/>
        </w:rPr>
        <w:footnoteRef/>
      </w:r>
      <w:r w:rsidRPr="009C4C76">
        <w:rPr>
          <w:sz w:val="18"/>
          <w:szCs w:val="18"/>
        </w:rPr>
        <w:t xml:space="preserve">  </w:t>
      </w:r>
      <w:r w:rsidRPr="009C4C76">
        <w:rPr>
          <w:sz w:val="18"/>
          <w:szCs w:val="18"/>
        </w:rPr>
        <w:t>Metodika na identifikáciu jednorazových a dočasných opatrení MF SR je dostupná tu</w:t>
      </w:r>
      <w:r w:rsidRPr="00474213">
        <w:rPr>
          <w:color w:val="548DD4" w:themeColor="text2" w:themeTint="99"/>
          <w:sz w:val="18"/>
          <w:szCs w:val="18"/>
        </w:rPr>
        <w:t xml:space="preserve">: </w:t>
      </w:r>
      <w:hyperlink r:id="rId9" w:history="1">
        <w:r w:rsidRPr="00474213">
          <w:rPr>
            <w:rStyle w:val="Hypertextovprepojenie"/>
            <w:color w:val="548DD4" w:themeColor="text2" w:themeTint="99"/>
            <w:sz w:val="18"/>
            <w:szCs w:val="18"/>
          </w:rPr>
          <w:t>https://www.mfsr.sk/sk/financie/institut-financnej-politiky/publikacie-ifp/manualy/jednorazove-vplyvy.html</w:t>
        </w:r>
      </w:hyperlink>
      <w:r w:rsidRPr="009C4C76">
        <w:rPr>
          <w:sz w:val="18"/>
          <w:szCs w:val="18"/>
        </w:rPr>
        <w:t xml:space="preserve"> </w:t>
      </w:r>
    </w:p>
  </w:footnote>
  <w:footnote w:id="29">
    <w:p w14:paraId="31C1154D" w14:textId="567E931A" w:rsidR="002D19D1" w:rsidRPr="001E7C1A" w:rsidRDefault="002D19D1">
      <w:pPr>
        <w:pStyle w:val="Textpoznmkypodiarou"/>
        <w:rPr>
          <w:color w:val="548DD4" w:themeColor="text2" w:themeTint="99"/>
          <w:sz w:val="18"/>
          <w:szCs w:val="18"/>
        </w:rPr>
      </w:pPr>
      <w:r w:rsidRPr="001E7C1A">
        <w:rPr>
          <w:rStyle w:val="Odkaznapoznmkupodiarou"/>
          <w:sz w:val="18"/>
          <w:szCs w:val="18"/>
        </w:rPr>
        <w:footnoteRef/>
      </w:r>
      <w:r w:rsidRPr="001E7C1A">
        <w:rPr>
          <w:sz w:val="18"/>
          <w:szCs w:val="18"/>
        </w:rPr>
        <w:t xml:space="preserve"> </w:t>
      </w:r>
      <w:hyperlink r:id="rId10" w:history="1">
        <w:r w:rsidRPr="001E7C1A">
          <w:rPr>
            <w:rStyle w:val="Hypertextovprepojenie"/>
            <w:color w:val="548DD4" w:themeColor="text2" w:themeTint="99"/>
            <w:sz w:val="18"/>
            <w:szCs w:val="18"/>
          </w:rPr>
          <w:t>https://rokovania.gov.sk/RVL/Material/29795/1</w:t>
        </w:r>
      </w:hyperlink>
    </w:p>
  </w:footnote>
  <w:footnote w:id="30">
    <w:p w14:paraId="7F79090C" w14:textId="7DFD1D72" w:rsidR="002D19D1" w:rsidRPr="009C4C76" w:rsidRDefault="002D19D1" w:rsidP="009037BB">
      <w:pPr>
        <w:pStyle w:val="Textpoznmkypodiarou"/>
        <w:jc w:val="both"/>
        <w:rPr>
          <w:sz w:val="18"/>
          <w:szCs w:val="18"/>
        </w:rPr>
      </w:pPr>
      <w:r w:rsidRPr="009C4C76">
        <w:rPr>
          <w:rStyle w:val="Odkaznapoznmkupodiarou"/>
          <w:rFonts w:eastAsiaTheme="majorEastAsia"/>
          <w:sz w:val="18"/>
          <w:szCs w:val="18"/>
        </w:rPr>
        <w:footnoteRef/>
      </w:r>
      <w:r w:rsidRPr="009C4C76">
        <w:rPr>
          <w:sz w:val="18"/>
          <w:szCs w:val="18"/>
        </w:rPr>
        <w:t xml:space="preserve"> </w:t>
      </w:r>
      <w:r w:rsidRPr="009C4C76">
        <w:rPr>
          <w:sz w:val="18"/>
          <w:szCs w:val="18"/>
        </w:rPr>
        <w:t>Ide o smernicu Rady (EÚ) 2024/1265 z 29. apríla 2024, ktorou sa mení smernica 2011/85/EÚ o požiadavkách na rozpočtové rámce členských štátov, nariadenie Rady (EÚ) 2024/1264, ktorým sa mení nariadenie (ES) č. 1467/97 o urýchľovaní a objasňovaní vykonania postupu pri nadmernom schodku a nariadenie Európskeho parlamentu a Rady (EÚ) 2024/1263 o účinnej koordinácii hospodárskych politík a mnohostrannom rozpočtovom dohľade a o zrušení nariadenia Rady (ES) č. 1466/97. Všetky sú súčasťou jedného balíka označovanom ako „reforma rámca správy hospodárskych záležitostí“ s cieľom posilniť udržateľnosť dlhovej služby a znížiť vysokú mieru zadlženosti a zároveň podporovať udržateľný a inkluzívny rast vo všetkých členských štátoch.</w:t>
      </w:r>
    </w:p>
  </w:footnote>
  <w:footnote w:id="31">
    <w:p w14:paraId="0E67E266" w14:textId="6AFF5B13"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Ide najmä o pravidlá Paktu stability a rastu, ktoré stanovujú hranicu deficitu verejnej správy 3</w:t>
      </w:r>
      <w:r>
        <w:rPr>
          <w:sz w:val="18"/>
          <w:szCs w:val="18"/>
        </w:rPr>
        <w:t>,0</w:t>
      </w:r>
      <w:r w:rsidRPr="009C4C76">
        <w:rPr>
          <w:sz w:val="18"/>
          <w:szCs w:val="18"/>
        </w:rPr>
        <w:t> % HDP a dlhu verejnej správy 60</w:t>
      </w:r>
      <w:r>
        <w:rPr>
          <w:sz w:val="18"/>
          <w:szCs w:val="18"/>
        </w:rPr>
        <w:t>,0</w:t>
      </w:r>
      <w:r w:rsidRPr="009C4C76">
        <w:rPr>
          <w:sz w:val="18"/>
          <w:szCs w:val="18"/>
        </w:rPr>
        <w:t> % HDP (bližšie o európskych fiškálnych pravidlách pozri slovník základných pojmov).</w:t>
      </w:r>
    </w:p>
  </w:footnote>
  <w:footnote w:id="32">
    <w:p w14:paraId="426528D0" w14:textId="733CD7DC"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Verejný sektor je širší pojem ako verejná správa, nad rámec sektora verejnej správy zahŕňa aj podniky verejnej správy a Národnú banku Slovenska. Z definície čistého bohatstva podľa ústavného zákona o rozpočtovej zodpovednosti odvodzujeme aj skupinu subjektov tvoriacich verejný sektor.</w:t>
      </w:r>
    </w:p>
  </w:footnote>
  <w:footnote w:id="33">
    <w:p w14:paraId="76E93CA0" w14:textId="137F8200"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Koncept ,,súhrnného celku“ je definovaný v Súhrnnej účtovnej závierke a je odlišný od definície verejnej správy podľa zákona č. 523/2004 Z. z. o rozpočtových pravidlách verejnej správy a o zmene a doplnení niektorých zákonov. Verejná správa tvorí najpodstatnejšiu časť súhrnného celku, avšak do súhrnného celku vstupujú aj iné subjekty, ktoré nie sú štatisticky zaradené do verejnej správy podľa metodiky ESA 2010.</w:t>
      </w:r>
    </w:p>
  </w:footnote>
  <w:footnote w:id="34">
    <w:p w14:paraId="069ACBE7" w14:textId="7777777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SE zabezpečuje peňažné toky z budúceho predaja produkcie elektriny voči riziku pohybu cien elektriny prostredníctvom predaja produkcie cez forwardové kontrakty.</w:t>
      </w:r>
    </w:p>
  </w:footnote>
  <w:footnote w:id="35">
    <w:p w14:paraId="523B99EB" w14:textId="7777777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Baseload produkt – spôsob pre zaistenie rizika daného pohybmi cien na trhu.</w:t>
      </w:r>
    </w:p>
  </w:footnote>
  <w:footnote w:id="36">
    <w:p w14:paraId="47B0353B" w14:textId="112F24CC"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Z nej superdividenda bola vo výške 193 tis. eur a riadna ESA dividenda bola za rok 2023 vykázaná vo výške 36 898 tis. eur.</w:t>
      </w:r>
    </w:p>
  </w:footnote>
  <w:footnote w:id="37">
    <w:p w14:paraId="4DF6F724" w14:textId="2DC6FEEF"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rStyle w:val="Odkaznapoznmkupodiarou"/>
          <w:sz w:val="18"/>
          <w:szCs w:val="18"/>
        </w:rPr>
        <w:t xml:space="preserve"> </w:t>
      </w:r>
      <w:r w:rsidRPr="009C4C76">
        <w:rPr>
          <w:sz w:val="18"/>
          <w:szCs w:val="18"/>
        </w:rPr>
        <w:t>V súlade s metodikou ESA 2010, bol do objemu vyplateného podielu zahrnutý okrem odvodu na zisku bežného obdobia, poskytnutého daru aj preddavok na odvod zo zisku budúceho obdobia  vo výške 50 000 tis. eur. Celkový príjem štátneho rozpočtu z VV bol považovaný za ESA príjem v plnej výške.</w:t>
      </w:r>
    </w:p>
  </w:footnote>
  <w:footnote w:id="38">
    <w:p w14:paraId="167410B3" w14:textId="76AB45FF" w:rsidR="002D19D1" w:rsidRPr="009C4C76" w:rsidRDefault="002D19D1" w:rsidP="009037BB">
      <w:pPr>
        <w:jc w:val="both"/>
        <w:rPr>
          <w:sz w:val="18"/>
          <w:szCs w:val="18"/>
        </w:rPr>
      </w:pPr>
      <w:r w:rsidRPr="009C4C76">
        <w:rPr>
          <w:sz w:val="18"/>
          <w:szCs w:val="18"/>
          <w:vertAlign w:val="superscript"/>
        </w:rPr>
        <w:footnoteRef/>
      </w:r>
      <w:r w:rsidRPr="009C4C76">
        <w:rPr>
          <w:sz w:val="18"/>
          <w:szCs w:val="18"/>
          <w:vertAlign w:val="superscript"/>
        </w:rPr>
        <w:t xml:space="preserve"> </w:t>
      </w:r>
      <w:r w:rsidRPr="009C4C76">
        <w:rPr>
          <w:sz w:val="18"/>
          <w:szCs w:val="18"/>
        </w:rPr>
        <w:t>Z hodnoty vyplatenej dividendy vo výške 50 000 tis. eur bola príjmom z dividend podľa metodiky ESA 2010 uznaná dividenda vo výške 25 703 tis. eur, zvyšok bol klasifikovaný ako superdividenda.</w:t>
      </w:r>
    </w:p>
    <w:p w14:paraId="7DB156B9" w14:textId="77777777" w:rsidR="002D19D1" w:rsidRPr="009C4C76" w:rsidRDefault="002D19D1" w:rsidP="009037BB">
      <w:pPr>
        <w:pStyle w:val="Textpoznmkypodiarou"/>
        <w:jc w:val="both"/>
        <w:rPr>
          <w:sz w:val="18"/>
          <w:szCs w:val="18"/>
        </w:rPr>
      </w:pPr>
    </w:p>
  </w:footnote>
  <w:footnote w:id="39">
    <w:p w14:paraId="37FBF1AC" w14:textId="4363DA53"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 xml:space="preserve">Pri kvantifikácií implicitných záväzkov sa v SVS používali predpoklady dlhodobého vývoja úrokových mier vydávaných v rámci Ageing report, ktorú pripravuje Pracovná skupina pre starnutie (AWG) pri Európskej komisii a ktorá vychádza raz za 3 roky. </w:t>
      </w:r>
      <w:r w:rsidRPr="009C4C76">
        <w:rPr>
          <w:color w:val="000000"/>
          <w:sz w:val="18"/>
          <w:szCs w:val="18"/>
        </w:rPr>
        <w:t>Pre</w:t>
      </w:r>
      <w:r>
        <w:rPr>
          <w:color w:val="000000"/>
          <w:sz w:val="18"/>
          <w:szCs w:val="18"/>
        </w:rPr>
        <w:t> </w:t>
      </w:r>
      <w:r w:rsidRPr="009C4C76">
        <w:rPr>
          <w:color w:val="000000"/>
          <w:sz w:val="18"/>
          <w:szCs w:val="18"/>
        </w:rPr>
        <w:t xml:space="preserve">SVS za rok 2022 boli posledné dostupné projekcie z Ageing report 2021, pričom v novších projekciách zo správy Ageing report 2024 došlo k nárastu úrokových mier z dôvodu nárastu základnej úrokovej sadzby ECB v období po pandémii a vypuknutí konfliktu na Ukrajine. Pre zamedzenie ďalších výraznejších revízií vychádzajúcich zo zmeny úrokových mier boli pre SVS 2023 použité úrokové miery, ktoré používa EK vo fiškálnych analýzach v základnom scenári </w:t>
      </w:r>
      <w:r w:rsidRPr="001915D2">
        <w:rPr>
          <w:color w:val="548DD4" w:themeColor="text2" w:themeTint="99"/>
          <w:sz w:val="18"/>
          <w:szCs w:val="18"/>
        </w:rPr>
        <w:t>(</w:t>
      </w:r>
      <w:hyperlink r:id="rId11" w:history="1">
        <w:r w:rsidRPr="001915D2">
          <w:rPr>
            <w:rStyle w:val="Hypertextovprepojenie"/>
            <w:color w:val="548DD4" w:themeColor="text2" w:themeTint="99"/>
            <w:sz w:val="18"/>
            <w:szCs w:val="18"/>
          </w:rPr>
          <w:t>Debt Sustainability Monitor 2023</w:t>
        </w:r>
      </w:hyperlink>
      <w:r w:rsidRPr="009C4C76">
        <w:rPr>
          <w:color w:val="000000"/>
          <w:sz w:val="18"/>
          <w:szCs w:val="18"/>
        </w:rPr>
        <w:t>). Tie vychádzajú z predpokladov Ageing report 2024, avšak sú aktualizované na pravidelnejšej ročnej báze a zároveň vykazujú hladší profil.</w:t>
      </w:r>
    </w:p>
  </w:footnote>
  <w:footnote w:id="40">
    <w:p w14:paraId="3244128A" w14:textId="7777777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color w:val="000000"/>
          <w:sz w:val="18"/>
          <w:szCs w:val="18"/>
        </w:rPr>
        <w:t>Implicitné záväzky za rok 2022 zohľadňujú legislatívne zmeny prijaté Národnou radou SR do 31.12.2022.</w:t>
      </w:r>
    </w:p>
  </w:footnote>
  <w:footnote w:id="41">
    <w:p w14:paraId="78880B73" w14:textId="77777777" w:rsidR="002D19D1" w:rsidRPr="009C4C76" w:rsidRDefault="002D19D1" w:rsidP="009037BB">
      <w:pPr>
        <w:spacing w:after="0" w:line="240" w:lineRule="auto"/>
        <w:jc w:val="both"/>
        <w:rPr>
          <w:i/>
          <w:iCs/>
          <w:sz w:val="18"/>
          <w:szCs w:val="18"/>
        </w:rPr>
      </w:pPr>
      <w:r w:rsidRPr="009C4C76">
        <w:rPr>
          <w:rStyle w:val="Odkaznapoznmkupodiarou"/>
          <w:color w:val="000000"/>
          <w:sz w:val="18"/>
          <w:szCs w:val="18"/>
        </w:rPr>
        <w:footnoteRef/>
      </w:r>
      <w:r w:rsidRPr="009C4C76">
        <w:rPr>
          <w:color w:val="000000"/>
          <w:sz w:val="18"/>
          <w:szCs w:val="18"/>
        </w:rPr>
        <w:t xml:space="preserve"> </w:t>
      </w:r>
      <w:r w:rsidRPr="009C4C76">
        <w:rPr>
          <w:sz w:val="18"/>
          <w:szCs w:val="18"/>
        </w:rPr>
        <w:t xml:space="preserve">Uvedené výsledky je zároveň potrebné interpretovať starostlivo. </w:t>
      </w:r>
      <w:r w:rsidRPr="009C4C76">
        <w:rPr>
          <w:iCs/>
          <w:color w:val="000000"/>
          <w:sz w:val="18"/>
          <w:szCs w:val="18"/>
        </w:rPr>
        <w:t>Pri výpočte implicitných záväzkov je potrebné brať do úvahy fakt, že hodnota implicitných záväzkov plynúcich zo starnutia</w:t>
      </w:r>
      <w:r w:rsidRPr="009C4C76">
        <w:rPr>
          <w:bCs/>
          <w:iCs/>
          <w:color w:val="000000"/>
          <w:sz w:val="18"/>
          <w:szCs w:val="18"/>
        </w:rPr>
        <w:t xml:space="preserve"> je vyjadrená v súčasnej hodnote a v pomere k aktuálnemu výkonu ekonomiky (% HDP)</w:t>
      </w:r>
      <w:r w:rsidRPr="009C4C76">
        <w:rPr>
          <w:iCs/>
          <w:color w:val="000000"/>
          <w:sz w:val="18"/>
          <w:szCs w:val="18"/>
        </w:rPr>
        <w:t>.</w:t>
      </w:r>
    </w:p>
  </w:footnote>
  <w:footnote w:id="42">
    <w:p w14:paraId="458A84EB" w14:textId="7777777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Pri projektoch rýchlostnej cesty R1 a novom projekte výstavby väzenského zariadenia do roku 2041 a pri projekte D4/R7 do roku 2050.</w:t>
      </w:r>
    </w:p>
  </w:footnote>
  <w:footnote w:id="43">
    <w:p w14:paraId="5B4B8C11" w14:textId="7777777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Schéma bola aktualizovaná o nové údaje o očakávaných príjmoch a nákladoch Národného jadrového fondu.</w:t>
      </w:r>
    </w:p>
  </w:footnote>
  <w:footnote w:id="44">
    <w:p w14:paraId="7C494070" w14:textId="1A757B38" w:rsidR="002D19D1" w:rsidRPr="009C4C76" w:rsidRDefault="002D19D1" w:rsidP="009037BB">
      <w:pPr>
        <w:autoSpaceDE w:val="0"/>
        <w:autoSpaceDN w:val="0"/>
        <w:adjustRightInd w:val="0"/>
        <w:spacing w:after="0" w:line="240" w:lineRule="auto"/>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Na základe údajov z výročných správ NJF. Implicitný záväzok súvisiaci s Národným jadrovým fondom vyplýva z financovania vyraďovania jadrových zariadení. Veľkosť budúcich nákladov výraznejšie rastie kvôli zvyšujúc</w:t>
      </w:r>
      <w:r>
        <w:rPr>
          <w:sz w:val="18"/>
          <w:szCs w:val="18"/>
        </w:rPr>
        <w:t>im sa nákladom na skladovanie a </w:t>
      </w:r>
      <w:r w:rsidRPr="009C4C76">
        <w:rPr>
          <w:sz w:val="18"/>
          <w:szCs w:val="18"/>
        </w:rPr>
        <w:t>likvidáciu jadrového odpadu. V celom horizonte, najmä vďaka kumulujúcemu sa prebytku fondu v prvých dekádach, je vplyv Národného jadrového fondu kladný.</w:t>
      </w:r>
    </w:p>
  </w:footnote>
  <w:footnote w:id="45">
    <w:p w14:paraId="5064D87C" w14:textId="7777777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Diskusia sa vedie o nových karbónových daniach na CO</w:t>
      </w:r>
      <w:r w:rsidRPr="009C4C76">
        <w:rPr>
          <w:sz w:val="18"/>
          <w:szCs w:val="18"/>
          <w:vertAlign w:val="subscript"/>
        </w:rPr>
        <w:t>2</w:t>
      </w:r>
      <w:r w:rsidRPr="009C4C76">
        <w:rPr>
          <w:sz w:val="18"/>
          <w:szCs w:val="18"/>
        </w:rPr>
        <w:t>, cezhraničných daniach na špecifický import, či digitálnej dani.</w:t>
      </w:r>
    </w:p>
  </w:footnote>
  <w:footnote w:id="46">
    <w:p w14:paraId="766CC225" w14:textId="7777777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Pr="009C4C76">
        <w:rPr>
          <w:sz w:val="18"/>
          <w:szCs w:val="18"/>
        </w:rPr>
        <w:t>Na  základe internej analýzy metodík a prístupov k podmieneným záväzkom a analýzy konkrétnych prípadov v účtovných závierkach subjektov, ktorú vykonalo Ministerstvo financií SR v roku 2021, sa ako podmienené záväzky nevykazujú napríklad deklarované kapitálové výdavky na obstaranie infraštruktúry, zmeny z aplikácie účtovných štandardov, podsúvahové položky majetku v úschove, majetok v nájme. Ide o položky, ktoré svojou povahou nezvyšujú čisté bohatstvo v danom čase. Napríklad spomenuté investičné výdavky resp. rozpočet kapitálových výdavkov, zazmluvnené kontrakty s dodávateľom sa najprv zhmotnia vo výdavkoch (odliv finančných prostriedkov) a následne v prírastku majetku. Ide teda o zmenu štruktúry majetku, kedy sa finančné prostriedky menia na hmotný či nehmotný majetok. Obdobne majetok v nájme či v úschove nie je vlastníctvom danej organizácie, preto nezvyšuje čisté bohatstvo do momentu zmeny vlastníctva.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381C" w14:textId="6FA453C9" w:rsidR="002D19D1" w:rsidRDefault="002D19D1" w:rsidP="00254DF2">
    <w:pPr>
      <w:pStyle w:val="Hlavika"/>
      <w:pBdr>
        <w:bottom w:val="thickThinSmallGap" w:sz="24" w:space="1" w:color="622423"/>
      </w:pBdr>
      <w:tabs>
        <w:tab w:val="clear" w:pos="4536"/>
        <w:tab w:val="clear" w:pos="9072"/>
      </w:tabs>
      <w:ind w:right="-1"/>
      <w:jc w:val="center"/>
      <w:rPr>
        <w:i/>
        <w:color w:val="C00000"/>
        <w:sz w:val="24"/>
        <w:szCs w:val="24"/>
      </w:rPr>
    </w:pPr>
    <w:r>
      <w:rPr>
        <w:i/>
        <w:color w:val="C00000"/>
        <w:sz w:val="24"/>
        <w:szCs w:val="24"/>
      </w:rPr>
      <w:t>S</w:t>
    </w:r>
    <w:r w:rsidRPr="00012A0B">
      <w:rPr>
        <w:i/>
        <w:color w:val="C00000"/>
        <w:sz w:val="24"/>
        <w:szCs w:val="24"/>
      </w:rPr>
      <w:t xml:space="preserve">úhrnná výročná správa </w:t>
    </w:r>
    <w:r>
      <w:rPr>
        <w:i/>
        <w:color w:val="C00000"/>
        <w:sz w:val="24"/>
        <w:szCs w:val="24"/>
      </w:rPr>
      <w:t>Slovenskej republiky za rok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280685C"/>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10E2A4D"/>
    <w:multiLevelType w:val="hybridMultilevel"/>
    <w:tmpl w:val="CA280294"/>
    <w:lvl w:ilvl="0" w:tplc="BE6252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5F6B6D"/>
    <w:multiLevelType w:val="multilevel"/>
    <w:tmpl w:val="870C39CC"/>
    <w:lvl w:ilvl="0">
      <w:start w:val="2"/>
      <w:numFmt w:val="decimal"/>
      <w:lvlText w:val="%1."/>
      <w:lvlJc w:val="left"/>
      <w:pPr>
        <w:ind w:left="9291"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288" w:hanging="720"/>
      </w:pPr>
      <w:rPr>
        <w:rFonts w:cs="Times New Roman"/>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212D6907"/>
    <w:multiLevelType w:val="hybridMultilevel"/>
    <w:tmpl w:val="1AA20320"/>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21475E54"/>
    <w:multiLevelType w:val="hybridMultilevel"/>
    <w:tmpl w:val="C74ADA0A"/>
    <w:lvl w:ilvl="0" w:tplc="BE6252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055ED0"/>
    <w:multiLevelType w:val="multilevel"/>
    <w:tmpl w:val="2A345450"/>
    <w:lvl w:ilvl="0">
      <w:start w:val="3"/>
      <w:numFmt w:val="decimal"/>
      <w:lvlText w:val="%1."/>
      <w:lvlJc w:val="left"/>
      <w:pPr>
        <w:ind w:left="360" w:hanging="360"/>
      </w:pPr>
      <w:rPr>
        <w:rFonts w:hint="default"/>
      </w:rPr>
    </w:lvl>
    <w:lvl w:ilvl="1">
      <w:start w:val="1"/>
      <w:numFmt w:val="decimal"/>
      <w:pStyle w:val="Nadpis2"/>
      <w:lvlText w:val="%1.%2."/>
      <w:lvlJc w:val="left"/>
      <w:pPr>
        <w:ind w:left="138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6" w15:restartNumberingAfterBreak="0">
    <w:nsid w:val="264F716B"/>
    <w:multiLevelType w:val="hybridMultilevel"/>
    <w:tmpl w:val="E38854B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A78098D"/>
    <w:multiLevelType w:val="hybridMultilevel"/>
    <w:tmpl w:val="D59E86A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21C33"/>
    <w:multiLevelType w:val="multilevel"/>
    <w:tmpl w:val="13C82368"/>
    <w:lvl w:ilvl="0">
      <w:start w:val="3"/>
      <w:numFmt w:val="decimal"/>
      <w:lvlText w:val="%1."/>
      <w:lvlJc w:val="left"/>
      <w:pPr>
        <w:ind w:left="540" w:hanging="540"/>
      </w:pPr>
      <w:rPr>
        <w:rFonts w:cs="Times New Roman" w:hint="default"/>
      </w:rPr>
    </w:lvl>
    <w:lvl w:ilvl="1">
      <w:start w:val="2"/>
      <w:numFmt w:val="decimal"/>
      <w:lvlText w:val="%1.%2."/>
      <w:lvlJc w:val="left"/>
      <w:pPr>
        <w:ind w:left="1080" w:hanging="54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9" w15:restartNumberingAfterBreak="0">
    <w:nsid w:val="2DFB1F9E"/>
    <w:multiLevelType w:val="hybridMultilevel"/>
    <w:tmpl w:val="601686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C65790"/>
    <w:multiLevelType w:val="multilevel"/>
    <w:tmpl w:val="E1A891B0"/>
    <w:lvl w:ilvl="0">
      <w:start w:val="2"/>
      <w:numFmt w:val="decimal"/>
      <w:lvlText w:val="%1."/>
      <w:lvlJc w:val="left"/>
      <w:pPr>
        <w:ind w:left="504" w:hanging="504"/>
      </w:pPr>
      <w:rPr>
        <w:rFonts w:hint="default"/>
      </w:rPr>
    </w:lvl>
    <w:lvl w:ilvl="1">
      <w:start w:val="3"/>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317874EB"/>
    <w:multiLevelType w:val="hybridMultilevel"/>
    <w:tmpl w:val="47D42350"/>
    <w:lvl w:ilvl="0" w:tplc="041B0001">
      <w:start w:val="1"/>
      <w:numFmt w:val="bullet"/>
      <w:lvlText w:val=""/>
      <w:lvlJc w:val="left"/>
      <w:pPr>
        <w:ind w:left="772" w:hanging="360"/>
      </w:pPr>
      <w:rPr>
        <w:rFonts w:ascii="Symbol" w:hAnsi="Symbol" w:hint="default"/>
      </w:rPr>
    </w:lvl>
    <w:lvl w:ilvl="1" w:tplc="041B0003" w:tentative="1">
      <w:start w:val="1"/>
      <w:numFmt w:val="bullet"/>
      <w:lvlText w:val="o"/>
      <w:lvlJc w:val="left"/>
      <w:pPr>
        <w:ind w:left="1492" w:hanging="360"/>
      </w:pPr>
      <w:rPr>
        <w:rFonts w:ascii="Courier New" w:hAnsi="Courier New" w:cs="Courier New" w:hint="default"/>
      </w:rPr>
    </w:lvl>
    <w:lvl w:ilvl="2" w:tplc="041B0005" w:tentative="1">
      <w:start w:val="1"/>
      <w:numFmt w:val="bullet"/>
      <w:lvlText w:val=""/>
      <w:lvlJc w:val="left"/>
      <w:pPr>
        <w:ind w:left="2212" w:hanging="360"/>
      </w:pPr>
      <w:rPr>
        <w:rFonts w:ascii="Wingdings" w:hAnsi="Wingdings" w:hint="default"/>
      </w:rPr>
    </w:lvl>
    <w:lvl w:ilvl="3" w:tplc="041B0001" w:tentative="1">
      <w:start w:val="1"/>
      <w:numFmt w:val="bullet"/>
      <w:lvlText w:val=""/>
      <w:lvlJc w:val="left"/>
      <w:pPr>
        <w:ind w:left="2932" w:hanging="360"/>
      </w:pPr>
      <w:rPr>
        <w:rFonts w:ascii="Symbol" w:hAnsi="Symbol" w:hint="default"/>
      </w:rPr>
    </w:lvl>
    <w:lvl w:ilvl="4" w:tplc="041B0003" w:tentative="1">
      <w:start w:val="1"/>
      <w:numFmt w:val="bullet"/>
      <w:lvlText w:val="o"/>
      <w:lvlJc w:val="left"/>
      <w:pPr>
        <w:ind w:left="3652" w:hanging="360"/>
      </w:pPr>
      <w:rPr>
        <w:rFonts w:ascii="Courier New" w:hAnsi="Courier New" w:cs="Courier New" w:hint="default"/>
      </w:rPr>
    </w:lvl>
    <w:lvl w:ilvl="5" w:tplc="041B0005" w:tentative="1">
      <w:start w:val="1"/>
      <w:numFmt w:val="bullet"/>
      <w:lvlText w:val=""/>
      <w:lvlJc w:val="left"/>
      <w:pPr>
        <w:ind w:left="4372" w:hanging="360"/>
      </w:pPr>
      <w:rPr>
        <w:rFonts w:ascii="Wingdings" w:hAnsi="Wingdings" w:hint="default"/>
      </w:rPr>
    </w:lvl>
    <w:lvl w:ilvl="6" w:tplc="041B0001" w:tentative="1">
      <w:start w:val="1"/>
      <w:numFmt w:val="bullet"/>
      <w:lvlText w:val=""/>
      <w:lvlJc w:val="left"/>
      <w:pPr>
        <w:ind w:left="5092" w:hanging="360"/>
      </w:pPr>
      <w:rPr>
        <w:rFonts w:ascii="Symbol" w:hAnsi="Symbol" w:hint="default"/>
      </w:rPr>
    </w:lvl>
    <w:lvl w:ilvl="7" w:tplc="041B0003" w:tentative="1">
      <w:start w:val="1"/>
      <w:numFmt w:val="bullet"/>
      <w:lvlText w:val="o"/>
      <w:lvlJc w:val="left"/>
      <w:pPr>
        <w:ind w:left="5812" w:hanging="360"/>
      </w:pPr>
      <w:rPr>
        <w:rFonts w:ascii="Courier New" w:hAnsi="Courier New" w:cs="Courier New" w:hint="default"/>
      </w:rPr>
    </w:lvl>
    <w:lvl w:ilvl="8" w:tplc="041B0005" w:tentative="1">
      <w:start w:val="1"/>
      <w:numFmt w:val="bullet"/>
      <w:lvlText w:val=""/>
      <w:lvlJc w:val="left"/>
      <w:pPr>
        <w:ind w:left="6532" w:hanging="360"/>
      </w:pPr>
      <w:rPr>
        <w:rFonts w:ascii="Wingdings" w:hAnsi="Wingdings" w:hint="default"/>
      </w:rPr>
    </w:lvl>
  </w:abstractNum>
  <w:abstractNum w:abstractNumId="12" w15:restartNumberingAfterBreak="0">
    <w:nsid w:val="33B324DA"/>
    <w:multiLevelType w:val="hybridMultilevel"/>
    <w:tmpl w:val="3D566630"/>
    <w:lvl w:ilvl="0" w:tplc="BA3628B6">
      <w:start w:val="1"/>
      <w:numFmt w:val="decimal"/>
      <w:lvlText w:val="%1)"/>
      <w:lvlJc w:val="left"/>
      <w:pPr>
        <w:ind w:left="360" w:hanging="360"/>
      </w:pPr>
      <w:rPr>
        <w:rFonts w:hint="default"/>
        <w:sz w:val="16"/>
        <w:szCs w:val="16"/>
        <w:vertAlign w:val="superscrip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4E15F01"/>
    <w:multiLevelType w:val="multilevel"/>
    <w:tmpl w:val="703290C8"/>
    <w:lvl w:ilvl="0">
      <w:start w:val="3"/>
      <w:numFmt w:val="decimal"/>
      <w:lvlText w:val="%1."/>
      <w:lvlJc w:val="left"/>
      <w:pPr>
        <w:ind w:left="540" w:hanging="540"/>
      </w:pPr>
      <w:rPr>
        <w:rFonts w:cs="Times New Roman" w:hint="default"/>
      </w:rPr>
    </w:lvl>
    <w:lvl w:ilvl="1">
      <w:start w:val="2"/>
      <w:numFmt w:val="decimal"/>
      <w:lvlText w:val="%1.%2."/>
      <w:lvlJc w:val="left"/>
      <w:pPr>
        <w:ind w:left="1080" w:hanging="540"/>
      </w:pPr>
      <w:rPr>
        <w:rFonts w:cs="Times New Roman" w:hint="default"/>
      </w:rPr>
    </w:lvl>
    <w:lvl w:ilvl="2">
      <w:start w:val="6"/>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4" w15:restartNumberingAfterBreak="0">
    <w:nsid w:val="37573DC3"/>
    <w:multiLevelType w:val="hybridMultilevel"/>
    <w:tmpl w:val="4614E8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1510D9"/>
    <w:multiLevelType w:val="hybridMultilevel"/>
    <w:tmpl w:val="7E96B9A2"/>
    <w:lvl w:ilvl="0" w:tplc="2704447A">
      <w:start w:val="1"/>
      <w:numFmt w:val="bullet"/>
      <w:lvlText w:val=""/>
      <w:lvlJc w:val="left"/>
      <w:pPr>
        <w:ind w:left="1417" w:hanging="360"/>
      </w:pPr>
      <w:rPr>
        <w:rFonts w:ascii="Wingdings" w:hAnsi="Wingdings" w:hint="default"/>
        <w:color w:val="auto"/>
      </w:rPr>
    </w:lvl>
    <w:lvl w:ilvl="1" w:tplc="041B0003" w:tentative="1">
      <w:start w:val="1"/>
      <w:numFmt w:val="bullet"/>
      <w:lvlText w:val="o"/>
      <w:lvlJc w:val="left"/>
      <w:pPr>
        <w:ind w:left="2137" w:hanging="360"/>
      </w:pPr>
      <w:rPr>
        <w:rFonts w:ascii="Courier New" w:hAnsi="Courier New" w:cs="Courier New" w:hint="default"/>
      </w:rPr>
    </w:lvl>
    <w:lvl w:ilvl="2" w:tplc="041B0005" w:tentative="1">
      <w:start w:val="1"/>
      <w:numFmt w:val="bullet"/>
      <w:lvlText w:val=""/>
      <w:lvlJc w:val="left"/>
      <w:pPr>
        <w:ind w:left="2857" w:hanging="360"/>
      </w:pPr>
      <w:rPr>
        <w:rFonts w:ascii="Wingdings" w:hAnsi="Wingdings" w:hint="default"/>
      </w:rPr>
    </w:lvl>
    <w:lvl w:ilvl="3" w:tplc="041B0001" w:tentative="1">
      <w:start w:val="1"/>
      <w:numFmt w:val="bullet"/>
      <w:lvlText w:val=""/>
      <w:lvlJc w:val="left"/>
      <w:pPr>
        <w:ind w:left="3577" w:hanging="360"/>
      </w:pPr>
      <w:rPr>
        <w:rFonts w:ascii="Symbol" w:hAnsi="Symbol" w:hint="default"/>
      </w:rPr>
    </w:lvl>
    <w:lvl w:ilvl="4" w:tplc="041B0003" w:tentative="1">
      <w:start w:val="1"/>
      <w:numFmt w:val="bullet"/>
      <w:lvlText w:val="o"/>
      <w:lvlJc w:val="left"/>
      <w:pPr>
        <w:ind w:left="4297" w:hanging="360"/>
      </w:pPr>
      <w:rPr>
        <w:rFonts w:ascii="Courier New" w:hAnsi="Courier New" w:cs="Courier New" w:hint="default"/>
      </w:rPr>
    </w:lvl>
    <w:lvl w:ilvl="5" w:tplc="041B0005" w:tentative="1">
      <w:start w:val="1"/>
      <w:numFmt w:val="bullet"/>
      <w:lvlText w:val=""/>
      <w:lvlJc w:val="left"/>
      <w:pPr>
        <w:ind w:left="5017" w:hanging="360"/>
      </w:pPr>
      <w:rPr>
        <w:rFonts w:ascii="Wingdings" w:hAnsi="Wingdings" w:hint="default"/>
      </w:rPr>
    </w:lvl>
    <w:lvl w:ilvl="6" w:tplc="041B0001" w:tentative="1">
      <w:start w:val="1"/>
      <w:numFmt w:val="bullet"/>
      <w:lvlText w:val=""/>
      <w:lvlJc w:val="left"/>
      <w:pPr>
        <w:ind w:left="5737" w:hanging="360"/>
      </w:pPr>
      <w:rPr>
        <w:rFonts w:ascii="Symbol" w:hAnsi="Symbol" w:hint="default"/>
      </w:rPr>
    </w:lvl>
    <w:lvl w:ilvl="7" w:tplc="041B0003" w:tentative="1">
      <w:start w:val="1"/>
      <w:numFmt w:val="bullet"/>
      <w:lvlText w:val="o"/>
      <w:lvlJc w:val="left"/>
      <w:pPr>
        <w:ind w:left="6457" w:hanging="360"/>
      </w:pPr>
      <w:rPr>
        <w:rFonts w:ascii="Courier New" w:hAnsi="Courier New" w:cs="Courier New" w:hint="default"/>
      </w:rPr>
    </w:lvl>
    <w:lvl w:ilvl="8" w:tplc="041B0005" w:tentative="1">
      <w:start w:val="1"/>
      <w:numFmt w:val="bullet"/>
      <w:lvlText w:val=""/>
      <w:lvlJc w:val="left"/>
      <w:pPr>
        <w:ind w:left="7177" w:hanging="360"/>
      </w:pPr>
      <w:rPr>
        <w:rFonts w:ascii="Wingdings" w:hAnsi="Wingdings" w:hint="default"/>
      </w:rPr>
    </w:lvl>
  </w:abstractNum>
  <w:abstractNum w:abstractNumId="16" w15:restartNumberingAfterBreak="0">
    <w:nsid w:val="39A52251"/>
    <w:multiLevelType w:val="hybridMultilevel"/>
    <w:tmpl w:val="18C8F18E"/>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3AB567E1"/>
    <w:multiLevelType w:val="hybridMultilevel"/>
    <w:tmpl w:val="4370832E"/>
    <w:lvl w:ilvl="0" w:tplc="041B0017">
      <w:start w:val="1"/>
      <w:numFmt w:val="lowerLetter"/>
      <w:pStyle w:val="abc"/>
      <w:lvlText w:val="%1)"/>
      <w:lvlJc w:val="left"/>
      <w:pPr>
        <w:tabs>
          <w:tab w:val="num" w:pos="465"/>
        </w:tabs>
        <w:ind w:left="465" w:hanging="465"/>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3C595A28"/>
    <w:multiLevelType w:val="hybridMultilevel"/>
    <w:tmpl w:val="F0DCB748"/>
    <w:lvl w:ilvl="0" w:tplc="041B0005">
      <w:start w:val="1"/>
      <w:numFmt w:val="bullet"/>
      <w:lvlText w:val=""/>
      <w:lvlJc w:val="left"/>
      <w:pPr>
        <w:ind w:left="502" w:hanging="360"/>
      </w:pPr>
      <w:rPr>
        <w:rFonts w:ascii="Wingdings" w:hAnsi="Wingdings"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9" w15:restartNumberingAfterBreak="0">
    <w:nsid w:val="3E854616"/>
    <w:multiLevelType w:val="multilevel"/>
    <w:tmpl w:val="F72E33A4"/>
    <w:lvl w:ilvl="0">
      <w:start w:val="3"/>
      <w:numFmt w:val="decimal"/>
      <w:lvlText w:val="%1"/>
      <w:lvlJc w:val="left"/>
      <w:pPr>
        <w:ind w:left="444" w:hanging="444"/>
      </w:pPr>
      <w:rPr>
        <w:rFonts w:hint="default"/>
      </w:rPr>
    </w:lvl>
    <w:lvl w:ilvl="1">
      <w:start w:val="1"/>
      <w:numFmt w:val="decimal"/>
      <w:lvlText w:val="%1.%2"/>
      <w:lvlJc w:val="left"/>
      <w:pPr>
        <w:ind w:left="984" w:hanging="444"/>
      </w:pPr>
      <w:rPr>
        <w:rFonts w:hint="default"/>
      </w:rPr>
    </w:lvl>
    <w:lvl w:ilvl="2">
      <w:start w:val="1"/>
      <w:numFmt w:val="decimal"/>
      <w:pStyle w:val="Nadpis3"/>
      <w:lvlText w:val="%1.%2.%3"/>
      <w:lvlJc w:val="left"/>
      <w:pPr>
        <w:ind w:left="1571"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0" w15:restartNumberingAfterBreak="0">
    <w:nsid w:val="40925A9C"/>
    <w:multiLevelType w:val="hybridMultilevel"/>
    <w:tmpl w:val="BC80FBA2"/>
    <w:lvl w:ilvl="0" w:tplc="BE625246">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42992FA2"/>
    <w:multiLevelType w:val="hybridMultilevel"/>
    <w:tmpl w:val="3AFAD786"/>
    <w:lvl w:ilvl="0" w:tplc="041B0001">
      <w:start w:val="1"/>
      <w:numFmt w:val="bullet"/>
      <w:lvlText w:val=""/>
      <w:lvlJc w:val="left"/>
      <w:pPr>
        <w:ind w:left="772" w:hanging="360"/>
      </w:pPr>
      <w:rPr>
        <w:rFonts w:ascii="Symbol" w:hAnsi="Symbol" w:hint="default"/>
      </w:rPr>
    </w:lvl>
    <w:lvl w:ilvl="1" w:tplc="041B0003" w:tentative="1">
      <w:start w:val="1"/>
      <w:numFmt w:val="bullet"/>
      <w:lvlText w:val="o"/>
      <w:lvlJc w:val="left"/>
      <w:pPr>
        <w:ind w:left="1492" w:hanging="360"/>
      </w:pPr>
      <w:rPr>
        <w:rFonts w:ascii="Courier New" w:hAnsi="Courier New" w:cs="Courier New" w:hint="default"/>
      </w:rPr>
    </w:lvl>
    <w:lvl w:ilvl="2" w:tplc="041B0005" w:tentative="1">
      <w:start w:val="1"/>
      <w:numFmt w:val="bullet"/>
      <w:lvlText w:val=""/>
      <w:lvlJc w:val="left"/>
      <w:pPr>
        <w:ind w:left="2212" w:hanging="360"/>
      </w:pPr>
      <w:rPr>
        <w:rFonts w:ascii="Wingdings" w:hAnsi="Wingdings" w:hint="default"/>
      </w:rPr>
    </w:lvl>
    <w:lvl w:ilvl="3" w:tplc="041B0001" w:tentative="1">
      <w:start w:val="1"/>
      <w:numFmt w:val="bullet"/>
      <w:lvlText w:val=""/>
      <w:lvlJc w:val="left"/>
      <w:pPr>
        <w:ind w:left="2932" w:hanging="360"/>
      </w:pPr>
      <w:rPr>
        <w:rFonts w:ascii="Symbol" w:hAnsi="Symbol" w:hint="default"/>
      </w:rPr>
    </w:lvl>
    <w:lvl w:ilvl="4" w:tplc="041B0003" w:tentative="1">
      <w:start w:val="1"/>
      <w:numFmt w:val="bullet"/>
      <w:lvlText w:val="o"/>
      <w:lvlJc w:val="left"/>
      <w:pPr>
        <w:ind w:left="3652" w:hanging="360"/>
      </w:pPr>
      <w:rPr>
        <w:rFonts w:ascii="Courier New" w:hAnsi="Courier New" w:cs="Courier New" w:hint="default"/>
      </w:rPr>
    </w:lvl>
    <w:lvl w:ilvl="5" w:tplc="041B0005" w:tentative="1">
      <w:start w:val="1"/>
      <w:numFmt w:val="bullet"/>
      <w:lvlText w:val=""/>
      <w:lvlJc w:val="left"/>
      <w:pPr>
        <w:ind w:left="4372" w:hanging="360"/>
      </w:pPr>
      <w:rPr>
        <w:rFonts w:ascii="Wingdings" w:hAnsi="Wingdings" w:hint="default"/>
      </w:rPr>
    </w:lvl>
    <w:lvl w:ilvl="6" w:tplc="041B0001" w:tentative="1">
      <w:start w:val="1"/>
      <w:numFmt w:val="bullet"/>
      <w:lvlText w:val=""/>
      <w:lvlJc w:val="left"/>
      <w:pPr>
        <w:ind w:left="5092" w:hanging="360"/>
      </w:pPr>
      <w:rPr>
        <w:rFonts w:ascii="Symbol" w:hAnsi="Symbol" w:hint="default"/>
      </w:rPr>
    </w:lvl>
    <w:lvl w:ilvl="7" w:tplc="041B0003" w:tentative="1">
      <w:start w:val="1"/>
      <w:numFmt w:val="bullet"/>
      <w:lvlText w:val="o"/>
      <w:lvlJc w:val="left"/>
      <w:pPr>
        <w:ind w:left="5812" w:hanging="360"/>
      </w:pPr>
      <w:rPr>
        <w:rFonts w:ascii="Courier New" w:hAnsi="Courier New" w:cs="Courier New" w:hint="default"/>
      </w:rPr>
    </w:lvl>
    <w:lvl w:ilvl="8" w:tplc="041B0005" w:tentative="1">
      <w:start w:val="1"/>
      <w:numFmt w:val="bullet"/>
      <w:lvlText w:val=""/>
      <w:lvlJc w:val="left"/>
      <w:pPr>
        <w:ind w:left="6532" w:hanging="360"/>
      </w:pPr>
      <w:rPr>
        <w:rFonts w:ascii="Wingdings" w:hAnsi="Wingdings" w:hint="default"/>
      </w:rPr>
    </w:lvl>
  </w:abstractNum>
  <w:abstractNum w:abstractNumId="22" w15:restartNumberingAfterBreak="0">
    <w:nsid w:val="45411497"/>
    <w:multiLevelType w:val="multilevel"/>
    <w:tmpl w:val="D700DAC4"/>
    <w:lvl w:ilvl="0">
      <w:start w:val="3"/>
      <w:numFmt w:val="decimal"/>
      <w:lvlText w:val="%1."/>
      <w:lvlJc w:val="left"/>
      <w:pPr>
        <w:ind w:left="540" w:hanging="540"/>
      </w:pPr>
      <w:rPr>
        <w:rFonts w:cs="Times New Roman" w:hint="default"/>
      </w:rPr>
    </w:lvl>
    <w:lvl w:ilvl="1">
      <w:start w:val="2"/>
      <w:numFmt w:val="decimal"/>
      <w:lvlText w:val="%1.%2."/>
      <w:lvlJc w:val="left"/>
      <w:pPr>
        <w:ind w:left="1080" w:hanging="540"/>
      </w:pPr>
      <w:rPr>
        <w:rFonts w:cs="Times New Roman" w:hint="default"/>
      </w:rPr>
    </w:lvl>
    <w:lvl w:ilvl="2">
      <w:start w:val="5"/>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3" w15:restartNumberingAfterBreak="0">
    <w:nsid w:val="4E58412A"/>
    <w:multiLevelType w:val="hybridMultilevel"/>
    <w:tmpl w:val="DE389CF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E94373F"/>
    <w:multiLevelType w:val="hybridMultilevel"/>
    <w:tmpl w:val="643EFE7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FE67F8E"/>
    <w:multiLevelType w:val="hybridMultilevel"/>
    <w:tmpl w:val="33A46BAA"/>
    <w:lvl w:ilvl="0" w:tplc="BE625246">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6" w15:restartNumberingAfterBreak="0">
    <w:nsid w:val="502C7C45"/>
    <w:multiLevelType w:val="hybridMultilevel"/>
    <w:tmpl w:val="5AD4CFC0"/>
    <w:lvl w:ilvl="0" w:tplc="041B0001">
      <w:start w:val="1"/>
      <w:numFmt w:val="bullet"/>
      <w:lvlText w:val=""/>
      <w:lvlJc w:val="left"/>
      <w:pPr>
        <w:ind w:left="772" w:hanging="360"/>
      </w:pPr>
      <w:rPr>
        <w:rFonts w:ascii="Symbol" w:hAnsi="Symbol" w:hint="default"/>
      </w:rPr>
    </w:lvl>
    <w:lvl w:ilvl="1" w:tplc="041B0003" w:tentative="1">
      <w:start w:val="1"/>
      <w:numFmt w:val="bullet"/>
      <w:lvlText w:val="o"/>
      <w:lvlJc w:val="left"/>
      <w:pPr>
        <w:ind w:left="1492" w:hanging="360"/>
      </w:pPr>
      <w:rPr>
        <w:rFonts w:ascii="Courier New" w:hAnsi="Courier New" w:cs="Courier New" w:hint="default"/>
      </w:rPr>
    </w:lvl>
    <w:lvl w:ilvl="2" w:tplc="041B0005" w:tentative="1">
      <w:start w:val="1"/>
      <w:numFmt w:val="bullet"/>
      <w:lvlText w:val=""/>
      <w:lvlJc w:val="left"/>
      <w:pPr>
        <w:ind w:left="2212" w:hanging="360"/>
      </w:pPr>
      <w:rPr>
        <w:rFonts w:ascii="Wingdings" w:hAnsi="Wingdings" w:hint="default"/>
      </w:rPr>
    </w:lvl>
    <w:lvl w:ilvl="3" w:tplc="041B0001" w:tentative="1">
      <w:start w:val="1"/>
      <w:numFmt w:val="bullet"/>
      <w:lvlText w:val=""/>
      <w:lvlJc w:val="left"/>
      <w:pPr>
        <w:ind w:left="2932" w:hanging="360"/>
      </w:pPr>
      <w:rPr>
        <w:rFonts w:ascii="Symbol" w:hAnsi="Symbol" w:hint="default"/>
      </w:rPr>
    </w:lvl>
    <w:lvl w:ilvl="4" w:tplc="041B0003" w:tentative="1">
      <w:start w:val="1"/>
      <w:numFmt w:val="bullet"/>
      <w:lvlText w:val="o"/>
      <w:lvlJc w:val="left"/>
      <w:pPr>
        <w:ind w:left="3652" w:hanging="360"/>
      </w:pPr>
      <w:rPr>
        <w:rFonts w:ascii="Courier New" w:hAnsi="Courier New" w:cs="Courier New" w:hint="default"/>
      </w:rPr>
    </w:lvl>
    <w:lvl w:ilvl="5" w:tplc="041B0005" w:tentative="1">
      <w:start w:val="1"/>
      <w:numFmt w:val="bullet"/>
      <w:lvlText w:val=""/>
      <w:lvlJc w:val="left"/>
      <w:pPr>
        <w:ind w:left="4372" w:hanging="360"/>
      </w:pPr>
      <w:rPr>
        <w:rFonts w:ascii="Wingdings" w:hAnsi="Wingdings" w:hint="default"/>
      </w:rPr>
    </w:lvl>
    <w:lvl w:ilvl="6" w:tplc="041B0001" w:tentative="1">
      <w:start w:val="1"/>
      <w:numFmt w:val="bullet"/>
      <w:lvlText w:val=""/>
      <w:lvlJc w:val="left"/>
      <w:pPr>
        <w:ind w:left="5092" w:hanging="360"/>
      </w:pPr>
      <w:rPr>
        <w:rFonts w:ascii="Symbol" w:hAnsi="Symbol" w:hint="default"/>
      </w:rPr>
    </w:lvl>
    <w:lvl w:ilvl="7" w:tplc="041B0003" w:tentative="1">
      <w:start w:val="1"/>
      <w:numFmt w:val="bullet"/>
      <w:lvlText w:val="o"/>
      <w:lvlJc w:val="left"/>
      <w:pPr>
        <w:ind w:left="5812" w:hanging="360"/>
      </w:pPr>
      <w:rPr>
        <w:rFonts w:ascii="Courier New" w:hAnsi="Courier New" w:cs="Courier New" w:hint="default"/>
      </w:rPr>
    </w:lvl>
    <w:lvl w:ilvl="8" w:tplc="041B0005" w:tentative="1">
      <w:start w:val="1"/>
      <w:numFmt w:val="bullet"/>
      <w:lvlText w:val=""/>
      <w:lvlJc w:val="left"/>
      <w:pPr>
        <w:ind w:left="6532" w:hanging="360"/>
      </w:pPr>
      <w:rPr>
        <w:rFonts w:ascii="Wingdings" w:hAnsi="Wingdings" w:hint="default"/>
      </w:rPr>
    </w:lvl>
  </w:abstractNum>
  <w:abstractNum w:abstractNumId="27" w15:restartNumberingAfterBreak="0">
    <w:nsid w:val="573717BE"/>
    <w:multiLevelType w:val="hybridMultilevel"/>
    <w:tmpl w:val="5A6C39B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82260DD"/>
    <w:multiLevelType w:val="multilevel"/>
    <w:tmpl w:val="F3E419C0"/>
    <w:lvl w:ilvl="0">
      <w:start w:val="3"/>
      <w:numFmt w:val="decimal"/>
      <w:lvlText w:val="%1"/>
      <w:lvlJc w:val="left"/>
      <w:pPr>
        <w:ind w:left="480" w:hanging="480"/>
      </w:pPr>
      <w:rPr>
        <w:rFonts w:cs="Times New Roman" w:hint="default"/>
      </w:rPr>
    </w:lvl>
    <w:lvl w:ilvl="1">
      <w:start w:val="2"/>
      <w:numFmt w:val="decimal"/>
      <w:lvlText w:val="%1.%2"/>
      <w:lvlJc w:val="left"/>
      <w:pPr>
        <w:ind w:left="1020" w:hanging="480"/>
      </w:pPr>
      <w:rPr>
        <w:rFonts w:cs="Times New Roman" w:hint="default"/>
      </w:rPr>
    </w:lvl>
    <w:lvl w:ilvl="2">
      <w:start w:val="3"/>
      <w:numFmt w:val="decimal"/>
      <w:lvlText w:val="%1.%2.%3"/>
      <w:lvlJc w:val="left"/>
      <w:pPr>
        <w:ind w:left="5681"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5760" w:hanging="1440"/>
      </w:pPr>
      <w:rPr>
        <w:rFonts w:cs="Times New Roman" w:hint="default"/>
      </w:rPr>
    </w:lvl>
  </w:abstractNum>
  <w:abstractNum w:abstractNumId="29" w15:restartNumberingAfterBreak="0">
    <w:nsid w:val="5A621F18"/>
    <w:multiLevelType w:val="hybridMultilevel"/>
    <w:tmpl w:val="251ABD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E146551"/>
    <w:multiLevelType w:val="hybridMultilevel"/>
    <w:tmpl w:val="54442BB8"/>
    <w:lvl w:ilvl="0" w:tplc="041B0001">
      <w:start w:val="1"/>
      <w:numFmt w:val="bullet"/>
      <w:lvlText w:val=""/>
      <w:lvlJc w:val="left"/>
      <w:pPr>
        <w:ind w:left="772" w:hanging="360"/>
      </w:pPr>
      <w:rPr>
        <w:rFonts w:ascii="Symbol" w:hAnsi="Symbol" w:hint="default"/>
      </w:rPr>
    </w:lvl>
    <w:lvl w:ilvl="1" w:tplc="041B0003" w:tentative="1">
      <w:start w:val="1"/>
      <w:numFmt w:val="bullet"/>
      <w:lvlText w:val="o"/>
      <w:lvlJc w:val="left"/>
      <w:pPr>
        <w:ind w:left="1492" w:hanging="360"/>
      </w:pPr>
      <w:rPr>
        <w:rFonts w:ascii="Courier New" w:hAnsi="Courier New" w:cs="Courier New" w:hint="default"/>
      </w:rPr>
    </w:lvl>
    <w:lvl w:ilvl="2" w:tplc="041B0005" w:tentative="1">
      <w:start w:val="1"/>
      <w:numFmt w:val="bullet"/>
      <w:lvlText w:val=""/>
      <w:lvlJc w:val="left"/>
      <w:pPr>
        <w:ind w:left="2212" w:hanging="360"/>
      </w:pPr>
      <w:rPr>
        <w:rFonts w:ascii="Wingdings" w:hAnsi="Wingdings" w:hint="default"/>
      </w:rPr>
    </w:lvl>
    <w:lvl w:ilvl="3" w:tplc="041B0001" w:tentative="1">
      <w:start w:val="1"/>
      <w:numFmt w:val="bullet"/>
      <w:lvlText w:val=""/>
      <w:lvlJc w:val="left"/>
      <w:pPr>
        <w:ind w:left="2932" w:hanging="360"/>
      </w:pPr>
      <w:rPr>
        <w:rFonts w:ascii="Symbol" w:hAnsi="Symbol" w:hint="default"/>
      </w:rPr>
    </w:lvl>
    <w:lvl w:ilvl="4" w:tplc="041B0003" w:tentative="1">
      <w:start w:val="1"/>
      <w:numFmt w:val="bullet"/>
      <w:lvlText w:val="o"/>
      <w:lvlJc w:val="left"/>
      <w:pPr>
        <w:ind w:left="3652" w:hanging="360"/>
      </w:pPr>
      <w:rPr>
        <w:rFonts w:ascii="Courier New" w:hAnsi="Courier New" w:cs="Courier New" w:hint="default"/>
      </w:rPr>
    </w:lvl>
    <w:lvl w:ilvl="5" w:tplc="041B0005" w:tentative="1">
      <w:start w:val="1"/>
      <w:numFmt w:val="bullet"/>
      <w:lvlText w:val=""/>
      <w:lvlJc w:val="left"/>
      <w:pPr>
        <w:ind w:left="4372" w:hanging="360"/>
      </w:pPr>
      <w:rPr>
        <w:rFonts w:ascii="Wingdings" w:hAnsi="Wingdings" w:hint="default"/>
      </w:rPr>
    </w:lvl>
    <w:lvl w:ilvl="6" w:tplc="041B0001" w:tentative="1">
      <w:start w:val="1"/>
      <w:numFmt w:val="bullet"/>
      <w:lvlText w:val=""/>
      <w:lvlJc w:val="left"/>
      <w:pPr>
        <w:ind w:left="5092" w:hanging="360"/>
      </w:pPr>
      <w:rPr>
        <w:rFonts w:ascii="Symbol" w:hAnsi="Symbol" w:hint="default"/>
      </w:rPr>
    </w:lvl>
    <w:lvl w:ilvl="7" w:tplc="041B0003" w:tentative="1">
      <w:start w:val="1"/>
      <w:numFmt w:val="bullet"/>
      <w:lvlText w:val="o"/>
      <w:lvlJc w:val="left"/>
      <w:pPr>
        <w:ind w:left="5812" w:hanging="360"/>
      </w:pPr>
      <w:rPr>
        <w:rFonts w:ascii="Courier New" w:hAnsi="Courier New" w:cs="Courier New" w:hint="default"/>
      </w:rPr>
    </w:lvl>
    <w:lvl w:ilvl="8" w:tplc="041B0005" w:tentative="1">
      <w:start w:val="1"/>
      <w:numFmt w:val="bullet"/>
      <w:lvlText w:val=""/>
      <w:lvlJc w:val="left"/>
      <w:pPr>
        <w:ind w:left="6532" w:hanging="360"/>
      </w:pPr>
      <w:rPr>
        <w:rFonts w:ascii="Wingdings" w:hAnsi="Wingdings" w:hint="default"/>
      </w:rPr>
    </w:lvl>
  </w:abstractNum>
  <w:abstractNum w:abstractNumId="31" w15:restartNumberingAfterBreak="0">
    <w:nsid w:val="5F1161A3"/>
    <w:multiLevelType w:val="multilevel"/>
    <w:tmpl w:val="4A981EF6"/>
    <w:lvl w:ilvl="0">
      <w:start w:val="1"/>
      <w:numFmt w:val="decimal"/>
      <w:pStyle w:val="Nadpis1"/>
      <w:lvlText w:val="%1."/>
      <w:lvlJc w:val="left"/>
      <w:pPr>
        <w:ind w:left="1495" w:hanging="360"/>
      </w:pPr>
      <w:rPr>
        <w:rFonts w:cs="Times New Roman" w:hint="default"/>
      </w:rPr>
    </w:lvl>
    <w:lvl w:ilvl="1">
      <w:start w:val="1"/>
      <w:numFmt w:val="decimal"/>
      <w:isLgl/>
      <w:lvlText w:val="%1.%2."/>
      <w:lvlJc w:val="left"/>
      <w:pPr>
        <w:ind w:left="8014"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
        <w:szCs w:val="36"/>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32" w15:restartNumberingAfterBreak="0">
    <w:nsid w:val="5F85346E"/>
    <w:multiLevelType w:val="hybridMultilevel"/>
    <w:tmpl w:val="24BEE030"/>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F9C1DFC"/>
    <w:multiLevelType w:val="hybridMultilevel"/>
    <w:tmpl w:val="8450934A"/>
    <w:lvl w:ilvl="0" w:tplc="44B8B4AA">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027001B"/>
    <w:multiLevelType w:val="hybridMultilevel"/>
    <w:tmpl w:val="5194FF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1FD66C5"/>
    <w:multiLevelType w:val="hybridMultilevel"/>
    <w:tmpl w:val="B41ADD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3381E7F"/>
    <w:multiLevelType w:val="hybridMultilevel"/>
    <w:tmpl w:val="55E6E59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63A1450"/>
    <w:multiLevelType w:val="hybridMultilevel"/>
    <w:tmpl w:val="E8B406F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642409D"/>
    <w:multiLevelType w:val="hybridMultilevel"/>
    <w:tmpl w:val="0018F6C2"/>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6F4A40FA"/>
    <w:multiLevelType w:val="hybridMultilevel"/>
    <w:tmpl w:val="B11E3C4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4A47639"/>
    <w:multiLevelType w:val="hybridMultilevel"/>
    <w:tmpl w:val="488EFF90"/>
    <w:lvl w:ilvl="0" w:tplc="617C48F4">
      <w:start w:val="1"/>
      <w:numFmt w:val="decimal"/>
      <w:lvlText w:val="%1)"/>
      <w:lvlJc w:val="left"/>
      <w:pPr>
        <w:ind w:left="720" w:hanging="360"/>
      </w:pPr>
      <w:rPr>
        <w:rFonts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D2767D"/>
    <w:multiLevelType w:val="hybridMultilevel"/>
    <w:tmpl w:val="CE00776C"/>
    <w:lvl w:ilvl="0" w:tplc="BE6252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6CE0331"/>
    <w:multiLevelType w:val="hybridMultilevel"/>
    <w:tmpl w:val="1A48B20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A544B48"/>
    <w:multiLevelType w:val="hybridMultilevel"/>
    <w:tmpl w:val="BB6805EE"/>
    <w:lvl w:ilvl="0" w:tplc="2ED296A6">
      <w:start w:val="7"/>
      <w:numFmt w:val="bullet"/>
      <w:pStyle w:val="AUODRAKA"/>
      <w:lvlText w:val=""/>
      <w:lvlJc w:val="left"/>
      <w:pPr>
        <w:tabs>
          <w:tab w:val="num" w:pos="284"/>
        </w:tabs>
        <w:ind w:left="284" w:hanging="284"/>
      </w:pPr>
      <w:rPr>
        <w:rFonts w:ascii="Symbol" w:hAnsi="Symbol" w:hint="default"/>
        <w:b/>
        <w:i w:val="0"/>
        <w:color w:val="auto"/>
        <w:sz w:val="24"/>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62541926">
    <w:abstractNumId w:val="18"/>
  </w:num>
  <w:num w:numId="2" w16cid:durableId="144667652">
    <w:abstractNumId w:val="31"/>
  </w:num>
  <w:num w:numId="3" w16cid:durableId="1193572559">
    <w:abstractNumId w:val="2"/>
  </w:num>
  <w:num w:numId="4" w16cid:durableId="70663012">
    <w:abstractNumId w:val="17"/>
  </w:num>
  <w:num w:numId="5" w16cid:durableId="1944068427">
    <w:abstractNumId w:val="43"/>
  </w:num>
  <w:num w:numId="6" w16cid:durableId="1572694393">
    <w:abstractNumId w:val="0"/>
  </w:num>
  <w:num w:numId="7" w16cid:durableId="920215935">
    <w:abstractNumId w:val="37"/>
  </w:num>
  <w:num w:numId="8" w16cid:durableId="1993170018">
    <w:abstractNumId w:val="3"/>
  </w:num>
  <w:num w:numId="9" w16cid:durableId="330766396">
    <w:abstractNumId w:val="38"/>
  </w:num>
  <w:num w:numId="10" w16cid:durableId="2102216991">
    <w:abstractNumId w:val="6"/>
  </w:num>
  <w:num w:numId="11" w16cid:durableId="28651535">
    <w:abstractNumId w:val="7"/>
  </w:num>
  <w:num w:numId="12" w16cid:durableId="1819221514">
    <w:abstractNumId w:val="32"/>
  </w:num>
  <w:num w:numId="13" w16cid:durableId="1807699779">
    <w:abstractNumId w:val="8"/>
  </w:num>
  <w:num w:numId="14" w16cid:durableId="291332230">
    <w:abstractNumId w:val="13"/>
  </w:num>
  <w:num w:numId="15" w16cid:durableId="648169558">
    <w:abstractNumId w:val="22"/>
  </w:num>
  <w:num w:numId="16" w16cid:durableId="1787849177">
    <w:abstractNumId w:val="5"/>
  </w:num>
  <w:num w:numId="17" w16cid:durableId="1711761876">
    <w:abstractNumId w:val="10"/>
  </w:num>
  <w:num w:numId="18" w16cid:durableId="455831580">
    <w:abstractNumId w:val="29"/>
  </w:num>
  <w:num w:numId="19" w16cid:durableId="1498888800">
    <w:abstractNumId w:val="24"/>
  </w:num>
  <w:num w:numId="20" w16cid:durableId="1947082058">
    <w:abstractNumId w:val="39"/>
  </w:num>
  <w:num w:numId="21" w16cid:durableId="1741711357">
    <w:abstractNumId w:val="23"/>
  </w:num>
  <w:num w:numId="22" w16cid:durableId="1997025961">
    <w:abstractNumId w:val="27"/>
  </w:num>
  <w:num w:numId="23" w16cid:durableId="1623611743">
    <w:abstractNumId w:val="28"/>
  </w:num>
  <w:num w:numId="24" w16cid:durableId="1615673012">
    <w:abstractNumId w:val="15"/>
  </w:num>
  <w:num w:numId="25" w16cid:durableId="491944093">
    <w:abstractNumId w:val="16"/>
  </w:num>
  <w:num w:numId="26" w16cid:durableId="1609461327">
    <w:abstractNumId w:val="42"/>
  </w:num>
  <w:num w:numId="27" w16cid:durableId="394747096">
    <w:abstractNumId w:val="12"/>
  </w:num>
  <w:num w:numId="28" w16cid:durableId="1589271298">
    <w:abstractNumId w:val="4"/>
  </w:num>
  <w:num w:numId="29" w16cid:durableId="1498231239">
    <w:abstractNumId w:val="33"/>
  </w:num>
  <w:num w:numId="30" w16cid:durableId="259946165">
    <w:abstractNumId w:val="1"/>
  </w:num>
  <w:num w:numId="31" w16cid:durableId="1141113253">
    <w:abstractNumId w:val="36"/>
  </w:num>
  <w:num w:numId="32" w16cid:durableId="1862238119">
    <w:abstractNumId w:val="40"/>
  </w:num>
  <w:num w:numId="33" w16cid:durableId="477307196">
    <w:abstractNumId w:val="9"/>
  </w:num>
  <w:num w:numId="34" w16cid:durableId="91974125">
    <w:abstractNumId w:val="19"/>
  </w:num>
  <w:num w:numId="35" w16cid:durableId="979312411">
    <w:abstractNumId w:val="41"/>
  </w:num>
  <w:num w:numId="36" w16cid:durableId="323514213">
    <w:abstractNumId w:val="35"/>
  </w:num>
  <w:num w:numId="37" w16cid:durableId="1753770632">
    <w:abstractNumId w:val="25"/>
  </w:num>
  <w:num w:numId="38" w16cid:durableId="1647659467">
    <w:abstractNumId w:val="20"/>
  </w:num>
  <w:num w:numId="39" w16cid:durableId="1203980848">
    <w:abstractNumId w:val="26"/>
  </w:num>
  <w:num w:numId="40" w16cid:durableId="1172842420">
    <w:abstractNumId w:val="30"/>
  </w:num>
  <w:num w:numId="41" w16cid:durableId="568463579">
    <w:abstractNumId w:val="11"/>
  </w:num>
  <w:num w:numId="42" w16cid:durableId="1522818919">
    <w:abstractNumId w:val="14"/>
  </w:num>
  <w:num w:numId="43" w16cid:durableId="1567062146">
    <w:abstractNumId w:val="21"/>
  </w:num>
  <w:num w:numId="44" w16cid:durableId="900794293">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hideGrammaticalErrors/>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46C"/>
    <w:rsid w:val="000002C2"/>
    <w:rsid w:val="00000538"/>
    <w:rsid w:val="00000D78"/>
    <w:rsid w:val="00001004"/>
    <w:rsid w:val="0000175E"/>
    <w:rsid w:val="00002917"/>
    <w:rsid w:val="00002BBE"/>
    <w:rsid w:val="00002C13"/>
    <w:rsid w:val="00002FDB"/>
    <w:rsid w:val="0000319C"/>
    <w:rsid w:val="000033EA"/>
    <w:rsid w:val="0000346C"/>
    <w:rsid w:val="00003A48"/>
    <w:rsid w:val="00003EAF"/>
    <w:rsid w:val="00003F36"/>
    <w:rsid w:val="000042C7"/>
    <w:rsid w:val="0000435D"/>
    <w:rsid w:val="00004469"/>
    <w:rsid w:val="0000481F"/>
    <w:rsid w:val="00004915"/>
    <w:rsid w:val="00004950"/>
    <w:rsid w:val="00004FCF"/>
    <w:rsid w:val="000054CB"/>
    <w:rsid w:val="00005C66"/>
    <w:rsid w:val="00005C86"/>
    <w:rsid w:val="0000684D"/>
    <w:rsid w:val="00006BD7"/>
    <w:rsid w:val="00007076"/>
    <w:rsid w:val="00007D5C"/>
    <w:rsid w:val="000101AF"/>
    <w:rsid w:val="00010479"/>
    <w:rsid w:val="00010514"/>
    <w:rsid w:val="0001053C"/>
    <w:rsid w:val="00010811"/>
    <w:rsid w:val="0001086A"/>
    <w:rsid w:val="00010BA4"/>
    <w:rsid w:val="00010E4A"/>
    <w:rsid w:val="00010FCC"/>
    <w:rsid w:val="0001132C"/>
    <w:rsid w:val="0001193D"/>
    <w:rsid w:val="000119E5"/>
    <w:rsid w:val="00011E1A"/>
    <w:rsid w:val="00012A0B"/>
    <w:rsid w:val="00012B32"/>
    <w:rsid w:val="00012EC9"/>
    <w:rsid w:val="00014315"/>
    <w:rsid w:val="00015EC4"/>
    <w:rsid w:val="00016328"/>
    <w:rsid w:val="00016DC1"/>
    <w:rsid w:val="000177FD"/>
    <w:rsid w:val="00017CC3"/>
    <w:rsid w:val="00017D21"/>
    <w:rsid w:val="00020FB9"/>
    <w:rsid w:val="000214D6"/>
    <w:rsid w:val="00021605"/>
    <w:rsid w:val="00021651"/>
    <w:rsid w:val="00022328"/>
    <w:rsid w:val="0002242E"/>
    <w:rsid w:val="0002262E"/>
    <w:rsid w:val="000231EB"/>
    <w:rsid w:val="00024B0D"/>
    <w:rsid w:val="00024E6F"/>
    <w:rsid w:val="000253C4"/>
    <w:rsid w:val="000253F1"/>
    <w:rsid w:val="00025966"/>
    <w:rsid w:val="000259AA"/>
    <w:rsid w:val="00025A00"/>
    <w:rsid w:val="00026749"/>
    <w:rsid w:val="00026828"/>
    <w:rsid w:val="0002698B"/>
    <w:rsid w:val="00026F0C"/>
    <w:rsid w:val="00027116"/>
    <w:rsid w:val="000273E8"/>
    <w:rsid w:val="00027721"/>
    <w:rsid w:val="00027CD5"/>
    <w:rsid w:val="00027D0B"/>
    <w:rsid w:val="00027F18"/>
    <w:rsid w:val="0003038A"/>
    <w:rsid w:val="000305C5"/>
    <w:rsid w:val="00030A31"/>
    <w:rsid w:val="00030A36"/>
    <w:rsid w:val="00030A6A"/>
    <w:rsid w:val="00031168"/>
    <w:rsid w:val="00031788"/>
    <w:rsid w:val="00031892"/>
    <w:rsid w:val="000318C9"/>
    <w:rsid w:val="00031FF7"/>
    <w:rsid w:val="00032127"/>
    <w:rsid w:val="00032419"/>
    <w:rsid w:val="00032740"/>
    <w:rsid w:val="00032BCF"/>
    <w:rsid w:val="00033B28"/>
    <w:rsid w:val="00033B40"/>
    <w:rsid w:val="00034156"/>
    <w:rsid w:val="000347E8"/>
    <w:rsid w:val="000352E6"/>
    <w:rsid w:val="000352EA"/>
    <w:rsid w:val="0003540B"/>
    <w:rsid w:val="00036696"/>
    <w:rsid w:val="00036E63"/>
    <w:rsid w:val="00036E81"/>
    <w:rsid w:val="0003723C"/>
    <w:rsid w:val="00037AA9"/>
    <w:rsid w:val="000410D6"/>
    <w:rsid w:val="00041CD3"/>
    <w:rsid w:val="00041E12"/>
    <w:rsid w:val="000421E4"/>
    <w:rsid w:val="00042600"/>
    <w:rsid w:val="00042AFD"/>
    <w:rsid w:val="00042D3D"/>
    <w:rsid w:val="00042DE1"/>
    <w:rsid w:val="00042DE4"/>
    <w:rsid w:val="000432A6"/>
    <w:rsid w:val="000433E5"/>
    <w:rsid w:val="000437EA"/>
    <w:rsid w:val="000438E5"/>
    <w:rsid w:val="0004421D"/>
    <w:rsid w:val="0004434D"/>
    <w:rsid w:val="0004438B"/>
    <w:rsid w:val="00044525"/>
    <w:rsid w:val="00044687"/>
    <w:rsid w:val="00045447"/>
    <w:rsid w:val="000454D8"/>
    <w:rsid w:val="00045E30"/>
    <w:rsid w:val="00046BF3"/>
    <w:rsid w:val="00047E06"/>
    <w:rsid w:val="00047EDA"/>
    <w:rsid w:val="00047FFE"/>
    <w:rsid w:val="000500D5"/>
    <w:rsid w:val="000501DB"/>
    <w:rsid w:val="0005096F"/>
    <w:rsid w:val="000511B5"/>
    <w:rsid w:val="000518B3"/>
    <w:rsid w:val="00051A2B"/>
    <w:rsid w:val="00051C9A"/>
    <w:rsid w:val="0005286D"/>
    <w:rsid w:val="00052A68"/>
    <w:rsid w:val="00053376"/>
    <w:rsid w:val="00053609"/>
    <w:rsid w:val="00053FD1"/>
    <w:rsid w:val="000548EA"/>
    <w:rsid w:val="00055F5C"/>
    <w:rsid w:val="00056165"/>
    <w:rsid w:val="00056320"/>
    <w:rsid w:val="0005634A"/>
    <w:rsid w:val="00056451"/>
    <w:rsid w:val="000565C3"/>
    <w:rsid w:val="000568BD"/>
    <w:rsid w:val="00056E18"/>
    <w:rsid w:val="00057CF7"/>
    <w:rsid w:val="00057FBA"/>
    <w:rsid w:val="000603BD"/>
    <w:rsid w:val="000606A7"/>
    <w:rsid w:val="00060CA3"/>
    <w:rsid w:val="000610F9"/>
    <w:rsid w:val="00061DBD"/>
    <w:rsid w:val="000620F9"/>
    <w:rsid w:val="00062AF5"/>
    <w:rsid w:val="00062DC2"/>
    <w:rsid w:val="000638D7"/>
    <w:rsid w:val="00064921"/>
    <w:rsid w:val="00065110"/>
    <w:rsid w:val="000654D9"/>
    <w:rsid w:val="00065880"/>
    <w:rsid w:val="00066452"/>
    <w:rsid w:val="00066880"/>
    <w:rsid w:val="00066FAE"/>
    <w:rsid w:val="000671B7"/>
    <w:rsid w:val="00067252"/>
    <w:rsid w:val="00067757"/>
    <w:rsid w:val="00067F7E"/>
    <w:rsid w:val="000703EC"/>
    <w:rsid w:val="00070899"/>
    <w:rsid w:val="000709D3"/>
    <w:rsid w:val="00070B5D"/>
    <w:rsid w:val="000710B3"/>
    <w:rsid w:val="0007122D"/>
    <w:rsid w:val="00071A59"/>
    <w:rsid w:val="00071DAB"/>
    <w:rsid w:val="0007201B"/>
    <w:rsid w:val="000720E8"/>
    <w:rsid w:val="000722EF"/>
    <w:rsid w:val="000728EB"/>
    <w:rsid w:val="00072FFE"/>
    <w:rsid w:val="00073842"/>
    <w:rsid w:val="00073EB1"/>
    <w:rsid w:val="00073FFD"/>
    <w:rsid w:val="00074028"/>
    <w:rsid w:val="00074976"/>
    <w:rsid w:val="00074BA3"/>
    <w:rsid w:val="00075C44"/>
    <w:rsid w:val="00076535"/>
    <w:rsid w:val="000768A5"/>
    <w:rsid w:val="0007714F"/>
    <w:rsid w:val="000774FD"/>
    <w:rsid w:val="000775A2"/>
    <w:rsid w:val="00080B3C"/>
    <w:rsid w:val="0008186C"/>
    <w:rsid w:val="00081D41"/>
    <w:rsid w:val="00081E83"/>
    <w:rsid w:val="0008237F"/>
    <w:rsid w:val="00082D3B"/>
    <w:rsid w:val="0008314B"/>
    <w:rsid w:val="000832C3"/>
    <w:rsid w:val="00083D09"/>
    <w:rsid w:val="00083DE2"/>
    <w:rsid w:val="00083E71"/>
    <w:rsid w:val="00084506"/>
    <w:rsid w:val="00084794"/>
    <w:rsid w:val="00084F17"/>
    <w:rsid w:val="000851F9"/>
    <w:rsid w:val="0008572B"/>
    <w:rsid w:val="00085B2E"/>
    <w:rsid w:val="00085E85"/>
    <w:rsid w:val="00085FC1"/>
    <w:rsid w:val="0008612E"/>
    <w:rsid w:val="0008767D"/>
    <w:rsid w:val="00090B79"/>
    <w:rsid w:val="0009176B"/>
    <w:rsid w:val="00091ABA"/>
    <w:rsid w:val="00091E16"/>
    <w:rsid w:val="00092A25"/>
    <w:rsid w:val="00093C11"/>
    <w:rsid w:val="00093D22"/>
    <w:rsid w:val="00093EE7"/>
    <w:rsid w:val="000942AF"/>
    <w:rsid w:val="00094682"/>
    <w:rsid w:val="00094B9B"/>
    <w:rsid w:val="000955D2"/>
    <w:rsid w:val="00095ADF"/>
    <w:rsid w:val="00095B15"/>
    <w:rsid w:val="00095D11"/>
    <w:rsid w:val="00095F27"/>
    <w:rsid w:val="00096F7A"/>
    <w:rsid w:val="00096FC8"/>
    <w:rsid w:val="000971DB"/>
    <w:rsid w:val="0009732B"/>
    <w:rsid w:val="000A0D12"/>
    <w:rsid w:val="000A0D79"/>
    <w:rsid w:val="000A29A1"/>
    <w:rsid w:val="000A357C"/>
    <w:rsid w:val="000A42E5"/>
    <w:rsid w:val="000A4644"/>
    <w:rsid w:val="000A46FC"/>
    <w:rsid w:val="000A4965"/>
    <w:rsid w:val="000A496D"/>
    <w:rsid w:val="000A4BFC"/>
    <w:rsid w:val="000A5316"/>
    <w:rsid w:val="000A570B"/>
    <w:rsid w:val="000A5B20"/>
    <w:rsid w:val="000A5BA9"/>
    <w:rsid w:val="000A70FE"/>
    <w:rsid w:val="000A7290"/>
    <w:rsid w:val="000A758D"/>
    <w:rsid w:val="000B02C3"/>
    <w:rsid w:val="000B04FB"/>
    <w:rsid w:val="000B0946"/>
    <w:rsid w:val="000B0AD0"/>
    <w:rsid w:val="000B10D1"/>
    <w:rsid w:val="000B142F"/>
    <w:rsid w:val="000B178F"/>
    <w:rsid w:val="000B1899"/>
    <w:rsid w:val="000B1F01"/>
    <w:rsid w:val="000B1F5C"/>
    <w:rsid w:val="000B2004"/>
    <w:rsid w:val="000B39AF"/>
    <w:rsid w:val="000B4000"/>
    <w:rsid w:val="000B41DB"/>
    <w:rsid w:val="000B4414"/>
    <w:rsid w:val="000B447F"/>
    <w:rsid w:val="000B4538"/>
    <w:rsid w:val="000B4541"/>
    <w:rsid w:val="000B4D4A"/>
    <w:rsid w:val="000B4E19"/>
    <w:rsid w:val="000B5079"/>
    <w:rsid w:val="000B5FA3"/>
    <w:rsid w:val="000B776B"/>
    <w:rsid w:val="000C051B"/>
    <w:rsid w:val="000C0942"/>
    <w:rsid w:val="000C098E"/>
    <w:rsid w:val="000C0AF4"/>
    <w:rsid w:val="000C0F7D"/>
    <w:rsid w:val="000C12AE"/>
    <w:rsid w:val="000C2F69"/>
    <w:rsid w:val="000C3213"/>
    <w:rsid w:val="000C33E1"/>
    <w:rsid w:val="000C3860"/>
    <w:rsid w:val="000C47D2"/>
    <w:rsid w:val="000C4948"/>
    <w:rsid w:val="000C5C02"/>
    <w:rsid w:val="000C5E1C"/>
    <w:rsid w:val="000C69B4"/>
    <w:rsid w:val="000C6A66"/>
    <w:rsid w:val="000C6BC7"/>
    <w:rsid w:val="000D1395"/>
    <w:rsid w:val="000D157E"/>
    <w:rsid w:val="000D1B7E"/>
    <w:rsid w:val="000D1D1F"/>
    <w:rsid w:val="000D2962"/>
    <w:rsid w:val="000D3333"/>
    <w:rsid w:val="000D358B"/>
    <w:rsid w:val="000D360D"/>
    <w:rsid w:val="000D3A03"/>
    <w:rsid w:val="000D3B05"/>
    <w:rsid w:val="000D3B2D"/>
    <w:rsid w:val="000D3CB0"/>
    <w:rsid w:val="000D4131"/>
    <w:rsid w:val="000D420F"/>
    <w:rsid w:val="000D5363"/>
    <w:rsid w:val="000D55E2"/>
    <w:rsid w:val="000D5870"/>
    <w:rsid w:val="000D598D"/>
    <w:rsid w:val="000D6362"/>
    <w:rsid w:val="000D6907"/>
    <w:rsid w:val="000D6986"/>
    <w:rsid w:val="000D6BF1"/>
    <w:rsid w:val="000D77CC"/>
    <w:rsid w:val="000D79E1"/>
    <w:rsid w:val="000E08CC"/>
    <w:rsid w:val="000E08D0"/>
    <w:rsid w:val="000E0D02"/>
    <w:rsid w:val="000E1502"/>
    <w:rsid w:val="000E205C"/>
    <w:rsid w:val="000E2275"/>
    <w:rsid w:val="000E228D"/>
    <w:rsid w:val="000E2A71"/>
    <w:rsid w:val="000E2AC5"/>
    <w:rsid w:val="000E34F3"/>
    <w:rsid w:val="000E39AF"/>
    <w:rsid w:val="000E3D24"/>
    <w:rsid w:val="000E40C9"/>
    <w:rsid w:val="000E4520"/>
    <w:rsid w:val="000E499C"/>
    <w:rsid w:val="000E562D"/>
    <w:rsid w:val="000E58E6"/>
    <w:rsid w:val="000E5BF0"/>
    <w:rsid w:val="000E5F16"/>
    <w:rsid w:val="000E6304"/>
    <w:rsid w:val="000E6732"/>
    <w:rsid w:val="000E683F"/>
    <w:rsid w:val="000E69D1"/>
    <w:rsid w:val="000E6B59"/>
    <w:rsid w:val="000E6B8D"/>
    <w:rsid w:val="000E712E"/>
    <w:rsid w:val="000E7514"/>
    <w:rsid w:val="000E7880"/>
    <w:rsid w:val="000E7DA0"/>
    <w:rsid w:val="000F021A"/>
    <w:rsid w:val="000F0520"/>
    <w:rsid w:val="000F0772"/>
    <w:rsid w:val="000F1128"/>
    <w:rsid w:val="000F1497"/>
    <w:rsid w:val="000F19DE"/>
    <w:rsid w:val="000F1AF0"/>
    <w:rsid w:val="000F1CED"/>
    <w:rsid w:val="000F21DB"/>
    <w:rsid w:val="000F23AE"/>
    <w:rsid w:val="000F23F1"/>
    <w:rsid w:val="000F2548"/>
    <w:rsid w:val="000F28E0"/>
    <w:rsid w:val="000F3056"/>
    <w:rsid w:val="000F352B"/>
    <w:rsid w:val="000F366E"/>
    <w:rsid w:val="000F3B25"/>
    <w:rsid w:val="000F3D81"/>
    <w:rsid w:val="000F41C7"/>
    <w:rsid w:val="000F42D3"/>
    <w:rsid w:val="000F4ED4"/>
    <w:rsid w:val="000F5C34"/>
    <w:rsid w:val="000F5C53"/>
    <w:rsid w:val="000F5C91"/>
    <w:rsid w:val="000F5EC3"/>
    <w:rsid w:val="000F5F5B"/>
    <w:rsid w:val="000F61CA"/>
    <w:rsid w:val="000F623B"/>
    <w:rsid w:val="000F6836"/>
    <w:rsid w:val="000F7DFE"/>
    <w:rsid w:val="001009CC"/>
    <w:rsid w:val="00100DED"/>
    <w:rsid w:val="00101B73"/>
    <w:rsid w:val="00101C61"/>
    <w:rsid w:val="00101CDA"/>
    <w:rsid w:val="00102430"/>
    <w:rsid w:val="00102646"/>
    <w:rsid w:val="001026B8"/>
    <w:rsid w:val="0010281C"/>
    <w:rsid w:val="00103121"/>
    <w:rsid w:val="00103208"/>
    <w:rsid w:val="00103920"/>
    <w:rsid w:val="00103E2F"/>
    <w:rsid w:val="0010434D"/>
    <w:rsid w:val="00104524"/>
    <w:rsid w:val="00104D10"/>
    <w:rsid w:val="00105389"/>
    <w:rsid w:val="00105529"/>
    <w:rsid w:val="00105EF9"/>
    <w:rsid w:val="00105F45"/>
    <w:rsid w:val="00106A87"/>
    <w:rsid w:val="00106D60"/>
    <w:rsid w:val="001073E3"/>
    <w:rsid w:val="00107454"/>
    <w:rsid w:val="00107CE1"/>
    <w:rsid w:val="00107F2E"/>
    <w:rsid w:val="0011021B"/>
    <w:rsid w:val="00110DB4"/>
    <w:rsid w:val="00110FEB"/>
    <w:rsid w:val="0011103E"/>
    <w:rsid w:val="00111143"/>
    <w:rsid w:val="0011146D"/>
    <w:rsid w:val="001115E9"/>
    <w:rsid w:val="001119F3"/>
    <w:rsid w:val="0011258A"/>
    <w:rsid w:val="0011263E"/>
    <w:rsid w:val="001127E9"/>
    <w:rsid w:val="001129CA"/>
    <w:rsid w:val="00112D4B"/>
    <w:rsid w:val="00113AFE"/>
    <w:rsid w:val="00113FCF"/>
    <w:rsid w:val="00114233"/>
    <w:rsid w:val="001146E1"/>
    <w:rsid w:val="001147D5"/>
    <w:rsid w:val="00114B1C"/>
    <w:rsid w:val="0011506F"/>
    <w:rsid w:val="00115D0B"/>
    <w:rsid w:val="00116016"/>
    <w:rsid w:val="00116347"/>
    <w:rsid w:val="00117D0F"/>
    <w:rsid w:val="00117DCA"/>
    <w:rsid w:val="00117E23"/>
    <w:rsid w:val="00117EF0"/>
    <w:rsid w:val="00120030"/>
    <w:rsid w:val="0012017D"/>
    <w:rsid w:val="00120194"/>
    <w:rsid w:val="001205A3"/>
    <w:rsid w:val="00120D7D"/>
    <w:rsid w:val="001215F3"/>
    <w:rsid w:val="00121E5E"/>
    <w:rsid w:val="0012246F"/>
    <w:rsid w:val="0012264F"/>
    <w:rsid w:val="001226BB"/>
    <w:rsid w:val="00122D4E"/>
    <w:rsid w:val="0012357B"/>
    <w:rsid w:val="00124000"/>
    <w:rsid w:val="00124052"/>
    <w:rsid w:val="00124551"/>
    <w:rsid w:val="0012459D"/>
    <w:rsid w:val="0012462B"/>
    <w:rsid w:val="00124887"/>
    <w:rsid w:val="00125626"/>
    <w:rsid w:val="00125DEF"/>
    <w:rsid w:val="00125FD4"/>
    <w:rsid w:val="00126FD6"/>
    <w:rsid w:val="001272A3"/>
    <w:rsid w:val="0012770B"/>
    <w:rsid w:val="00130163"/>
    <w:rsid w:val="00130B45"/>
    <w:rsid w:val="00130F05"/>
    <w:rsid w:val="00131380"/>
    <w:rsid w:val="00131EDB"/>
    <w:rsid w:val="00132739"/>
    <w:rsid w:val="00132E70"/>
    <w:rsid w:val="00133489"/>
    <w:rsid w:val="00133BBF"/>
    <w:rsid w:val="00133CA5"/>
    <w:rsid w:val="00133D38"/>
    <w:rsid w:val="001348DE"/>
    <w:rsid w:val="00134B24"/>
    <w:rsid w:val="001350E4"/>
    <w:rsid w:val="001351DA"/>
    <w:rsid w:val="0013579C"/>
    <w:rsid w:val="001359D0"/>
    <w:rsid w:val="00135AB2"/>
    <w:rsid w:val="00135B55"/>
    <w:rsid w:val="00135CC5"/>
    <w:rsid w:val="00135D67"/>
    <w:rsid w:val="00135DD9"/>
    <w:rsid w:val="00136934"/>
    <w:rsid w:val="00136B64"/>
    <w:rsid w:val="00136DED"/>
    <w:rsid w:val="0013769A"/>
    <w:rsid w:val="0014080D"/>
    <w:rsid w:val="00140B01"/>
    <w:rsid w:val="001410E9"/>
    <w:rsid w:val="00141EC5"/>
    <w:rsid w:val="0014208C"/>
    <w:rsid w:val="001432F3"/>
    <w:rsid w:val="00143A46"/>
    <w:rsid w:val="00143F28"/>
    <w:rsid w:val="00144672"/>
    <w:rsid w:val="0014562C"/>
    <w:rsid w:val="00145919"/>
    <w:rsid w:val="001460F5"/>
    <w:rsid w:val="00146199"/>
    <w:rsid w:val="0014699A"/>
    <w:rsid w:val="00146B3B"/>
    <w:rsid w:val="00146DB2"/>
    <w:rsid w:val="00146EFA"/>
    <w:rsid w:val="0014715B"/>
    <w:rsid w:val="00147917"/>
    <w:rsid w:val="001500DF"/>
    <w:rsid w:val="00150511"/>
    <w:rsid w:val="00150887"/>
    <w:rsid w:val="001508C7"/>
    <w:rsid w:val="00150A76"/>
    <w:rsid w:val="001513E2"/>
    <w:rsid w:val="00151522"/>
    <w:rsid w:val="00151939"/>
    <w:rsid w:val="00151B15"/>
    <w:rsid w:val="00151FDA"/>
    <w:rsid w:val="00152621"/>
    <w:rsid w:val="00152880"/>
    <w:rsid w:val="00152E3C"/>
    <w:rsid w:val="0015481D"/>
    <w:rsid w:val="00154B2E"/>
    <w:rsid w:val="00155A35"/>
    <w:rsid w:val="0015643F"/>
    <w:rsid w:val="001571EA"/>
    <w:rsid w:val="0015747B"/>
    <w:rsid w:val="0015751D"/>
    <w:rsid w:val="00157527"/>
    <w:rsid w:val="00157FF1"/>
    <w:rsid w:val="00161058"/>
    <w:rsid w:val="0016158F"/>
    <w:rsid w:val="001616C1"/>
    <w:rsid w:val="00161C86"/>
    <w:rsid w:val="00161D96"/>
    <w:rsid w:val="00162088"/>
    <w:rsid w:val="001622AD"/>
    <w:rsid w:val="00162D79"/>
    <w:rsid w:val="00163EDD"/>
    <w:rsid w:val="001648BB"/>
    <w:rsid w:val="001649FB"/>
    <w:rsid w:val="00165641"/>
    <w:rsid w:val="00165C61"/>
    <w:rsid w:val="0016687F"/>
    <w:rsid w:val="00166C0F"/>
    <w:rsid w:val="00166F71"/>
    <w:rsid w:val="001670B8"/>
    <w:rsid w:val="00167781"/>
    <w:rsid w:val="00167C30"/>
    <w:rsid w:val="00167EE7"/>
    <w:rsid w:val="00170393"/>
    <w:rsid w:val="0017089D"/>
    <w:rsid w:val="00171087"/>
    <w:rsid w:val="00171C26"/>
    <w:rsid w:val="00172120"/>
    <w:rsid w:val="00172308"/>
    <w:rsid w:val="00172824"/>
    <w:rsid w:val="00173299"/>
    <w:rsid w:val="00173460"/>
    <w:rsid w:val="001735E5"/>
    <w:rsid w:val="00173851"/>
    <w:rsid w:val="00174D14"/>
    <w:rsid w:val="0017573C"/>
    <w:rsid w:val="00175D3A"/>
    <w:rsid w:val="001760DB"/>
    <w:rsid w:val="00176736"/>
    <w:rsid w:val="001767F0"/>
    <w:rsid w:val="001768B9"/>
    <w:rsid w:val="001774F7"/>
    <w:rsid w:val="00177E04"/>
    <w:rsid w:val="00180732"/>
    <w:rsid w:val="0018178F"/>
    <w:rsid w:val="00181949"/>
    <w:rsid w:val="001835B0"/>
    <w:rsid w:val="00183829"/>
    <w:rsid w:val="00183A1F"/>
    <w:rsid w:val="00183EB7"/>
    <w:rsid w:val="00183F38"/>
    <w:rsid w:val="00183FF7"/>
    <w:rsid w:val="0018419A"/>
    <w:rsid w:val="0018421F"/>
    <w:rsid w:val="00184638"/>
    <w:rsid w:val="001848F4"/>
    <w:rsid w:val="00184A1B"/>
    <w:rsid w:val="001850BC"/>
    <w:rsid w:val="00185751"/>
    <w:rsid w:val="00185CDE"/>
    <w:rsid w:val="0018625A"/>
    <w:rsid w:val="001878CA"/>
    <w:rsid w:val="00187E22"/>
    <w:rsid w:val="00187EC7"/>
    <w:rsid w:val="0019064B"/>
    <w:rsid w:val="001909A1"/>
    <w:rsid w:val="00191267"/>
    <w:rsid w:val="001915D2"/>
    <w:rsid w:val="00192B61"/>
    <w:rsid w:val="00192E1A"/>
    <w:rsid w:val="00193E1B"/>
    <w:rsid w:val="001941DB"/>
    <w:rsid w:val="001946A9"/>
    <w:rsid w:val="001947F5"/>
    <w:rsid w:val="00194D2D"/>
    <w:rsid w:val="00194E25"/>
    <w:rsid w:val="0019505E"/>
    <w:rsid w:val="00195367"/>
    <w:rsid w:val="001959A0"/>
    <w:rsid w:val="001960E5"/>
    <w:rsid w:val="001964A2"/>
    <w:rsid w:val="001965CA"/>
    <w:rsid w:val="00196FE5"/>
    <w:rsid w:val="001979AA"/>
    <w:rsid w:val="001A02CC"/>
    <w:rsid w:val="001A1209"/>
    <w:rsid w:val="001A19AE"/>
    <w:rsid w:val="001A1ADE"/>
    <w:rsid w:val="001A21DF"/>
    <w:rsid w:val="001A251B"/>
    <w:rsid w:val="001A3017"/>
    <w:rsid w:val="001A30B1"/>
    <w:rsid w:val="001A30B7"/>
    <w:rsid w:val="001A356F"/>
    <w:rsid w:val="001A3635"/>
    <w:rsid w:val="001A3A40"/>
    <w:rsid w:val="001A4984"/>
    <w:rsid w:val="001A4BA1"/>
    <w:rsid w:val="001A50F9"/>
    <w:rsid w:val="001A59FB"/>
    <w:rsid w:val="001A5C4F"/>
    <w:rsid w:val="001A5ED5"/>
    <w:rsid w:val="001A638C"/>
    <w:rsid w:val="001A687D"/>
    <w:rsid w:val="001A6892"/>
    <w:rsid w:val="001A6DE0"/>
    <w:rsid w:val="001A6FA7"/>
    <w:rsid w:val="001A70B5"/>
    <w:rsid w:val="001B0452"/>
    <w:rsid w:val="001B083A"/>
    <w:rsid w:val="001B0C57"/>
    <w:rsid w:val="001B1856"/>
    <w:rsid w:val="001B1F0E"/>
    <w:rsid w:val="001B1F32"/>
    <w:rsid w:val="001B2309"/>
    <w:rsid w:val="001B2399"/>
    <w:rsid w:val="001B2A89"/>
    <w:rsid w:val="001B34EE"/>
    <w:rsid w:val="001B3856"/>
    <w:rsid w:val="001B4DFC"/>
    <w:rsid w:val="001B4EA0"/>
    <w:rsid w:val="001B56D0"/>
    <w:rsid w:val="001B57D2"/>
    <w:rsid w:val="001B5F32"/>
    <w:rsid w:val="001B674A"/>
    <w:rsid w:val="001B68C3"/>
    <w:rsid w:val="001B76A7"/>
    <w:rsid w:val="001C04FD"/>
    <w:rsid w:val="001C0B35"/>
    <w:rsid w:val="001C0EA2"/>
    <w:rsid w:val="001C12E3"/>
    <w:rsid w:val="001C159E"/>
    <w:rsid w:val="001C1A34"/>
    <w:rsid w:val="001C2148"/>
    <w:rsid w:val="001C21A5"/>
    <w:rsid w:val="001C2266"/>
    <w:rsid w:val="001C3167"/>
    <w:rsid w:val="001C3DA8"/>
    <w:rsid w:val="001C3E48"/>
    <w:rsid w:val="001C3F52"/>
    <w:rsid w:val="001C4414"/>
    <w:rsid w:val="001C4B83"/>
    <w:rsid w:val="001C4E20"/>
    <w:rsid w:val="001C4FC9"/>
    <w:rsid w:val="001C54FA"/>
    <w:rsid w:val="001C5592"/>
    <w:rsid w:val="001C5889"/>
    <w:rsid w:val="001C5FED"/>
    <w:rsid w:val="001C61AA"/>
    <w:rsid w:val="001C7146"/>
    <w:rsid w:val="001C77DD"/>
    <w:rsid w:val="001C7922"/>
    <w:rsid w:val="001C7991"/>
    <w:rsid w:val="001D01D5"/>
    <w:rsid w:val="001D04D3"/>
    <w:rsid w:val="001D06C2"/>
    <w:rsid w:val="001D0E44"/>
    <w:rsid w:val="001D1F4E"/>
    <w:rsid w:val="001D28D4"/>
    <w:rsid w:val="001D3593"/>
    <w:rsid w:val="001D373A"/>
    <w:rsid w:val="001D385F"/>
    <w:rsid w:val="001D3BB3"/>
    <w:rsid w:val="001D4302"/>
    <w:rsid w:val="001D45CC"/>
    <w:rsid w:val="001D48A0"/>
    <w:rsid w:val="001D4C33"/>
    <w:rsid w:val="001D4F6D"/>
    <w:rsid w:val="001D5A20"/>
    <w:rsid w:val="001D6B3C"/>
    <w:rsid w:val="001D6D92"/>
    <w:rsid w:val="001D70BF"/>
    <w:rsid w:val="001D77FC"/>
    <w:rsid w:val="001D7CDB"/>
    <w:rsid w:val="001E0DB6"/>
    <w:rsid w:val="001E11A6"/>
    <w:rsid w:val="001E14FC"/>
    <w:rsid w:val="001E15B5"/>
    <w:rsid w:val="001E1FB8"/>
    <w:rsid w:val="001E1FD8"/>
    <w:rsid w:val="001E2307"/>
    <w:rsid w:val="001E2DE5"/>
    <w:rsid w:val="001E3035"/>
    <w:rsid w:val="001E3D96"/>
    <w:rsid w:val="001E41AC"/>
    <w:rsid w:val="001E4AA7"/>
    <w:rsid w:val="001E4BB5"/>
    <w:rsid w:val="001E5763"/>
    <w:rsid w:val="001E5826"/>
    <w:rsid w:val="001E5876"/>
    <w:rsid w:val="001E5E18"/>
    <w:rsid w:val="001E61E0"/>
    <w:rsid w:val="001E633F"/>
    <w:rsid w:val="001E6A64"/>
    <w:rsid w:val="001E6B33"/>
    <w:rsid w:val="001E6CF0"/>
    <w:rsid w:val="001E7C1A"/>
    <w:rsid w:val="001E7DBD"/>
    <w:rsid w:val="001E7E6F"/>
    <w:rsid w:val="001F0024"/>
    <w:rsid w:val="001F0485"/>
    <w:rsid w:val="001F05DE"/>
    <w:rsid w:val="001F0D9F"/>
    <w:rsid w:val="001F1AA2"/>
    <w:rsid w:val="001F1D93"/>
    <w:rsid w:val="001F22EF"/>
    <w:rsid w:val="001F2A88"/>
    <w:rsid w:val="001F376C"/>
    <w:rsid w:val="001F39D3"/>
    <w:rsid w:val="001F3D60"/>
    <w:rsid w:val="001F43C8"/>
    <w:rsid w:val="001F49A9"/>
    <w:rsid w:val="001F4D98"/>
    <w:rsid w:val="001F4EDC"/>
    <w:rsid w:val="001F510C"/>
    <w:rsid w:val="001F542C"/>
    <w:rsid w:val="001F550C"/>
    <w:rsid w:val="001F5D79"/>
    <w:rsid w:val="001F5F49"/>
    <w:rsid w:val="001F5FB5"/>
    <w:rsid w:val="001F639E"/>
    <w:rsid w:val="001F683E"/>
    <w:rsid w:val="001F6D13"/>
    <w:rsid w:val="00200509"/>
    <w:rsid w:val="00200D8F"/>
    <w:rsid w:val="00201F29"/>
    <w:rsid w:val="002025FA"/>
    <w:rsid w:val="00203A7E"/>
    <w:rsid w:val="0020400B"/>
    <w:rsid w:val="002044AD"/>
    <w:rsid w:val="00204AB1"/>
    <w:rsid w:val="00204E1E"/>
    <w:rsid w:val="00204E46"/>
    <w:rsid w:val="00206029"/>
    <w:rsid w:val="00206DF9"/>
    <w:rsid w:val="002078B2"/>
    <w:rsid w:val="00207931"/>
    <w:rsid w:val="0021117C"/>
    <w:rsid w:val="00211725"/>
    <w:rsid w:val="00211BF0"/>
    <w:rsid w:val="00211C2A"/>
    <w:rsid w:val="0021284D"/>
    <w:rsid w:val="002132BD"/>
    <w:rsid w:val="002132DF"/>
    <w:rsid w:val="002132EC"/>
    <w:rsid w:val="00213919"/>
    <w:rsid w:val="00213A28"/>
    <w:rsid w:val="002142C6"/>
    <w:rsid w:val="00214348"/>
    <w:rsid w:val="00214457"/>
    <w:rsid w:val="002146F4"/>
    <w:rsid w:val="00214AE5"/>
    <w:rsid w:val="00214ECD"/>
    <w:rsid w:val="00215678"/>
    <w:rsid w:val="00215BC5"/>
    <w:rsid w:val="0021649B"/>
    <w:rsid w:val="00216984"/>
    <w:rsid w:val="00216AC2"/>
    <w:rsid w:val="00216B81"/>
    <w:rsid w:val="00216CD8"/>
    <w:rsid w:val="00216E76"/>
    <w:rsid w:val="002170B1"/>
    <w:rsid w:val="002175EF"/>
    <w:rsid w:val="002177A3"/>
    <w:rsid w:val="00217B68"/>
    <w:rsid w:val="00217E98"/>
    <w:rsid w:val="002201A6"/>
    <w:rsid w:val="00220857"/>
    <w:rsid w:val="002215AF"/>
    <w:rsid w:val="00221E46"/>
    <w:rsid w:val="002220DC"/>
    <w:rsid w:val="00222200"/>
    <w:rsid w:val="00222BD5"/>
    <w:rsid w:val="00222E1C"/>
    <w:rsid w:val="00223B82"/>
    <w:rsid w:val="00224204"/>
    <w:rsid w:val="0022476D"/>
    <w:rsid w:val="00224BDE"/>
    <w:rsid w:val="0022549B"/>
    <w:rsid w:val="00225D5A"/>
    <w:rsid w:val="00226B6B"/>
    <w:rsid w:val="00226D68"/>
    <w:rsid w:val="00227134"/>
    <w:rsid w:val="0022731F"/>
    <w:rsid w:val="0023021E"/>
    <w:rsid w:val="0023087F"/>
    <w:rsid w:val="00230BAA"/>
    <w:rsid w:val="0023134D"/>
    <w:rsid w:val="00231512"/>
    <w:rsid w:val="002315DD"/>
    <w:rsid w:val="00231900"/>
    <w:rsid w:val="00231BE6"/>
    <w:rsid w:val="002322EB"/>
    <w:rsid w:val="00232EB7"/>
    <w:rsid w:val="0023444B"/>
    <w:rsid w:val="002345B2"/>
    <w:rsid w:val="00234A6C"/>
    <w:rsid w:val="00234E1C"/>
    <w:rsid w:val="00235657"/>
    <w:rsid w:val="00235751"/>
    <w:rsid w:val="0023584C"/>
    <w:rsid w:val="00235F45"/>
    <w:rsid w:val="002365F2"/>
    <w:rsid w:val="002377CE"/>
    <w:rsid w:val="00240187"/>
    <w:rsid w:val="00240F49"/>
    <w:rsid w:val="00240F72"/>
    <w:rsid w:val="002412C1"/>
    <w:rsid w:val="002414D0"/>
    <w:rsid w:val="00241B89"/>
    <w:rsid w:val="0024252C"/>
    <w:rsid w:val="002435D8"/>
    <w:rsid w:val="00243B27"/>
    <w:rsid w:val="00243B84"/>
    <w:rsid w:val="00243FB1"/>
    <w:rsid w:val="00244575"/>
    <w:rsid w:val="00244749"/>
    <w:rsid w:val="00244757"/>
    <w:rsid w:val="002447F0"/>
    <w:rsid w:val="002452B4"/>
    <w:rsid w:val="002453EC"/>
    <w:rsid w:val="00245F7B"/>
    <w:rsid w:val="002462D9"/>
    <w:rsid w:val="0024688F"/>
    <w:rsid w:val="002468A2"/>
    <w:rsid w:val="00246CE6"/>
    <w:rsid w:val="00246DE8"/>
    <w:rsid w:val="00247637"/>
    <w:rsid w:val="00247E19"/>
    <w:rsid w:val="00250051"/>
    <w:rsid w:val="002502E0"/>
    <w:rsid w:val="002505E7"/>
    <w:rsid w:val="002512EB"/>
    <w:rsid w:val="00251495"/>
    <w:rsid w:val="002517D9"/>
    <w:rsid w:val="00251883"/>
    <w:rsid w:val="0025192F"/>
    <w:rsid w:val="0025214C"/>
    <w:rsid w:val="002529A2"/>
    <w:rsid w:val="00253120"/>
    <w:rsid w:val="00253472"/>
    <w:rsid w:val="002535AD"/>
    <w:rsid w:val="0025486C"/>
    <w:rsid w:val="00254A8D"/>
    <w:rsid w:val="00254DF2"/>
    <w:rsid w:val="0025731A"/>
    <w:rsid w:val="00257902"/>
    <w:rsid w:val="00260203"/>
    <w:rsid w:val="00260473"/>
    <w:rsid w:val="002607F6"/>
    <w:rsid w:val="002609F7"/>
    <w:rsid w:val="00260B79"/>
    <w:rsid w:val="0026158C"/>
    <w:rsid w:val="0026198B"/>
    <w:rsid w:val="00261A91"/>
    <w:rsid w:val="00261DC9"/>
    <w:rsid w:val="00262347"/>
    <w:rsid w:val="0026276D"/>
    <w:rsid w:val="002632BB"/>
    <w:rsid w:val="002643BE"/>
    <w:rsid w:val="00264AA5"/>
    <w:rsid w:val="00264FC9"/>
    <w:rsid w:val="0026511F"/>
    <w:rsid w:val="0026521F"/>
    <w:rsid w:val="00265D08"/>
    <w:rsid w:val="002662DA"/>
    <w:rsid w:val="002666A0"/>
    <w:rsid w:val="00266E8B"/>
    <w:rsid w:val="00266F51"/>
    <w:rsid w:val="0026721F"/>
    <w:rsid w:val="0026756B"/>
    <w:rsid w:val="00267B66"/>
    <w:rsid w:val="00270805"/>
    <w:rsid w:val="00270E72"/>
    <w:rsid w:val="0027100E"/>
    <w:rsid w:val="002710A9"/>
    <w:rsid w:val="00271A78"/>
    <w:rsid w:val="00271F5F"/>
    <w:rsid w:val="00271F7F"/>
    <w:rsid w:val="00271FAC"/>
    <w:rsid w:val="00272061"/>
    <w:rsid w:val="00272125"/>
    <w:rsid w:val="002728B3"/>
    <w:rsid w:val="002746C4"/>
    <w:rsid w:val="00274A5D"/>
    <w:rsid w:val="00274BD8"/>
    <w:rsid w:val="0027509E"/>
    <w:rsid w:val="002750FA"/>
    <w:rsid w:val="002753EE"/>
    <w:rsid w:val="00275647"/>
    <w:rsid w:val="0027587D"/>
    <w:rsid w:val="002759FF"/>
    <w:rsid w:val="00275E0F"/>
    <w:rsid w:val="002763B2"/>
    <w:rsid w:val="00277D61"/>
    <w:rsid w:val="00281479"/>
    <w:rsid w:val="002816BD"/>
    <w:rsid w:val="002817DD"/>
    <w:rsid w:val="00281A1D"/>
    <w:rsid w:val="00281ED4"/>
    <w:rsid w:val="00281FBC"/>
    <w:rsid w:val="00282986"/>
    <w:rsid w:val="00282BE6"/>
    <w:rsid w:val="00282C9D"/>
    <w:rsid w:val="00283AA7"/>
    <w:rsid w:val="00283C80"/>
    <w:rsid w:val="00283D55"/>
    <w:rsid w:val="002847E9"/>
    <w:rsid w:val="002854F9"/>
    <w:rsid w:val="00285A22"/>
    <w:rsid w:val="00285FD5"/>
    <w:rsid w:val="00285FEE"/>
    <w:rsid w:val="00286464"/>
    <w:rsid w:val="00286ED9"/>
    <w:rsid w:val="00287010"/>
    <w:rsid w:val="00290222"/>
    <w:rsid w:val="0029028D"/>
    <w:rsid w:val="0029039A"/>
    <w:rsid w:val="002920B8"/>
    <w:rsid w:val="002922B1"/>
    <w:rsid w:val="002923F1"/>
    <w:rsid w:val="00292650"/>
    <w:rsid w:val="00292FB1"/>
    <w:rsid w:val="002934D3"/>
    <w:rsid w:val="00293945"/>
    <w:rsid w:val="00294AD4"/>
    <w:rsid w:val="002951DB"/>
    <w:rsid w:val="00295D8B"/>
    <w:rsid w:val="00295DBA"/>
    <w:rsid w:val="00295EA5"/>
    <w:rsid w:val="0029657A"/>
    <w:rsid w:val="00296643"/>
    <w:rsid w:val="00296A58"/>
    <w:rsid w:val="00296DDF"/>
    <w:rsid w:val="00296E0B"/>
    <w:rsid w:val="0029701F"/>
    <w:rsid w:val="00297DB4"/>
    <w:rsid w:val="002A024C"/>
    <w:rsid w:val="002A13CE"/>
    <w:rsid w:val="002A22D2"/>
    <w:rsid w:val="002A34D6"/>
    <w:rsid w:val="002A387C"/>
    <w:rsid w:val="002A3FAA"/>
    <w:rsid w:val="002A4EBB"/>
    <w:rsid w:val="002A59B9"/>
    <w:rsid w:val="002A5EA6"/>
    <w:rsid w:val="002A5EE4"/>
    <w:rsid w:val="002A63D5"/>
    <w:rsid w:val="002A6688"/>
    <w:rsid w:val="002A6B7F"/>
    <w:rsid w:val="002A7144"/>
    <w:rsid w:val="002A7CD8"/>
    <w:rsid w:val="002B0288"/>
    <w:rsid w:val="002B08C1"/>
    <w:rsid w:val="002B100C"/>
    <w:rsid w:val="002B25A7"/>
    <w:rsid w:val="002B3430"/>
    <w:rsid w:val="002B4A5C"/>
    <w:rsid w:val="002B4A70"/>
    <w:rsid w:val="002B4FDB"/>
    <w:rsid w:val="002B551F"/>
    <w:rsid w:val="002B5681"/>
    <w:rsid w:val="002B5E1F"/>
    <w:rsid w:val="002B64DD"/>
    <w:rsid w:val="002B6A36"/>
    <w:rsid w:val="002B6C0A"/>
    <w:rsid w:val="002B7039"/>
    <w:rsid w:val="002B76F2"/>
    <w:rsid w:val="002B7761"/>
    <w:rsid w:val="002B7C16"/>
    <w:rsid w:val="002C033D"/>
    <w:rsid w:val="002C05C9"/>
    <w:rsid w:val="002C17E9"/>
    <w:rsid w:val="002C1969"/>
    <w:rsid w:val="002C2348"/>
    <w:rsid w:val="002C2D2B"/>
    <w:rsid w:val="002C2EF1"/>
    <w:rsid w:val="002C3EB8"/>
    <w:rsid w:val="002C43E3"/>
    <w:rsid w:val="002C4691"/>
    <w:rsid w:val="002C51FF"/>
    <w:rsid w:val="002C547E"/>
    <w:rsid w:val="002C5507"/>
    <w:rsid w:val="002C6153"/>
    <w:rsid w:val="002C623E"/>
    <w:rsid w:val="002C62DA"/>
    <w:rsid w:val="002C6438"/>
    <w:rsid w:val="002C68D5"/>
    <w:rsid w:val="002C6AEF"/>
    <w:rsid w:val="002C6B0E"/>
    <w:rsid w:val="002C75A1"/>
    <w:rsid w:val="002C784D"/>
    <w:rsid w:val="002C7EB2"/>
    <w:rsid w:val="002D0382"/>
    <w:rsid w:val="002D03CE"/>
    <w:rsid w:val="002D05C8"/>
    <w:rsid w:val="002D19D1"/>
    <w:rsid w:val="002D1E17"/>
    <w:rsid w:val="002D2371"/>
    <w:rsid w:val="002D2E86"/>
    <w:rsid w:val="002D3D05"/>
    <w:rsid w:val="002D3D1E"/>
    <w:rsid w:val="002D4D2E"/>
    <w:rsid w:val="002D54E0"/>
    <w:rsid w:val="002D6090"/>
    <w:rsid w:val="002D60B6"/>
    <w:rsid w:val="002D6D0A"/>
    <w:rsid w:val="002D73A1"/>
    <w:rsid w:val="002D798F"/>
    <w:rsid w:val="002D7CC1"/>
    <w:rsid w:val="002E02CE"/>
    <w:rsid w:val="002E04D2"/>
    <w:rsid w:val="002E0D26"/>
    <w:rsid w:val="002E13F7"/>
    <w:rsid w:val="002E1433"/>
    <w:rsid w:val="002E157F"/>
    <w:rsid w:val="002E1E76"/>
    <w:rsid w:val="002E225E"/>
    <w:rsid w:val="002E24F3"/>
    <w:rsid w:val="002E2DA3"/>
    <w:rsid w:val="002E315D"/>
    <w:rsid w:val="002E40C1"/>
    <w:rsid w:val="002E46B3"/>
    <w:rsid w:val="002E5006"/>
    <w:rsid w:val="002E516E"/>
    <w:rsid w:val="002E5268"/>
    <w:rsid w:val="002E530D"/>
    <w:rsid w:val="002E55AB"/>
    <w:rsid w:val="002E5F8B"/>
    <w:rsid w:val="002E60C1"/>
    <w:rsid w:val="002E62C3"/>
    <w:rsid w:val="002E6C6F"/>
    <w:rsid w:val="002E6D80"/>
    <w:rsid w:val="002F023E"/>
    <w:rsid w:val="002F06DB"/>
    <w:rsid w:val="002F0A2B"/>
    <w:rsid w:val="002F0F77"/>
    <w:rsid w:val="002F0FDF"/>
    <w:rsid w:val="002F1219"/>
    <w:rsid w:val="002F1412"/>
    <w:rsid w:val="002F15C7"/>
    <w:rsid w:val="002F1D21"/>
    <w:rsid w:val="002F1EE7"/>
    <w:rsid w:val="002F2685"/>
    <w:rsid w:val="002F26D5"/>
    <w:rsid w:val="002F310B"/>
    <w:rsid w:val="002F4CFC"/>
    <w:rsid w:val="002F4E39"/>
    <w:rsid w:val="002F5EE2"/>
    <w:rsid w:val="002F61CA"/>
    <w:rsid w:val="002F6582"/>
    <w:rsid w:val="002F79ED"/>
    <w:rsid w:val="002F7B20"/>
    <w:rsid w:val="002F7C62"/>
    <w:rsid w:val="003001C3"/>
    <w:rsid w:val="0030084D"/>
    <w:rsid w:val="0030094B"/>
    <w:rsid w:val="003009A6"/>
    <w:rsid w:val="003018A9"/>
    <w:rsid w:val="003019C0"/>
    <w:rsid w:val="00301A37"/>
    <w:rsid w:val="00301D73"/>
    <w:rsid w:val="003022FB"/>
    <w:rsid w:val="00302494"/>
    <w:rsid w:val="0030274B"/>
    <w:rsid w:val="00302921"/>
    <w:rsid w:val="0030306B"/>
    <w:rsid w:val="003035A5"/>
    <w:rsid w:val="00303607"/>
    <w:rsid w:val="00304507"/>
    <w:rsid w:val="0030487F"/>
    <w:rsid w:val="00304EB1"/>
    <w:rsid w:val="00304F49"/>
    <w:rsid w:val="00306F95"/>
    <w:rsid w:val="00310385"/>
    <w:rsid w:val="0031145C"/>
    <w:rsid w:val="0031183C"/>
    <w:rsid w:val="0031192D"/>
    <w:rsid w:val="00311A78"/>
    <w:rsid w:val="00311BAE"/>
    <w:rsid w:val="00311CE6"/>
    <w:rsid w:val="0031227D"/>
    <w:rsid w:val="00312C55"/>
    <w:rsid w:val="00313378"/>
    <w:rsid w:val="00313851"/>
    <w:rsid w:val="003139EB"/>
    <w:rsid w:val="00313C6C"/>
    <w:rsid w:val="00313F84"/>
    <w:rsid w:val="003144C5"/>
    <w:rsid w:val="003152DA"/>
    <w:rsid w:val="003153FB"/>
    <w:rsid w:val="00315A25"/>
    <w:rsid w:val="003160E3"/>
    <w:rsid w:val="003169A6"/>
    <w:rsid w:val="00316CE3"/>
    <w:rsid w:val="003200FB"/>
    <w:rsid w:val="00320F4D"/>
    <w:rsid w:val="00321687"/>
    <w:rsid w:val="00321EC7"/>
    <w:rsid w:val="003221A0"/>
    <w:rsid w:val="00322951"/>
    <w:rsid w:val="00323BBF"/>
    <w:rsid w:val="003257A9"/>
    <w:rsid w:val="00325B48"/>
    <w:rsid w:val="00325E53"/>
    <w:rsid w:val="003262E6"/>
    <w:rsid w:val="0033155E"/>
    <w:rsid w:val="003318A3"/>
    <w:rsid w:val="00331DC4"/>
    <w:rsid w:val="003320CB"/>
    <w:rsid w:val="003320E9"/>
    <w:rsid w:val="00332142"/>
    <w:rsid w:val="0033233F"/>
    <w:rsid w:val="0033291C"/>
    <w:rsid w:val="0033307F"/>
    <w:rsid w:val="0033338B"/>
    <w:rsid w:val="0033374E"/>
    <w:rsid w:val="003337D1"/>
    <w:rsid w:val="00333825"/>
    <w:rsid w:val="00333FE9"/>
    <w:rsid w:val="003340E1"/>
    <w:rsid w:val="00334F3E"/>
    <w:rsid w:val="00335AF7"/>
    <w:rsid w:val="0033678B"/>
    <w:rsid w:val="00336969"/>
    <w:rsid w:val="00336DB7"/>
    <w:rsid w:val="00337565"/>
    <w:rsid w:val="00337A4D"/>
    <w:rsid w:val="0034061C"/>
    <w:rsid w:val="00341556"/>
    <w:rsid w:val="00341797"/>
    <w:rsid w:val="003429D1"/>
    <w:rsid w:val="00342B11"/>
    <w:rsid w:val="00342C44"/>
    <w:rsid w:val="00343531"/>
    <w:rsid w:val="00343D6F"/>
    <w:rsid w:val="00344D66"/>
    <w:rsid w:val="003458FE"/>
    <w:rsid w:val="00345E52"/>
    <w:rsid w:val="0034650C"/>
    <w:rsid w:val="003467EC"/>
    <w:rsid w:val="003467FA"/>
    <w:rsid w:val="003474D4"/>
    <w:rsid w:val="003475BE"/>
    <w:rsid w:val="003476E6"/>
    <w:rsid w:val="0034793E"/>
    <w:rsid w:val="00347CA4"/>
    <w:rsid w:val="00350489"/>
    <w:rsid w:val="00350D5F"/>
    <w:rsid w:val="00350FCE"/>
    <w:rsid w:val="003511D3"/>
    <w:rsid w:val="0035194F"/>
    <w:rsid w:val="00351FCF"/>
    <w:rsid w:val="00352007"/>
    <w:rsid w:val="00352012"/>
    <w:rsid w:val="0035208F"/>
    <w:rsid w:val="00352E73"/>
    <w:rsid w:val="003532A8"/>
    <w:rsid w:val="0035366F"/>
    <w:rsid w:val="00353AEA"/>
    <w:rsid w:val="0035426D"/>
    <w:rsid w:val="00354922"/>
    <w:rsid w:val="00354C87"/>
    <w:rsid w:val="00354CEB"/>
    <w:rsid w:val="00354E87"/>
    <w:rsid w:val="00355224"/>
    <w:rsid w:val="00355A01"/>
    <w:rsid w:val="00355F2F"/>
    <w:rsid w:val="00356019"/>
    <w:rsid w:val="003569EA"/>
    <w:rsid w:val="003570CD"/>
    <w:rsid w:val="00357146"/>
    <w:rsid w:val="003572CF"/>
    <w:rsid w:val="0035736B"/>
    <w:rsid w:val="00357D75"/>
    <w:rsid w:val="00360008"/>
    <w:rsid w:val="003608A6"/>
    <w:rsid w:val="003608DE"/>
    <w:rsid w:val="00360E3C"/>
    <w:rsid w:val="00361123"/>
    <w:rsid w:val="00362D52"/>
    <w:rsid w:val="00362DC8"/>
    <w:rsid w:val="00363541"/>
    <w:rsid w:val="00364A37"/>
    <w:rsid w:val="00364AFC"/>
    <w:rsid w:val="00365956"/>
    <w:rsid w:val="00365FBE"/>
    <w:rsid w:val="00366350"/>
    <w:rsid w:val="00366AE0"/>
    <w:rsid w:val="00366E1E"/>
    <w:rsid w:val="00366F3A"/>
    <w:rsid w:val="00367C11"/>
    <w:rsid w:val="003704C2"/>
    <w:rsid w:val="0037056B"/>
    <w:rsid w:val="00370E5F"/>
    <w:rsid w:val="003711E2"/>
    <w:rsid w:val="00371415"/>
    <w:rsid w:val="003715E0"/>
    <w:rsid w:val="0037206F"/>
    <w:rsid w:val="00372456"/>
    <w:rsid w:val="003724FD"/>
    <w:rsid w:val="0037256A"/>
    <w:rsid w:val="0037310C"/>
    <w:rsid w:val="00373219"/>
    <w:rsid w:val="00373316"/>
    <w:rsid w:val="00373FED"/>
    <w:rsid w:val="00374314"/>
    <w:rsid w:val="0037448F"/>
    <w:rsid w:val="00374605"/>
    <w:rsid w:val="00375367"/>
    <w:rsid w:val="00375895"/>
    <w:rsid w:val="003759A7"/>
    <w:rsid w:val="00375A31"/>
    <w:rsid w:val="00375CF7"/>
    <w:rsid w:val="00376471"/>
    <w:rsid w:val="00376711"/>
    <w:rsid w:val="00377960"/>
    <w:rsid w:val="0038066F"/>
    <w:rsid w:val="00381445"/>
    <w:rsid w:val="00381822"/>
    <w:rsid w:val="00381BD4"/>
    <w:rsid w:val="00382207"/>
    <w:rsid w:val="0038304B"/>
    <w:rsid w:val="0038320E"/>
    <w:rsid w:val="00383242"/>
    <w:rsid w:val="0038408C"/>
    <w:rsid w:val="003841EB"/>
    <w:rsid w:val="003851FE"/>
    <w:rsid w:val="003854AA"/>
    <w:rsid w:val="003854E1"/>
    <w:rsid w:val="003856EE"/>
    <w:rsid w:val="00385D9E"/>
    <w:rsid w:val="003869E9"/>
    <w:rsid w:val="00386B64"/>
    <w:rsid w:val="00386BF1"/>
    <w:rsid w:val="00386D4B"/>
    <w:rsid w:val="00387783"/>
    <w:rsid w:val="00390E01"/>
    <w:rsid w:val="0039205F"/>
    <w:rsid w:val="00392121"/>
    <w:rsid w:val="003928F2"/>
    <w:rsid w:val="00392B0F"/>
    <w:rsid w:val="00392B83"/>
    <w:rsid w:val="00392C61"/>
    <w:rsid w:val="0039321C"/>
    <w:rsid w:val="003938CC"/>
    <w:rsid w:val="00394109"/>
    <w:rsid w:val="00394F9A"/>
    <w:rsid w:val="00395EAC"/>
    <w:rsid w:val="003964A1"/>
    <w:rsid w:val="00396A66"/>
    <w:rsid w:val="00397B38"/>
    <w:rsid w:val="00397C2A"/>
    <w:rsid w:val="00397DF2"/>
    <w:rsid w:val="003A1A64"/>
    <w:rsid w:val="003A21DC"/>
    <w:rsid w:val="003A2324"/>
    <w:rsid w:val="003A25BB"/>
    <w:rsid w:val="003A2742"/>
    <w:rsid w:val="003A3873"/>
    <w:rsid w:val="003A3A8F"/>
    <w:rsid w:val="003A3EF9"/>
    <w:rsid w:val="003A407F"/>
    <w:rsid w:val="003A4419"/>
    <w:rsid w:val="003A4448"/>
    <w:rsid w:val="003A450D"/>
    <w:rsid w:val="003A4DE6"/>
    <w:rsid w:val="003A5482"/>
    <w:rsid w:val="003A62ED"/>
    <w:rsid w:val="003A6CD9"/>
    <w:rsid w:val="003A726C"/>
    <w:rsid w:val="003A760D"/>
    <w:rsid w:val="003A77F2"/>
    <w:rsid w:val="003A7B92"/>
    <w:rsid w:val="003B0C42"/>
    <w:rsid w:val="003B1A5C"/>
    <w:rsid w:val="003B1CD6"/>
    <w:rsid w:val="003B1EA3"/>
    <w:rsid w:val="003B1FA3"/>
    <w:rsid w:val="003B20E3"/>
    <w:rsid w:val="003B20F6"/>
    <w:rsid w:val="003B2599"/>
    <w:rsid w:val="003B3993"/>
    <w:rsid w:val="003B3E6B"/>
    <w:rsid w:val="003B3EB8"/>
    <w:rsid w:val="003B4939"/>
    <w:rsid w:val="003B50B5"/>
    <w:rsid w:val="003B5428"/>
    <w:rsid w:val="003B543F"/>
    <w:rsid w:val="003B5C50"/>
    <w:rsid w:val="003B5F18"/>
    <w:rsid w:val="003B5F1D"/>
    <w:rsid w:val="003B5F59"/>
    <w:rsid w:val="003B78F1"/>
    <w:rsid w:val="003C012D"/>
    <w:rsid w:val="003C0953"/>
    <w:rsid w:val="003C0B24"/>
    <w:rsid w:val="003C1002"/>
    <w:rsid w:val="003C1501"/>
    <w:rsid w:val="003C153B"/>
    <w:rsid w:val="003C1853"/>
    <w:rsid w:val="003C1D3B"/>
    <w:rsid w:val="003C238C"/>
    <w:rsid w:val="003C23FA"/>
    <w:rsid w:val="003C281D"/>
    <w:rsid w:val="003C3610"/>
    <w:rsid w:val="003C3790"/>
    <w:rsid w:val="003C3A90"/>
    <w:rsid w:val="003C4227"/>
    <w:rsid w:val="003C43AA"/>
    <w:rsid w:val="003C4651"/>
    <w:rsid w:val="003C4A99"/>
    <w:rsid w:val="003C5653"/>
    <w:rsid w:val="003C5BD9"/>
    <w:rsid w:val="003C60A7"/>
    <w:rsid w:val="003C618E"/>
    <w:rsid w:val="003C6352"/>
    <w:rsid w:val="003C6E51"/>
    <w:rsid w:val="003C7166"/>
    <w:rsid w:val="003C722A"/>
    <w:rsid w:val="003D01AD"/>
    <w:rsid w:val="003D050C"/>
    <w:rsid w:val="003D1445"/>
    <w:rsid w:val="003D1524"/>
    <w:rsid w:val="003D16EE"/>
    <w:rsid w:val="003D1A42"/>
    <w:rsid w:val="003D36EB"/>
    <w:rsid w:val="003D46DF"/>
    <w:rsid w:val="003D47DF"/>
    <w:rsid w:val="003D4C66"/>
    <w:rsid w:val="003D4F35"/>
    <w:rsid w:val="003D5247"/>
    <w:rsid w:val="003D5392"/>
    <w:rsid w:val="003D65C2"/>
    <w:rsid w:val="003D6E8E"/>
    <w:rsid w:val="003D7CD3"/>
    <w:rsid w:val="003E044A"/>
    <w:rsid w:val="003E0856"/>
    <w:rsid w:val="003E0FBF"/>
    <w:rsid w:val="003E11F8"/>
    <w:rsid w:val="003E2065"/>
    <w:rsid w:val="003E31FC"/>
    <w:rsid w:val="003E3C6A"/>
    <w:rsid w:val="003E5412"/>
    <w:rsid w:val="003E5AAC"/>
    <w:rsid w:val="003E6315"/>
    <w:rsid w:val="003E681C"/>
    <w:rsid w:val="003E6D95"/>
    <w:rsid w:val="003F00CD"/>
    <w:rsid w:val="003F0604"/>
    <w:rsid w:val="003F0818"/>
    <w:rsid w:val="003F0CAB"/>
    <w:rsid w:val="003F0DCE"/>
    <w:rsid w:val="003F11D1"/>
    <w:rsid w:val="003F1365"/>
    <w:rsid w:val="003F2313"/>
    <w:rsid w:val="003F2C0A"/>
    <w:rsid w:val="003F2CD6"/>
    <w:rsid w:val="003F2D9B"/>
    <w:rsid w:val="003F3407"/>
    <w:rsid w:val="003F342C"/>
    <w:rsid w:val="003F35BA"/>
    <w:rsid w:val="003F3618"/>
    <w:rsid w:val="003F3924"/>
    <w:rsid w:val="003F39DD"/>
    <w:rsid w:val="003F3B93"/>
    <w:rsid w:val="003F3DBE"/>
    <w:rsid w:val="003F3E47"/>
    <w:rsid w:val="003F4397"/>
    <w:rsid w:val="003F475A"/>
    <w:rsid w:val="003F4FA6"/>
    <w:rsid w:val="003F5297"/>
    <w:rsid w:val="003F52C4"/>
    <w:rsid w:val="003F5573"/>
    <w:rsid w:val="003F5914"/>
    <w:rsid w:val="003F661A"/>
    <w:rsid w:val="003F6833"/>
    <w:rsid w:val="003F6872"/>
    <w:rsid w:val="003F68A8"/>
    <w:rsid w:val="003F6A9D"/>
    <w:rsid w:val="003F7022"/>
    <w:rsid w:val="003F746C"/>
    <w:rsid w:val="003F79D2"/>
    <w:rsid w:val="003F7C7C"/>
    <w:rsid w:val="00400804"/>
    <w:rsid w:val="00400EA6"/>
    <w:rsid w:val="00401E83"/>
    <w:rsid w:val="00402977"/>
    <w:rsid w:val="004029D5"/>
    <w:rsid w:val="00402C5E"/>
    <w:rsid w:val="00402F96"/>
    <w:rsid w:val="0040316C"/>
    <w:rsid w:val="00403232"/>
    <w:rsid w:val="00403526"/>
    <w:rsid w:val="00404A09"/>
    <w:rsid w:val="00404D6A"/>
    <w:rsid w:val="00404E76"/>
    <w:rsid w:val="00405DEC"/>
    <w:rsid w:val="00406294"/>
    <w:rsid w:val="00406B64"/>
    <w:rsid w:val="00406BB6"/>
    <w:rsid w:val="00407059"/>
    <w:rsid w:val="004070D5"/>
    <w:rsid w:val="0041017B"/>
    <w:rsid w:val="004103A1"/>
    <w:rsid w:val="00410A8C"/>
    <w:rsid w:val="00410A90"/>
    <w:rsid w:val="00411903"/>
    <w:rsid w:val="00411A0F"/>
    <w:rsid w:val="00411BC6"/>
    <w:rsid w:val="00411DA0"/>
    <w:rsid w:val="00411E35"/>
    <w:rsid w:val="00412872"/>
    <w:rsid w:val="0041291E"/>
    <w:rsid w:val="00412B6E"/>
    <w:rsid w:val="00412D1B"/>
    <w:rsid w:val="00412D3F"/>
    <w:rsid w:val="00412E6B"/>
    <w:rsid w:val="004130D0"/>
    <w:rsid w:val="00413628"/>
    <w:rsid w:val="00413A0E"/>
    <w:rsid w:val="00413B19"/>
    <w:rsid w:val="00414642"/>
    <w:rsid w:val="004147EE"/>
    <w:rsid w:val="0041503F"/>
    <w:rsid w:val="00415640"/>
    <w:rsid w:val="004156FC"/>
    <w:rsid w:val="004159FF"/>
    <w:rsid w:val="00416958"/>
    <w:rsid w:val="00420255"/>
    <w:rsid w:val="004207F9"/>
    <w:rsid w:val="00420B47"/>
    <w:rsid w:val="00421098"/>
    <w:rsid w:val="00421638"/>
    <w:rsid w:val="004222B7"/>
    <w:rsid w:val="004227F9"/>
    <w:rsid w:val="0042344E"/>
    <w:rsid w:val="00423988"/>
    <w:rsid w:val="00423E7D"/>
    <w:rsid w:val="00424A0B"/>
    <w:rsid w:val="00424DCE"/>
    <w:rsid w:val="00424EAC"/>
    <w:rsid w:val="0042520B"/>
    <w:rsid w:val="004252B9"/>
    <w:rsid w:val="0042536D"/>
    <w:rsid w:val="0042590D"/>
    <w:rsid w:val="0042626B"/>
    <w:rsid w:val="00426922"/>
    <w:rsid w:val="00427003"/>
    <w:rsid w:val="00427440"/>
    <w:rsid w:val="004278DE"/>
    <w:rsid w:val="0042793F"/>
    <w:rsid w:val="00430994"/>
    <w:rsid w:val="00430A1E"/>
    <w:rsid w:val="0043188C"/>
    <w:rsid w:val="0043198B"/>
    <w:rsid w:val="00431F6E"/>
    <w:rsid w:val="0043248F"/>
    <w:rsid w:val="00432873"/>
    <w:rsid w:val="00433721"/>
    <w:rsid w:val="00434C83"/>
    <w:rsid w:val="00434D5E"/>
    <w:rsid w:val="00434E4B"/>
    <w:rsid w:val="00435870"/>
    <w:rsid w:val="00435942"/>
    <w:rsid w:val="00436027"/>
    <w:rsid w:val="00436833"/>
    <w:rsid w:val="00436BB6"/>
    <w:rsid w:val="00437452"/>
    <w:rsid w:val="00440101"/>
    <w:rsid w:val="00440134"/>
    <w:rsid w:val="0044156F"/>
    <w:rsid w:val="004418C8"/>
    <w:rsid w:val="00441B81"/>
    <w:rsid w:val="00441C52"/>
    <w:rsid w:val="00441D72"/>
    <w:rsid w:val="00442097"/>
    <w:rsid w:val="004420EB"/>
    <w:rsid w:val="004428C7"/>
    <w:rsid w:val="004429FB"/>
    <w:rsid w:val="00442BA2"/>
    <w:rsid w:val="00442DE1"/>
    <w:rsid w:val="004434D2"/>
    <w:rsid w:val="00443964"/>
    <w:rsid w:val="00443A95"/>
    <w:rsid w:val="00443AB6"/>
    <w:rsid w:val="004446E5"/>
    <w:rsid w:val="004447D6"/>
    <w:rsid w:val="0044528D"/>
    <w:rsid w:val="00445555"/>
    <w:rsid w:val="00445BDC"/>
    <w:rsid w:val="00445D77"/>
    <w:rsid w:val="0044687C"/>
    <w:rsid w:val="004468F8"/>
    <w:rsid w:val="0044724E"/>
    <w:rsid w:val="00447B30"/>
    <w:rsid w:val="00450152"/>
    <w:rsid w:val="004504C0"/>
    <w:rsid w:val="00450556"/>
    <w:rsid w:val="0045117C"/>
    <w:rsid w:val="004511B0"/>
    <w:rsid w:val="0045126E"/>
    <w:rsid w:val="004514F5"/>
    <w:rsid w:val="00451A09"/>
    <w:rsid w:val="00452FC4"/>
    <w:rsid w:val="00453659"/>
    <w:rsid w:val="00453B60"/>
    <w:rsid w:val="00454020"/>
    <w:rsid w:val="0045423B"/>
    <w:rsid w:val="00454927"/>
    <w:rsid w:val="00454976"/>
    <w:rsid w:val="00455E31"/>
    <w:rsid w:val="004569CD"/>
    <w:rsid w:val="00456B04"/>
    <w:rsid w:val="00456CF4"/>
    <w:rsid w:val="0045765B"/>
    <w:rsid w:val="00457939"/>
    <w:rsid w:val="00460110"/>
    <w:rsid w:val="00460557"/>
    <w:rsid w:val="004612EB"/>
    <w:rsid w:val="0046135C"/>
    <w:rsid w:val="00461B5C"/>
    <w:rsid w:val="00462C2F"/>
    <w:rsid w:val="004639A8"/>
    <w:rsid w:val="004643BA"/>
    <w:rsid w:val="004644CB"/>
    <w:rsid w:val="00464884"/>
    <w:rsid w:val="004649B0"/>
    <w:rsid w:val="00465195"/>
    <w:rsid w:val="00465859"/>
    <w:rsid w:val="004659C4"/>
    <w:rsid w:val="00466AEB"/>
    <w:rsid w:val="00466BE4"/>
    <w:rsid w:val="00467272"/>
    <w:rsid w:val="004702DB"/>
    <w:rsid w:val="00470BD8"/>
    <w:rsid w:val="00470EFD"/>
    <w:rsid w:val="004714CC"/>
    <w:rsid w:val="0047190C"/>
    <w:rsid w:val="00471B1C"/>
    <w:rsid w:val="00472043"/>
    <w:rsid w:val="00472200"/>
    <w:rsid w:val="00472ACD"/>
    <w:rsid w:val="00472C01"/>
    <w:rsid w:val="00472CC4"/>
    <w:rsid w:val="0047355A"/>
    <w:rsid w:val="00473579"/>
    <w:rsid w:val="00473A17"/>
    <w:rsid w:val="00474213"/>
    <w:rsid w:val="00474898"/>
    <w:rsid w:val="00474AF7"/>
    <w:rsid w:val="0047519D"/>
    <w:rsid w:val="0047567E"/>
    <w:rsid w:val="00475846"/>
    <w:rsid w:val="00475B1A"/>
    <w:rsid w:val="00475F12"/>
    <w:rsid w:val="0047627C"/>
    <w:rsid w:val="00476EE1"/>
    <w:rsid w:val="0047734F"/>
    <w:rsid w:val="00477357"/>
    <w:rsid w:val="00477695"/>
    <w:rsid w:val="00477F29"/>
    <w:rsid w:val="004801C2"/>
    <w:rsid w:val="0048068D"/>
    <w:rsid w:val="00481522"/>
    <w:rsid w:val="0048206D"/>
    <w:rsid w:val="004821E4"/>
    <w:rsid w:val="0048253F"/>
    <w:rsid w:val="00482590"/>
    <w:rsid w:val="004839B9"/>
    <w:rsid w:val="00483AAE"/>
    <w:rsid w:val="00483C76"/>
    <w:rsid w:val="00483CF9"/>
    <w:rsid w:val="00484901"/>
    <w:rsid w:val="00484B70"/>
    <w:rsid w:val="00485B10"/>
    <w:rsid w:val="00485B3F"/>
    <w:rsid w:val="00485BA7"/>
    <w:rsid w:val="00487006"/>
    <w:rsid w:val="004872D9"/>
    <w:rsid w:val="0048746B"/>
    <w:rsid w:val="00487C93"/>
    <w:rsid w:val="00487D5F"/>
    <w:rsid w:val="00491348"/>
    <w:rsid w:val="0049145B"/>
    <w:rsid w:val="00491714"/>
    <w:rsid w:val="00491739"/>
    <w:rsid w:val="00492674"/>
    <w:rsid w:val="004926D2"/>
    <w:rsid w:val="00492CF8"/>
    <w:rsid w:val="00493390"/>
    <w:rsid w:val="004934D6"/>
    <w:rsid w:val="0049389E"/>
    <w:rsid w:val="00493A64"/>
    <w:rsid w:val="00494777"/>
    <w:rsid w:val="00494871"/>
    <w:rsid w:val="0049587F"/>
    <w:rsid w:val="00495CD0"/>
    <w:rsid w:val="00495DEF"/>
    <w:rsid w:val="00496789"/>
    <w:rsid w:val="0049685D"/>
    <w:rsid w:val="00496CD3"/>
    <w:rsid w:val="004A1A2A"/>
    <w:rsid w:val="004A2841"/>
    <w:rsid w:val="004A2C9B"/>
    <w:rsid w:val="004A2E31"/>
    <w:rsid w:val="004A3264"/>
    <w:rsid w:val="004A36F7"/>
    <w:rsid w:val="004A3908"/>
    <w:rsid w:val="004A3B42"/>
    <w:rsid w:val="004A3B5E"/>
    <w:rsid w:val="004A40BD"/>
    <w:rsid w:val="004A48AF"/>
    <w:rsid w:val="004A512E"/>
    <w:rsid w:val="004A54FB"/>
    <w:rsid w:val="004A61DF"/>
    <w:rsid w:val="004A6DFC"/>
    <w:rsid w:val="004A6F60"/>
    <w:rsid w:val="004A7C4B"/>
    <w:rsid w:val="004B00D3"/>
    <w:rsid w:val="004B0B4E"/>
    <w:rsid w:val="004B11B3"/>
    <w:rsid w:val="004B13AF"/>
    <w:rsid w:val="004B19EA"/>
    <w:rsid w:val="004B1C8D"/>
    <w:rsid w:val="004B1E34"/>
    <w:rsid w:val="004B28B7"/>
    <w:rsid w:val="004B2DC9"/>
    <w:rsid w:val="004B2E57"/>
    <w:rsid w:val="004B349B"/>
    <w:rsid w:val="004B50DB"/>
    <w:rsid w:val="004B56F3"/>
    <w:rsid w:val="004B57C3"/>
    <w:rsid w:val="004B5EA2"/>
    <w:rsid w:val="004B61EE"/>
    <w:rsid w:val="004B6439"/>
    <w:rsid w:val="004B67B6"/>
    <w:rsid w:val="004B6FC7"/>
    <w:rsid w:val="004B7239"/>
    <w:rsid w:val="004B7DC7"/>
    <w:rsid w:val="004C110A"/>
    <w:rsid w:val="004C173C"/>
    <w:rsid w:val="004C1CF6"/>
    <w:rsid w:val="004C2253"/>
    <w:rsid w:val="004C2331"/>
    <w:rsid w:val="004C2429"/>
    <w:rsid w:val="004C2698"/>
    <w:rsid w:val="004C2DA3"/>
    <w:rsid w:val="004C2EBA"/>
    <w:rsid w:val="004C305B"/>
    <w:rsid w:val="004C33C7"/>
    <w:rsid w:val="004C3987"/>
    <w:rsid w:val="004C3C75"/>
    <w:rsid w:val="004C3D8B"/>
    <w:rsid w:val="004C4360"/>
    <w:rsid w:val="004C490D"/>
    <w:rsid w:val="004C4A50"/>
    <w:rsid w:val="004C4B41"/>
    <w:rsid w:val="004C4DA2"/>
    <w:rsid w:val="004C4FBF"/>
    <w:rsid w:val="004C50B3"/>
    <w:rsid w:val="004C5197"/>
    <w:rsid w:val="004C51DD"/>
    <w:rsid w:val="004C5652"/>
    <w:rsid w:val="004C5EFF"/>
    <w:rsid w:val="004C5FC9"/>
    <w:rsid w:val="004C6380"/>
    <w:rsid w:val="004C6983"/>
    <w:rsid w:val="004C6AE7"/>
    <w:rsid w:val="004C708A"/>
    <w:rsid w:val="004C73FE"/>
    <w:rsid w:val="004D003D"/>
    <w:rsid w:val="004D0095"/>
    <w:rsid w:val="004D00EB"/>
    <w:rsid w:val="004D02C1"/>
    <w:rsid w:val="004D0706"/>
    <w:rsid w:val="004D08D9"/>
    <w:rsid w:val="004D0EE0"/>
    <w:rsid w:val="004D1AE4"/>
    <w:rsid w:val="004D1C1D"/>
    <w:rsid w:val="004D1D98"/>
    <w:rsid w:val="004D26E9"/>
    <w:rsid w:val="004D2EDD"/>
    <w:rsid w:val="004D48CB"/>
    <w:rsid w:val="004D4908"/>
    <w:rsid w:val="004D4F58"/>
    <w:rsid w:val="004D64BD"/>
    <w:rsid w:val="004D6DF5"/>
    <w:rsid w:val="004E0B30"/>
    <w:rsid w:val="004E0E8A"/>
    <w:rsid w:val="004E16B9"/>
    <w:rsid w:val="004E1828"/>
    <w:rsid w:val="004E1927"/>
    <w:rsid w:val="004E1F3D"/>
    <w:rsid w:val="004E2119"/>
    <w:rsid w:val="004E2DE8"/>
    <w:rsid w:val="004E4B32"/>
    <w:rsid w:val="004E51D0"/>
    <w:rsid w:val="004E5213"/>
    <w:rsid w:val="004E5304"/>
    <w:rsid w:val="004E67C6"/>
    <w:rsid w:val="004E781E"/>
    <w:rsid w:val="004E7B98"/>
    <w:rsid w:val="004F05BD"/>
    <w:rsid w:val="004F0713"/>
    <w:rsid w:val="004F0BC1"/>
    <w:rsid w:val="004F0C99"/>
    <w:rsid w:val="004F128E"/>
    <w:rsid w:val="004F1294"/>
    <w:rsid w:val="004F20DE"/>
    <w:rsid w:val="004F26AC"/>
    <w:rsid w:val="004F26DF"/>
    <w:rsid w:val="004F290F"/>
    <w:rsid w:val="004F2947"/>
    <w:rsid w:val="004F2E9C"/>
    <w:rsid w:val="004F33AA"/>
    <w:rsid w:val="004F493E"/>
    <w:rsid w:val="004F4ED3"/>
    <w:rsid w:val="004F5D08"/>
    <w:rsid w:val="004F5E64"/>
    <w:rsid w:val="004F6353"/>
    <w:rsid w:val="004F655E"/>
    <w:rsid w:val="004F6A26"/>
    <w:rsid w:val="004F6B48"/>
    <w:rsid w:val="004F6C5D"/>
    <w:rsid w:val="004F7283"/>
    <w:rsid w:val="00500907"/>
    <w:rsid w:val="00500B5C"/>
    <w:rsid w:val="00500BD0"/>
    <w:rsid w:val="00500EBD"/>
    <w:rsid w:val="005019EB"/>
    <w:rsid w:val="00501F23"/>
    <w:rsid w:val="005029BC"/>
    <w:rsid w:val="005035EC"/>
    <w:rsid w:val="005036FA"/>
    <w:rsid w:val="005037A9"/>
    <w:rsid w:val="00503E9F"/>
    <w:rsid w:val="005043E3"/>
    <w:rsid w:val="00504839"/>
    <w:rsid w:val="00504844"/>
    <w:rsid w:val="005048D3"/>
    <w:rsid w:val="0050592C"/>
    <w:rsid w:val="00505A09"/>
    <w:rsid w:val="00505FE5"/>
    <w:rsid w:val="005066E1"/>
    <w:rsid w:val="00506BB9"/>
    <w:rsid w:val="00507F2C"/>
    <w:rsid w:val="00507F61"/>
    <w:rsid w:val="00510455"/>
    <w:rsid w:val="00510498"/>
    <w:rsid w:val="0051154D"/>
    <w:rsid w:val="00511786"/>
    <w:rsid w:val="00511977"/>
    <w:rsid w:val="00512020"/>
    <w:rsid w:val="005124CF"/>
    <w:rsid w:val="00512975"/>
    <w:rsid w:val="005129DA"/>
    <w:rsid w:val="00512B11"/>
    <w:rsid w:val="00512EA3"/>
    <w:rsid w:val="0051395F"/>
    <w:rsid w:val="00513E60"/>
    <w:rsid w:val="0051435C"/>
    <w:rsid w:val="00514659"/>
    <w:rsid w:val="00514D8F"/>
    <w:rsid w:val="005153AB"/>
    <w:rsid w:val="00515858"/>
    <w:rsid w:val="00515A53"/>
    <w:rsid w:val="0051671D"/>
    <w:rsid w:val="00517678"/>
    <w:rsid w:val="005177A5"/>
    <w:rsid w:val="00517B5F"/>
    <w:rsid w:val="005205DD"/>
    <w:rsid w:val="00520C2A"/>
    <w:rsid w:val="0052136D"/>
    <w:rsid w:val="0052175F"/>
    <w:rsid w:val="00521850"/>
    <w:rsid w:val="00521D94"/>
    <w:rsid w:val="00521F07"/>
    <w:rsid w:val="00522361"/>
    <w:rsid w:val="00522B9F"/>
    <w:rsid w:val="00522D65"/>
    <w:rsid w:val="005238E5"/>
    <w:rsid w:val="00523B06"/>
    <w:rsid w:val="005240D8"/>
    <w:rsid w:val="00524643"/>
    <w:rsid w:val="00524B64"/>
    <w:rsid w:val="00524D65"/>
    <w:rsid w:val="00525460"/>
    <w:rsid w:val="00525504"/>
    <w:rsid w:val="00525529"/>
    <w:rsid w:val="0052583C"/>
    <w:rsid w:val="00525F8F"/>
    <w:rsid w:val="0052650F"/>
    <w:rsid w:val="00527688"/>
    <w:rsid w:val="00527D3C"/>
    <w:rsid w:val="00527D4B"/>
    <w:rsid w:val="00530403"/>
    <w:rsid w:val="005304B6"/>
    <w:rsid w:val="005304C5"/>
    <w:rsid w:val="005305B4"/>
    <w:rsid w:val="00530A37"/>
    <w:rsid w:val="00531515"/>
    <w:rsid w:val="00531522"/>
    <w:rsid w:val="00531D6B"/>
    <w:rsid w:val="005320FA"/>
    <w:rsid w:val="005322D6"/>
    <w:rsid w:val="0053232F"/>
    <w:rsid w:val="005325AD"/>
    <w:rsid w:val="005327F0"/>
    <w:rsid w:val="00532B22"/>
    <w:rsid w:val="00532F9F"/>
    <w:rsid w:val="00533127"/>
    <w:rsid w:val="00533B20"/>
    <w:rsid w:val="00533EA0"/>
    <w:rsid w:val="005347C2"/>
    <w:rsid w:val="00534A6B"/>
    <w:rsid w:val="00534BB5"/>
    <w:rsid w:val="00535072"/>
    <w:rsid w:val="0053518B"/>
    <w:rsid w:val="00535971"/>
    <w:rsid w:val="00535B4F"/>
    <w:rsid w:val="00535CC4"/>
    <w:rsid w:val="00535DF2"/>
    <w:rsid w:val="00536531"/>
    <w:rsid w:val="005368AD"/>
    <w:rsid w:val="00536917"/>
    <w:rsid w:val="00536E7D"/>
    <w:rsid w:val="00536EBB"/>
    <w:rsid w:val="005371FD"/>
    <w:rsid w:val="00537799"/>
    <w:rsid w:val="005378A6"/>
    <w:rsid w:val="0053795A"/>
    <w:rsid w:val="0054031A"/>
    <w:rsid w:val="005406BC"/>
    <w:rsid w:val="005406D6"/>
    <w:rsid w:val="00541070"/>
    <w:rsid w:val="005427F0"/>
    <w:rsid w:val="00542A31"/>
    <w:rsid w:val="00542ADB"/>
    <w:rsid w:val="00542E12"/>
    <w:rsid w:val="00542ED7"/>
    <w:rsid w:val="005443CD"/>
    <w:rsid w:val="00544797"/>
    <w:rsid w:val="00545285"/>
    <w:rsid w:val="00545BA3"/>
    <w:rsid w:val="00545C9A"/>
    <w:rsid w:val="00546616"/>
    <w:rsid w:val="005467C4"/>
    <w:rsid w:val="00546C55"/>
    <w:rsid w:val="00546D72"/>
    <w:rsid w:val="00546E4D"/>
    <w:rsid w:val="00546EC5"/>
    <w:rsid w:val="00546FB1"/>
    <w:rsid w:val="005471F3"/>
    <w:rsid w:val="0054794D"/>
    <w:rsid w:val="00547BAC"/>
    <w:rsid w:val="00550765"/>
    <w:rsid w:val="0055115F"/>
    <w:rsid w:val="00551266"/>
    <w:rsid w:val="0055151B"/>
    <w:rsid w:val="00551C37"/>
    <w:rsid w:val="00551F79"/>
    <w:rsid w:val="005520D1"/>
    <w:rsid w:val="0055225D"/>
    <w:rsid w:val="00552A54"/>
    <w:rsid w:val="00552C67"/>
    <w:rsid w:val="00552E5B"/>
    <w:rsid w:val="00552E61"/>
    <w:rsid w:val="005532B1"/>
    <w:rsid w:val="0055357C"/>
    <w:rsid w:val="005535D3"/>
    <w:rsid w:val="005542E5"/>
    <w:rsid w:val="005548FE"/>
    <w:rsid w:val="005553D8"/>
    <w:rsid w:val="0055579F"/>
    <w:rsid w:val="005557F6"/>
    <w:rsid w:val="00555F12"/>
    <w:rsid w:val="00556233"/>
    <w:rsid w:val="005574FB"/>
    <w:rsid w:val="00560A51"/>
    <w:rsid w:val="00561441"/>
    <w:rsid w:val="005616A6"/>
    <w:rsid w:val="00562698"/>
    <w:rsid w:val="00562B56"/>
    <w:rsid w:val="00562D15"/>
    <w:rsid w:val="00562FA9"/>
    <w:rsid w:val="00563559"/>
    <w:rsid w:val="00563613"/>
    <w:rsid w:val="00563A00"/>
    <w:rsid w:val="005640DD"/>
    <w:rsid w:val="00564DEB"/>
    <w:rsid w:val="00565685"/>
    <w:rsid w:val="005658C7"/>
    <w:rsid w:val="005659EA"/>
    <w:rsid w:val="00566318"/>
    <w:rsid w:val="0056679B"/>
    <w:rsid w:val="00566E18"/>
    <w:rsid w:val="0056701A"/>
    <w:rsid w:val="00567121"/>
    <w:rsid w:val="00567A12"/>
    <w:rsid w:val="0057030A"/>
    <w:rsid w:val="00570516"/>
    <w:rsid w:val="00571152"/>
    <w:rsid w:val="00571277"/>
    <w:rsid w:val="00571DA3"/>
    <w:rsid w:val="005723AB"/>
    <w:rsid w:val="00572C26"/>
    <w:rsid w:val="00572E03"/>
    <w:rsid w:val="00572EA0"/>
    <w:rsid w:val="005739CA"/>
    <w:rsid w:val="0057417C"/>
    <w:rsid w:val="00574487"/>
    <w:rsid w:val="00574CFB"/>
    <w:rsid w:val="00574FCA"/>
    <w:rsid w:val="00575FE6"/>
    <w:rsid w:val="0057683B"/>
    <w:rsid w:val="00577315"/>
    <w:rsid w:val="00577434"/>
    <w:rsid w:val="005775C6"/>
    <w:rsid w:val="00577A40"/>
    <w:rsid w:val="00580A31"/>
    <w:rsid w:val="00581157"/>
    <w:rsid w:val="00581EC4"/>
    <w:rsid w:val="005828F0"/>
    <w:rsid w:val="0058303F"/>
    <w:rsid w:val="0058329C"/>
    <w:rsid w:val="00584547"/>
    <w:rsid w:val="0058467A"/>
    <w:rsid w:val="00584786"/>
    <w:rsid w:val="00584D7E"/>
    <w:rsid w:val="0058515F"/>
    <w:rsid w:val="00586213"/>
    <w:rsid w:val="0058646C"/>
    <w:rsid w:val="0058659D"/>
    <w:rsid w:val="00586686"/>
    <w:rsid w:val="005866C8"/>
    <w:rsid w:val="00586D75"/>
    <w:rsid w:val="00586E6A"/>
    <w:rsid w:val="00587083"/>
    <w:rsid w:val="00587F69"/>
    <w:rsid w:val="00587F6D"/>
    <w:rsid w:val="005915C7"/>
    <w:rsid w:val="005917B7"/>
    <w:rsid w:val="00592137"/>
    <w:rsid w:val="00592160"/>
    <w:rsid w:val="0059235F"/>
    <w:rsid w:val="0059273C"/>
    <w:rsid w:val="00593036"/>
    <w:rsid w:val="00593988"/>
    <w:rsid w:val="00593AD0"/>
    <w:rsid w:val="00594E6A"/>
    <w:rsid w:val="0059547C"/>
    <w:rsid w:val="005956F7"/>
    <w:rsid w:val="0059573D"/>
    <w:rsid w:val="00595D11"/>
    <w:rsid w:val="00595D31"/>
    <w:rsid w:val="00595EC0"/>
    <w:rsid w:val="005968D8"/>
    <w:rsid w:val="005971A7"/>
    <w:rsid w:val="005972CE"/>
    <w:rsid w:val="00597603"/>
    <w:rsid w:val="00597EBB"/>
    <w:rsid w:val="005A18A9"/>
    <w:rsid w:val="005A1C55"/>
    <w:rsid w:val="005A2AED"/>
    <w:rsid w:val="005A342F"/>
    <w:rsid w:val="005A52FB"/>
    <w:rsid w:val="005A5769"/>
    <w:rsid w:val="005A5B9D"/>
    <w:rsid w:val="005A63B2"/>
    <w:rsid w:val="005A73E2"/>
    <w:rsid w:val="005A7E30"/>
    <w:rsid w:val="005B07D7"/>
    <w:rsid w:val="005B0AB7"/>
    <w:rsid w:val="005B0C7F"/>
    <w:rsid w:val="005B154C"/>
    <w:rsid w:val="005B179B"/>
    <w:rsid w:val="005B2621"/>
    <w:rsid w:val="005B2DE5"/>
    <w:rsid w:val="005B3DF1"/>
    <w:rsid w:val="005B4749"/>
    <w:rsid w:val="005B5B0A"/>
    <w:rsid w:val="005B5D28"/>
    <w:rsid w:val="005B6514"/>
    <w:rsid w:val="005B6D98"/>
    <w:rsid w:val="005B71D7"/>
    <w:rsid w:val="005B7484"/>
    <w:rsid w:val="005B7819"/>
    <w:rsid w:val="005C0165"/>
    <w:rsid w:val="005C0434"/>
    <w:rsid w:val="005C0D5E"/>
    <w:rsid w:val="005C1229"/>
    <w:rsid w:val="005C1511"/>
    <w:rsid w:val="005C2880"/>
    <w:rsid w:val="005C2CFF"/>
    <w:rsid w:val="005C3AF8"/>
    <w:rsid w:val="005C3BF3"/>
    <w:rsid w:val="005C3FF8"/>
    <w:rsid w:val="005C4D95"/>
    <w:rsid w:val="005C5C7A"/>
    <w:rsid w:val="005C614B"/>
    <w:rsid w:val="005C6919"/>
    <w:rsid w:val="005C6FC6"/>
    <w:rsid w:val="005C702E"/>
    <w:rsid w:val="005C7927"/>
    <w:rsid w:val="005D0362"/>
    <w:rsid w:val="005D07CE"/>
    <w:rsid w:val="005D0B2F"/>
    <w:rsid w:val="005D0F2C"/>
    <w:rsid w:val="005D0FCE"/>
    <w:rsid w:val="005D1039"/>
    <w:rsid w:val="005D1412"/>
    <w:rsid w:val="005D1493"/>
    <w:rsid w:val="005D1DD7"/>
    <w:rsid w:val="005D250D"/>
    <w:rsid w:val="005D25E4"/>
    <w:rsid w:val="005D4B98"/>
    <w:rsid w:val="005D5220"/>
    <w:rsid w:val="005D5289"/>
    <w:rsid w:val="005D53BE"/>
    <w:rsid w:val="005D5891"/>
    <w:rsid w:val="005D58B5"/>
    <w:rsid w:val="005D68CD"/>
    <w:rsid w:val="005D69F8"/>
    <w:rsid w:val="005D6D25"/>
    <w:rsid w:val="005D6DFC"/>
    <w:rsid w:val="005D6EB6"/>
    <w:rsid w:val="005D7084"/>
    <w:rsid w:val="005D72F1"/>
    <w:rsid w:val="005D758E"/>
    <w:rsid w:val="005D78D2"/>
    <w:rsid w:val="005E0146"/>
    <w:rsid w:val="005E0994"/>
    <w:rsid w:val="005E1070"/>
    <w:rsid w:val="005E1709"/>
    <w:rsid w:val="005E1879"/>
    <w:rsid w:val="005E1F86"/>
    <w:rsid w:val="005E2062"/>
    <w:rsid w:val="005E2260"/>
    <w:rsid w:val="005E2508"/>
    <w:rsid w:val="005E3EA8"/>
    <w:rsid w:val="005E4221"/>
    <w:rsid w:val="005E4FED"/>
    <w:rsid w:val="005E57A3"/>
    <w:rsid w:val="005E5942"/>
    <w:rsid w:val="005E5B45"/>
    <w:rsid w:val="005E693E"/>
    <w:rsid w:val="005E6AAB"/>
    <w:rsid w:val="005E6BFC"/>
    <w:rsid w:val="005E702F"/>
    <w:rsid w:val="005E718C"/>
    <w:rsid w:val="005E747F"/>
    <w:rsid w:val="005E7772"/>
    <w:rsid w:val="005E78C8"/>
    <w:rsid w:val="005E7ABD"/>
    <w:rsid w:val="005F059F"/>
    <w:rsid w:val="005F0AF6"/>
    <w:rsid w:val="005F11F0"/>
    <w:rsid w:val="005F2770"/>
    <w:rsid w:val="005F391E"/>
    <w:rsid w:val="005F39BA"/>
    <w:rsid w:val="005F43BD"/>
    <w:rsid w:val="005F4D9C"/>
    <w:rsid w:val="005F50F6"/>
    <w:rsid w:val="005F5214"/>
    <w:rsid w:val="005F5625"/>
    <w:rsid w:val="005F5673"/>
    <w:rsid w:val="005F597A"/>
    <w:rsid w:val="005F5C04"/>
    <w:rsid w:val="005F61A6"/>
    <w:rsid w:val="005F6C45"/>
    <w:rsid w:val="005F6FED"/>
    <w:rsid w:val="005F7622"/>
    <w:rsid w:val="005F79FC"/>
    <w:rsid w:val="006000EB"/>
    <w:rsid w:val="00600414"/>
    <w:rsid w:val="0060094A"/>
    <w:rsid w:val="00600BF9"/>
    <w:rsid w:val="00601416"/>
    <w:rsid w:val="00601765"/>
    <w:rsid w:val="006019CC"/>
    <w:rsid w:val="00601A96"/>
    <w:rsid w:val="006022EF"/>
    <w:rsid w:val="006040AE"/>
    <w:rsid w:val="00604DB2"/>
    <w:rsid w:val="00604DFD"/>
    <w:rsid w:val="00604FCB"/>
    <w:rsid w:val="006056B3"/>
    <w:rsid w:val="00605DD4"/>
    <w:rsid w:val="00606229"/>
    <w:rsid w:val="00607886"/>
    <w:rsid w:val="00612351"/>
    <w:rsid w:val="00612655"/>
    <w:rsid w:val="00612C89"/>
    <w:rsid w:val="00612F07"/>
    <w:rsid w:val="00613167"/>
    <w:rsid w:val="00613D95"/>
    <w:rsid w:val="00613F69"/>
    <w:rsid w:val="00614135"/>
    <w:rsid w:val="00615402"/>
    <w:rsid w:val="006157F0"/>
    <w:rsid w:val="00615B87"/>
    <w:rsid w:val="00616669"/>
    <w:rsid w:val="00616FE5"/>
    <w:rsid w:val="006175F0"/>
    <w:rsid w:val="00617B8A"/>
    <w:rsid w:val="0062059D"/>
    <w:rsid w:val="0062064D"/>
    <w:rsid w:val="00620EAF"/>
    <w:rsid w:val="00621200"/>
    <w:rsid w:val="00621D54"/>
    <w:rsid w:val="00621FB3"/>
    <w:rsid w:val="0062277A"/>
    <w:rsid w:val="0062291F"/>
    <w:rsid w:val="006232AF"/>
    <w:rsid w:val="00623C9A"/>
    <w:rsid w:val="0062519E"/>
    <w:rsid w:val="006261DA"/>
    <w:rsid w:val="00626266"/>
    <w:rsid w:val="006264CA"/>
    <w:rsid w:val="00626651"/>
    <w:rsid w:val="0062698A"/>
    <w:rsid w:val="00627013"/>
    <w:rsid w:val="006274CC"/>
    <w:rsid w:val="0062765A"/>
    <w:rsid w:val="00627A8D"/>
    <w:rsid w:val="00627E8D"/>
    <w:rsid w:val="00627F92"/>
    <w:rsid w:val="0063004E"/>
    <w:rsid w:val="0063025C"/>
    <w:rsid w:val="0063052B"/>
    <w:rsid w:val="00630929"/>
    <w:rsid w:val="00630A60"/>
    <w:rsid w:val="00630BA9"/>
    <w:rsid w:val="00630C72"/>
    <w:rsid w:val="00630CA5"/>
    <w:rsid w:val="00630EE3"/>
    <w:rsid w:val="00631125"/>
    <w:rsid w:val="00632BD8"/>
    <w:rsid w:val="006335A3"/>
    <w:rsid w:val="00633C41"/>
    <w:rsid w:val="00633C7B"/>
    <w:rsid w:val="00634927"/>
    <w:rsid w:val="00634FE0"/>
    <w:rsid w:val="00635261"/>
    <w:rsid w:val="0063584A"/>
    <w:rsid w:val="00635D6C"/>
    <w:rsid w:val="00635F0C"/>
    <w:rsid w:val="00635FF1"/>
    <w:rsid w:val="00636AE0"/>
    <w:rsid w:val="006370DD"/>
    <w:rsid w:val="0063746C"/>
    <w:rsid w:val="006379B3"/>
    <w:rsid w:val="00637CAF"/>
    <w:rsid w:val="006403C0"/>
    <w:rsid w:val="006404C9"/>
    <w:rsid w:val="006406FC"/>
    <w:rsid w:val="00640809"/>
    <w:rsid w:val="006412FB"/>
    <w:rsid w:val="006414C7"/>
    <w:rsid w:val="00641F51"/>
    <w:rsid w:val="006421E4"/>
    <w:rsid w:val="00642969"/>
    <w:rsid w:val="00642BAC"/>
    <w:rsid w:val="00642FF8"/>
    <w:rsid w:val="00643227"/>
    <w:rsid w:val="00643889"/>
    <w:rsid w:val="00643D75"/>
    <w:rsid w:val="00644480"/>
    <w:rsid w:val="0064462E"/>
    <w:rsid w:val="006447F4"/>
    <w:rsid w:val="0064481B"/>
    <w:rsid w:val="006449F0"/>
    <w:rsid w:val="00645092"/>
    <w:rsid w:val="006452F0"/>
    <w:rsid w:val="0064559B"/>
    <w:rsid w:val="006456B1"/>
    <w:rsid w:val="00645A21"/>
    <w:rsid w:val="00645EDA"/>
    <w:rsid w:val="00645F66"/>
    <w:rsid w:val="00646CD0"/>
    <w:rsid w:val="006470EC"/>
    <w:rsid w:val="006471AD"/>
    <w:rsid w:val="006477F8"/>
    <w:rsid w:val="0064787B"/>
    <w:rsid w:val="0065008C"/>
    <w:rsid w:val="006500E0"/>
    <w:rsid w:val="006501A4"/>
    <w:rsid w:val="00650398"/>
    <w:rsid w:val="00650831"/>
    <w:rsid w:val="00650A0B"/>
    <w:rsid w:val="0065136C"/>
    <w:rsid w:val="006518FC"/>
    <w:rsid w:val="00651A0E"/>
    <w:rsid w:val="00651DFF"/>
    <w:rsid w:val="006529DA"/>
    <w:rsid w:val="00652AE0"/>
    <w:rsid w:val="00652EFD"/>
    <w:rsid w:val="00653945"/>
    <w:rsid w:val="00653E1F"/>
    <w:rsid w:val="00654004"/>
    <w:rsid w:val="00654390"/>
    <w:rsid w:val="006546BF"/>
    <w:rsid w:val="00655022"/>
    <w:rsid w:val="006552CE"/>
    <w:rsid w:val="006558EA"/>
    <w:rsid w:val="006564F0"/>
    <w:rsid w:val="00656D97"/>
    <w:rsid w:val="0066019A"/>
    <w:rsid w:val="006601C1"/>
    <w:rsid w:val="006605FD"/>
    <w:rsid w:val="00660F31"/>
    <w:rsid w:val="00661B40"/>
    <w:rsid w:val="00661C75"/>
    <w:rsid w:val="00662724"/>
    <w:rsid w:val="00662D8D"/>
    <w:rsid w:val="00662E39"/>
    <w:rsid w:val="00663043"/>
    <w:rsid w:val="006630E8"/>
    <w:rsid w:val="0066335F"/>
    <w:rsid w:val="0066343B"/>
    <w:rsid w:val="00663EC0"/>
    <w:rsid w:val="00663FBE"/>
    <w:rsid w:val="00664132"/>
    <w:rsid w:val="00664A25"/>
    <w:rsid w:val="00665908"/>
    <w:rsid w:val="006660D8"/>
    <w:rsid w:val="006669BA"/>
    <w:rsid w:val="00666BB0"/>
    <w:rsid w:val="00666E9D"/>
    <w:rsid w:val="00667716"/>
    <w:rsid w:val="00667A35"/>
    <w:rsid w:val="00667B85"/>
    <w:rsid w:val="006701A3"/>
    <w:rsid w:val="00670223"/>
    <w:rsid w:val="00670F25"/>
    <w:rsid w:val="006711F5"/>
    <w:rsid w:val="00671C40"/>
    <w:rsid w:val="00672294"/>
    <w:rsid w:val="00673607"/>
    <w:rsid w:val="006736E5"/>
    <w:rsid w:val="00674062"/>
    <w:rsid w:val="006751A2"/>
    <w:rsid w:val="006752EF"/>
    <w:rsid w:val="0067542B"/>
    <w:rsid w:val="00675586"/>
    <w:rsid w:val="006770D1"/>
    <w:rsid w:val="00680084"/>
    <w:rsid w:val="0068018C"/>
    <w:rsid w:val="0068027A"/>
    <w:rsid w:val="0068044A"/>
    <w:rsid w:val="0068056B"/>
    <w:rsid w:val="0068099F"/>
    <w:rsid w:val="00680CE3"/>
    <w:rsid w:val="0068152F"/>
    <w:rsid w:val="006816B7"/>
    <w:rsid w:val="00681728"/>
    <w:rsid w:val="00681732"/>
    <w:rsid w:val="00681E34"/>
    <w:rsid w:val="0068226F"/>
    <w:rsid w:val="0068245C"/>
    <w:rsid w:val="00682487"/>
    <w:rsid w:val="0068249C"/>
    <w:rsid w:val="0068270B"/>
    <w:rsid w:val="006834DF"/>
    <w:rsid w:val="00683536"/>
    <w:rsid w:val="00684536"/>
    <w:rsid w:val="00685641"/>
    <w:rsid w:val="00685728"/>
    <w:rsid w:val="006859BD"/>
    <w:rsid w:val="006867C6"/>
    <w:rsid w:val="00686EFD"/>
    <w:rsid w:val="00687196"/>
    <w:rsid w:val="0068787F"/>
    <w:rsid w:val="00687C3E"/>
    <w:rsid w:val="00687C8A"/>
    <w:rsid w:val="00687DFC"/>
    <w:rsid w:val="00690C7F"/>
    <w:rsid w:val="0069113D"/>
    <w:rsid w:val="006911DB"/>
    <w:rsid w:val="006913E9"/>
    <w:rsid w:val="00691588"/>
    <w:rsid w:val="006926D9"/>
    <w:rsid w:val="006937E5"/>
    <w:rsid w:val="006938E1"/>
    <w:rsid w:val="006938F2"/>
    <w:rsid w:val="006940AB"/>
    <w:rsid w:val="00696191"/>
    <w:rsid w:val="006963F8"/>
    <w:rsid w:val="00696C33"/>
    <w:rsid w:val="00696DF6"/>
    <w:rsid w:val="006972E2"/>
    <w:rsid w:val="0069786C"/>
    <w:rsid w:val="0069788C"/>
    <w:rsid w:val="00697A31"/>
    <w:rsid w:val="00697B40"/>
    <w:rsid w:val="00697CED"/>
    <w:rsid w:val="00697E15"/>
    <w:rsid w:val="006A0726"/>
    <w:rsid w:val="006A07F0"/>
    <w:rsid w:val="006A0BF4"/>
    <w:rsid w:val="006A0D63"/>
    <w:rsid w:val="006A1167"/>
    <w:rsid w:val="006A11EC"/>
    <w:rsid w:val="006A1624"/>
    <w:rsid w:val="006A1E93"/>
    <w:rsid w:val="006A28AA"/>
    <w:rsid w:val="006A2EC6"/>
    <w:rsid w:val="006A339B"/>
    <w:rsid w:val="006A38EE"/>
    <w:rsid w:val="006A42AE"/>
    <w:rsid w:val="006A479B"/>
    <w:rsid w:val="006A4C36"/>
    <w:rsid w:val="006A4F59"/>
    <w:rsid w:val="006A5B94"/>
    <w:rsid w:val="006A5F08"/>
    <w:rsid w:val="006A741B"/>
    <w:rsid w:val="006A7780"/>
    <w:rsid w:val="006A7893"/>
    <w:rsid w:val="006B00D5"/>
    <w:rsid w:val="006B03A4"/>
    <w:rsid w:val="006B03EA"/>
    <w:rsid w:val="006B05D9"/>
    <w:rsid w:val="006B0DB7"/>
    <w:rsid w:val="006B0E7A"/>
    <w:rsid w:val="006B0F72"/>
    <w:rsid w:val="006B13D2"/>
    <w:rsid w:val="006B141A"/>
    <w:rsid w:val="006B1E94"/>
    <w:rsid w:val="006B216F"/>
    <w:rsid w:val="006B22B1"/>
    <w:rsid w:val="006B2364"/>
    <w:rsid w:val="006B2653"/>
    <w:rsid w:val="006B33FF"/>
    <w:rsid w:val="006B3724"/>
    <w:rsid w:val="006B3842"/>
    <w:rsid w:val="006B3B40"/>
    <w:rsid w:val="006B3DC9"/>
    <w:rsid w:val="006B3E64"/>
    <w:rsid w:val="006B5092"/>
    <w:rsid w:val="006B58F9"/>
    <w:rsid w:val="006B74C1"/>
    <w:rsid w:val="006B788E"/>
    <w:rsid w:val="006B7B00"/>
    <w:rsid w:val="006B7B11"/>
    <w:rsid w:val="006B7D89"/>
    <w:rsid w:val="006C00A3"/>
    <w:rsid w:val="006C021C"/>
    <w:rsid w:val="006C0585"/>
    <w:rsid w:val="006C0DD0"/>
    <w:rsid w:val="006C13F1"/>
    <w:rsid w:val="006C1423"/>
    <w:rsid w:val="006C1472"/>
    <w:rsid w:val="006C14A2"/>
    <w:rsid w:val="006C32C8"/>
    <w:rsid w:val="006C3440"/>
    <w:rsid w:val="006C4634"/>
    <w:rsid w:val="006C4795"/>
    <w:rsid w:val="006C58B8"/>
    <w:rsid w:val="006C5A7A"/>
    <w:rsid w:val="006C6327"/>
    <w:rsid w:val="006C6747"/>
    <w:rsid w:val="006C6A7E"/>
    <w:rsid w:val="006C6F53"/>
    <w:rsid w:val="006C706B"/>
    <w:rsid w:val="006C718A"/>
    <w:rsid w:val="006C7278"/>
    <w:rsid w:val="006C7F48"/>
    <w:rsid w:val="006D03F1"/>
    <w:rsid w:val="006D067C"/>
    <w:rsid w:val="006D0B40"/>
    <w:rsid w:val="006D0D74"/>
    <w:rsid w:val="006D1367"/>
    <w:rsid w:val="006D15ED"/>
    <w:rsid w:val="006D1AF2"/>
    <w:rsid w:val="006D2994"/>
    <w:rsid w:val="006D2B7A"/>
    <w:rsid w:val="006D2CD5"/>
    <w:rsid w:val="006D3091"/>
    <w:rsid w:val="006D3240"/>
    <w:rsid w:val="006D35AC"/>
    <w:rsid w:val="006D3BEF"/>
    <w:rsid w:val="006D4901"/>
    <w:rsid w:val="006D4A84"/>
    <w:rsid w:val="006D4F67"/>
    <w:rsid w:val="006D5D11"/>
    <w:rsid w:val="006D61D4"/>
    <w:rsid w:val="006D62AC"/>
    <w:rsid w:val="006D6EE6"/>
    <w:rsid w:val="006D7759"/>
    <w:rsid w:val="006E0B24"/>
    <w:rsid w:val="006E121D"/>
    <w:rsid w:val="006E1345"/>
    <w:rsid w:val="006E1BA5"/>
    <w:rsid w:val="006E1CA3"/>
    <w:rsid w:val="006E276F"/>
    <w:rsid w:val="006E2911"/>
    <w:rsid w:val="006E374E"/>
    <w:rsid w:val="006E3A85"/>
    <w:rsid w:val="006E3CC6"/>
    <w:rsid w:val="006E43D7"/>
    <w:rsid w:val="006E4D22"/>
    <w:rsid w:val="006E4D43"/>
    <w:rsid w:val="006E56A1"/>
    <w:rsid w:val="006E5A16"/>
    <w:rsid w:val="006E79C0"/>
    <w:rsid w:val="006E7DD4"/>
    <w:rsid w:val="006F00F9"/>
    <w:rsid w:val="006F0920"/>
    <w:rsid w:val="006F0DAA"/>
    <w:rsid w:val="006F0F45"/>
    <w:rsid w:val="006F115B"/>
    <w:rsid w:val="006F14B2"/>
    <w:rsid w:val="006F1687"/>
    <w:rsid w:val="006F1C11"/>
    <w:rsid w:val="006F1F2C"/>
    <w:rsid w:val="006F1FAC"/>
    <w:rsid w:val="006F27A0"/>
    <w:rsid w:val="006F37AC"/>
    <w:rsid w:val="006F3A1A"/>
    <w:rsid w:val="006F4C47"/>
    <w:rsid w:val="006F4DF1"/>
    <w:rsid w:val="006F52F4"/>
    <w:rsid w:val="006F5585"/>
    <w:rsid w:val="006F5687"/>
    <w:rsid w:val="006F70CC"/>
    <w:rsid w:val="006F71CB"/>
    <w:rsid w:val="006F7412"/>
    <w:rsid w:val="006F75A1"/>
    <w:rsid w:val="006F75EA"/>
    <w:rsid w:val="006F770A"/>
    <w:rsid w:val="006F7D7B"/>
    <w:rsid w:val="0070003E"/>
    <w:rsid w:val="00700A8C"/>
    <w:rsid w:val="00701101"/>
    <w:rsid w:val="0070134D"/>
    <w:rsid w:val="007013A3"/>
    <w:rsid w:val="007018F7"/>
    <w:rsid w:val="00701921"/>
    <w:rsid w:val="00703662"/>
    <w:rsid w:val="007037F2"/>
    <w:rsid w:val="0070383B"/>
    <w:rsid w:val="00703BC7"/>
    <w:rsid w:val="0070425A"/>
    <w:rsid w:val="007042B6"/>
    <w:rsid w:val="00704C77"/>
    <w:rsid w:val="00704E34"/>
    <w:rsid w:val="00704F2D"/>
    <w:rsid w:val="007062D1"/>
    <w:rsid w:val="0070636D"/>
    <w:rsid w:val="00706BF3"/>
    <w:rsid w:val="00706FC1"/>
    <w:rsid w:val="00707011"/>
    <w:rsid w:val="0070730A"/>
    <w:rsid w:val="007077CD"/>
    <w:rsid w:val="0071026A"/>
    <w:rsid w:val="00710FB8"/>
    <w:rsid w:val="00711001"/>
    <w:rsid w:val="007114DE"/>
    <w:rsid w:val="00711C98"/>
    <w:rsid w:val="00711CA6"/>
    <w:rsid w:val="00712D70"/>
    <w:rsid w:val="00713412"/>
    <w:rsid w:val="00713DFD"/>
    <w:rsid w:val="00714003"/>
    <w:rsid w:val="00714C97"/>
    <w:rsid w:val="00714E62"/>
    <w:rsid w:val="00714FED"/>
    <w:rsid w:val="007150C8"/>
    <w:rsid w:val="007168E9"/>
    <w:rsid w:val="00716AA7"/>
    <w:rsid w:val="00716C62"/>
    <w:rsid w:val="007202F3"/>
    <w:rsid w:val="0072055C"/>
    <w:rsid w:val="007211AC"/>
    <w:rsid w:val="00721E27"/>
    <w:rsid w:val="00722834"/>
    <w:rsid w:val="00722DCB"/>
    <w:rsid w:val="00723E73"/>
    <w:rsid w:val="007241BD"/>
    <w:rsid w:val="007251D7"/>
    <w:rsid w:val="00725793"/>
    <w:rsid w:val="00725A09"/>
    <w:rsid w:val="00725C87"/>
    <w:rsid w:val="00725EBD"/>
    <w:rsid w:val="00726A8D"/>
    <w:rsid w:val="00727A4C"/>
    <w:rsid w:val="00730368"/>
    <w:rsid w:val="007304A5"/>
    <w:rsid w:val="00730EED"/>
    <w:rsid w:val="00730FAE"/>
    <w:rsid w:val="00731303"/>
    <w:rsid w:val="00731361"/>
    <w:rsid w:val="0073168D"/>
    <w:rsid w:val="007321DA"/>
    <w:rsid w:val="007324B7"/>
    <w:rsid w:val="007327A4"/>
    <w:rsid w:val="00732DC9"/>
    <w:rsid w:val="007332C3"/>
    <w:rsid w:val="0073374F"/>
    <w:rsid w:val="00733BAB"/>
    <w:rsid w:val="00733CB2"/>
    <w:rsid w:val="00733EA6"/>
    <w:rsid w:val="0073461D"/>
    <w:rsid w:val="00734C60"/>
    <w:rsid w:val="00734D1E"/>
    <w:rsid w:val="00734F4D"/>
    <w:rsid w:val="0073586C"/>
    <w:rsid w:val="00735CC2"/>
    <w:rsid w:val="00735DD8"/>
    <w:rsid w:val="0073659D"/>
    <w:rsid w:val="00736A4F"/>
    <w:rsid w:val="00736C1C"/>
    <w:rsid w:val="007371C6"/>
    <w:rsid w:val="00737680"/>
    <w:rsid w:val="00737B7E"/>
    <w:rsid w:val="00740557"/>
    <w:rsid w:val="00740E16"/>
    <w:rsid w:val="007410DD"/>
    <w:rsid w:val="0074156E"/>
    <w:rsid w:val="007416DA"/>
    <w:rsid w:val="0074172C"/>
    <w:rsid w:val="0074188F"/>
    <w:rsid w:val="007418FD"/>
    <w:rsid w:val="0074246E"/>
    <w:rsid w:val="00742597"/>
    <w:rsid w:val="00742E86"/>
    <w:rsid w:val="00742ED9"/>
    <w:rsid w:val="0074344D"/>
    <w:rsid w:val="00743547"/>
    <w:rsid w:val="00743710"/>
    <w:rsid w:val="00743A54"/>
    <w:rsid w:val="00743ACA"/>
    <w:rsid w:val="00743E49"/>
    <w:rsid w:val="00744240"/>
    <w:rsid w:val="0074460F"/>
    <w:rsid w:val="007454A4"/>
    <w:rsid w:val="00745935"/>
    <w:rsid w:val="00745AA7"/>
    <w:rsid w:val="0074675F"/>
    <w:rsid w:val="00746C80"/>
    <w:rsid w:val="00750A8C"/>
    <w:rsid w:val="00750C9A"/>
    <w:rsid w:val="007510E4"/>
    <w:rsid w:val="00751415"/>
    <w:rsid w:val="007516A5"/>
    <w:rsid w:val="00752497"/>
    <w:rsid w:val="007525D1"/>
    <w:rsid w:val="007528B7"/>
    <w:rsid w:val="00752F0B"/>
    <w:rsid w:val="00753237"/>
    <w:rsid w:val="00753884"/>
    <w:rsid w:val="00753A30"/>
    <w:rsid w:val="00753A62"/>
    <w:rsid w:val="00753AEB"/>
    <w:rsid w:val="00753B0B"/>
    <w:rsid w:val="00753FE8"/>
    <w:rsid w:val="007540C4"/>
    <w:rsid w:val="00754179"/>
    <w:rsid w:val="007542B8"/>
    <w:rsid w:val="00754ACB"/>
    <w:rsid w:val="007558F8"/>
    <w:rsid w:val="00755B8E"/>
    <w:rsid w:val="00756725"/>
    <w:rsid w:val="00756F09"/>
    <w:rsid w:val="00757931"/>
    <w:rsid w:val="00760271"/>
    <w:rsid w:val="007608AA"/>
    <w:rsid w:val="00760D38"/>
    <w:rsid w:val="0076186B"/>
    <w:rsid w:val="00761951"/>
    <w:rsid w:val="00761958"/>
    <w:rsid w:val="00761D38"/>
    <w:rsid w:val="0076211C"/>
    <w:rsid w:val="007626C9"/>
    <w:rsid w:val="007628F3"/>
    <w:rsid w:val="00762991"/>
    <w:rsid w:val="00762FF2"/>
    <w:rsid w:val="0076344C"/>
    <w:rsid w:val="007635A0"/>
    <w:rsid w:val="00763DCA"/>
    <w:rsid w:val="00764012"/>
    <w:rsid w:val="007644AD"/>
    <w:rsid w:val="00764C6E"/>
    <w:rsid w:val="0076538F"/>
    <w:rsid w:val="00765495"/>
    <w:rsid w:val="00765A74"/>
    <w:rsid w:val="00765FD2"/>
    <w:rsid w:val="00767A95"/>
    <w:rsid w:val="00767DCE"/>
    <w:rsid w:val="00770033"/>
    <w:rsid w:val="0077076D"/>
    <w:rsid w:val="0077135B"/>
    <w:rsid w:val="0077135E"/>
    <w:rsid w:val="007716AB"/>
    <w:rsid w:val="00771785"/>
    <w:rsid w:val="00771BB3"/>
    <w:rsid w:val="007723D2"/>
    <w:rsid w:val="00773447"/>
    <w:rsid w:val="00773513"/>
    <w:rsid w:val="0077393A"/>
    <w:rsid w:val="00774030"/>
    <w:rsid w:val="0077459C"/>
    <w:rsid w:val="0077462E"/>
    <w:rsid w:val="00774F1C"/>
    <w:rsid w:val="00775AA9"/>
    <w:rsid w:val="00775B51"/>
    <w:rsid w:val="007763DF"/>
    <w:rsid w:val="007768C9"/>
    <w:rsid w:val="007769BB"/>
    <w:rsid w:val="00776AE7"/>
    <w:rsid w:val="00777298"/>
    <w:rsid w:val="007808B8"/>
    <w:rsid w:val="007811D8"/>
    <w:rsid w:val="0078121C"/>
    <w:rsid w:val="007812A0"/>
    <w:rsid w:val="007816D4"/>
    <w:rsid w:val="0078187F"/>
    <w:rsid w:val="0078191C"/>
    <w:rsid w:val="0078297D"/>
    <w:rsid w:val="007829B4"/>
    <w:rsid w:val="007838F2"/>
    <w:rsid w:val="00784546"/>
    <w:rsid w:val="00785F44"/>
    <w:rsid w:val="00786A01"/>
    <w:rsid w:val="00786FDD"/>
    <w:rsid w:val="00787201"/>
    <w:rsid w:val="007873E7"/>
    <w:rsid w:val="00787617"/>
    <w:rsid w:val="00787F81"/>
    <w:rsid w:val="0079104C"/>
    <w:rsid w:val="0079147B"/>
    <w:rsid w:val="007924C7"/>
    <w:rsid w:val="00792A1F"/>
    <w:rsid w:val="00792BE9"/>
    <w:rsid w:val="00793750"/>
    <w:rsid w:val="00793EF5"/>
    <w:rsid w:val="0079482E"/>
    <w:rsid w:val="0079484B"/>
    <w:rsid w:val="0079485D"/>
    <w:rsid w:val="00794FEE"/>
    <w:rsid w:val="00795047"/>
    <w:rsid w:val="007952CD"/>
    <w:rsid w:val="007952EE"/>
    <w:rsid w:val="007956F2"/>
    <w:rsid w:val="0079581E"/>
    <w:rsid w:val="00795B2D"/>
    <w:rsid w:val="007961EC"/>
    <w:rsid w:val="007962C8"/>
    <w:rsid w:val="00796B0D"/>
    <w:rsid w:val="00797316"/>
    <w:rsid w:val="007976D1"/>
    <w:rsid w:val="007A070B"/>
    <w:rsid w:val="007A0720"/>
    <w:rsid w:val="007A164B"/>
    <w:rsid w:val="007A188C"/>
    <w:rsid w:val="007A1CA4"/>
    <w:rsid w:val="007A1E1F"/>
    <w:rsid w:val="007A2187"/>
    <w:rsid w:val="007A2633"/>
    <w:rsid w:val="007A37EA"/>
    <w:rsid w:val="007A3A90"/>
    <w:rsid w:val="007A3FF8"/>
    <w:rsid w:val="007A4574"/>
    <w:rsid w:val="007A47DD"/>
    <w:rsid w:val="007A4894"/>
    <w:rsid w:val="007A5C29"/>
    <w:rsid w:val="007A714B"/>
    <w:rsid w:val="007A7425"/>
    <w:rsid w:val="007A7841"/>
    <w:rsid w:val="007B066B"/>
    <w:rsid w:val="007B08C1"/>
    <w:rsid w:val="007B08E0"/>
    <w:rsid w:val="007B0EF8"/>
    <w:rsid w:val="007B1844"/>
    <w:rsid w:val="007B1FAD"/>
    <w:rsid w:val="007B2034"/>
    <w:rsid w:val="007B2348"/>
    <w:rsid w:val="007B2643"/>
    <w:rsid w:val="007B2C99"/>
    <w:rsid w:val="007B2F69"/>
    <w:rsid w:val="007B31ED"/>
    <w:rsid w:val="007B320D"/>
    <w:rsid w:val="007B3425"/>
    <w:rsid w:val="007B35ED"/>
    <w:rsid w:val="007B3611"/>
    <w:rsid w:val="007B36F4"/>
    <w:rsid w:val="007B3F24"/>
    <w:rsid w:val="007B43D4"/>
    <w:rsid w:val="007B4722"/>
    <w:rsid w:val="007B4CA0"/>
    <w:rsid w:val="007B4DCD"/>
    <w:rsid w:val="007B52D3"/>
    <w:rsid w:val="007B53E2"/>
    <w:rsid w:val="007B548A"/>
    <w:rsid w:val="007B6A31"/>
    <w:rsid w:val="007B7683"/>
    <w:rsid w:val="007B7AB5"/>
    <w:rsid w:val="007C0225"/>
    <w:rsid w:val="007C06AA"/>
    <w:rsid w:val="007C1979"/>
    <w:rsid w:val="007C1BEE"/>
    <w:rsid w:val="007C2236"/>
    <w:rsid w:val="007C3096"/>
    <w:rsid w:val="007C3184"/>
    <w:rsid w:val="007C33E5"/>
    <w:rsid w:val="007C360C"/>
    <w:rsid w:val="007C3C56"/>
    <w:rsid w:val="007C442C"/>
    <w:rsid w:val="007C4704"/>
    <w:rsid w:val="007C4A1D"/>
    <w:rsid w:val="007C55DC"/>
    <w:rsid w:val="007C5720"/>
    <w:rsid w:val="007C5FFD"/>
    <w:rsid w:val="007C60F4"/>
    <w:rsid w:val="007C63FF"/>
    <w:rsid w:val="007C6A01"/>
    <w:rsid w:val="007C73EE"/>
    <w:rsid w:val="007C7AAE"/>
    <w:rsid w:val="007C7B2C"/>
    <w:rsid w:val="007D0DBC"/>
    <w:rsid w:val="007D1903"/>
    <w:rsid w:val="007D1A1F"/>
    <w:rsid w:val="007D1AB6"/>
    <w:rsid w:val="007D1EDC"/>
    <w:rsid w:val="007D24B7"/>
    <w:rsid w:val="007D329C"/>
    <w:rsid w:val="007D3349"/>
    <w:rsid w:val="007D4F9D"/>
    <w:rsid w:val="007D6338"/>
    <w:rsid w:val="007D6E5A"/>
    <w:rsid w:val="007D712C"/>
    <w:rsid w:val="007D746F"/>
    <w:rsid w:val="007D7B1C"/>
    <w:rsid w:val="007E0562"/>
    <w:rsid w:val="007E0958"/>
    <w:rsid w:val="007E0EB1"/>
    <w:rsid w:val="007E1899"/>
    <w:rsid w:val="007E1ECD"/>
    <w:rsid w:val="007E2555"/>
    <w:rsid w:val="007E25ED"/>
    <w:rsid w:val="007E2AA4"/>
    <w:rsid w:val="007E2AC7"/>
    <w:rsid w:val="007E338A"/>
    <w:rsid w:val="007E341F"/>
    <w:rsid w:val="007E37D8"/>
    <w:rsid w:val="007E44DC"/>
    <w:rsid w:val="007E4794"/>
    <w:rsid w:val="007E4B91"/>
    <w:rsid w:val="007E4BCD"/>
    <w:rsid w:val="007E539C"/>
    <w:rsid w:val="007E5ED0"/>
    <w:rsid w:val="007E6665"/>
    <w:rsid w:val="007E6A36"/>
    <w:rsid w:val="007E6A6E"/>
    <w:rsid w:val="007E6BAF"/>
    <w:rsid w:val="007E6F46"/>
    <w:rsid w:val="007E75E7"/>
    <w:rsid w:val="007E7A79"/>
    <w:rsid w:val="007F0255"/>
    <w:rsid w:val="007F1657"/>
    <w:rsid w:val="007F1AA3"/>
    <w:rsid w:val="007F1EDD"/>
    <w:rsid w:val="007F266B"/>
    <w:rsid w:val="007F2851"/>
    <w:rsid w:val="007F32D2"/>
    <w:rsid w:val="007F3A85"/>
    <w:rsid w:val="007F3B0F"/>
    <w:rsid w:val="007F3B29"/>
    <w:rsid w:val="007F3F04"/>
    <w:rsid w:val="007F3F77"/>
    <w:rsid w:val="007F411A"/>
    <w:rsid w:val="007F4B9C"/>
    <w:rsid w:val="007F5388"/>
    <w:rsid w:val="007F5840"/>
    <w:rsid w:val="007F5AC8"/>
    <w:rsid w:val="007F5D0F"/>
    <w:rsid w:val="007F6135"/>
    <w:rsid w:val="007F698D"/>
    <w:rsid w:val="007F6A62"/>
    <w:rsid w:val="007F6C0C"/>
    <w:rsid w:val="007F6CDE"/>
    <w:rsid w:val="007F6DFA"/>
    <w:rsid w:val="007F76A3"/>
    <w:rsid w:val="007F7C18"/>
    <w:rsid w:val="008013CD"/>
    <w:rsid w:val="0080141A"/>
    <w:rsid w:val="00801893"/>
    <w:rsid w:val="0080190B"/>
    <w:rsid w:val="00801A2D"/>
    <w:rsid w:val="00802017"/>
    <w:rsid w:val="00802840"/>
    <w:rsid w:val="00802CDA"/>
    <w:rsid w:val="00802E72"/>
    <w:rsid w:val="00802EEB"/>
    <w:rsid w:val="0080394F"/>
    <w:rsid w:val="00803A0D"/>
    <w:rsid w:val="00803FAF"/>
    <w:rsid w:val="00804116"/>
    <w:rsid w:val="00805A12"/>
    <w:rsid w:val="00805F68"/>
    <w:rsid w:val="008062CE"/>
    <w:rsid w:val="00806516"/>
    <w:rsid w:val="00806586"/>
    <w:rsid w:val="00806A3F"/>
    <w:rsid w:val="00806E31"/>
    <w:rsid w:val="008072FD"/>
    <w:rsid w:val="0080734E"/>
    <w:rsid w:val="00807AC1"/>
    <w:rsid w:val="008100E1"/>
    <w:rsid w:val="00810C2A"/>
    <w:rsid w:val="0081149F"/>
    <w:rsid w:val="008117A9"/>
    <w:rsid w:val="00812356"/>
    <w:rsid w:val="0081354D"/>
    <w:rsid w:val="00813A84"/>
    <w:rsid w:val="00813C93"/>
    <w:rsid w:val="00813E67"/>
    <w:rsid w:val="008142B2"/>
    <w:rsid w:val="00814343"/>
    <w:rsid w:val="00814852"/>
    <w:rsid w:val="00814B76"/>
    <w:rsid w:val="008153B8"/>
    <w:rsid w:val="00815691"/>
    <w:rsid w:val="008164DF"/>
    <w:rsid w:val="0081690E"/>
    <w:rsid w:val="00816B05"/>
    <w:rsid w:val="008174BD"/>
    <w:rsid w:val="008174FC"/>
    <w:rsid w:val="00820791"/>
    <w:rsid w:val="00820D03"/>
    <w:rsid w:val="00820FD8"/>
    <w:rsid w:val="00821D14"/>
    <w:rsid w:val="00821E94"/>
    <w:rsid w:val="00822261"/>
    <w:rsid w:val="0082243A"/>
    <w:rsid w:val="008226FE"/>
    <w:rsid w:val="0082293B"/>
    <w:rsid w:val="00822C0E"/>
    <w:rsid w:val="0082341D"/>
    <w:rsid w:val="0082349F"/>
    <w:rsid w:val="00823607"/>
    <w:rsid w:val="00823FB5"/>
    <w:rsid w:val="00824494"/>
    <w:rsid w:val="00824F68"/>
    <w:rsid w:val="008251B3"/>
    <w:rsid w:val="0082592B"/>
    <w:rsid w:val="00825D56"/>
    <w:rsid w:val="00826BCC"/>
    <w:rsid w:val="008273F5"/>
    <w:rsid w:val="008302D8"/>
    <w:rsid w:val="00830629"/>
    <w:rsid w:val="0083073B"/>
    <w:rsid w:val="00830EAB"/>
    <w:rsid w:val="00830F5C"/>
    <w:rsid w:val="008315CD"/>
    <w:rsid w:val="00831BDD"/>
    <w:rsid w:val="0083205F"/>
    <w:rsid w:val="00832B8A"/>
    <w:rsid w:val="00832DE6"/>
    <w:rsid w:val="008332CB"/>
    <w:rsid w:val="00833792"/>
    <w:rsid w:val="00833EB4"/>
    <w:rsid w:val="00834154"/>
    <w:rsid w:val="0083440C"/>
    <w:rsid w:val="0083471E"/>
    <w:rsid w:val="00834BC0"/>
    <w:rsid w:val="0083586D"/>
    <w:rsid w:val="008361CD"/>
    <w:rsid w:val="00836362"/>
    <w:rsid w:val="00836AE0"/>
    <w:rsid w:val="00837068"/>
    <w:rsid w:val="008370D0"/>
    <w:rsid w:val="008374E2"/>
    <w:rsid w:val="00837B1B"/>
    <w:rsid w:val="00840F38"/>
    <w:rsid w:val="008411B5"/>
    <w:rsid w:val="0084120E"/>
    <w:rsid w:val="008412FF"/>
    <w:rsid w:val="0084200F"/>
    <w:rsid w:val="0084285B"/>
    <w:rsid w:val="00842CB4"/>
    <w:rsid w:val="00842FAA"/>
    <w:rsid w:val="0084360A"/>
    <w:rsid w:val="0084361E"/>
    <w:rsid w:val="00843A33"/>
    <w:rsid w:val="0084400C"/>
    <w:rsid w:val="008445B4"/>
    <w:rsid w:val="0084488D"/>
    <w:rsid w:val="00845918"/>
    <w:rsid w:val="0084621C"/>
    <w:rsid w:val="0084661E"/>
    <w:rsid w:val="0084687B"/>
    <w:rsid w:val="00846C46"/>
    <w:rsid w:val="00847084"/>
    <w:rsid w:val="008470AC"/>
    <w:rsid w:val="00847723"/>
    <w:rsid w:val="008478CB"/>
    <w:rsid w:val="00847AF7"/>
    <w:rsid w:val="00847DBC"/>
    <w:rsid w:val="00850426"/>
    <w:rsid w:val="008505F8"/>
    <w:rsid w:val="00850A5C"/>
    <w:rsid w:val="008512E9"/>
    <w:rsid w:val="00851629"/>
    <w:rsid w:val="00851A78"/>
    <w:rsid w:val="00851BA4"/>
    <w:rsid w:val="00851D2B"/>
    <w:rsid w:val="0085233A"/>
    <w:rsid w:val="008534C6"/>
    <w:rsid w:val="00853633"/>
    <w:rsid w:val="008544CE"/>
    <w:rsid w:val="00854DC7"/>
    <w:rsid w:val="00855041"/>
    <w:rsid w:val="008556AF"/>
    <w:rsid w:val="00855D32"/>
    <w:rsid w:val="00856686"/>
    <w:rsid w:val="00857395"/>
    <w:rsid w:val="008604F3"/>
    <w:rsid w:val="00860537"/>
    <w:rsid w:val="00860BA1"/>
    <w:rsid w:val="008618F9"/>
    <w:rsid w:val="00861EEF"/>
    <w:rsid w:val="00861FC7"/>
    <w:rsid w:val="00862C66"/>
    <w:rsid w:val="00862E38"/>
    <w:rsid w:val="0086315B"/>
    <w:rsid w:val="00863E97"/>
    <w:rsid w:val="00863EE3"/>
    <w:rsid w:val="00863EFE"/>
    <w:rsid w:val="008647C0"/>
    <w:rsid w:val="00864B86"/>
    <w:rsid w:val="00864C6B"/>
    <w:rsid w:val="008650B0"/>
    <w:rsid w:val="00865111"/>
    <w:rsid w:val="0086585B"/>
    <w:rsid w:val="00866477"/>
    <w:rsid w:val="00866ABD"/>
    <w:rsid w:val="00867139"/>
    <w:rsid w:val="008672F7"/>
    <w:rsid w:val="00867381"/>
    <w:rsid w:val="00867932"/>
    <w:rsid w:val="00867A8F"/>
    <w:rsid w:val="00867FA9"/>
    <w:rsid w:val="008707A5"/>
    <w:rsid w:val="0087082F"/>
    <w:rsid w:val="00870EE3"/>
    <w:rsid w:val="008711E3"/>
    <w:rsid w:val="00871A0D"/>
    <w:rsid w:val="00871DB9"/>
    <w:rsid w:val="008726DB"/>
    <w:rsid w:val="00872DC3"/>
    <w:rsid w:val="00872FE7"/>
    <w:rsid w:val="0087301D"/>
    <w:rsid w:val="008733F8"/>
    <w:rsid w:val="008735CA"/>
    <w:rsid w:val="00873B5D"/>
    <w:rsid w:val="00873E8F"/>
    <w:rsid w:val="008746F2"/>
    <w:rsid w:val="00874BAF"/>
    <w:rsid w:val="008763C0"/>
    <w:rsid w:val="008766FB"/>
    <w:rsid w:val="00876A6D"/>
    <w:rsid w:val="008770AD"/>
    <w:rsid w:val="008777F5"/>
    <w:rsid w:val="00880258"/>
    <w:rsid w:val="008803F6"/>
    <w:rsid w:val="008808C0"/>
    <w:rsid w:val="00880A0C"/>
    <w:rsid w:val="00881380"/>
    <w:rsid w:val="00881A9A"/>
    <w:rsid w:val="00881FB3"/>
    <w:rsid w:val="008828CA"/>
    <w:rsid w:val="00883B3D"/>
    <w:rsid w:val="00883EF3"/>
    <w:rsid w:val="0088487D"/>
    <w:rsid w:val="00885201"/>
    <w:rsid w:val="008857D4"/>
    <w:rsid w:val="00886005"/>
    <w:rsid w:val="008861E6"/>
    <w:rsid w:val="00886720"/>
    <w:rsid w:val="008873EC"/>
    <w:rsid w:val="00887B12"/>
    <w:rsid w:val="00887C6C"/>
    <w:rsid w:val="00887F3D"/>
    <w:rsid w:val="008901FD"/>
    <w:rsid w:val="00890235"/>
    <w:rsid w:val="00890472"/>
    <w:rsid w:val="00890749"/>
    <w:rsid w:val="00890813"/>
    <w:rsid w:val="00890E42"/>
    <w:rsid w:val="00891076"/>
    <w:rsid w:val="008920F2"/>
    <w:rsid w:val="008930A0"/>
    <w:rsid w:val="008932A1"/>
    <w:rsid w:val="008933E8"/>
    <w:rsid w:val="008934B8"/>
    <w:rsid w:val="00893D48"/>
    <w:rsid w:val="00893EC0"/>
    <w:rsid w:val="008940F0"/>
    <w:rsid w:val="0089468D"/>
    <w:rsid w:val="00894E53"/>
    <w:rsid w:val="0089506D"/>
    <w:rsid w:val="008952C6"/>
    <w:rsid w:val="00895795"/>
    <w:rsid w:val="00895A8D"/>
    <w:rsid w:val="0089600C"/>
    <w:rsid w:val="0089657A"/>
    <w:rsid w:val="00896AC9"/>
    <w:rsid w:val="00896B85"/>
    <w:rsid w:val="00896D49"/>
    <w:rsid w:val="00896E4F"/>
    <w:rsid w:val="00896E6D"/>
    <w:rsid w:val="00897377"/>
    <w:rsid w:val="00897774"/>
    <w:rsid w:val="00897788"/>
    <w:rsid w:val="00897F4D"/>
    <w:rsid w:val="008A0AA4"/>
    <w:rsid w:val="008A0C89"/>
    <w:rsid w:val="008A1278"/>
    <w:rsid w:val="008A1996"/>
    <w:rsid w:val="008A1A0E"/>
    <w:rsid w:val="008A206E"/>
    <w:rsid w:val="008A2072"/>
    <w:rsid w:val="008A20AE"/>
    <w:rsid w:val="008A2648"/>
    <w:rsid w:val="008A2DF9"/>
    <w:rsid w:val="008A3C36"/>
    <w:rsid w:val="008A488A"/>
    <w:rsid w:val="008A53C5"/>
    <w:rsid w:val="008A54C1"/>
    <w:rsid w:val="008A5AC4"/>
    <w:rsid w:val="008A5D5D"/>
    <w:rsid w:val="008A615C"/>
    <w:rsid w:val="008A6A1F"/>
    <w:rsid w:val="008A6F18"/>
    <w:rsid w:val="008A7011"/>
    <w:rsid w:val="008A701F"/>
    <w:rsid w:val="008A7312"/>
    <w:rsid w:val="008A7CEF"/>
    <w:rsid w:val="008B0133"/>
    <w:rsid w:val="008B059D"/>
    <w:rsid w:val="008B07BD"/>
    <w:rsid w:val="008B0C01"/>
    <w:rsid w:val="008B0FB6"/>
    <w:rsid w:val="008B1348"/>
    <w:rsid w:val="008B13AC"/>
    <w:rsid w:val="008B1455"/>
    <w:rsid w:val="008B153D"/>
    <w:rsid w:val="008B1569"/>
    <w:rsid w:val="008B1835"/>
    <w:rsid w:val="008B28C5"/>
    <w:rsid w:val="008B2B1C"/>
    <w:rsid w:val="008B41F0"/>
    <w:rsid w:val="008B43DD"/>
    <w:rsid w:val="008B459E"/>
    <w:rsid w:val="008B4C00"/>
    <w:rsid w:val="008B5292"/>
    <w:rsid w:val="008B55AC"/>
    <w:rsid w:val="008B5776"/>
    <w:rsid w:val="008B652B"/>
    <w:rsid w:val="008B673C"/>
    <w:rsid w:val="008B6C59"/>
    <w:rsid w:val="008B72A5"/>
    <w:rsid w:val="008B743A"/>
    <w:rsid w:val="008B75E3"/>
    <w:rsid w:val="008B7B27"/>
    <w:rsid w:val="008B7DA9"/>
    <w:rsid w:val="008C02D5"/>
    <w:rsid w:val="008C0CA6"/>
    <w:rsid w:val="008C0FD4"/>
    <w:rsid w:val="008C1831"/>
    <w:rsid w:val="008C1E60"/>
    <w:rsid w:val="008C2699"/>
    <w:rsid w:val="008C2AF7"/>
    <w:rsid w:val="008C3AA3"/>
    <w:rsid w:val="008C4117"/>
    <w:rsid w:val="008C5AC4"/>
    <w:rsid w:val="008C5BBF"/>
    <w:rsid w:val="008C601D"/>
    <w:rsid w:val="008C65B8"/>
    <w:rsid w:val="008C6614"/>
    <w:rsid w:val="008C69DD"/>
    <w:rsid w:val="008C6C36"/>
    <w:rsid w:val="008C70D8"/>
    <w:rsid w:val="008C7268"/>
    <w:rsid w:val="008C7622"/>
    <w:rsid w:val="008D00F9"/>
    <w:rsid w:val="008D0E40"/>
    <w:rsid w:val="008D1C30"/>
    <w:rsid w:val="008D2510"/>
    <w:rsid w:val="008D25A5"/>
    <w:rsid w:val="008D2AF7"/>
    <w:rsid w:val="008D2DAB"/>
    <w:rsid w:val="008D3563"/>
    <w:rsid w:val="008D35C8"/>
    <w:rsid w:val="008D394B"/>
    <w:rsid w:val="008D3CB8"/>
    <w:rsid w:val="008D40FA"/>
    <w:rsid w:val="008D45FA"/>
    <w:rsid w:val="008D498B"/>
    <w:rsid w:val="008D4F5F"/>
    <w:rsid w:val="008D547A"/>
    <w:rsid w:val="008D55DC"/>
    <w:rsid w:val="008D5F21"/>
    <w:rsid w:val="008D60D8"/>
    <w:rsid w:val="008D65FD"/>
    <w:rsid w:val="008D6A9B"/>
    <w:rsid w:val="008D6CDA"/>
    <w:rsid w:val="008D73D8"/>
    <w:rsid w:val="008D7555"/>
    <w:rsid w:val="008D76B8"/>
    <w:rsid w:val="008D76CE"/>
    <w:rsid w:val="008D7970"/>
    <w:rsid w:val="008E0290"/>
    <w:rsid w:val="008E0E62"/>
    <w:rsid w:val="008E16E2"/>
    <w:rsid w:val="008E1943"/>
    <w:rsid w:val="008E3BD6"/>
    <w:rsid w:val="008E3F8E"/>
    <w:rsid w:val="008E41A8"/>
    <w:rsid w:val="008E443F"/>
    <w:rsid w:val="008E498D"/>
    <w:rsid w:val="008E5E73"/>
    <w:rsid w:val="008E6287"/>
    <w:rsid w:val="008E72B8"/>
    <w:rsid w:val="008E7556"/>
    <w:rsid w:val="008E7AD0"/>
    <w:rsid w:val="008E7BA9"/>
    <w:rsid w:val="008E7C50"/>
    <w:rsid w:val="008E7DE1"/>
    <w:rsid w:val="008E7DF9"/>
    <w:rsid w:val="008F020E"/>
    <w:rsid w:val="008F0923"/>
    <w:rsid w:val="008F09D6"/>
    <w:rsid w:val="008F0ABD"/>
    <w:rsid w:val="008F188C"/>
    <w:rsid w:val="008F1C12"/>
    <w:rsid w:val="008F25E7"/>
    <w:rsid w:val="008F30B5"/>
    <w:rsid w:val="008F4045"/>
    <w:rsid w:val="008F41B1"/>
    <w:rsid w:val="008F42A3"/>
    <w:rsid w:val="008F4B69"/>
    <w:rsid w:val="008F4E75"/>
    <w:rsid w:val="008F514A"/>
    <w:rsid w:val="008F53DD"/>
    <w:rsid w:val="008F5497"/>
    <w:rsid w:val="008F6E7F"/>
    <w:rsid w:val="008F71F8"/>
    <w:rsid w:val="008F7786"/>
    <w:rsid w:val="008F7911"/>
    <w:rsid w:val="008F7AAF"/>
    <w:rsid w:val="008F7AB3"/>
    <w:rsid w:val="00900702"/>
    <w:rsid w:val="00900C3E"/>
    <w:rsid w:val="0090119D"/>
    <w:rsid w:val="009017E9"/>
    <w:rsid w:val="009025B1"/>
    <w:rsid w:val="00902BA6"/>
    <w:rsid w:val="00902EE6"/>
    <w:rsid w:val="00903388"/>
    <w:rsid w:val="009035D2"/>
    <w:rsid w:val="009037BB"/>
    <w:rsid w:val="00904363"/>
    <w:rsid w:val="00904795"/>
    <w:rsid w:val="00904CC9"/>
    <w:rsid w:val="009050E0"/>
    <w:rsid w:val="00905653"/>
    <w:rsid w:val="009058FC"/>
    <w:rsid w:val="00905F22"/>
    <w:rsid w:val="009061E5"/>
    <w:rsid w:val="009063EA"/>
    <w:rsid w:val="00906F45"/>
    <w:rsid w:val="00907004"/>
    <w:rsid w:val="00907317"/>
    <w:rsid w:val="00907AD0"/>
    <w:rsid w:val="00907F1D"/>
    <w:rsid w:val="00910597"/>
    <w:rsid w:val="0091083D"/>
    <w:rsid w:val="00910A0D"/>
    <w:rsid w:val="00911701"/>
    <w:rsid w:val="00911EC7"/>
    <w:rsid w:val="00912710"/>
    <w:rsid w:val="00913037"/>
    <w:rsid w:val="00913364"/>
    <w:rsid w:val="00913736"/>
    <w:rsid w:val="00913936"/>
    <w:rsid w:val="009139B3"/>
    <w:rsid w:val="00913EC5"/>
    <w:rsid w:val="009142E3"/>
    <w:rsid w:val="00914526"/>
    <w:rsid w:val="009147B4"/>
    <w:rsid w:val="00914CEF"/>
    <w:rsid w:val="00914DAB"/>
    <w:rsid w:val="00914EF4"/>
    <w:rsid w:val="00915211"/>
    <w:rsid w:val="00915764"/>
    <w:rsid w:val="00915F74"/>
    <w:rsid w:val="00916637"/>
    <w:rsid w:val="009166FD"/>
    <w:rsid w:val="0092014B"/>
    <w:rsid w:val="009207A4"/>
    <w:rsid w:val="00920B4A"/>
    <w:rsid w:val="00920CBC"/>
    <w:rsid w:val="00921698"/>
    <w:rsid w:val="009218A2"/>
    <w:rsid w:val="00921C55"/>
    <w:rsid w:val="00922821"/>
    <w:rsid w:val="00922833"/>
    <w:rsid w:val="00922BFC"/>
    <w:rsid w:val="00922E05"/>
    <w:rsid w:val="0092310A"/>
    <w:rsid w:val="009233C9"/>
    <w:rsid w:val="00923561"/>
    <w:rsid w:val="009238B3"/>
    <w:rsid w:val="00923EAB"/>
    <w:rsid w:val="00923EBE"/>
    <w:rsid w:val="009247C1"/>
    <w:rsid w:val="0092607F"/>
    <w:rsid w:val="0092620E"/>
    <w:rsid w:val="00926230"/>
    <w:rsid w:val="00926D5C"/>
    <w:rsid w:val="00926F3E"/>
    <w:rsid w:val="009275DF"/>
    <w:rsid w:val="0092765F"/>
    <w:rsid w:val="00927B2F"/>
    <w:rsid w:val="00927D33"/>
    <w:rsid w:val="00927E00"/>
    <w:rsid w:val="00930336"/>
    <w:rsid w:val="00930CE3"/>
    <w:rsid w:val="00931088"/>
    <w:rsid w:val="009318E9"/>
    <w:rsid w:val="00932A01"/>
    <w:rsid w:val="00933D4A"/>
    <w:rsid w:val="0093420D"/>
    <w:rsid w:val="00934692"/>
    <w:rsid w:val="00934EA5"/>
    <w:rsid w:val="009357B0"/>
    <w:rsid w:val="00935919"/>
    <w:rsid w:val="00936341"/>
    <w:rsid w:val="009363A3"/>
    <w:rsid w:val="00936958"/>
    <w:rsid w:val="00936D74"/>
    <w:rsid w:val="0093753F"/>
    <w:rsid w:val="00937ED1"/>
    <w:rsid w:val="00937F7A"/>
    <w:rsid w:val="00941954"/>
    <w:rsid w:val="009428C5"/>
    <w:rsid w:val="0094291A"/>
    <w:rsid w:val="00942EF8"/>
    <w:rsid w:val="00943A1B"/>
    <w:rsid w:val="00944404"/>
    <w:rsid w:val="009446F0"/>
    <w:rsid w:val="009450FB"/>
    <w:rsid w:val="009451B7"/>
    <w:rsid w:val="009451FD"/>
    <w:rsid w:val="00945AB8"/>
    <w:rsid w:val="00945D80"/>
    <w:rsid w:val="00945DAE"/>
    <w:rsid w:val="00946188"/>
    <w:rsid w:val="009467D5"/>
    <w:rsid w:val="00946EA4"/>
    <w:rsid w:val="009470E9"/>
    <w:rsid w:val="0094767B"/>
    <w:rsid w:val="00947C2D"/>
    <w:rsid w:val="0095033A"/>
    <w:rsid w:val="00950649"/>
    <w:rsid w:val="00950A70"/>
    <w:rsid w:val="00950BD7"/>
    <w:rsid w:val="00950E18"/>
    <w:rsid w:val="00952BB2"/>
    <w:rsid w:val="00952C01"/>
    <w:rsid w:val="00952CF5"/>
    <w:rsid w:val="009530F5"/>
    <w:rsid w:val="009532E0"/>
    <w:rsid w:val="00953357"/>
    <w:rsid w:val="009537E2"/>
    <w:rsid w:val="0095386A"/>
    <w:rsid w:val="00953A12"/>
    <w:rsid w:val="00953BAA"/>
    <w:rsid w:val="00953E95"/>
    <w:rsid w:val="00954081"/>
    <w:rsid w:val="009547CB"/>
    <w:rsid w:val="00954D7B"/>
    <w:rsid w:val="009556A9"/>
    <w:rsid w:val="009560C5"/>
    <w:rsid w:val="00956D9E"/>
    <w:rsid w:val="00957138"/>
    <w:rsid w:val="00957E78"/>
    <w:rsid w:val="00957EF5"/>
    <w:rsid w:val="009604E3"/>
    <w:rsid w:val="00960826"/>
    <w:rsid w:val="009608EA"/>
    <w:rsid w:val="009609AF"/>
    <w:rsid w:val="00961736"/>
    <w:rsid w:val="009618DB"/>
    <w:rsid w:val="00962300"/>
    <w:rsid w:val="00962788"/>
    <w:rsid w:val="00962A29"/>
    <w:rsid w:val="00963866"/>
    <w:rsid w:val="00963A09"/>
    <w:rsid w:val="00964008"/>
    <w:rsid w:val="00964435"/>
    <w:rsid w:val="00964991"/>
    <w:rsid w:val="009652CF"/>
    <w:rsid w:val="00965B3E"/>
    <w:rsid w:val="00966310"/>
    <w:rsid w:val="00966519"/>
    <w:rsid w:val="0096661D"/>
    <w:rsid w:val="00966C33"/>
    <w:rsid w:val="00966D4C"/>
    <w:rsid w:val="009671F1"/>
    <w:rsid w:val="009704F0"/>
    <w:rsid w:val="00970524"/>
    <w:rsid w:val="00970586"/>
    <w:rsid w:val="009708A2"/>
    <w:rsid w:val="00970906"/>
    <w:rsid w:val="00970CAD"/>
    <w:rsid w:val="00970EC7"/>
    <w:rsid w:val="00970F96"/>
    <w:rsid w:val="009710F0"/>
    <w:rsid w:val="00971516"/>
    <w:rsid w:val="00971730"/>
    <w:rsid w:val="00972127"/>
    <w:rsid w:val="00972434"/>
    <w:rsid w:val="00973A97"/>
    <w:rsid w:val="009748D5"/>
    <w:rsid w:val="00974FF9"/>
    <w:rsid w:val="00975315"/>
    <w:rsid w:val="00975893"/>
    <w:rsid w:val="0097589A"/>
    <w:rsid w:val="009767B4"/>
    <w:rsid w:val="00977753"/>
    <w:rsid w:val="00980BC8"/>
    <w:rsid w:val="0098181A"/>
    <w:rsid w:val="00981ABA"/>
    <w:rsid w:val="0098293C"/>
    <w:rsid w:val="00982BDE"/>
    <w:rsid w:val="00983455"/>
    <w:rsid w:val="009858BE"/>
    <w:rsid w:val="009858F0"/>
    <w:rsid w:val="00985AE0"/>
    <w:rsid w:val="00986C51"/>
    <w:rsid w:val="00987016"/>
    <w:rsid w:val="009875DB"/>
    <w:rsid w:val="009876A0"/>
    <w:rsid w:val="00990536"/>
    <w:rsid w:val="0099062D"/>
    <w:rsid w:val="00990BDC"/>
    <w:rsid w:val="00991818"/>
    <w:rsid w:val="00991ECD"/>
    <w:rsid w:val="00992119"/>
    <w:rsid w:val="009926BE"/>
    <w:rsid w:val="00992BC4"/>
    <w:rsid w:val="00992DD8"/>
    <w:rsid w:val="009936C8"/>
    <w:rsid w:val="00993FC5"/>
    <w:rsid w:val="00993FCE"/>
    <w:rsid w:val="00994E63"/>
    <w:rsid w:val="00995697"/>
    <w:rsid w:val="009956A9"/>
    <w:rsid w:val="00995893"/>
    <w:rsid w:val="00995DA7"/>
    <w:rsid w:val="00996676"/>
    <w:rsid w:val="009966F0"/>
    <w:rsid w:val="00996A89"/>
    <w:rsid w:val="00996C4F"/>
    <w:rsid w:val="00996FC9"/>
    <w:rsid w:val="009A0FBB"/>
    <w:rsid w:val="009A116D"/>
    <w:rsid w:val="009A11E7"/>
    <w:rsid w:val="009A1229"/>
    <w:rsid w:val="009A1621"/>
    <w:rsid w:val="009A16AE"/>
    <w:rsid w:val="009A186A"/>
    <w:rsid w:val="009A1908"/>
    <w:rsid w:val="009A2108"/>
    <w:rsid w:val="009A2273"/>
    <w:rsid w:val="009A2551"/>
    <w:rsid w:val="009A25C6"/>
    <w:rsid w:val="009A2EBE"/>
    <w:rsid w:val="009A32C3"/>
    <w:rsid w:val="009A35B5"/>
    <w:rsid w:val="009A3759"/>
    <w:rsid w:val="009A3B93"/>
    <w:rsid w:val="009A4035"/>
    <w:rsid w:val="009A40E9"/>
    <w:rsid w:val="009A41CD"/>
    <w:rsid w:val="009A44E3"/>
    <w:rsid w:val="009A479F"/>
    <w:rsid w:val="009A4C5C"/>
    <w:rsid w:val="009A5783"/>
    <w:rsid w:val="009A59C7"/>
    <w:rsid w:val="009A76AC"/>
    <w:rsid w:val="009A7D47"/>
    <w:rsid w:val="009A7F55"/>
    <w:rsid w:val="009B0583"/>
    <w:rsid w:val="009B0DE7"/>
    <w:rsid w:val="009B2366"/>
    <w:rsid w:val="009B2368"/>
    <w:rsid w:val="009B2654"/>
    <w:rsid w:val="009B2EBF"/>
    <w:rsid w:val="009B3EF7"/>
    <w:rsid w:val="009B40C5"/>
    <w:rsid w:val="009B49B5"/>
    <w:rsid w:val="009B55C5"/>
    <w:rsid w:val="009B56A1"/>
    <w:rsid w:val="009B586F"/>
    <w:rsid w:val="009B5996"/>
    <w:rsid w:val="009B6802"/>
    <w:rsid w:val="009B6A93"/>
    <w:rsid w:val="009B6C17"/>
    <w:rsid w:val="009B71E8"/>
    <w:rsid w:val="009B765A"/>
    <w:rsid w:val="009B7E82"/>
    <w:rsid w:val="009C09F2"/>
    <w:rsid w:val="009C0BF3"/>
    <w:rsid w:val="009C0D7D"/>
    <w:rsid w:val="009C0FE6"/>
    <w:rsid w:val="009C1455"/>
    <w:rsid w:val="009C14C9"/>
    <w:rsid w:val="009C1CBD"/>
    <w:rsid w:val="009C1FC9"/>
    <w:rsid w:val="009C2680"/>
    <w:rsid w:val="009C2F6F"/>
    <w:rsid w:val="009C3878"/>
    <w:rsid w:val="009C3955"/>
    <w:rsid w:val="009C3A5A"/>
    <w:rsid w:val="009C4C76"/>
    <w:rsid w:val="009C4F57"/>
    <w:rsid w:val="009C5058"/>
    <w:rsid w:val="009C514F"/>
    <w:rsid w:val="009C57C3"/>
    <w:rsid w:val="009C639F"/>
    <w:rsid w:val="009C7135"/>
    <w:rsid w:val="009C7579"/>
    <w:rsid w:val="009D0259"/>
    <w:rsid w:val="009D0558"/>
    <w:rsid w:val="009D1157"/>
    <w:rsid w:val="009D1292"/>
    <w:rsid w:val="009D185C"/>
    <w:rsid w:val="009D1B09"/>
    <w:rsid w:val="009D1C0A"/>
    <w:rsid w:val="009D20F7"/>
    <w:rsid w:val="009D27C4"/>
    <w:rsid w:val="009D2AD9"/>
    <w:rsid w:val="009D2EF1"/>
    <w:rsid w:val="009D3AF2"/>
    <w:rsid w:val="009D3EAA"/>
    <w:rsid w:val="009D4487"/>
    <w:rsid w:val="009D47A8"/>
    <w:rsid w:val="009D49F5"/>
    <w:rsid w:val="009D52DC"/>
    <w:rsid w:val="009D5C48"/>
    <w:rsid w:val="009D5EA4"/>
    <w:rsid w:val="009D787B"/>
    <w:rsid w:val="009D79AD"/>
    <w:rsid w:val="009D7BDF"/>
    <w:rsid w:val="009D7C2D"/>
    <w:rsid w:val="009D7FBF"/>
    <w:rsid w:val="009E05D1"/>
    <w:rsid w:val="009E0748"/>
    <w:rsid w:val="009E09F0"/>
    <w:rsid w:val="009E0A1C"/>
    <w:rsid w:val="009E0B86"/>
    <w:rsid w:val="009E0CB3"/>
    <w:rsid w:val="009E1586"/>
    <w:rsid w:val="009E169A"/>
    <w:rsid w:val="009E16DF"/>
    <w:rsid w:val="009E1949"/>
    <w:rsid w:val="009E1A2D"/>
    <w:rsid w:val="009E2318"/>
    <w:rsid w:val="009E2422"/>
    <w:rsid w:val="009E2B02"/>
    <w:rsid w:val="009E2C20"/>
    <w:rsid w:val="009E34EA"/>
    <w:rsid w:val="009E3A11"/>
    <w:rsid w:val="009E3D2C"/>
    <w:rsid w:val="009E3E54"/>
    <w:rsid w:val="009E452F"/>
    <w:rsid w:val="009E4C6B"/>
    <w:rsid w:val="009E5520"/>
    <w:rsid w:val="009E5FCA"/>
    <w:rsid w:val="009E6E27"/>
    <w:rsid w:val="009E7882"/>
    <w:rsid w:val="009E7A40"/>
    <w:rsid w:val="009F18C3"/>
    <w:rsid w:val="009F1FBD"/>
    <w:rsid w:val="009F2365"/>
    <w:rsid w:val="009F2A7D"/>
    <w:rsid w:val="009F3851"/>
    <w:rsid w:val="009F3D5B"/>
    <w:rsid w:val="009F47F2"/>
    <w:rsid w:val="009F4E4B"/>
    <w:rsid w:val="009F4F64"/>
    <w:rsid w:val="009F50EA"/>
    <w:rsid w:val="009F529C"/>
    <w:rsid w:val="009F551A"/>
    <w:rsid w:val="009F6522"/>
    <w:rsid w:val="009F6BD6"/>
    <w:rsid w:val="009F701F"/>
    <w:rsid w:val="009F776A"/>
    <w:rsid w:val="009F7834"/>
    <w:rsid w:val="009F7EBC"/>
    <w:rsid w:val="009F7FD2"/>
    <w:rsid w:val="00A0051F"/>
    <w:rsid w:val="00A00C3C"/>
    <w:rsid w:val="00A00E4E"/>
    <w:rsid w:val="00A0164D"/>
    <w:rsid w:val="00A01777"/>
    <w:rsid w:val="00A01CCC"/>
    <w:rsid w:val="00A02178"/>
    <w:rsid w:val="00A023CD"/>
    <w:rsid w:val="00A02A44"/>
    <w:rsid w:val="00A02CB4"/>
    <w:rsid w:val="00A035B0"/>
    <w:rsid w:val="00A045BA"/>
    <w:rsid w:val="00A049A2"/>
    <w:rsid w:val="00A04B7D"/>
    <w:rsid w:val="00A0626F"/>
    <w:rsid w:val="00A06611"/>
    <w:rsid w:val="00A06635"/>
    <w:rsid w:val="00A06D29"/>
    <w:rsid w:val="00A0751D"/>
    <w:rsid w:val="00A10185"/>
    <w:rsid w:val="00A10392"/>
    <w:rsid w:val="00A10805"/>
    <w:rsid w:val="00A10E0F"/>
    <w:rsid w:val="00A1110B"/>
    <w:rsid w:val="00A11677"/>
    <w:rsid w:val="00A121CA"/>
    <w:rsid w:val="00A12FE0"/>
    <w:rsid w:val="00A13F85"/>
    <w:rsid w:val="00A143F3"/>
    <w:rsid w:val="00A1472D"/>
    <w:rsid w:val="00A15007"/>
    <w:rsid w:val="00A15058"/>
    <w:rsid w:val="00A151FF"/>
    <w:rsid w:val="00A15586"/>
    <w:rsid w:val="00A1597C"/>
    <w:rsid w:val="00A15B38"/>
    <w:rsid w:val="00A15ED1"/>
    <w:rsid w:val="00A16276"/>
    <w:rsid w:val="00A16FF7"/>
    <w:rsid w:val="00A1780F"/>
    <w:rsid w:val="00A20233"/>
    <w:rsid w:val="00A20357"/>
    <w:rsid w:val="00A20394"/>
    <w:rsid w:val="00A2044E"/>
    <w:rsid w:val="00A2180A"/>
    <w:rsid w:val="00A21CCA"/>
    <w:rsid w:val="00A21E2A"/>
    <w:rsid w:val="00A224E5"/>
    <w:rsid w:val="00A227B4"/>
    <w:rsid w:val="00A22CAE"/>
    <w:rsid w:val="00A2334A"/>
    <w:rsid w:val="00A233A9"/>
    <w:rsid w:val="00A23617"/>
    <w:rsid w:val="00A23D6B"/>
    <w:rsid w:val="00A2425F"/>
    <w:rsid w:val="00A24C52"/>
    <w:rsid w:val="00A24D22"/>
    <w:rsid w:val="00A25705"/>
    <w:rsid w:val="00A258CA"/>
    <w:rsid w:val="00A25B30"/>
    <w:rsid w:val="00A2678A"/>
    <w:rsid w:val="00A26AA4"/>
    <w:rsid w:val="00A276C2"/>
    <w:rsid w:val="00A27902"/>
    <w:rsid w:val="00A27B08"/>
    <w:rsid w:val="00A30016"/>
    <w:rsid w:val="00A30079"/>
    <w:rsid w:val="00A3009E"/>
    <w:rsid w:val="00A30389"/>
    <w:rsid w:val="00A326BD"/>
    <w:rsid w:val="00A326F2"/>
    <w:rsid w:val="00A32983"/>
    <w:rsid w:val="00A332EB"/>
    <w:rsid w:val="00A336B2"/>
    <w:rsid w:val="00A3374A"/>
    <w:rsid w:val="00A33D7C"/>
    <w:rsid w:val="00A33E57"/>
    <w:rsid w:val="00A33F1B"/>
    <w:rsid w:val="00A3476C"/>
    <w:rsid w:val="00A34839"/>
    <w:rsid w:val="00A34DF5"/>
    <w:rsid w:val="00A351C5"/>
    <w:rsid w:val="00A35409"/>
    <w:rsid w:val="00A35881"/>
    <w:rsid w:val="00A35FE4"/>
    <w:rsid w:val="00A361C8"/>
    <w:rsid w:val="00A369F8"/>
    <w:rsid w:val="00A36DB4"/>
    <w:rsid w:val="00A373A4"/>
    <w:rsid w:val="00A373AB"/>
    <w:rsid w:val="00A3763A"/>
    <w:rsid w:val="00A37983"/>
    <w:rsid w:val="00A37A1E"/>
    <w:rsid w:val="00A37ACD"/>
    <w:rsid w:val="00A37FCB"/>
    <w:rsid w:val="00A4000B"/>
    <w:rsid w:val="00A401EB"/>
    <w:rsid w:val="00A40F2F"/>
    <w:rsid w:val="00A4125D"/>
    <w:rsid w:val="00A41BB5"/>
    <w:rsid w:val="00A41C68"/>
    <w:rsid w:val="00A4226F"/>
    <w:rsid w:val="00A424A9"/>
    <w:rsid w:val="00A42BFB"/>
    <w:rsid w:val="00A440DC"/>
    <w:rsid w:val="00A441DE"/>
    <w:rsid w:val="00A44950"/>
    <w:rsid w:val="00A449AC"/>
    <w:rsid w:val="00A4592A"/>
    <w:rsid w:val="00A45FEB"/>
    <w:rsid w:val="00A466CA"/>
    <w:rsid w:val="00A46C5F"/>
    <w:rsid w:val="00A4725F"/>
    <w:rsid w:val="00A47501"/>
    <w:rsid w:val="00A47562"/>
    <w:rsid w:val="00A476CC"/>
    <w:rsid w:val="00A47CED"/>
    <w:rsid w:val="00A507FE"/>
    <w:rsid w:val="00A50A07"/>
    <w:rsid w:val="00A50FE7"/>
    <w:rsid w:val="00A51219"/>
    <w:rsid w:val="00A513F0"/>
    <w:rsid w:val="00A52011"/>
    <w:rsid w:val="00A5216B"/>
    <w:rsid w:val="00A521A9"/>
    <w:rsid w:val="00A524F6"/>
    <w:rsid w:val="00A52BCF"/>
    <w:rsid w:val="00A531BE"/>
    <w:rsid w:val="00A5389C"/>
    <w:rsid w:val="00A53B05"/>
    <w:rsid w:val="00A53EAC"/>
    <w:rsid w:val="00A544B6"/>
    <w:rsid w:val="00A549E7"/>
    <w:rsid w:val="00A54A8F"/>
    <w:rsid w:val="00A54C86"/>
    <w:rsid w:val="00A55209"/>
    <w:rsid w:val="00A5536B"/>
    <w:rsid w:val="00A5560B"/>
    <w:rsid w:val="00A55A05"/>
    <w:rsid w:val="00A55AA4"/>
    <w:rsid w:val="00A55D2C"/>
    <w:rsid w:val="00A55D5A"/>
    <w:rsid w:val="00A55DB6"/>
    <w:rsid w:val="00A56DDB"/>
    <w:rsid w:val="00A57035"/>
    <w:rsid w:val="00A57069"/>
    <w:rsid w:val="00A575F3"/>
    <w:rsid w:val="00A6029F"/>
    <w:rsid w:val="00A603D0"/>
    <w:rsid w:val="00A605ED"/>
    <w:rsid w:val="00A615D3"/>
    <w:rsid w:val="00A62007"/>
    <w:rsid w:val="00A62516"/>
    <w:rsid w:val="00A62AAA"/>
    <w:rsid w:val="00A63AE7"/>
    <w:rsid w:val="00A6510F"/>
    <w:rsid w:val="00A6517C"/>
    <w:rsid w:val="00A652C0"/>
    <w:rsid w:val="00A6540E"/>
    <w:rsid w:val="00A654BD"/>
    <w:rsid w:val="00A65505"/>
    <w:rsid w:val="00A6584F"/>
    <w:rsid w:val="00A65C5A"/>
    <w:rsid w:val="00A65E40"/>
    <w:rsid w:val="00A66266"/>
    <w:rsid w:val="00A6674B"/>
    <w:rsid w:val="00A668A9"/>
    <w:rsid w:val="00A66AB8"/>
    <w:rsid w:val="00A66C04"/>
    <w:rsid w:val="00A66D75"/>
    <w:rsid w:val="00A66FD7"/>
    <w:rsid w:val="00A6720C"/>
    <w:rsid w:val="00A67D1A"/>
    <w:rsid w:val="00A70185"/>
    <w:rsid w:val="00A7053B"/>
    <w:rsid w:val="00A714A9"/>
    <w:rsid w:val="00A71F2D"/>
    <w:rsid w:val="00A72CD6"/>
    <w:rsid w:val="00A7323A"/>
    <w:rsid w:val="00A735A3"/>
    <w:rsid w:val="00A73D7C"/>
    <w:rsid w:val="00A74490"/>
    <w:rsid w:val="00A74517"/>
    <w:rsid w:val="00A74E33"/>
    <w:rsid w:val="00A75476"/>
    <w:rsid w:val="00A758FF"/>
    <w:rsid w:val="00A7634F"/>
    <w:rsid w:val="00A77D60"/>
    <w:rsid w:val="00A8025E"/>
    <w:rsid w:val="00A8052D"/>
    <w:rsid w:val="00A8058A"/>
    <w:rsid w:val="00A81019"/>
    <w:rsid w:val="00A81875"/>
    <w:rsid w:val="00A827C3"/>
    <w:rsid w:val="00A835A2"/>
    <w:rsid w:val="00A839C5"/>
    <w:rsid w:val="00A83EC3"/>
    <w:rsid w:val="00A84BF8"/>
    <w:rsid w:val="00A84C2D"/>
    <w:rsid w:val="00A85704"/>
    <w:rsid w:val="00A85D2F"/>
    <w:rsid w:val="00A85E10"/>
    <w:rsid w:val="00A86331"/>
    <w:rsid w:val="00A87AEE"/>
    <w:rsid w:val="00A87E5C"/>
    <w:rsid w:val="00A87F29"/>
    <w:rsid w:val="00A9021E"/>
    <w:rsid w:val="00A9034C"/>
    <w:rsid w:val="00A90EB0"/>
    <w:rsid w:val="00A918F3"/>
    <w:rsid w:val="00A91AA4"/>
    <w:rsid w:val="00A91FD4"/>
    <w:rsid w:val="00A924C8"/>
    <w:rsid w:val="00A93D15"/>
    <w:rsid w:val="00A941D6"/>
    <w:rsid w:val="00A94256"/>
    <w:rsid w:val="00A9435E"/>
    <w:rsid w:val="00A94716"/>
    <w:rsid w:val="00A94775"/>
    <w:rsid w:val="00A9489C"/>
    <w:rsid w:val="00A948B6"/>
    <w:rsid w:val="00A94B34"/>
    <w:rsid w:val="00A95CB6"/>
    <w:rsid w:val="00A95CE9"/>
    <w:rsid w:val="00A971ED"/>
    <w:rsid w:val="00A97617"/>
    <w:rsid w:val="00A97D6F"/>
    <w:rsid w:val="00AA01D7"/>
    <w:rsid w:val="00AA0D38"/>
    <w:rsid w:val="00AA10C1"/>
    <w:rsid w:val="00AA10E9"/>
    <w:rsid w:val="00AA138B"/>
    <w:rsid w:val="00AA13FB"/>
    <w:rsid w:val="00AA158B"/>
    <w:rsid w:val="00AA15A2"/>
    <w:rsid w:val="00AA2679"/>
    <w:rsid w:val="00AA338E"/>
    <w:rsid w:val="00AA3506"/>
    <w:rsid w:val="00AA3726"/>
    <w:rsid w:val="00AA3870"/>
    <w:rsid w:val="00AA46C8"/>
    <w:rsid w:val="00AA4BBD"/>
    <w:rsid w:val="00AA5157"/>
    <w:rsid w:val="00AA56C6"/>
    <w:rsid w:val="00AA5755"/>
    <w:rsid w:val="00AA5DCD"/>
    <w:rsid w:val="00AA6122"/>
    <w:rsid w:val="00AA686F"/>
    <w:rsid w:val="00AA6EC7"/>
    <w:rsid w:val="00AA7D36"/>
    <w:rsid w:val="00AA7EF6"/>
    <w:rsid w:val="00AB05A1"/>
    <w:rsid w:val="00AB05AB"/>
    <w:rsid w:val="00AB0B01"/>
    <w:rsid w:val="00AB18F7"/>
    <w:rsid w:val="00AB1C4F"/>
    <w:rsid w:val="00AB21B4"/>
    <w:rsid w:val="00AB2354"/>
    <w:rsid w:val="00AB267B"/>
    <w:rsid w:val="00AB2EC3"/>
    <w:rsid w:val="00AB3529"/>
    <w:rsid w:val="00AB3A67"/>
    <w:rsid w:val="00AB3FB6"/>
    <w:rsid w:val="00AB3FCF"/>
    <w:rsid w:val="00AB47CE"/>
    <w:rsid w:val="00AB768E"/>
    <w:rsid w:val="00AB78C5"/>
    <w:rsid w:val="00AC041C"/>
    <w:rsid w:val="00AC0DF6"/>
    <w:rsid w:val="00AC16B0"/>
    <w:rsid w:val="00AC2602"/>
    <w:rsid w:val="00AC2666"/>
    <w:rsid w:val="00AC362F"/>
    <w:rsid w:val="00AC392E"/>
    <w:rsid w:val="00AC3BEE"/>
    <w:rsid w:val="00AC3C8E"/>
    <w:rsid w:val="00AC4099"/>
    <w:rsid w:val="00AC4509"/>
    <w:rsid w:val="00AC5658"/>
    <w:rsid w:val="00AC6102"/>
    <w:rsid w:val="00AC652F"/>
    <w:rsid w:val="00AC6942"/>
    <w:rsid w:val="00AC6A5D"/>
    <w:rsid w:val="00AC6D21"/>
    <w:rsid w:val="00AC70A4"/>
    <w:rsid w:val="00AC7136"/>
    <w:rsid w:val="00AC764D"/>
    <w:rsid w:val="00AC78AE"/>
    <w:rsid w:val="00AC7917"/>
    <w:rsid w:val="00AC7D80"/>
    <w:rsid w:val="00AC7E3F"/>
    <w:rsid w:val="00AC7EC6"/>
    <w:rsid w:val="00AC7F2D"/>
    <w:rsid w:val="00AD00B0"/>
    <w:rsid w:val="00AD0FA0"/>
    <w:rsid w:val="00AD18D6"/>
    <w:rsid w:val="00AD1C3A"/>
    <w:rsid w:val="00AD1D59"/>
    <w:rsid w:val="00AD2132"/>
    <w:rsid w:val="00AD2440"/>
    <w:rsid w:val="00AD2870"/>
    <w:rsid w:val="00AD3612"/>
    <w:rsid w:val="00AD37A7"/>
    <w:rsid w:val="00AD38DA"/>
    <w:rsid w:val="00AD3905"/>
    <w:rsid w:val="00AD39AC"/>
    <w:rsid w:val="00AD3A84"/>
    <w:rsid w:val="00AD3E88"/>
    <w:rsid w:val="00AD4C56"/>
    <w:rsid w:val="00AD53CE"/>
    <w:rsid w:val="00AD6226"/>
    <w:rsid w:val="00AD67A8"/>
    <w:rsid w:val="00AD6AC1"/>
    <w:rsid w:val="00AD70B5"/>
    <w:rsid w:val="00AD78DF"/>
    <w:rsid w:val="00AE005A"/>
    <w:rsid w:val="00AE04A0"/>
    <w:rsid w:val="00AE09B9"/>
    <w:rsid w:val="00AE0A95"/>
    <w:rsid w:val="00AE0D95"/>
    <w:rsid w:val="00AE135F"/>
    <w:rsid w:val="00AE1460"/>
    <w:rsid w:val="00AE1C9F"/>
    <w:rsid w:val="00AE1E67"/>
    <w:rsid w:val="00AE23CE"/>
    <w:rsid w:val="00AE29EA"/>
    <w:rsid w:val="00AE2C03"/>
    <w:rsid w:val="00AE2FCA"/>
    <w:rsid w:val="00AE3790"/>
    <w:rsid w:val="00AE4F3F"/>
    <w:rsid w:val="00AE542B"/>
    <w:rsid w:val="00AE5818"/>
    <w:rsid w:val="00AE5C83"/>
    <w:rsid w:val="00AE60AA"/>
    <w:rsid w:val="00AE6249"/>
    <w:rsid w:val="00AE634C"/>
    <w:rsid w:val="00AE656C"/>
    <w:rsid w:val="00AE6E7E"/>
    <w:rsid w:val="00AE7F1B"/>
    <w:rsid w:val="00AF06E0"/>
    <w:rsid w:val="00AF277B"/>
    <w:rsid w:val="00AF2961"/>
    <w:rsid w:val="00AF2A77"/>
    <w:rsid w:val="00AF2E14"/>
    <w:rsid w:val="00AF2E34"/>
    <w:rsid w:val="00AF2F77"/>
    <w:rsid w:val="00AF3131"/>
    <w:rsid w:val="00AF3535"/>
    <w:rsid w:val="00AF36A1"/>
    <w:rsid w:val="00AF3958"/>
    <w:rsid w:val="00AF3FF5"/>
    <w:rsid w:val="00AF4217"/>
    <w:rsid w:val="00AF432D"/>
    <w:rsid w:val="00AF4A8D"/>
    <w:rsid w:val="00AF59FB"/>
    <w:rsid w:val="00AF5CB4"/>
    <w:rsid w:val="00AF5FBC"/>
    <w:rsid w:val="00AF606F"/>
    <w:rsid w:val="00AF6531"/>
    <w:rsid w:val="00AF689B"/>
    <w:rsid w:val="00AF6BB3"/>
    <w:rsid w:val="00AF74BE"/>
    <w:rsid w:val="00AF7718"/>
    <w:rsid w:val="00AF77BD"/>
    <w:rsid w:val="00AF7912"/>
    <w:rsid w:val="00B00941"/>
    <w:rsid w:val="00B01A04"/>
    <w:rsid w:val="00B01DFB"/>
    <w:rsid w:val="00B0222C"/>
    <w:rsid w:val="00B0255E"/>
    <w:rsid w:val="00B025DE"/>
    <w:rsid w:val="00B02674"/>
    <w:rsid w:val="00B02C8A"/>
    <w:rsid w:val="00B02CFE"/>
    <w:rsid w:val="00B02D7B"/>
    <w:rsid w:val="00B02E71"/>
    <w:rsid w:val="00B03080"/>
    <w:rsid w:val="00B035ED"/>
    <w:rsid w:val="00B03B35"/>
    <w:rsid w:val="00B0455A"/>
    <w:rsid w:val="00B0457E"/>
    <w:rsid w:val="00B051D3"/>
    <w:rsid w:val="00B067CB"/>
    <w:rsid w:val="00B07166"/>
    <w:rsid w:val="00B07378"/>
    <w:rsid w:val="00B07882"/>
    <w:rsid w:val="00B07B4D"/>
    <w:rsid w:val="00B1010A"/>
    <w:rsid w:val="00B10727"/>
    <w:rsid w:val="00B1119E"/>
    <w:rsid w:val="00B113CB"/>
    <w:rsid w:val="00B11CB8"/>
    <w:rsid w:val="00B123D5"/>
    <w:rsid w:val="00B12C2E"/>
    <w:rsid w:val="00B12E5F"/>
    <w:rsid w:val="00B141BA"/>
    <w:rsid w:val="00B14AD6"/>
    <w:rsid w:val="00B1528F"/>
    <w:rsid w:val="00B15547"/>
    <w:rsid w:val="00B156B4"/>
    <w:rsid w:val="00B156C8"/>
    <w:rsid w:val="00B15D39"/>
    <w:rsid w:val="00B166CE"/>
    <w:rsid w:val="00B17587"/>
    <w:rsid w:val="00B1786B"/>
    <w:rsid w:val="00B200F2"/>
    <w:rsid w:val="00B206B3"/>
    <w:rsid w:val="00B206B6"/>
    <w:rsid w:val="00B20A5E"/>
    <w:rsid w:val="00B20AF8"/>
    <w:rsid w:val="00B20EEE"/>
    <w:rsid w:val="00B21AE7"/>
    <w:rsid w:val="00B2337F"/>
    <w:rsid w:val="00B233FE"/>
    <w:rsid w:val="00B237A4"/>
    <w:rsid w:val="00B23955"/>
    <w:rsid w:val="00B23D97"/>
    <w:rsid w:val="00B24268"/>
    <w:rsid w:val="00B244A2"/>
    <w:rsid w:val="00B247A7"/>
    <w:rsid w:val="00B24A5E"/>
    <w:rsid w:val="00B24E63"/>
    <w:rsid w:val="00B2569F"/>
    <w:rsid w:val="00B277C6"/>
    <w:rsid w:val="00B27874"/>
    <w:rsid w:val="00B27FDC"/>
    <w:rsid w:val="00B304D6"/>
    <w:rsid w:val="00B3096B"/>
    <w:rsid w:val="00B30E38"/>
    <w:rsid w:val="00B31822"/>
    <w:rsid w:val="00B32202"/>
    <w:rsid w:val="00B32376"/>
    <w:rsid w:val="00B32470"/>
    <w:rsid w:val="00B32542"/>
    <w:rsid w:val="00B32A92"/>
    <w:rsid w:val="00B3327A"/>
    <w:rsid w:val="00B339E5"/>
    <w:rsid w:val="00B33A2E"/>
    <w:rsid w:val="00B33BF9"/>
    <w:rsid w:val="00B3446A"/>
    <w:rsid w:val="00B344A9"/>
    <w:rsid w:val="00B3454E"/>
    <w:rsid w:val="00B3479B"/>
    <w:rsid w:val="00B34B9C"/>
    <w:rsid w:val="00B34C7B"/>
    <w:rsid w:val="00B3574A"/>
    <w:rsid w:val="00B35BDC"/>
    <w:rsid w:val="00B36418"/>
    <w:rsid w:val="00B365FE"/>
    <w:rsid w:val="00B36D34"/>
    <w:rsid w:val="00B3735A"/>
    <w:rsid w:val="00B3796F"/>
    <w:rsid w:val="00B37C95"/>
    <w:rsid w:val="00B4024B"/>
    <w:rsid w:val="00B40589"/>
    <w:rsid w:val="00B40B5D"/>
    <w:rsid w:val="00B41054"/>
    <w:rsid w:val="00B41246"/>
    <w:rsid w:val="00B41391"/>
    <w:rsid w:val="00B4174B"/>
    <w:rsid w:val="00B41C52"/>
    <w:rsid w:val="00B4258C"/>
    <w:rsid w:val="00B43103"/>
    <w:rsid w:val="00B43BF4"/>
    <w:rsid w:val="00B43C57"/>
    <w:rsid w:val="00B447F4"/>
    <w:rsid w:val="00B4515E"/>
    <w:rsid w:val="00B4518A"/>
    <w:rsid w:val="00B458C3"/>
    <w:rsid w:val="00B46B79"/>
    <w:rsid w:val="00B46C79"/>
    <w:rsid w:val="00B47603"/>
    <w:rsid w:val="00B4791D"/>
    <w:rsid w:val="00B503A9"/>
    <w:rsid w:val="00B504AA"/>
    <w:rsid w:val="00B506E7"/>
    <w:rsid w:val="00B51DF6"/>
    <w:rsid w:val="00B5207C"/>
    <w:rsid w:val="00B520E9"/>
    <w:rsid w:val="00B525DF"/>
    <w:rsid w:val="00B52899"/>
    <w:rsid w:val="00B52ED2"/>
    <w:rsid w:val="00B53161"/>
    <w:rsid w:val="00B53384"/>
    <w:rsid w:val="00B53478"/>
    <w:rsid w:val="00B5358B"/>
    <w:rsid w:val="00B5360C"/>
    <w:rsid w:val="00B538E4"/>
    <w:rsid w:val="00B5398C"/>
    <w:rsid w:val="00B54181"/>
    <w:rsid w:val="00B54914"/>
    <w:rsid w:val="00B55525"/>
    <w:rsid w:val="00B556FA"/>
    <w:rsid w:val="00B55DB0"/>
    <w:rsid w:val="00B567AE"/>
    <w:rsid w:val="00B568AF"/>
    <w:rsid w:val="00B56AFF"/>
    <w:rsid w:val="00B5767E"/>
    <w:rsid w:val="00B6008D"/>
    <w:rsid w:val="00B6012C"/>
    <w:rsid w:val="00B609A0"/>
    <w:rsid w:val="00B60C03"/>
    <w:rsid w:val="00B6138D"/>
    <w:rsid w:val="00B6141B"/>
    <w:rsid w:val="00B61920"/>
    <w:rsid w:val="00B61D2F"/>
    <w:rsid w:val="00B622F2"/>
    <w:rsid w:val="00B62E67"/>
    <w:rsid w:val="00B634E0"/>
    <w:rsid w:val="00B641E4"/>
    <w:rsid w:val="00B650C1"/>
    <w:rsid w:val="00B65101"/>
    <w:rsid w:val="00B65FDE"/>
    <w:rsid w:val="00B66241"/>
    <w:rsid w:val="00B67502"/>
    <w:rsid w:val="00B6768F"/>
    <w:rsid w:val="00B67CE0"/>
    <w:rsid w:val="00B67CEF"/>
    <w:rsid w:val="00B705CC"/>
    <w:rsid w:val="00B705F9"/>
    <w:rsid w:val="00B70E06"/>
    <w:rsid w:val="00B7141A"/>
    <w:rsid w:val="00B715D7"/>
    <w:rsid w:val="00B71DCC"/>
    <w:rsid w:val="00B72148"/>
    <w:rsid w:val="00B72331"/>
    <w:rsid w:val="00B73791"/>
    <w:rsid w:val="00B73A36"/>
    <w:rsid w:val="00B744F4"/>
    <w:rsid w:val="00B751EA"/>
    <w:rsid w:val="00B75D70"/>
    <w:rsid w:val="00B75F42"/>
    <w:rsid w:val="00B7706C"/>
    <w:rsid w:val="00B7741D"/>
    <w:rsid w:val="00B7787B"/>
    <w:rsid w:val="00B8032A"/>
    <w:rsid w:val="00B80447"/>
    <w:rsid w:val="00B814BA"/>
    <w:rsid w:val="00B8157D"/>
    <w:rsid w:val="00B81964"/>
    <w:rsid w:val="00B81F06"/>
    <w:rsid w:val="00B82252"/>
    <w:rsid w:val="00B82629"/>
    <w:rsid w:val="00B82CE4"/>
    <w:rsid w:val="00B83219"/>
    <w:rsid w:val="00B832EC"/>
    <w:rsid w:val="00B83C4B"/>
    <w:rsid w:val="00B840B0"/>
    <w:rsid w:val="00B84ADB"/>
    <w:rsid w:val="00B84F32"/>
    <w:rsid w:val="00B85305"/>
    <w:rsid w:val="00B85380"/>
    <w:rsid w:val="00B85CBF"/>
    <w:rsid w:val="00B86C27"/>
    <w:rsid w:val="00B8765A"/>
    <w:rsid w:val="00B87E6F"/>
    <w:rsid w:val="00B909C1"/>
    <w:rsid w:val="00B91047"/>
    <w:rsid w:val="00B91284"/>
    <w:rsid w:val="00B91793"/>
    <w:rsid w:val="00B921C4"/>
    <w:rsid w:val="00B9255C"/>
    <w:rsid w:val="00B94077"/>
    <w:rsid w:val="00B94C22"/>
    <w:rsid w:val="00B94FBE"/>
    <w:rsid w:val="00B95054"/>
    <w:rsid w:val="00B96273"/>
    <w:rsid w:val="00B962A2"/>
    <w:rsid w:val="00B966CD"/>
    <w:rsid w:val="00B96C71"/>
    <w:rsid w:val="00B972E6"/>
    <w:rsid w:val="00B97368"/>
    <w:rsid w:val="00B97A5B"/>
    <w:rsid w:val="00BA0163"/>
    <w:rsid w:val="00BA05A7"/>
    <w:rsid w:val="00BA06B8"/>
    <w:rsid w:val="00BA07D8"/>
    <w:rsid w:val="00BA07FB"/>
    <w:rsid w:val="00BA0E8E"/>
    <w:rsid w:val="00BA0EDB"/>
    <w:rsid w:val="00BA11D9"/>
    <w:rsid w:val="00BA1DE2"/>
    <w:rsid w:val="00BA1FFB"/>
    <w:rsid w:val="00BA262D"/>
    <w:rsid w:val="00BA29DB"/>
    <w:rsid w:val="00BA2D3D"/>
    <w:rsid w:val="00BA2E69"/>
    <w:rsid w:val="00BA2F75"/>
    <w:rsid w:val="00BA34B9"/>
    <w:rsid w:val="00BA3CD5"/>
    <w:rsid w:val="00BA41C4"/>
    <w:rsid w:val="00BA4D79"/>
    <w:rsid w:val="00BA526A"/>
    <w:rsid w:val="00BA5419"/>
    <w:rsid w:val="00BA56F2"/>
    <w:rsid w:val="00BA5863"/>
    <w:rsid w:val="00BA597D"/>
    <w:rsid w:val="00BA5B93"/>
    <w:rsid w:val="00BA6551"/>
    <w:rsid w:val="00BA672B"/>
    <w:rsid w:val="00BA6D09"/>
    <w:rsid w:val="00BA7173"/>
    <w:rsid w:val="00BA7703"/>
    <w:rsid w:val="00BA7758"/>
    <w:rsid w:val="00BB03FF"/>
    <w:rsid w:val="00BB0D9A"/>
    <w:rsid w:val="00BB0FE1"/>
    <w:rsid w:val="00BB131F"/>
    <w:rsid w:val="00BB1878"/>
    <w:rsid w:val="00BB19F3"/>
    <w:rsid w:val="00BB1D32"/>
    <w:rsid w:val="00BB25AA"/>
    <w:rsid w:val="00BB3660"/>
    <w:rsid w:val="00BB3819"/>
    <w:rsid w:val="00BB38A5"/>
    <w:rsid w:val="00BB3929"/>
    <w:rsid w:val="00BB3BAD"/>
    <w:rsid w:val="00BB3F7B"/>
    <w:rsid w:val="00BB4042"/>
    <w:rsid w:val="00BB44E7"/>
    <w:rsid w:val="00BB4B6F"/>
    <w:rsid w:val="00BB4D2B"/>
    <w:rsid w:val="00BB50CD"/>
    <w:rsid w:val="00BB51EB"/>
    <w:rsid w:val="00BB6EC8"/>
    <w:rsid w:val="00BB71A0"/>
    <w:rsid w:val="00BB7897"/>
    <w:rsid w:val="00BB7DF9"/>
    <w:rsid w:val="00BC0484"/>
    <w:rsid w:val="00BC0913"/>
    <w:rsid w:val="00BC160B"/>
    <w:rsid w:val="00BC1615"/>
    <w:rsid w:val="00BC1C16"/>
    <w:rsid w:val="00BC22AA"/>
    <w:rsid w:val="00BC2591"/>
    <w:rsid w:val="00BC3B25"/>
    <w:rsid w:val="00BC3D92"/>
    <w:rsid w:val="00BC494D"/>
    <w:rsid w:val="00BC4A6D"/>
    <w:rsid w:val="00BC4F57"/>
    <w:rsid w:val="00BC4F76"/>
    <w:rsid w:val="00BC52B8"/>
    <w:rsid w:val="00BC53F8"/>
    <w:rsid w:val="00BC590F"/>
    <w:rsid w:val="00BC5F83"/>
    <w:rsid w:val="00BC61D6"/>
    <w:rsid w:val="00BC6287"/>
    <w:rsid w:val="00BC674C"/>
    <w:rsid w:val="00BC6BD6"/>
    <w:rsid w:val="00BC6E8B"/>
    <w:rsid w:val="00BC7545"/>
    <w:rsid w:val="00BD0046"/>
    <w:rsid w:val="00BD0059"/>
    <w:rsid w:val="00BD0BF5"/>
    <w:rsid w:val="00BD0D17"/>
    <w:rsid w:val="00BD0EB1"/>
    <w:rsid w:val="00BD1385"/>
    <w:rsid w:val="00BD1616"/>
    <w:rsid w:val="00BD175F"/>
    <w:rsid w:val="00BD1B5A"/>
    <w:rsid w:val="00BD2931"/>
    <w:rsid w:val="00BD2989"/>
    <w:rsid w:val="00BD339E"/>
    <w:rsid w:val="00BD33FE"/>
    <w:rsid w:val="00BD3CDD"/>
    <w:rsid w:val="00BD40E9"/>
    <w:rsid w:val="00BD4B16"/>
    <w:rsid w:val="00BD5906"/>
    <w:rsid w:val="00BD5AD6"/>
    <w:rsid w:val="00BD5EF8"/>
    <w:rsid w:val="00BD6617"/>
    <w:rsid w:val="00BD7865"/>
    <w:rsid w:val="00BE08F2"/>
    <w:rsid w:val="00BE0BF8"/>
    <w:rsid w:val="00BE1688"/>
    <w:rsid w:val="00BE172B"/>
    <w:rsid w:val="00BE1C6F"/>
    <w:rsid w:val="00BE24B1"/>
    <w:rsid w:val="00BE33AC"/>
    <w:rsid w:val="00BE3DF1"/>
    <w:rsid w:val="00BE3E80"/>
    <w:rsid w:val="00BE4241"/>
    <w:rsid w:val="00BE4A04"/>
    <w:rsid w:val="00BE5361"/>
    <w:rsid w:val="00BE54B5"/>
    <w:rsid w:val="00BE5C49"/>
    <w:rsid w:val="00BE5C62"/>
    <w:rsid w:val="00BE5EC8"/>
    <w:rsid w:val="00BE6426"/>
    <w:rsid w:val="00BE64CB"/>
    <w:rsid w:val="00BE7472"/>
    <w:rsid w:val="00BF0DE9"/>
    <w:rsid w:val="00BF11BC"/>
    <w:rsid w:val="00BF14E8"/>
    <w:rsid w:val="00BF1954"/>
    <w:rsid w:val="00BF1DA3"/>
    <w:rsid w:val="00BF2419"/>
    <w:rsid w:val="00BF2482"/>
    <w:rsid w:val="00BF2996"/>
    <w:rsid w:val="00BF3111"/>
    <w:rsid w:val="00BF3BAF"/>
    <w:rsid w:val="00BF3C19"/>
    <w:rsid w:val="00BF3C62"/>
    <w:rsid w:val="00BF52E6"/>
    <w:rsid w:val="00BF5608"/>
    <w:rsid w:val="00BF6B35"/>
    <w:rsid w:val="00BF7BE7"/>
    <w:rsid w:val="00C006BF"/>
    <w:rsid w:val="00C00E58"/>
    <w:rsid w:val="00C01028"/>
    <w:rsid w:val="00C0109B"/>
    <w:rsid w:val="00C01506"/>
    <w:rsid w:val="00C022A7"/>
    <w:rsid w:val="00C02738"/>
    <w:rsid w:val="00C0315C"/>
    <w:rsid w:val="00C03D4C"/>
    <w:rsid w:val="00C03DCF"/>
    <w:rsid w:val="00C03E53"/>
    <w:rsid w:val="00C03EDD"/>
    <w:rsid w:val="00C04A4D"/>
    <w:rsid w:val="00C0539F"/>
    <w:rsid w:val="00C061D1"/>
    <w:rsid w:val="00C06207"/>
    <w:rsid w:val="00C06381"/>
    <w:rsid w:val="00C06702"/>
    <w:rsid w:val="00C06770"/>
    <w:rsid w:val="00C072A6"/>
    <w:rsid w:val="00C079B5"/>
    <w:rsid w:val="00C07B43"/>
    <w:rsid w:val="00C07E41"/>
    <w:rsid w:val="00C10085"/>
    <w:rsid w:val="00C102B8"/>
    <w:rsid w:val="00C10660"/>
    <w:rsid w:val="00C10924"/>
    <w:rsid w:val="00C11063"/>
    <w:rsid w:val="00C11245"/>
    <w:rsid w:val="00C11442"/>
    <w:rsid w:val="00C1166B"/>
    <w:rsid w:val="00C11845"/>
    <w:rsid w:val="00C124C5"/>
    <w:rsid w:val="00C12553"/>
    <w:rsid w:val="00C12C30"/>
    <w:rsid w:val="00C12EDE"/>
    <w:rsid w:val="00C132BA"/>
    <w:rsid w:val="00C1362B"/>
    <w:rsid w:val="00C151FF"/>
    <w:rsid w:val="00C1557D"/>
    <w:rsid w:val="00C15755"/>
    <w:rsid w:val="00C157AB"/>
    <w:rsid w:val="00C15AF7"/>
    <w:rsid w:val="00C15BEC"/>
    <w:rsid w:val="00C15EB2"/>
    <w:rsid w:val="00C168B6"/>
    <w:rsid w:val="00C175C4"/>
    <w:rsid w:val="00C179BF"/>
    <w:rsid w:val="00C20511"/>
    <w:rsid w:val="00C21B76"/>
    <w:rsid w:val="00C223C5"/>
    <w:rsid w:val="00C22851"/>
    <w:rsid w:val="00C22E5C"/>
    <w:rsid w:val="00C23284"/>
    <w:rsid w:val="00C2380C"/>
    <w:rsid w:val="00C23873"/>
    <w:rsid w:val="00C23CA3"/>
    <w:rsid w:val="00C23EC2"/>
    <w:rsid w:val="00C2440B"/>
    <w:rsid w:val="00C24FE0"/>
    <w:rsid w:val="00C25021"/>
    <w:rsid w:val="00C2563F"/>
    <w:rsid w:val="00C25A13"/>
    <w:rsid w:val="00C25F3C"/>
    <w:rsid w:val="00C260B8"/>
    <w:rsid w:val="00C261F2"/>
    <w:rsid w:val="00C26B73"/>
    <w:rsid w:val="00C26D92"/>
    <w:rsid w:val="00C26E66"/>
    <w:rsid w:val="00C273C0"/>
    <w:rsid w:val="00C303DE"/>
    <w:rsid w:val="00C30406"/>
    <w:rsid w:val="00C30C77"/>
    <w:rsid w:val="00C30FB0"/>
    <w:rsid w:val="00C31748"/>
    <w:rsid w:val="00C31C7C"/>
    <w:rsid w:val="00C326B0"/>
    <w:rsid w:val="00C32AD3"/>
    <w:rsid w:val="00C32B83"/>
    <w:rsid w:val="00C331DD"/>
    <w:rsid w:val="00C3408F"/>
    <w:rsid w:val="00C34B05"/>
    <w:rsid w:val="00C34D8B"/>
    <w:rsid w:val="00C3504F"/>
    <w:rsid w:val="00C35519"/>
    <w:rsid w:val="00C35E47"/>
    <w:rsid w:val="00C35E74"/>
    <w:rsid w:val="00C35EEB"/>
    <w:rsid w:val="00C35FF9"/>
    <w:rsid w:val="00C3694C"/>
    <w:rsid w:val="00C37076"/>
    <w:rsid w:val="00C3779A"/>
    <w:rsid w:val="00C37ABF"/>
    <w:rsid w:val="00C37B08"/>
    <w:rsid w:val="00C37C5F"/>
    <w:rsid w:val="00C37E3E"/>
    <w:rsid w:val="00C403F6"/>
    <w:rsid w:val="00C41BDC"/>
    <w:rsid w:val="00C41C45"/>
    <w:rsid w:val="00C431C1"/>
    <w:rsid w:val="00C4360B"/>
    <w:rsid w:val="00C43753"/>
    <w:rsid w:val="00C43846"/>
    <w:rsid w:val="00C43FBE"/>
    <w:rsid w:val="00C44106"/>
    <w:rsid w:val="00C444EF"/>
    <w:rsid w:val="00C444FD"/>
    <w:rsid w:val="00C44990"/>
    <w:rsid w:val="00C449B9"/>
    <w:rsid w:val="00C44DCC"/>
    <w:rsid w:val="00C44E1D"/>
    <w:rsid w:val="00C4511F"/>
    <w:rsid w:val="00C45293"/>
    <w:rsid w:val="00C45921"/>
    <w:rsid w:val="00C45CEA"/>
    <w:rsid w:val="00C461C0"/>
    <w:rsid w:val="00C469AF"/>
    <w:rsid w:val="00C47720"/>
    <w:rsid w:val="00C47C5F"/>
    <w:rsid w:val="00C5072E"/>
    <w:rsid w:val="00C50D73"/>
    <w:rsid w:val="00C50E30"/>
    <w:rsid w:val="00C50ED3"/>
    <w:rsid w:val="00C51095"/>
    <w:rsid w:val="00C51623"/>
    <w:rsid w:val="00C517DF"/>
    <w:rsid w:val="00C52411"/>
    <w:rsid w:val="00C5274D"/>
    <w:rsid w:val="00C53064"/>
    <w:rsid w:val="00C5395C"/>
    <w:rsid w:val="00C53D78"/>
    <w:rsid w:val="00C54519"/>
    <w:rsid w:val="00C54647"/>
    <w:rsid w:val="00C5498D"/>
    <w:rsid w:val="00C54BCE"/>
    <w:rsid w:val="00C55223"/>
    <w:rsid w:val="00C5533B"/>
    <w:rsid w:val="00C553E0"/>
    <w:rsid w:val="00C55520"/>
    <w:rsid w:val="00C55B0C"/>
    <w:rsid w:val="00C5655F"/>
    <w:rsid w:val="00C5656E"/>
    <w:rsid w:val="00C56B37"/>
    <w:rsid w:val="00C56CC3"/>
    <w:rsid w:val="00C56D7D"/>
    <w:rsid w:val="00C57124"/>
    <w:rsid w:val="00C573D7"/>
    <w:rsid w:val="00C6004C"/>
    <w:rsid w:val="00C607CE"/>
    <w:rsid w:val="00C610BB"/>
    <w:rsid w:val="00C6113B"/>
    <w:rsid w:val="00C61344"/>
    <w:rsid w:val="00C61401"/>
    <w:rsid w:val="00C618A5"/>
    <w:rsid w:val="00C61C3D"/>
    <w:rsid w:val="00C61D02"/>
    <w:rsid w:val="00C61F74"/>
    <w:rsid w:val="00C6208A"/>
    <w:rsid w:val="00C624D7"/>
    <w:rsid w:val="00C624E4"/>
    <w:rsid w:val="00C627EA"/>
    <w:rsid w:val="00C6332E"/>
    <w:rsid w:val="00C636BC"/>
    <w:rsid w:val="00C6396E"/>
    <w:rsid w:val="00C669B2"/>
    <w:rsid w:val="00C676B4"/>
    <w:rsid w:val="00C67BB6"/>
    <w:rsid w:val="00C71F42"/>
    <w:rsid w:val="00C724DF"/>
    <w:rsid w:val="00C734CE"/>
    <w:rsid w:val="00C73B68"/>
    <w:rsid w:val="00C73E84"/>
    <w:rsid w:val="00C741B8"/>
    <w:rsid w:val="00C748E4"/>
    <w:rsid w:val="00C74B96"/>
    <w:rsid w:val="00C74DC8"/>
    <w:rsid w:val="00C75268"/>
    <w:rsid w:val="00C75521"/>
    <w:rsid w:val="00C75893"/>
    <w:rsid w:val="00C75D55"/>
    <w:rsid w:val="00C76053"/>
    <w:rsid w:val="00C765EA"/>
    <w:rsid w:val="00C76CB9"/>
    <w:rsid w:val="00C76D8F"/>
    <w:rsid w:val="00C77145"/>
    <w:rsid w:val="00C7775D"/>
    <w:rsid w:val="00C77F62"/>
    <w:rsid w:val="00C80374"/>
    <w:rsid w:val="00C8124F"/>
    <w:rsid w:val="00C817E2"/>
    <w:rsid w:val="00C81D1D"/>
    <w:rsid w:val="00C82029"/>
    <w:rsid w:val="00C82272"/>
    <w:rsid w:val="00C82E9F"/>
    <w:rsid w:val="00C83AD8"/>
    <w:rsid w:val="00C83C3E"/>
    <w:rsid w:val="00C840B2"/>
    <w:rsid w:val="00C840D3"/>
    <w:rsid w:val="00C841B2"/>
    <w:rsid w:val="00C842FE"/>
    <w:rsid w:val="00C84727"/>
    <w:rsid w:val="00C848D4"/>
    <w:rsid w:val="00C84D36"/>
    <w:rsid w:val="00C8524C"/>
    <w:rsid w:val="00C857D4"/>
    <w:rsid w:val="00C86044"/>
    <w:rsid w:val="00C860A6"/>
    <w:rsid w:val="00C86192"/>
    <w:rsid w:val="00C8668E"/>
    <w:rsid w:val="00C87FA1"/>
    <w:rsid w:val="00C90103"/>
    <w:rsid w:val="00C90130"/>
    <w:rsid w:val="00C90207"/>
    <w:rsid w:val="00C90BD9"/>
    <w:rsid w:val="00C90BEF"/>
    <w:rsid w:val="00C90F98"/>
    <w:rsid w:val="00C910AB"/>
    <w:rsid w:val="00C91F1B"/>
    <w:rsid w:val="00C92A18"/>
    <w:rsid w:val="00C92FAE"/>
    <w:rsid w:val="00C9310A"/>
    <w:rsid w:val="00C937DA"/>
    <w:rsid w:val="00C939BA"/>
    <w:rsid w:val="00C93BD9"/>
    <w:rsid w:val="00C93F14"/>
    <w:rsid w:val="00C94F8E"/>
    <w:rsid w:val="00C95366"/>
    <w:rsid w:val="00C95526"/>
    <w:rsid w:val="00C95985"/>
    <w:rsid w:val="00C96D9E"/>
    <w:rsid w:val="00C96F01"/>
    <w:rsid w:val="00C972A9"/>
    <w:rsid w:val="00C974A7"/>
    <w:rsid w:val="00C97BE7"/>
    <w:rsid w:val="00CA0883"/>
    <w:rsid w:val="00CA121D"/>
    <w:rsid w:val="00CA1DB5"/>
    <w:rsid w:val="00CA1E46"/>
    <w:rsid w:val="00CA1E53"/>
    <w:rsid w:val="00CA2740"/>
    <w:rsid w:val="00CA2C72"/>
    <w:rsid w:val="00CA3567"/>
    <w:rsid w:val="00CA37F6"/>
    <w:rsid w:val="00CA3EE1"/>
    <w:rsid w:val="00CA402E"/>
    <w:rsid w:val="00CA4C99"/>
    <w:rsid w:val="00CA4D77"/>
    <w:rsid w:val="00CA60A4"/>
    <w:rsid w:val="00CA64BE"/>
    <w:rsid w:val="00CA7075"/>
    <w:rsid w:val="00CA777E"/>
    <w:rsid w:val="00CA784F"/>
    <w:rsid w:val="00CA7E5D"/>
    <w:rsid w:val="00CB04D9"/>
    <w:rsid w:val="00CB0609"/>
    <w:rsid w:val="00CB061E"/>
    <w:rsid w:val="00CB08CA"/>
    <w:rsid w:val="00CB0C08"/>
    <w:rsid w:val="00CB0E52"/>
    <w:rsid w:val="00CB145A"/>
    <w:rsid w:val="00CB1C83"/>
    <w:rsid w:val="00CB210E"/>
    <w:rsid w:val="00CB21DB"/>
    <w:rsid w:val="00CB2A98"/>
    <w:rsid w:val="00CB37B7"/>
    <w:rsid w:val="00CB3951"/>
    <w:rsid w:val="00CB3C46"/>
    <w:rsid w:val="00CB4038"/>
    <w:rsid w:val="00CB4AC0"/>
    <w:rsid w:val="00CB5133"/>
    <w:rsid w:val="00CB54A7"/>
    <w:rsid w:val="00CB55C8"/>
    <w:rsid w:val="00CB59F8"/>
    <w:rsid w:val="00CB5BCA"/>
    <w:rsid w:val="00CB5EE8"/>
    <w:rsid w:val="00CB64EF"/>
    <w:rsid w:val="00CB6E1F"/>
    <w:rsid w:val="00CB6FB6"/>
    <w:rsid w:val="00CB776D"/>
    <w:rsid w:val="00CB7EBC"/>
    <w:rsid w:val="00CC0053"/>
    <w:rsid w:val="00CC0419"/>
    <w:rsid w:val="00CC297D"/>
    <w:rsid w:val="00CC2FA1"/>
    <w:rsid w:val="00CC383E"/>
    <w:rsid w:val="00CC3FDB"/>
    <w:rsid w:val="00CC4157"/>
    <w:rsid w:val="00CC50E0"/>
    <w:rsid w:val="00CC51E5"/>
    <w:rsid w:val="00CC54CC"/>
    <w:rsid w:val="00CC6B73"/>
    <w:rsid w:val="00CC6E59"/>
    <w:rsid w:val="00CC6ED3"/>
    <w:rsid w:val="00CC7802"/>
    <w:rsid w:val="00CC78BF"/>
    <w:rsid w:val="00CC78D4"/>
    <w:rsid w:val="00CD0C42"/>
    <w:rsid w:val="00CD0CF1"/>
    <w:rsid w:val="00CD0D9F"/>
    <w:rsid w:val="00CD0E31"/>
    <w:rsid w:val="00CD0EDC"/>
    <w:rsid w:val="00CD0F57"/>
    <w:rsid w:val="00CD1A13"/>
    <w:rsid w:val="00CD1ADF"/>
    <w:rsid w:val="00CD2388"/>
    <w:rsid w:val="00CD24B1"/>
    <w:rsid w:val="00CD2612"/>
    <w:rsid w:val="00CD2A21"/>
    <w:rsid w:val="00CD3832"/>
    <w:rsid w:val="00CD388D"/>
    <w:rsid w:val="00CD44AB"/>
    <w:rsid w:val="00CD44D7"/>
    <w:rsid w:val="00CD5060"/>
    <w:rsid w:val="00CD628D"/>
    <w:rsid w:val="00CD6A33"/>
    <w:rsid w:val="00CD6B5B"/>
    <w:rsid w:val="00CD70EB"/>
    <w:rsid w:val="00CE08BA"/>
    <w:rsid w:val="00CE1BF4"/>
    <w:rsid w:val="00CE1C18"/>
    <w:rsid w:val="00CE2632"/>
    <w:rsid w:val="00CE2786"/>
    <w:rsid w:val="00CE2BA7"/>
    <w:rsid w:val="00CE2E86"/>
    <w:rsid w:val="00CE3812"/>
    <w:rsid w:val="00CE3AE6"/>
    <w:rsid w:val="00CE47DC"/>
    <w:rsid w:val="00CE4E07"/>
    <w:rsid w:val="00CE503B"/>
    <w:rsid w:val="00CE516A"/>
    <w:rsid w:val="00CE68BC"/>
    <w:rsid w:val="00CE6C07"/>
    <w:rsid w:val="00CE6D16"/>
    <w:rsid w:val="00CE6D27"/>
    <w:rsid w:val="00CE6D75"/>
    <w:rsid w:val="00CE6EB2"/>
    <w:rsid w:val="00CE74FA"/>
    <w:rsid w:val="00CE79BC"/>
    <w:rsid w:val="00CF0EAB"/>
    <w:rsid w:val="00CF169B"/>
    <w:rsid w:val="00CF1A43"/>
    <w:rsid w:val="00CF21FA"/>
    <w:rsid w:val="00CF290C"/>
    <w:rsid w:val="00CF2D11"/>
    <w:rsid w:val="00CF2FE8"/>
    <w:rsid w:val="00CF398A"/>
    <w:rsid w:val="00CF3FAC"/>
    <w:rsid w:val="00CF40DE"/>
    <w:rsid w:val="00CF4490"/>
    <w:rsid w:val="00CF4733"/>
    <w:rsid w:val="00CF4D7A"/>
    <w:rsid w:val="00CF4FFE"/>
    <w:rsid w:val="00CF5332"/>
    <w:rsid w:val="00CF561E"/>
    <w:rsid w:val="00CF618E"/>
    <w:rsid w:val="00CF62F3"/>
    <w:rsid w:val="00CF6570"/>
    <w:rsid w:val="00CF72F6"/>
    <w:rsid w:val="00CF7D79"/>
    <w:rsid w:val="00CF7FCC"/>
    <w:rsid w:val="00D0002F"/>
    <w:rsid w:val="00D0018B"/>
    <w:rsid w:val="00D003E1"/>
    <w:rsid w:val="00D0063C"/>
    <w:rsid w:val="00D016F7"/>
    <w:rsid w:val="00D01E0C"/>
    <w:rsid w:val="00D0237A"/>
    <w:rsid w:val="00D02C96"/>
    <w:rsid w:val="00D02CF0"/>
    <w:rsid w:val="00D03542"/>
    <w:rsid w:val="00D03610"/>
    <w:rsid w:val="00D03BE4"/>
    <w:rsid w:val="00D03CA8"/>
    <w:rsid w:val="00D045AC"/>
    <w:rsid w:val="00D04952"/>
    <w:rsid w:val="00D04B8D"/>
    <w:rsid w:val="00D04BEE"/>
    <w:rsid w:val="00D052AC"/>
    <w:rsid w:val="00D0548E"/>
    <w:rsid w:val="00D05E44"/>
    <w:rsid w:val="00D05E68"/>
    <w:rsid w:val="00D06254"/>
    <w:rsid w:val="00D0669E"/>
    <w:rsid w:val="00D072E8"/>
    <w:rsid w:val="00D07820"/>
    <w:rsid w:val="00D078A9"/>
    <w:rsid w:val="00D07A45"/>
    <w:rsid w:val="00D07A6C"/>
    <w:rsid w:val="00D07E45"/>
    <w:rsid w:val="00D10B23"/>
    <w:rsid w:val="00D113AE"/>
    <w:rsid w:val="00D11F44"/>
    <w:rsid w:val="00D11FF7"/>
    <w:rsid w:val="00D12064"/>
    <w:rsid w:val="00D122B8"/>
    <w:rsid w:val="00D12431"/>
    <w:rsid w:val="00D12625"/>
    <w:rsid w:val="00D12A87"/>
    <w:rsid w:val="00D12D08"/>
    <w:rsid w:val="00D13298"/>
    <w:rsid w:val="00D13D2D"/>
    <w:rsid w:val="00D13DF7"/>
    <w:rsid w:val="00D140AB"/>
    <w:rsid w:val="00D1432B"/>
    <w:rsid w:val="00D1477E"/>
    <w:rsid w:val="00D14B73"/>
    <w:rsid w:val="00D15822"/>
    <w:rsid w:val="00D16A43"/>
    <w:rsid w:val="00D20118"/>
    <w:rsid w:val="00D203C5"/>
    <w:rsid w:val="00D20B5F"/>
    <w:rsid w:val="00D20F77"/>
    <w:rsid w:val="00D214FD"/>
    <w:rsid w:val="00D2173A"/>
    <w:rsid w:val="00D2178A"/>
    <w:rsid w:val="00D21C14"/>
    <w:rsid w:val="00D21DEA"/>
    <w:rsid w:val="00D21EC7"/>
    <w:rsid w:val="00D22850"/>
    <w:rsid w:val="00D228A8"/>
    <w:rsid w:val="00D22E0C"/>
    <w:rsid w:val="00D22E93"/>
    <w:rsid w:val="00D2373C"/>
    <w:rsid w:val="00D23D54"/>
    <w:rsid w:val="00D23DE0"/>
    <w:rsid w:val="00D25ACE"/>
    <w:rsid w:val="00D25C02"/>
    <w:rsid w:val="00D25FCA"/>
    <w:rsid w:val="00D26404"/>
    <w:rsid w:val="00D26D65"/>
    <w:rsid w:val="00D27136"/>
    <w:rsid w:val="00D27575"/>
    <w:rsid w:val="00D27756"/>
    <w:rsid w:val="00D27F3A"/>
    <w:rsid w:val="00D300FC"/>
    <w:rsid w:val="00D30149"/>
    <w:rsid w:val="00D30B41"/>
    <w:rsid w:val="00D31A86"/>
    <w:rsid w:val="00D32EE4"/>
    <w:rsid w:val="00D32F0E"/>
    <w:rsid w:val="00D3327C"/>
    <w:rsid w:val="00D3362A"/>
    <w:rsid w:val="00D33788"/>
    <w:rsid w:val="00D343FC"/>
    <w:rsid w:val="00D34F4A"/>
    <w:rsid w:val="00D3507D"/>
    <w:rsid w:val="00D3577E"/>
    <w:rsid w:val="00D3586F"/>
    <w:rsid w:val="00D35A0F"/>
    <w:rsid w:val="00D35E45"/>
    <w:rsid w:val="00D37FC6"/>
    <w:rsid w:val="00D413C2"/>
    <w:rsid w:val="00D418E2"/>
    <w:rsid w:val="00D41D07"/>
    <w:rsid w:val="00D41FD6"/>
    <w:rsid w:val="00D421E9"/>
    <w:rsid w:val="00D42AB3"/>
    <w:rsid w:val="00D439A4"/>
    <w:rsid w:val="00D43C46"/>
    <w:rsid w:val="00D43D98"/>
    <w:rsid w:val="00D44EA0"/>
    <w:rsid w:val="00D44FDD"/>
    <w:rsid w:val="00D45EAE"/>
    <w:rsid w:val="00D462C1"/>
    <w:rsid w:val="00D471C2"/>
    <w:rsid w:val="00D47753"/>
    <w:rsid w:val="00D4797A"/>
    <w:rsid w:val="00D47CF2"/>
    <w:rsid w:val="00D47E1F"/>
    <w:rsid w:val="00D504C4"/>
    <w:rsid w:val="00D51829"/>
    <w:rsid w:val="00D51CDF"/>
    <w:rsid w:val="00D524B7"/>
    <w:rsid w:val="00D5275A"/>
    <w:rsid w:val="00D528FC"/>
    <w:rsid w:val="00D52BA6"/>
    <w:rsid w:val="00D536BC"/>
    <w:rsid w:val="00D53E0B"/>
    <w:rsid w:val="00D5531C"/>
    <w:rsid w:val="00D5565D"/>
    <w:rsid w:val="00D556C9"/>
    <w:rsid w:val="00D559E1"/>
    <w:rsid w:val="00D55A1C"/>
    <w:rsid w:val="00D55B00"/>
    <w:rsid w:val="00D5691D"/>
    <w:rsid w:val="00D569D9"/>
    <w:rsid w:val="00D56A76"/>
    <w:rsid w:val="00D57657"/>
    <w:rsid w:val="00D576D6"/>
    <w:rsid w:val="00D57877"/>
    <w:rsid w:val="00D57E9C"/>
    <w:rsid w:val="00D601F2"/>
    <w:rsid w:val="00D605F4"/>
    <w:rsid w:val="00D60AC9"/>
    <w:rsid w:val="00D60BE1"/>
    <w:rsid w:val="00D60CA1"/>
    <w:rsid w:val="00D615B0"/>
    <w:rsid w:val="00D6178C"/>
    <w:rsid w:val="00D62125"/>
    <w:rsid w:val="00D624A3"/>
    <w:rsid w:val="00D62A48"/>
    <w:rsid w:val="00D62FEA"/>
    <w:rsid w:val="00D643FD"/>
    <w:rsid w:val="00D644C1"/>
    <w:rsid w:val="00D647C5"/>
    <w:rsid w:val="00D648EC"/>
    <w:rsid w:val="00D64C68"/>
    <w:rsid w:val="00D64ED8"/>
    <w:rsid w:val="00D65050"/>
    <w:rsid w:val="00D6592A"/>
    <w:rsid w:val="00D65997"/>
    <w:rsid w:val="00D6682C"/>
    <w:rsid w:val="00D66A75"/>
    <w:rsid w:val="00D66C2F"/>
    <w:rsid w:val="00D6710A"/>
    <w:rsid w:val="00D674B5"/>
    <w:rsid w:val="00D704AF"/>
    <w:rsid w:val="00D7068F"/>
    <w:rsid w:val="00D70C6A"/>
    <w:rsid w:val="00D70DC7"/>
    <w:rsid w:val="00D70DEF"/>
    <w:rsid w:val="00D71003"/>
    <w:rsid w:val="00D71A43"/>
    <w:rsid w:val="00D71F46"/>
    <w:rsid w:val="00D71FFB"/>
    <w:rsid w:val="00D7220A"/>
    <w:rsid w:val="00D7306C"/>
    <w:rsid w:val="00D73232"/>
    <w:rsid w:val="00D74F08"/>
    <w:rsid w:val="00D7529C"/>
    <w:rsid w:val="00D75E77"/>
    <w:rsid w:val="00D76179"/>
    <w:rsid w:val="00D76A23"/>
    <w:rsid w:val="00D76FC1"/>
    <w:rsid w:val="00D77390"/>
    <w:rsid w:val="00D7788E"/>
    <w:rsid w:val="00D77CD3"/>
    <w:rsid w:val="00D80285"/>
    <w:rsid w:val="00D80C8F"/>
    <w:rsid w:val="00D81EF3"/>
    <w:rsid w:val="00D8222C"/>
    <w:rsid w:val="00D826DE"/>
    <w:rsid w:val="00D82C23"/>
    <w:rsid w:val="00D835E4"/>
    <w:rsid w:val="00D83902"/>
    <w:rsid w:val="00D83AAB"/>
    <w:rsid w:val="00D83FFE"/>
    <w:rsid w:val="00D84868"/>
    <w:rsid w:val="00D85479"/>
    <w:rsid w:val="00D86489"/>
    <w:rsid w:val="00D86E50"/>
    <w:rsid w:val="00D873A0"/>
    <w:rsid w:val="00D87422"/>
    <w:rsid w:val="00D878AF"/>
    <w:rsid w:val="00D87B10"/>
    <w:rsid w:val="00D87B73"/>
    <w:rsid w:val="00D91747"/>
    <w:rsid w:val="00D91FC1"/>
    <w:rsid w:val="00D92233"/>
    <w:rsid w:val="00D927C1"/>
    <w:rsid w:val="00D92AC7"/>
    <w:rsid w:val="00D93281"/>
    <w:rsid w:val="00D93AA9"/>
    <w:rsid w:val="00D93BCB"/>
    <w:rsid w:val="00D9497F"/>
    <w:rsid w:val="00D953EC"/>
    <w:rsid w:val="00D956F3"/>
    <w:rsid w:val="00D96229"/>
    <w:rsid w:val="00D96428"/>
    <w:rsid w:val="00D964CA"/>
    <w:rsid w:val="00D96712"/>
    <w:rsid w:val="00D968A2"/>
    <w:rsid w:val="00D96B1D"/>
    <w:rsid w:val="00D96F8E"/>
    <w:rsid w:val="00D97371"/>
    <w:rsid w:val="00D97F77"/>
    <w:rsid w:val="00DA06F1"/>
    <w:rsid w:val="00DA107B"/>
    <w:rsid w:val="00DA1AAF"/>
    <w:rsid w:val="00DA243F"/>
    <w:rsid w:val="00DA24F3"/>
    <w:rsid w:val="00DA2997"/>
    <w:rsid w:val="00DA2999"/>
    <w:rsid w:val="00DA334B"/>
    <w:rsid w:val="00DA3689"/>
    <w:rsid w:val="00DA36F2"/>
    <w:rsid w:val="00DA37F5"/>
    <w:rsid w:val="00DA3C28"/>
    <w:rsid w:val="00DA3F24"/>
    <w:rsid w:val="00DA3F59"/>
    <w:rsid w:val="00DA5A60"/>
    <w:rsid w:val="00DA65B8"/>
    <w:rsid w:val="00DA727E"/>
    <w:rsid w:val="00DA7E2B"/>
    <w:rsid w:val="00DB10E8"/>
    <w:rsid w:val="00DB1131"/>
    <w:rsid w:val="00DB127A"/>
    <w:rsid w:val="00DB12AA"/>
    <w:rsid w:val="00DB139F"/>
    <w:rsid w:val="00DB1929"/>
    <w:rsid w:val="00DB1F7A"/>
    <w:rsid w:val="00DB30EA"/>
    <w:rsid w:val="00DB368F"/>
    <w:rsid w:val="00DB37A3"/>
    <w:rsid w:val="00DB38C1"/>
    <w:rsid w:val="00DB3EE6"/>
    <w:rsid w:val="00DB47D9"/>
    <w:rsid w:val="00DB4D82"/>
    <w:rsid w:val="00DB4E96"/>
    <w:rsid w:val="00DB57E9"/>
    <w:rsid w:val="00DB6769"/>
    <w:rsid w:val="00DB6C8E"/>
    <w:rsid w:val="00DB71F1"/>
    <w:rsid w:val="00DB7225"/>
    <w:rsid w:val="00DB73B8"/>
    <w:rsid w:val="00DB78A1"/>
    <w:rsid w:val="00DB7EF3"/>
    <w:rsid w:val="00DB7FC2"/>
    <w:rsid w:val="00DC0211"/>
    <w:rsid w:val="00DC0BB2"/>
    <w:rsid w:val="00DC0C9A"/>
    <w:rsid w:val="00DC0F15"/>
    <w:rsid w:val="00DC1800"/>
    <w:rsid w:val="00DC1850"/>
    <w:rsid w:val="00DC2346"/>
    <w:rsid w:val="00DC25A2"/>
    <w:rsid w:val="00DC2615"/>
    <w:rsid w:val="00DC264F"/>
    <w:rsid w:val="00DC28F9"/>
    <w:rsid w:val="00DC2E62"/>
    <w:rsid w:val="00DC328A"/>
    <w:rsid w:val="00DC54F9"/>
    <w:rsid w:val="00DC575C"/>
    <w:rsid w:val="00DC6030"/>
    <w:rsid w:val="00DC6EAD"/>
    <w:rsid w:val="00DC6F21"/>
    <w:rsid w:val="00DC7050"/>
    <w:rsid w:val="00DC7174"/>
    <w:rsid w:val="00DC748D"/>
    <w:rsid w:val="00DC7E2D"/>
    <w:rsid w:val="00DD0026"/>
    <w:rsid w:val="00DD0C52"/>
    <w:rsid w:val="00DD0DA5"/>
    <w:rsid w:val="00DD165F"/>
    <w:rsid w:val="00DD18DF"/>
    <w:rsid w:val="00DD1A10"/>
    <w:rsid w:val="00DD1FFC"/>
    <w:rsid w:val="00DD23FE"/>
    <w:rsid w:val="00DD253A"/>
    <w:rsid w:val="00DD2FC5"/>
    <w:rsid w:val="00DD36EE"/>
    <w:rsid w:val="00DD4867"/>
    <w:rsid w:val="00DD4A7A"/>
    <w:rsid w:val="00DD4CFF"/>
    <w:rsid w:val="00DD5223"/>
    <w:rsid w:val="00DD54AE"/>
    <w:rsid w:val="00DD5CBE"/>
    <w:rsid w:val="00DD6419"/>
    <w:rsid w:val="00DD6C1B"/>
    <w:rsid w:val="00DD6D7B"/>
    <w:rsid w:val="00DD7289"/>
    <w:rsid w:val="00DD7BA8"/>
    <w:rsid w:val="00DD7D13"/>
    <w:rsid w:val="00DD7E22"/>
    <w:rsid w:val="00DD7FD5"/>
    <w:rsid w:val="00DE001D"/>
    <w:rsid w:val="00DE00FB"/>
    <w:rsid w:val="00DE02CE"/>
    <w:rsid w:val="00DE042C"/>
    <w:rsid w:val="00DE0947"/>
    <w:rsid w:val="00DE0ED2"/>
    <w:rsid w:val="00DE0F50"/>
    <w:rsid w:val="00DE0F6A"/>
    <w:rsid w:val="00DE148B"/>
    <w:rsid w:val="00DE1B51"/>
    <w:rsid w:val="00DE1BC6"/>
    <w:rsid w:val="00DE2535"/>
    <w:rsid w:val="00DE2961"/>
    <w:rsid w:val="00DE332B"/>
    <w:rsid w:val="00DE3367"/>
    <w:rsid w:val="00DE352C"/>
    <w:rsid w:val="00DE41AC"/>
    <w:rsid w:val="00DE4215"/>
    <w:rsid w:val="00DE42BE"/>
    <w:rsid w:val="00DE5232"/>
    <w:rsid w:val="00DE55F8"/>
    <w:rsid w:val="00DE61A0"/>
    <w:rsid w:val="00DE636B"/>
    <w:rsid w:val="00DE65CA"/>
    <w:rsid w:val="00DE6842"/>
    <w:rsid w:val="00DE7095"/>
    <w:rsid w:val="00DE757E"/>
    <w:rsid w:val="00DE75FA"/>
    <w:rsid w:val="00DE7739"/>
    <w:rsid w:val="00DE7BB1"/>
    <w:rsid w:val="00DE7E19"/>
    <w:rsid w:val="00DF00AE"/>
    <w:rsid w:val="00DF0248"/>
    <w:rsid w:val="00DF03CE"/>
    <w:rsid w:val="00DF0415"/>
    <w:rsid w:val="00DF0A13"/>
    <w:rsid w:val="00DF0B8D"/>
    <w:rsid w:val="00DF0EC5"/>
    <w:rsid w:val="00DF20BE"/>
    <w:rsid w:val="00DF25AB"/>
    <w:rsid w:val="00DF2CF8"/>
    <w:rsid w:val="00DF30A9"/>
    <w:rsid w:val="00DF3312"/>
    <w:rsid w:val="00DF35DE"/>
    <w:rsid w:val="00DF3C95"/>
    <w:rsid w:val="00DF4200"/>
    <w:rsid w:val="00DF429A"/>
    <w:rsid w:val="00DF458E"/>
    <w:rsid w:val="00DF4A1E"/>
    <w:rsid w:val="00DF4A3D"/>
    <w:rsid w:val="00DF5085"/>
    <w:rsid w:val="00DF51DE"/>
    <w:rsid w:val="00DF5367"/>
    <w:rsid w:val="00DF5A05"/>
    <w:rsid w:val="00DF5AD9"/>
    <w:rsid w:val="00DF6058"/>
    <w:rsid w:val="00DF689F"/>
    <w:rsid w:val="00DF7581"/>
    <w:rsid w:val="00DF75CD"/>
    <w:rsid w:val="00DF7CE3"/>
    <w:rsid w:val="00E00205"/>
    <w:rsid w:val="00E00357"/>
    <w:rsid w:val="00E00741"/>
    <w:rsid w:val="00E00967"/>
    <w:rsid w:val="00E00BB9"/>
    <w:rsid w:val="00E01CCC"/>
    <w:rsid w:val="00E021F0"/>
    <w:rsid w:val="00E0231C"/>
    <w:rsid w:val="00E03518"/>
    <w:rsid w:val="00E03AC1"/>
    <w:rsid w:val="00E04211"/>
    <w:rsid w:val="00E04CDE"/>
    <w:rsid w:val="00E05A45"/>
    <w:rsid w:val="00E05A66"/>
    <w:rsid w:val="00E05B20"/>
    <w:rsid w:val="00E06527"/>
    <w:rsid w:val="00E06E4E"/>
    <w:rsid w:val="00E06FA3"/>
    <w:rsid w:val="00E108DF"/>
    <w:rsid w:val="00E10C6E"/>
    <w:rsid w:val="00E1129A"/>
    <w:rsid w:val="00E11425"/>
    <w:rsid w:val="00E11908"/>
    <w:rsid w:val="00E12A36"/>
    <w:rsid w:val="00E12D4C"/>
    <w:rsid w:val="00E12E9D"/>
    <w:rsid w:val="00E13353"/>
    <w:rsid w:val="00E133D1"/>
    <w:rsid w:val="00E14AA6"/>
    <w:rsid w:val="00E14FD1"/>
    <w:rsid w:val="00E15030"/>
    <w:rsid w:val="00E15076"/>
    <w:rsid w:val="00E151CD"/>
    <w:rsid w:val="00E154AC"/>
    <w:rsid w:val="00E15DAE"/>
    <w:rsid w:val="00E15F10"/>
    <w:rsid w:val="00E16BEE"/>
    <w:rsid w:val="00E16BF2"/>
    <w:rsid w:val="00E16D9B"/>
    <w:rsid w:val="00E17549"/>
    <w:rsid w:val="00E17B79"/>
    <w:rsid w:val="00E17D37"/>
    <w:rsid w:val="00E2029C"/>
    <w:rsid w:val="00E2059D"/>
    <w:rsid w:val="00E207F1"/>
    <w:rsid w:val="00E20A1B"/>
    <w:rsid w:val="00E20B23"/>
    <w:rsid w:val="00E21175"/>
    <w:rsid w:val="00E21896"/>
    <w:rsid w:val="00E21CF9"/>
    <w:rsid w:val="00E21FD4"/>
    <w:rsid w:val="00E23E47"/>
    <w:rsid w:val="00E23E57"/>
    <w:rsid w:val="00E24178"/>
    <w:rsid w:val="00E24269"/>
    <w:rsid w:val="00E243F5"/>
    <w:rsid w:val="00E2471C"/>
    <w:rsid w:val="00E2536B"/>
    <w:rsid w:val="00E2562E"/>
    <w:rsid w:val="00E26428"/>
    <w:rsid w:val="00E26601"/>
    <w:rsid w:val="00E27910"/>
    <w:rsid w:val="00E27BC8"/>
    <w:rsid w:val="00E30D4D"/>
    <w:rsid w:val="00E30D5F"/>
    <w:rsid w:val="00E3184C"/>
    <w:rsid w:val="00E322D9"/>
    <w:rsid w:val="00E3247F"/>
    <w:rsid w:val="00E324E7"/>
    <w:rsid w:val="00E3270F"/>
    <w:rsid w:val="00E32E84"/>
    <w:rsid w:val="00E32F02"/>
    <w:rsid w:val="00E335B7"/>
    <w:rsid w:val="00E33BFF"/>
    <w:rsid w:val="00E33E08"/>
    <w:rsid w:val="00E34C7C"/>
    <w:rsid w:val="00E34EA1"/>
    <w:rsid w:val="00E3500E"/>
    <w:rsid w:val="00E352E1"/>
    <w:rsid w:val="00E35A6E"/>
    <w:rsid w:val="00E35F6F"/>
    <w:rsid w:val="00E36AD8"/>
    <w:rsid w:val="00E371E0"/>
    <w:rsid w:val="00E3735A"/>
    <w:rsid w:val="00E377B8"/>
    <w:rsid w:val="00E40128"/>
    <w:rsid w:val="00E4177E"/>
    <w:rsid w:val="00E41C61"/>
    <w:rsid w:val="00E4291F"/>
    <w:rsid w:val="00E42A6F"/>
    <w:rsid w:val="00E430FC"/>
    <w:rsid w:val="00E432DA"/>
    <w:rsid w:val="00E4347D"/>
    <w:rsid w:val="00E43DA9"/>
    <w:rsid w:val="00E44402"/>
    <w:rsid w:val="00E44677"/>
    <w:rsid w:val="00E44BCB"/>
    <w:rsid w:val="00E44CC8"/>
    <w:rsid w:val="00E45C98"/>
    <w:rsid w:val="00E469FB"/>
    <w:rsid w:val="00E47001"/>
    <w:rsid w:val="00E47036"/>
    <w:rsid w:val="00E502BB"/>
    <w:rsid w:val="00E507F5"/>
    <w:rsid w:val="00E50ED6"/>
    <w:rsid w:val="00E515F1"/>
    <w:rsid w:val="00E51CD1"/>
    <w:rsid w:val="00E53466"/>
    <w:rsid w:val="00E53DF0"/>
    <w:rsid w:val="00E541CA"/>
    <w:rsid w:val="00E5456C"/>
    <w:rsid w:val="00E5464C"/>
    <w:rsid w:val="00E54AD2"/>
    <w:rsid w:val="00E54CDE"/>
    <w:rsid w:val="00E55329"/>
    <w:rsid w:val="00E555A1"/>
    <w:rsid w:val="00E5581C"/>
    <w:rsid w:val="00E55CE5"/>
    <w:rsid w:val="00E5631C"/>
    <w:rsid w:val="00E56F71"/>
    <w:rsid w:val="00E574F6"/>
    <w:rsid w:val="00E57881"/>
    <w:rsid w:val="00E6140B"/>
    <w:rsid w:val="00E6174B"/>
    <w:rsid w:val="00E61C78"/>
    <w:rsid w:val="00E620D2"/>
    <w:rsid w:val="00E62852"/>
    <w:rsid w:val="00E63990"/>
    <w:rsid w:val="00E63FC8"/>
    <w:rsid w:val="00E645BB"/>
    <w:rsid w:val="00E64E4C"/>
    <w:rsid w:val="00E64EBD"/>
    <w:rsid w:val="00E65202"/>
    <w:rsid w:val="00E657DC"/>
    <w:rsid w:val="00E65AFC"/>
    <w:rsid w:val="00E65E88"/>
    <w:rsid w:val="00E65F50"/>
    <w:rsid w:val="00E663C0"/>
    <w:rsid w:val="00E66F96"/>
    <w:rsid w:val="00E67359"/>
    <w:rsid w:val="00E67CA0"/>
    <w:rsid w:val="00E70F72"/>
    <w:rsid w:val="00E7130C"/>
    <w:rsid w:val="00E7281B"/>
    <w:rsid w:val="00E72B75"/>
    <w:rsid w:val="00E73060"/>
    <w:rsid w:val="00E7328F"/>
    <w:rsid w:val="00E73928"/>
    <w:rsid w:val="00E74A91"/>
    <w:rsid w:val="00E74D19"/>
    <w:rsid w:val="00E7676E"/>
    <w:rsid w:val="00E76D8D"/>
    <w:rsid w:val="00E7712F"/>
    <w:rsid w:val="00E77626"/>
    <w:rsid w:val="00E7773E"/>
    <w:rsid w:val="00E77BA6"/>
    <w:rsid w:val="00E77E14"/>
    <w:rsid w:val="00E80393"/>
    <w:rsid w:val="00E807C7"/>
    <w:rsid w:val="00E810C2"/>
    <w:rsid w:val="00E815F4"/>
    <w:rsid w:val="00E82064"/>
    <w:rsid w:val="00E8261F"/>
    <w:rsid w:val="00E82994"/>
    <w:rsid w:val="00E82F2F"/>
    <w:rsid w:val="00E830C7"/>
    <w:rsid w:val="00E8345C"/>
    <w:rsid w:val="00E8358A"/>
    <w:rsid w:val="00E83764"/>
    <w:rsid w:val="00E8379E"/>
    <w:rsid w:val="00E84DA3"/>
    <w:rsid w:val="00E85A60"/>
    <w:rsid w:val="00E85D02"/>
    <w:rsid w:val="00E869F3"/>
    <w:rsid w:val="00E86A8A"/>
    <w:rsid w:val="00E86ED2"/>
    <w:rsid w:val="00E87884"/>
    <w:rsid w:val="00E87A14"/>
    <w:rsid w:val="00E87C36"/>
    <w:rsid w:val="00E87E5C"/>
    <w:rsid w:val="00E90043"/>
    <w:rsid w:val="00E9044D"/>
    <w:rsid w:val="00E90C3E"/>
    <w:rsid w:val="00E90D91"/>
    <w:rsid w:val="00E919D6"/>
    <w:rsid w:val="00E920EA"/>
    <w:rsid w:val="00E92517"/>
    <w:rsid w:val="00E92633"/>
    <w:rsid w:val="00E928F3"/>
    <w:rsid w:val="00E9395A"/>
    <w:rsid w:val="00E945A6"/>
    <w:rsid w:val="00E94729"/>
    <w:rsid w:val="00E94A92"/>
    <w:rsid w:val="00E94B6B"/>
    <w:rsid w:val="00E94FBD"/>
    <w:rsid w:val="00E95489"/>
    <w:rsid w:val="00E957E1"/>
    <w:rsid w:val="00E95AC4"/>
    <w:rsid w:val="00E95D2B"/>
    <w:rsid w:val="00E975D6"/>
    <w:rsid w:val="00E9770D"/>
    <w:rsid w:val="00E97A30"/>
    <w:rsid w:val="00EA0F2E"/>
    <w:rsid w:val="00EA1658"/>
    <w:rsid w:val="00EA17C9"/>
    <w:rsid w:val="00EA1A1C"/>
    <w:rsid w:val="00EA1E47"/>
    <w:rsid w:val="00EA24EF"/>
    <w:rsid w:val="00EA2542"/>
    <w:rsid w:val="00EA2C94"/>
    <w:rsid w:val="00EA2EEB"/>
    <w:rsid w:val="00EA316C"/>
    <w:rsid w:val="00EA3359"/>
    <w:rsid w:val="00EA40EF"/>
    <w:rsid w:val="00EA4220"/>
    <w:rsid w:val="00EA480C"/>
    <w:rsid w:val="00EA4A76"/>
    <w:rsid w:val="00EA4AF6"/>
    <w:rsid w:val="00EA4E5D"/>
    <w:rsid w:val="00EA51F3"/>
    <w:rsid w:val="00EA576D"/>
    <w:rsid w:val="00EA5942"/>
    <w:rsid w:val="00EA60DF"/>
    <w:rsid w:val="00EA64B1"/>
    <w:rsid w:val="00EA6EBA"/>
    <w:rsid w:val="00EB029C"/>
    <w:rsid w:val="00EB088C"/>
    <w:rsid w:val="00EB092D"/>
    <w:rsid w:val="00EB1085"/>
    <w:rsid w:val="00EB1148"/>
    <w:rsid w:val="00EB13A7"/>
    <w:rsid w:val="00EB2078"/>
    <w:rsid w:val="00EB2A1B"/>
    <w:rsid w:val="00EB2C31"/>
    <w:rsid w:val="00EB34ED"/>
    <w:rsid w:val="00EB3E3A"/>
    <w:rsid w:val="00EB48A1"/>
    <w:rsid w:val="00EB4FC5"/>
    <w:rsid w:val="00EB54C1"/>
    <w:rsid w:val="00EB5502"/>
    <w:rsid w:val="00EB566D"/>
    <w:rsid w:val="00EB5BA1"/>
    <w:rsid w:val="00EB5DDE"/>
    <w:rsid w:val="00EB5F95"/>
    <w:rsid w:val="00EB63CA"/>
    <w:rsid w:val="00EB6C61"/>
    <w:rsid w:val="00EB717C"/>
    <w:rsid w:val="00EB7C43"/>
    <w:rsid w:val="00EB7CBB"/>
    <w:rsid w:val="00EB7E62"/>
    <w:rsid w:val="00EB7F7E"/>
    <w:rsid w:val="00EC0270"/>
    <w:rsid w:val="00EC14AA"/>
    <w:rsid w:val="00EC1E66"/>
    <w:rsid w:val="00EC277B"/>
    <w:rsid w:val="00EC28EA"/>
    <w:rsid w:val="00EC369F"/>
    <w:rsid w:val="00EC3F0D"/>
    <w:rsid w:val="00EC4753"/>
    <w:rsid w:val="00EC47A7"/>
    <w:rsid w:val="00EC48FD"/>
    <w:rsid w:val="00EC4967"/>
    <w:rsid w:val="00EC4FA3"/>
    <w:rsid w:val="00EC5113"/>
    <w:rsid w:val="00EC55E8"/>
    <w:rsid w:val="00EC59FD"/>
    <w:rsid w:val="00EC5D24"/>
    <w:rsid w:val="00EC60D5"/>
    <w:rsid w:val="00EC6C1E"/>
    <w:rsid w:val="00EC6D34"/>
    <w:rsid w:val="00EC72A6"/>
    <w:rsid w:val="00EC7E44"/>
    <w:rsid w:val="00ED0438"/>
    <w:rsid w:val="00ED04B0"/>
    <w:rsid w:val="00ED0C4D"/>
    <w:rsid w:val="00ED0E16"/>
    <w:rsid w:val="00ED0E2A"/>
    <w:rsid w:val="00ED260D"/>
    <w:rsid w:val="00ED284C"/>
    <w:rsid w:val="00ED34CD"/>
    <w:rsid w:val="00ED359F"/>
    <w:rsid w:val="00ED35F5"/>
    <w:rsid w:val="00ED3AA3"/>
    <w:rsid w:val="00ED3EE8"/>
    <w:rsid w:val="00ED4443"/>
    <w:rsid w:val="00ED45B3"/>
    <w:rsid w:val="00ED4676"/>
    <w:rsid w:val="00ED50B6"/>
    <w:rsid w:val="00ED5277"/>
    <w:rsid w:val="00ED5428"/>
    <w:rsid w:val="00ED557A"/>
    <w:rsid w:val="00ED5963"/>
    <w:rsid w:val="00ED5DB1"/>
    <w:rsid w:val="00ED61F5"/>
    <w:rsid w:val="00ED658C"/>
    <w:rsid w:val="00ED69C3"/>
    <w:rsid w:val="00ED743A"/>
    <w:rsid w:val="00ED776E"/>
    <w:rsid w:val="00ED7BC4"/>
    <w:rsid w:val="00ED7D2D"/>
    <w:rsid w:val="00EE0039"/>
    <w:rsid w:val="00EE036F"/>
    <w:rsid w:val="00EE0371"/>
    <w:rsid w:val="00EE151F"/>
    <w:rsid w:val="00EE1BC1"/>
    <w:rsid w:val="00EE25CF"/>
    <w:rsid w:val="00EE38DB"/>
    <w:rsid w:val="00EE3CCD"/>
    <w:rsid w:val="00EE4288"/>
    <w:rsid w:val="00EE4B28"/>
    <w:rsid w:val="00EE51D1"/>
    <w:rsid w:val="00EE5243"/>
    <w:rsid w:val="00EE5334"/>
    <w:rsid w:val="00EE5661"/>
    <w:rsid w:val="00EE5D45"/>
    <w:rsid w:val="00EE5E93"/>
    <w:rsid w:val="00EE6603"/>
    <w:rsid w:val="00EE6AC2"/>
    <w:rsid w:val="00EE7530"/>
    <w:rsid w:val="00EE7747"/>
    <w:rsid w:val="00EE791E"/>
    <w:rsid w:val="00EF03A7"/>
    <w:rsid w:val="00EF086A"/>
    <w:rsid w:val="00EF09EA"/>
    <w:rsid w:val="00EF0D5D"/>
    <w:rsid w:val="00EF0DD7"/>
    <w:rsid w:val="00EF0FDD"/>
    <w:rsid w:val="00EF1AA6"/>
    <w:rsid w:val="00EF2678"/>
    <w:rsid w:val="00EF2C32"/>
    <w:rsid w:val="00EF39D1"/>
    <w:rsid w:val="00EF3DE1"/>
    <w:rsid w:val="00EF487A"/>
    <w:rsid w:val="00EF6269"/>
    <w:rsid w:val="00EF63AB"/>
    <w:rsid w:val="00EF64D6"/>
    <w:rsid w:val="00EF65D5"/>
    <w:rsid w:val="00EF762E"/>
    <w:rsid w:val="00EF7632"/>
    <w:rsid w:val="00EF7C63"/>
    <w:rsid w:val="00F0153D"/>
    <w:rsid w:val="00F0155E"/>
    <w:rsid w:val="00F01D23"/>
    <w:rsid w:val="00F02478"/>
    <w:rsid w:val="00F0326A"/>
    <w:rsid w:val="00F03FCE"/>
    <w:rsid w:val="00F040A7"/>
    <w:rsid w:val="00F0416A"/>
    <w:rsid w:val="00F04705"/>
    <w:rsid w:val="00F0478A"/>
    <w:rsid w:val="00F055A9"/>
    <w:rsid w:val="00F05659"/>
    <w:rsid w:val="00F05C16"/>
    <w:rsid w:val="00F0705C"/>
    <w:rsid w:val="00F07C11"/>
    <w:rsid w:val="00F102F6"/>
    <w:rsid w:val="00F10D2F"/>
    <w:rsid w:val="00F1110A"/>
    <w:rsid w:val="00F1129C"/>
    <w:rsid w:val="00F1187C"/>
    <w:rsid w:val="00F1197A"/>
    <w:rsid w:val="00F1204F"/>
    <w:rsid w:val="00F12485"/>
    <w:rsid w:val="00F1283B"/>
    <w:rsid w:val="00F12B19"/>
    <w:rsid w:val="00F13735"/>
    <w:rsid w:val="00F13C67"/>
    <w:rsid w:val="00F13C90"/>
    <w:rsid w:val="00F140B2"/>
    <w:rsid w:val="00F14538"/>
    <w:rsid w:val="00F14C7F"/>
    <w:rsid w:val="00F15071"/>
    <w:rsid w:val="00F150E0"/>
    <w:rsid w:val="00F15762"/>
    <w:rsid w:val="00F15A4A"/>
    <w:rsid w:val="00F16DDA"/>
    <w:rsid w:val="00F16F64"/>
    <w:rsid w:val="00F170E9"/>
    <w:rsid w:val="00F17714"/>
    <w:rsid w:val="00F17797"/>
    <w:rsid w:val="00F179C7"/>
    <w:rsid w:val="00F17E02"/>
    <w:rsid w:val="00F2001F"/>
    <w:rsid w:val="00F201D1"/>
    <w:rsid w:val="00F20DF7"/>
    <w:rsid w:val="00F20F19"/>
    <w:rsid w:val="00F21396"/>
    <w:rsid w:val="00F21604"/>
    <w:rsid w:val="00F21F90"/>
    <w:rsid w:val="00F2240A"/>
    <w:rsid w:val="00F22764"/>
    <w:rsid w:val="00F228F8"/>
    <w:rsid w:val="00F22957"/>
    <w:rsid w:val="00F22EA0"/>
    <w:rsid w:val="00F240C9"/>
    <w:rsid w:val="00F2443F"/>
    <w:rsid w:val="00F24D86"/>
    <w:rsid w:val="00F25A0A"/>
    <w:rsid w:val="00F268A5"/>
    <w:rsid w:val="00F27CDF"/>
    <w:rsid w:val="00F27EA0"/>
    <w:rsid w:val="00F27FEB"/>
    <w:rsid w:val="00F30305"/>
    <w:rsid w:val="00F309B5"/>
    <w:rsid w:val="00F31BBE"/>
    <w:rsid w:val="00F32C88"/>
    <w:rsid w:val="00F33065"/>
    <w:rsid w:val="00F33091"/>
    <w:rsid w:val="00F333AC"/>
    <w:rsid w:val="00F33810"/>
    <w:rsid w:val="00F33B86"/>
    <w:rsid w:val="00F33F45"/>
    <w:rsid w:val="00F34614"/>
    <w:rsid w:val="00F3473C"/>
    <w:rsid w:val="00F347A3"/>
    <w:rsid w:val="00F34BAB"/>
    <w:rsid w:val="00F35885"/>
    <w:rsid w:val="00F367B9"/>
    <w:rsid w:val="00F36BC2"/>
    <w:rsid w:val="00F37242"/>
    <w:rsid w:val="00F37535"/>
    <w:rsid w:val="00F4027B"/>
    <w:rsid w:val="00F403C8"/>
    <w:rsid w:val="00F40ABA"/>
    <w:rsid w:val="00F41731"/>
    <w:rsid w:val="00F41763"/>
    <w:rsid w:val="00F42303"/>
    <w:rsid w:val="00F4241D"/>
    <w:rsid w:val="00F42474"/>
    <w:rsid w:val="00F42C4B"/>
    <w:rsid w:val="00F42EB1"/>
    <w:rsid w:val="00F42F58"/>
    <w:rsid w:val="00F43D8E"/>
    <w:rsid w:val="00F43FD4"/>
    <w:rsid w:val="00F4480D"/>
    <w:rsid w:val="00F44963"/>
    <w:rsid w:val="00F453BF"/>
    <w:rsid w:val="00F45414"/>
    <w:rsid w:val="00F45416"/>
    <w:rsid w:val="00F45453"/>
    <w:rsid w:val="00F45869"/>
    <w:rsid w:val="00F45D1B"/>
    <w:rsid w:val="00F45F2F"/>
    <w:rsid w:val="00F4601B"/>
    <w:rsid w:val="00F462CE"/>
    <w:rsid w:val="00F462DC"/>
    <w:rsid w:val="00F46802"/>
    <w:rsid w:val="00F46E54"/>
    <w:rsid w:val="00F50464"/>
    <w:rsid w:val="00F50E31"/>
    <w:rsid w:val="00F517A0"/>
    <w:rsid w:val="00F51CCF"/>
    <w:rsid w:val="00F521AC"/>
    <w:rsid w:val="00F52358"/>
    <w:rsid w:val="00F5287F"/>
    <w:rsid w:val="00F52F7A"/>
    <w:rsid w:val="00F54222"/>
    <w:rsid w:val="00F54790"/>
    <w:rsid w:val="00F54A05"/>
    <w:rsid w:val="00F54FA6"/>
    <w:rsid w:val="00F5549C"/>
    <w:rsid w:val="00F55887"/>
    <w:rsid w:val="00F56F13"/>
    <w:rsid w:val="00F571D9"/>
    <w:rsid w:val="00F57230"/>
    <w:rsid w:val="00F57373"/>
    <w:rsid w:val="00F573E7"/>
    <w:rsid w:val="00F57D30"/>
    <w:rsid w:val="00F57FF4"/>
    <w:rsid w:val="00F605AE"/>
    <w:rsid w:val="00F60962"/>
    <w:rsid w:val="00F60D71"/>
    <w:rsid w:val="00F60E90"/>
    <w:rsid w:val="00F6143F"/>
    <w:rsid w:val="00F61634"/>
    <w:rsid w:val="00F61675"/>
    <w:rsid w:val="00F61D9F"/>
    <w:rsid w:val="00F625BB"/>
    <w:rsid w:val="00F62FE9"/>
    <w:rsid w:val="00F6486B"/>
    <w:rsid w:val="00F64BE0"/>
    <w:rsid w:val="00F650CC"/>
    <w:rsid w:val="00F651EE"/>
    <w:rsid w:val="00F6555B"/>
    <w:rsid w:val="00F65588"/>
    <w:rsid w:val="00F65DF0"/>
    <w:rsid w:val="00F65E30"/>
    <w:rsid w:val="00F673BF"/>
    <w:rsid w:val="00F67713"/>
    <w:rsid w:val="00F67D48"/>
    <w:rsid w:val="00F70383"/>
    <w:rsid w:val="00F70C7E"/>
    <w:rsid w:val="00F71D01"/>
    <w:rsid w:val="00F71F2A"/>
    <w:rsid w:val="00F724D1"/>
    <w:rsid w:val="00F72688"/>
    <w:rsid w:val="00F74144"/>
    <w:rsid w:val="00F745F6"/>
    <w:rsid w:val="00F74AB3"/>
    <w:rsid w:val="00F74ACB"/>
    <w:rsid w:val="00F74C90"/>
    <w:rsid w:val="00F752C1"/>
    <w:rsid w:val="00F75778"/>
    <w:rsid w:val="00F75FF2"/>
    <w:rsid w:val="00F761BB"/>
    <w:rsid w:val="00F7620C"/>
    <w:rsid w:val="00F76E57"/>
    <w:rsid w:val="00F77CB0"/>
    <w:rsid w:val="00F77F59"/>
    <w:rsid w:val="00F80A75"/>
    <w:rsid w:val="00F80F51"/>
    <w:rsid w:val="00F812ED"/>
    <w:rsid w:val="00F814EE"/>
    <w:rsid w:val="00F8248B"/>
    <w:rsid w:val="00F824AD"/>
    <w:rsid w:val="00F82832"/>
    <w:rsid w:val="00F8374D"/>
    <w:rsid w:val="00F83EB5"/>
    <w:rsid w:val="00F84080"/>
    <w:rsid w:val="00F84134"/>
    <w:rsid w:val="00F846A9"/>
    <w:rsid w:val="00F84A14"/>
    <w:rsid w:val="00F85115"/>
    <w:rsid w:val="00F8533F"/>
    <w:rsid w:val="00F85A35"/>
    <w:rsid w:val="00F85E7B"/>
    <w:rsid w:val="00F85F5E"/>
    <w:rsid w:val="00F8601D"/>
    <w:rsid w:val="00F860D7"/>
    <w:rsid w:val="00F8639D"/>
    <w:rsid w:val="00F867F1"/>
    <w:rsid w:val="00F87EF6"/>
    <w:rsid w:val="00F90243"/>
    <w:rsid w:val="00F90C6A"/>
    <w:rsid w:val="00F92724"/>
    <w:rsid w:val="00F93798"/>
    <w:rsid w:val="00F93970"/>
    <w:rsid w:val="00F93D9D"/>
    <w:rsid w:val="00F942EF"/>
    <w:rsid w:val="00F948D7"/>
    <w:rsid w:val="00F94FFC"/>
    <w:rsid w:val="00F95B06"/>
    <w:rsid w:val="00F95F98"/>
    <w:rsid w:val="00F96558"/>
    <w:rsid w:val="00F9657D"/>
    <w:rsid w:val="00F96909"/>
    <w:rsid w:val="00F96B77"/>
    <w:rsid w:val="00FA02C7"/>
    <w:rsid w:val="00FA0373"/>
    <w:rsid w:val="00FA1078"/>
    <w:rsid w:val="00FA13AC"/>
    <w:rsid w:val="00FA1620"/>
    <w:rsid w:val="00FA16B9"/>
    <w:rsid w:val="00FA1A9F"/>
    <w:rsid w:val="00FA2BBB"/>
    <w:rsid w:val="00FA2DED"/>
    <w:rsid w:val="00FA2EEA"/>
    <w:rsid w:val="00FA497B"/>
    <w:rsid w:val="00FA576E"/>
    <w:rsid w:val="00FA5ACC"/>
    <w:rsid w:val="00FA5B55"/>
    <w:rsid w:val="00FA5F0E"/>
    <w:rsid w:val="00FA655A"/>
    <w:rsid w:val="00FA6651"/>
    <w:rsid w:val="00FA6670"/>
    <w:rsid w:val="00FA6AA6"/>
    <w:rsid w:val="00FA7176"/>
    <w:rsid w:val="00FA7343"/>
    <w:rsid w:val="00FB0DCE"/>
    <w:rsid w:val="00FB1B4E"/>
    <w:rsid w:val="00FB1B9C"/>
    <w:rsid w:val="00FB1E56"/>
    <w:rsid w:val="00FB217F"/>
    <w:rsid w:val="00FB260E"/>
    <w:rsid w:val="00FB26C7"/>
    <w:rsid w:val="00FB475A"/>
    <w:rsid w:val="00FB51CA"/>
    <w:rsid w:val="00FB52D8"/>
    <w:rsid w:val="00FB7B88"/>
    <w:rsid w:val="00FC0115"/>
    <w:rsid w:val="00FC0A41"/>
    <w:rsid w:val="00FC0FBF"/>
    <w:rsid w:val="00FC1B2D"/>
    <w:rsid w:val="00FC1C2D"/>
    <w:rsid w:val="00FC2625"/>
    <w:rsid w:val="00FC27BB"/>
    <w:rsid w:val="00FC2B68"/>
    <w:rsid w:val="00FC2C64"/>
    <w:rsid w:val="00FC3B9F"/>
    <w:rsid w:val="00FC3E68"/>
    <w:rsid w:val="00FC5C2B"/>
    <w:rsid w:val="00FC6621"/>
    <w:rsid w:val="00FC66E0"/>
    <w:rsid w:val="00FC747C"/>
    <w:rsid w:val="00FC793E"/>
    <w:rsid w:val="00FC7AB1"/>
    <w:rsid w:val="00FD03A8"/>
    <w:rsid w:val="00FD069E"/>
    <w:rsid w:val="00FD0E0D"/>
    <w:rsid w:val="00FD1730"/>
    <w:rsid w:val="00FD1FEA"/>
    <w:rsid w:val="00FD250C"/>
    <w:rsid w:val="00FD29BF"/>
    <w:rsid w:val="00FD2DA5"/>
    <w:rsid w:val="00FD3323"/>
    <w:rsid w:val="00FD4591"/>
    <w:rsid w:val="00FD51B6"/>
    <w:rsid w:val="00FD56DD"/>
    <w:rsid w:val="00FD5DAB"/>
    <w:rsid w:val="00FD652C"/>
    <w:rsid w:val="00FD6E77"/>
    <w:rsid w:val="00FD6F43"/>
    <w:rsid w:val="00FD79F4"/>
    <w:rsid w:val="00FD7B05"/>
    <w:rsid w:val="00FD7E3B"/>
    <w:rsid w:val="00FD7FD5"/>
    <w:rsid w:val="00FE05F3"/>
    <w:rsid w:val="00FE0972"/>
    <w:rsid w:val="00FE0BD8"/>
    <w:rsid w:val="00FE17DF"/>
    <w:rsid w:val="00FE1A26"/>
    <w:rsid w:val="00FE2D6A"/>
    <w:rsid w:val="00FE301E"/>
    <w:rsid w:val="00FE3A6A"/>
    <w:rsid w:val="00FE4A53"/>
    <w:rsid w:val="00FE4BE4"/>
    <w:rsid w:val="00FE4E4B"/>
    <w:rsid w:val="00FE59E2"/>
    <w:rsid w:val="00FE5A4D"/>
    <w:rsid w:val="00FE63BF"/>
    <w:rsid w:val="00FE64B3"/>
    <w:rsid w:val="00FE6A86"/>
    <w:rsid w:val="00FE72D4"/>
    <w:rsid w:val="00FE7576"/>
    <w:rsid w:val="00FE7C6C"/>
    <w:rsid w:val="00FF02C0"/>
    <w:rsid w:val="00FF03AE"/>
    <w:rsid w:val="00FF0459"/>
    <w:rsid w:val="00FF0496"/>
    <w:rsid w:val="00FF06A7"/>
    <w:rsid w:val="00FF072C"/>
    <w:rsid w:val="00FF092D"/>
    <w:rsid w:val="00FF0AD2"/>
    <w:rsid w:val="00FF0CBD"/>
    <w:rsid w:val="00FF1032"/>
    <w:rsid w:val="00FF1539"/>
    <w:rsid w:val="00FF15C8"/>
    <w:rsid w:val="00FF16B0"/>
    <w:rsid w:val="00FF1CDA"/>
    <w:rsid w:val="00FF24A0"/>
    <w:rsid w:val="00FF26F6"/>
    <w:rsid w:val="00FF3431"/>
    <w:rsid w:val="00FF371A"/>
    <w:rsid w:val="00FF3E3A"/>
    <w:rsid w:val="00FF4134"/>
    <w:rsid w:val="00FF497A"/>
    <w:rsid w:val="00FF4ABC"/>
    <w:rsid w:val="00FF5161"/>
    <w:rsid w:val="00FF569C"/>
    <w:rsid w:val="00FF57FB"/>
    <w:rsid w:val="00FF584C"/>
    <w:rsid w:val="00FF6791"/>
    <w:rsid w:val="00FF6943"/>
    <w:rsid w:val="00FF6D39"/>
    <w:rsid w:val="00FF6EA9"/>
    <w:rsid w:val="00FF740C"/>
    <w:rsid w:val="00FF74FF"/>
    <w:rsid w:val="00FF79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84F49"/>
  <w14:defaultImageDpi w14:val="96"/>
  <w15:docId w15:val="{EEF84307-7E62-4D4F-89B9-BB870652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caption" w:semiHidden="1" w:uiPriority="35" w:unhideWhenUsed="1" w:qFormat="1"/>
    <w:lsdException w:name="footnote reference" w:qFormat="1"/>
    <w:lsdException w:name="page number" w:semiHidden="1" w:uiPriority="0" w:unhideWhenUsed="1"/>
    <w:lsdException w:name="List Number" w:semiHidden="1" w:unhideWhenUsed="1"/>
    <w:lsdException w:name="List 4" w:semiHidden="1" w:unhideWhenUsed="1"/>
    <w:lsdException w:name="List 5" w:semiHidden="1" w:unhideWhenUsed="1"/>
    <w:lsdException w:name="List Bullet 2" w:semiHidden="1" w:uiPriority="0" w:unhideWhenUsed="1"/>
    <w:lsdException w:name="Title" w:uiPriority="1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3"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C7E"/>
    <w:rPr>
      <w:rFonts w:ascii="Times New Roman" w:hAnsi="Times New Roman" w:cs="Times New Roman"/>
      <w:szCs w:val="36"/>
    </w:rPr>
  </w:style>
  <w:style w:type="paragraph" w:styleId="Nadpis1">
    <w:name w:val="heading 1"/>
    <w:basedOn w:val="Normlny"/>
    <w:next w:val="Normlny"/>
    <w:link w:val="Nadpis1Char"/>
    <w:qFormat/>
    <w:rsid w:val="003A760D"/>
    <w:pPr>
      <w:keepNext/>
      <w:keepLines/>
      <w:numPr>
        <w:numId w:val="2"/>
      </w:numPr>
      <w:outlineLvl w:val="0"/>
    </w:pPr>
    <w:rPr>
      <w:rFonts w:eastAsiaTheme="majorEastAsia"/>
      <w:b/>
      <w:bCs/>
      <w:sz w:val="26"/>
      <w:szCs w:val="26"/>
    </w:rPr>
  </w:style>
  <w:style w:type="paragraph" w:styleId="Nadpis2">
    <w:name w:val="heading 2"/>
    <w:basedOn w:val="Normlny"/>
    <w:next w:val="Normlny"/>
    <w:link w:val="Nadpis2Char"/>
    <w:unhideWhenUsed/>
    <w:qFormat/>
    <w:rsid w:val="00AA46C8"/>
    <w:pPr>
      <w:keepNext/>
      <w:keepLines/>
      <w:numPr>
        <w:ilvl w:val="1"/>
        <w:numId w:val="16"/>
      </w:numPr>
      <w:spacing w:before="200" w:after="120" w:line="336" w:lineRule="auto"/>
      <w:outlineLvl w:val="1"/>
    </w:pPr>
    <w:rPr>
      <w:b/>
      <w:bCs/>
      <w:sz w:val="24"/>
      <w:szCs w:val="24"/>
    </w:rPr>
  </w:style>
  <w:style w:type="paragraph" w:styleId="Nadpis3">
    <w:name w:val="heading 3"/>
    <w:basedOn w:val="Odsekzoznamu"/>
    <w:next w:val="Normlny"/>
    <w:link w:val="Nadpis3Char"/>
    <w:uiPriority w:val="9"/>
    <w:qFormat/>
    <w:rsid w:val="00AA46C8"/>
    <w:pPr>
      <w:numPr>
        <w:ilvl w:val="2"/>
        <w:numId w:val="34"/>
      </w:numPr>
      <w:spacing w:before="120" w:after="120" w:line="336" w:lineRule="auto"/>
      <w:ind w:left="1800"/>
      <w:jc w:val="both"/>
      <w:outlineLvl w:val="2"/>
    </w:pPr>
    <w:rPr>
      <w:rFonts w:eastAsiaTheme="majorEastAsia" w:cs="Times New Roman"/>
      <w:b/>
      <w:lang w:eastAsia="en-US"/>
    </w:rPr>
  </w:style>
  <w:style w:type="paragraph" w:styleId="Nadpis4">
    <w:name w:val="heading 4"/>
    <w:basedOn w:val="Normlny"/>
    <w:next w:val="Normlny"/>
    <w:link w:val="Nadpis4Char"/>
    <w:unhideWhenUsed/>
    <w:qFormat/>
    <w:rsid w:val="000F366E"/>
    <w:pPr>
      <w:spacing w:after="0" w:line="360" w:lineRule="auto"/>
      <w:jc w:val="both"/>
      <w:outlineLvl w:val="3"/>
    </w:pPr>
    <w:rPr>
      <w:b/>
      <w:sz w:val="24"/>
      <w:szCs w:val="24"/>
    </w:rPr>
  </w:style>
  <w:style w:type="paragraph" w:styleId="Nadpis5">
    <w:name w:val="heading 5"/>
    <w:basedOn w:val="Normlny"/>
    <w:next w:val="Normlny"/>
    <w:link w:val="Nadpis5Char"/>
    <w:qFormat/>
    <w:rsid w:val="003F1365"/>
    <w:pPr>
      <w:keepNext/>
      <w:tabs>
        <w:tab w:val="num" w:pos="1008"/>
      </w:tabs>
      <w:spacing w:after="0" w:line="240" w:lineRule="auto"/>
      <w:ind w:left="1008" w:hanging="1008"/>
      <w:jc w:val="center"/>
      <w:outlineLvl w:val="4"/>
    </w:pPr>
    <w:rPr>
      <w:b/>
      <w:bCs/>
      <w:sz w:val="20"/>
      <w:szCs w:val="20"/>
      <w:lang w:eastAsia="cs-CZ"/>
    </w:rPr>
  </w:style>
  <w:style w:type="paragraph" w:styleId="Nadpis6">
    <w:name w:val="heading 6"/>
    <w:basedOn w:val="Normlny"/>
    <w:next w:val="Normlny"/>
    <w:link w:val="Nadpis6Char"/>
    <w:qFormat/>
    <w:rsid w:val="003F1365"/>
    <w:pPr>
      <w:tabs>
        <w:tab w:val="num" w:pos="1152"/>
      </w:tabs>
      <w:spacing w:before="240" w:after="60" w:line="240" w:lineRule="auto"/>
      <w:ind w:left="1152" w:hanging="1152"/>
      <w:outlineLvl w:val="5"/>
    </w:pPr>
    <w:rPr>
      <w:b/>
      <w:bCs/>
      <w:sz w:val="20"/>
      <w:szCs w:val="22"/>
    </w:rPr>
  </w:style>
  <w:style w:type="paragraph" w:styleId="Nadpis7">
    <w:name w:val="heading 7"/>
    <w:basedOn w:val="Normlny"/>
    <w:next w:val="Normlny"/>
    <w:link w:val="Nadpis7Char"/>
    <w:qFormat/>
    <w:rsid w:val="003F1365"/>
    <w:pPr>
      <w:tabs>
        <w:tab w:val="num" w:pos="1296"/>
      </w:tabs>
      <w:spacing w:before="240" w:after="60" w:line="240" w:lineRule="auto"/>
      <w:ind w:left="1296" w:hanging="1296"/>
      <w:outlineLvl w:val="6"/>
    </w:pPr>
    <w:rPr>
      <w:sz w:val="24"/>
      <w:szCs w:val="24"/>
    </w:rPr>
  </w:style>
  <w:style w:type="paragraph" w:styleId="Nadpis8">
    <w:name w:val="heading 8"/>
    <w:basedOn w:val="Normlny"/>
    <w:next w:val="Normlny"/>
    <w:link w:val="Nadpis8Char"/>
    <w:qFormat/>
    <w:rsid w:val="003F1365"/>
    <w:pPr>
      <w:tabs>
        <w:tab w:val="num" w:pos="1440"/>
      </w:tabs>
      <w:spacing w:before="240" w:after="60" w:line="240" w:lineRule="auto"/>
      <w:ind w:left="1440" w:hanging="1440"/>
      <w:outlineLvl w:val="7"/>
    </w:pPr>
    <w:rPr>
      <w:i/>
      <w:iCs/>
      <w:sz w:val="24"/>
      <w:szCs w:val="24"/>
    </w:rPr>
  </w:style>
  <w:style w:type="paragraph" w:styleId="Nadpis9">
    <w:name w:val="heading 9"/>
    <w:basedOn w:val="Normlny"/>
    <w:next w:val="Normlny"/>
    <w:link w:val="Nadpis9Char"/>
    <w:qFormat/>
    <w:rsid w:val="003F1365"/>
    <w:pPr>
      <w:tabs>
        <w:tab w:val="num" w:pos="1584"/>
      </w:tabs>
      <w:spacing w:before="240" w:after="60" w:line="240" w:lineRule="auto"/>
      <w:ind w:left="1584" w:hanging="1584"/>
      <w:outlineLvl w:val="8"/>
    </w:pPr>
    <w:rPr>
      <w:rFonts w:ascii="Arial" w:hAnsi="Arial"/>
      <w:sz w:val="20"/>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3A760D"/>
    <w:rPr>
      <w:rFonts w:ascii="Times New Roman" w:eastAsiaTheme="majorEastAsia" w:hAnsi="Times New Roman" w:cs="Times New Roman"/>
      <w:b/>
      <w:bCs/>
      <w:sz w:val="26"/>
      <w:szCs w:val="26"/>
    </w:rPr>
  </w:style>
  <w:style w:type="character" w:customStyle="1" w:styleId="Nadpis2Char">
    <w:name w:val="Nadpis 2 Char"/>
    <w:basedOn w:val="Predvolenpsmoodseku"/>
    <w:link w:val="Nadpis2"/>
    <w:locked/>
    <w:rsid w:val="00AA46C8"/>
    <w:rPr>
      <w:rFonts w:ascii="Times New Roman" w:hAnsi="Times New Roman" w:cs="Times New Roman"/>
      <w:b/>
      <w:bCs/>
      <w:sz w:val="24"/>
      <w:szCs w:val="24"/>
    </w:rPr>
  </w:style>
  <w:style w:type="character" w:customStyle="1" w:styleId="Nadpis3Char">
    <w:name w:val="Nadpis 3 Char"/>
    <w:basedOn w:val="Predvolenpsmoodseku"/>
    <w:link w:val="Nadpis3"/>
    <w:uiPriority w:val="9"/>
    <w:locked/>
    <w:rsid w:val="00AA46C8"/>
    <w:rPr>
      <w:rFonts w:ascii="Times New Roman" w:eastAsiaTheme="majorEastAsia" w:hAnsi="Times New Roman" w:cs="Times New Roman"/>
      <w:b/>
    </w:rPr>
  </w:style>
  <w:style w:type="character" w:customStyle="1" w:styleId="Nadpis4Char">
    <w:name w:val="Nadpis 4 Char"/>
    <w:basedOn w:val="Predvolenpsmoodseku"/>
    <w:link w:val="Nadpis4"/>
    <w:locked/>
    <w:rsid w:val="000F366E"/>
    <w:rPr>
      <w:rFonts w:ascii="Times New Roman" w:hAnsi="Times New Roman" w:cs="Times New Roman"/>
      <w:b/>
      <w:sz w:val="24"/>
      <w:szCs w:val="24"/>
    </w:rPr>
  </w:style>
  <w:style w:type="character" w:customStyle="1" w:styleId="Nadpis5Char">
    <w:name w:val="Nadpis 5 Char"/>
    <w:basedOn w:val="Predvolenpsmoodseku"/>
    <w:link w:val="Nadpis5"/>
    <w:locked/>
    <w:rsid w:val="003F1365"/>
    <w:rPr>
      <w:rFonts w:ascii="Times New Roman" w:hAnsi="Times New Roman" w:cs="Times New Roman"/>
      <w:b/>
      <w:bCs/>
      <w:sz w:val="20"/>
      <w:szCs w:val="20"/>
      <w:lang w:val="x-none" w:eastAsia="cs-CZ"/>
    </w:rPr>
  </w:style>
  <w:style w:type="character" w:customStyle="1" w:styleId="Nadpis6Char">
    <w:name w:val="Nadpis 6 Char"/>
    <w:basedOn w:val="Predvolenpsmoodseku"/>
    <w:link w:val="Nadpis6"/>
    <w:locked/>
    <w:rsid w:val="003F1365"/>
    <w:rPr>
      <w:rFonts w:ascii="Times New Roman" w:hAnsi="Times New Roman" w:cs="Times New Roman"/>
      <w:b/>
      <w:bCs/>
      <w:sz w:val="22"/>
      <w:szCs w:val="22"/>
      <w:lang w:val="x-none" w:eastAsia="x-none"/>
    </w:rPr>
  </w:style>
  <w:style w:type="character" w:customStyle="1" w:styleId="Nadpis7Char">
    <w:name w:val="Nadpis 7 Char"/>
    <w:basedOn w:val="Predvolenpsmoodseku"/>
    <w:link w:val="Nadpis7"/>
    <w:locked/>
    <w:rsid w:val="003F1365"/>
    <w:rPr>
      <w:rFonts w:ascii="Times New Roman" w:hAnsi="Times New Roman" w:cs="Times New Roman"/>
      <w:sz w:val="24"/>
      <w:szCs w:val="24"/>
      <w:lang w:val="x-none" w:eastAsia="x-none"/>
    </w:rPr>
  </w:style>
  <w:style w:type="character" w:customStyle="1" w:styleId="Nadpis8Char">
    <w:name w:val="Nadpis 8 Char"/>
    <w:basedOn w:val="Predvolenpsmoodseku"/>
    <w:link w:val="Nadpis8"/>
    <w:locked/>
    <w:rsid w:val="003F1365"/>
    <w:rPr>
      <w:rFonts w:ascii="Times New Roman" w:hAnsi="Times New Roman" w:cs="Times New Roman"/>
      <w:i/>
      <w:iCs/>
      <w:sz w:val="24"/>
      <w:szCs w:val="24"/>
      <w:lang w:val="x-none" w:eastAsia="x-none"/>
    </w:rPr>
  </w:style>
  <w:style w:type="character" w:customStyle="1" w:styleId="Nadpis9Char">
    <w:name w:val="Nadpis 9 Char"/>
    <w:basedOn w:val="Predvolenpsmoodseku"/>
    <w:link w:val="Nadpis9"/>
    <w:locked/>
    <w:rsid w:val="003F1365"/>
    <w:rPr>
      <w:rFonts w:ascii="Arial" w:hAnsi="Arial" w:cs="Times New Roman"/>
      <w:sz w:val="22"/>
      <w:szCs w:val="22"/>
      <w:lang w:val="x-none" w:eastAsia="x-none"/>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 Char Char Char Char Char,Plonk,f"/>
    <w:basedOn w:val="Normlny"/>
    <w:link w:val="TextpoznmkypodiarouChar"/>
    <w:uiPriority w:val="99"/>
    <w:unhideWhenUsed/>
    <w:qFormat/>
    <w:rsid w:val="007304A5"/>
    <w:pPr>
      <w:spacing w:after="0" w:line="240" w:lineRule="auto"/>
    </w:pPr>
    <w:rPr>
      <w:sz w:val="20"/>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Plonk Char,f Char"/>
    <w:basedOn w:val="Predvolenpsmoodseku"/>
    <w:link w:val="Textpoznmkypodiarou"/>
    <w:uiPriority w:val="99"/>
    <w:locked/>
    <w:rsid w:val="007304A5"/>
    <w:rPr>
      <w:rFonts w:cs="Times New Roman"/>
      <w:sz w:val="20"/>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unhideWhenUsed/>
    <w:qFormat/>
    <w:rsid w:val="007304A5"/>
    <w:rPr>
      <w:rFonts w:cs="Times New Roman"/>
      <w:vertAlign w:val="superscript"/>
    </w:rPr>
  </w:style>
  <w:style w:type="paragraph" w:styleId="Hlavika">
    <w:name w:val="header"/>
    <w:basedOn w:val="Normlny"/>
    <w:link w:val="HlavikaChar"/>
    <w:uiPriority w:val="99"/>
    <w:unhideWhenUsed/>
    <w:rsid w:val="00B200F2"/>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B200F2"/>
    <w:rPr>
      <w:rFonts w:cs="Times New Roman"/>
    </w:rPr>
  </w:style>
  <w:style w:type="paragraph" w:styleId="Pta">
    <w:name w:val="footer"/>
    <w:basedOn w:val="Normlny"/>
    <w:link w:val="PtaChar"/>
    <w:uiPriority w:val="99"/>
    <w:unhideWhenUsed/>
    <w:rsid w:val="00B200F2"/>
    <w:pPr>
      <w:tabs>
        <w:tab w:val="center" w:pos="4536"/>
        <w:tab w:val="right" w:pos="9072"/>
      </w:tabs>
      <w:spacing w:after="0" w:line="240" w:lineRule="auto"/>
    </w:pPr>
  </w:style>
  <w:style w:type="character" w:customStyle="1" w:styleId="PtaChar">
    <w:name w:val="Päta Char"/>
    <w:basedOn w:val="Predvolenpsmoodseku"/>
    <w:link w:val="Pta"/>
    <w:uiPriority w:val="99"/>
    <w:locked/>
    <w:rsid w:val="00B200F2"/>
    <w:rPr>
      <w:rFonts w:cs="Times New Roman"/>
    </w:rPr>
  </w:style>
  <w:style w:type="paragraph" w:customStyle="1" w:styleId="NormalList">
    <w:name w:val="NormalList"/>
    <w:basedOn w:val="Normlny"/>
    <w:qFormat/>
    <w:rsid w:val="006B3B40"/>
    <w:pPr>
      <w:spacing w:after="0" w:line="240" w:lineRule="auto"/>
      <w:jc w:val="both"/>
    </w:pPr>
    <w:rPr>
      <w:rFonts w:cs="Book Antiqua"/>
      <w:szCs w:val="22"/>
    </w:rPr>
  </w:style>
  <w:style w:type="paragraph" w:styleId="Odsekzoznamu">
    <w:name w:val="List Paragraph"/>
    <w:aliases w:val="body,Odsek zoznamu2,Odsek,Odražka 1,List Paragraph,Farebný zoznam – zvýraznenie 11,lp1,a-OdsekNormal,Lettre d'introduction,Paragrafo elenco,List Paragraph1,1st level - Bullet List Paragraph,Odsek zoznamu21,Colorful List - Accent 11"/>
    <w:basedOn w:val="Normlny"/>
    <w:link w:val="OdsekzoznamuChar"/>
    <w:uiPriority w:val="34"/>
    <w:qFormat/>
    <w:rsid w:val="006B3B40"/>
    <w:pPr>
      <w:spacing w:after="0" w:line="240" w:lineRule="auto"/>
      <w:ind w:left="720"/>
      <w:contextualSpacing/>
    </w:pPr>
    <w:rPr>
      <w:rFonts w:cs="Book Antiqua"/>
      <w:szCs w:val="22"/>
      <w:lang w:eastAsia="sk-SK"/>
    </w:rPr>
  </w:style>
  <w:style w:type="character" w:styleId="Odkaznakomentr">
    <w:name w:val="annotation reference"/>
    <w:basedOn w:val="Predvolenpsmoodseku"/>
    <w:uiPriority w:val="99"/>
    <w:semiHidden/>
    <w:unhideWhenUsed/>
    <w:rsid w:val="006752EF"/>
    <w:rPr>
      <w:rFonts w:cs="Times New Roman"/>
      <w:sz w:val="16"/>
      <w:szCs w:val="16"/>
    </w:rPr>
  </w:style>
  <w:style w:type="paragraph" w:styleId="Textkomentra">
    <w:name w:val="annotation text"/>
    <w:basedOn w:val="Normlny"/>
    <w:link w:val="TextkomentraChar"/>
    <w:uiPriority w:val="99"/>
    <w:unhideWhenUsed/>
    <w:rsid w:val="006752EF"/>
    <w:pPr>
      <w:spacing w:after="0" w:line="240" w:lineRule="auto"/>
    </w:pPr>
    <w:rPr>
      <w:sz w:val="20"/>
      <w:szCs w:val="20"/>
      <w:lang w:eastAsia="sk-SK"/>
    </w:rPr>
  </w:style>
  <w:style w:type="character" w:customStyle="1" w:styleId="TextkomentraChar">
    <w:name w:val="Text komentára Char"/>
    <w:basedOn w:val="Predvolenpsmoodseku"/>
    <w:link w:val="Textkomentra"/>
    <w:uiPriority w:val="99"/>
    <w:locked/>
    <w:rsid w:val="006752EF"/>
    <w:rPr>
      <w:rFonts w:ascii="Times New Roman" w:hAnsi="Times New Roman" w:cs="Times New Roman"/>
      <w:sz w:val="20"/>
      <w:szCs w:val="20"/>
      <w:lang w:val="x-none" w:eastAsia="sk-SK"/>
    </w:rPr>
  </w:style>
  <w:style w:type="paragraph" w:styleId="Textbubliny">
    <w:name w:val="Balloon Text"/>
    <w:basedOn w:val="Normlny"/>
    <w:link w:val="TextbublinyChar"/>
    <w:uiPriority w:val="99"/>
    <w:semiHidden/>
    <w:unhideWhenUsed/>
    <w:rsid w:val="006752E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752EF"/>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9F701F"/>
    <w:pPr>
      <w:spacing w:after="200"/>
    </w:pPr>
    <w:rPr>
      <w:rFonts w:ascii="Arial Narrow" w:hAnsi="Arial Narrow"/>
      <w:b/>
      <w:bCs/>
      <w:lang w:eastAsia="en-US"/>
    </w:rPr>
  </w:style>
  <w:style w:type="character" w:customStyle="1" w:styleId="PredmetkomentraChar">
    <w:name w:val="Predmet komentára Char"/>
    <w:basedOn w:val="TextkomentraChar"/>
    <w:link w:val="Predmetkomentra"/>
    <w:uiPriority w:val="99"/>
    <w:semiHidden/>
    <w:locked/>
    <w:rsid w:val="009F701F"/>
    <w:rPr>
      <w:rFonts w:ascii="Times New Roman" w:hAnsi="Times New Roman" w:cs="Times New Roman"/>
      <w:b/>
      <w:bCs/>
      <w:sz w:val="20"/>
      <w:szCs w:val="20"/>
      <w:lang w:val="x-none" w:eastAsia="sk-SK"/>
    </w:rPr>
  </w:style>
  <w:style w:type="paragraph" w:styleId="Zkladntext">
    <w:name w:val="Body Text"/>
    <w:basedOn w:val="Normlny"/>
    <w:link w:val="ZkladntextChar"/>
    <w:rsid w:val="003A760D"/>
    <w:pPr>
      <w:spacing w:after="0" w:line="240" w:lineRule="auto"/>
      <w:jc w:val="both"/>
    </w:pPr>
    <w:rPr>
      <w:sz w:val="24"/>
      <w:szCs w:val="20"/>
      <w:lang w:eastAsia="cs-CZ"/>
    </w:rPr>
  </w:style>
  <w:style w:type="character" w:customStyle="1" w:styleId="ZkladntextChar">
    <w:name w:val="Základný text Char"/>
    <w:basedOn w:val="Predvolenpsmoodseku"/>
    <w:link w:val="Zkladntext"/>
    <w:locked/>
    <w:rsid w:val="003A760D"/>
    <w:rPr>
      <w:rFonts w:ascii="Times New Roman" w:hAnsi="Times New Roman" w:cs="Times New Roman"/>
      <w:sz w:val="20"/>
      <w:szCs w:val="20"/>
      <w:lang w:val="x-none" w:eastAsia="cs-CZ"/>
    </w:rPr>
  </w:style>
  <w:style w:type="paragraph" w:styleId="Revzia">
    <w:name w:val="Revision"/>
    <w:hidden/>
    <w:uiPriority w:val="99"/>
    <w:semiHidden/>
    <w:rsid w:val="003A760D"/>
    <w:pPr>
      <w:spacing w:after="0" w:line="240" w:lineRule="auto"/>
    </w:pPr>
    <w:rPr>
      <w:rFonts w:cs="Times New Roman"/>
      <w:szCs w:val="36"/>
    </w:rPr>
  </w:style>
  <w:style w:type="character" w:styleId="Vrazn">
    <w:name w:val="Strong"/>
    <w:basedOn w:val="Predvolenpsmoodseku"/>
    <w:uiPriority w:val="22"/>
    <w:qFormat/>
    <w:rsid w:val="00D072E8"/>
    <w:rPr>
      <w:rFonts w:cs="Times New Roman"/>
      <w:bCs/>
    </w:rPr>
  </w:style>
  <w:style w:type="character" w:customStyle="1" w:styleId="OdsekzoznamuChar">
    <w:name w:val="Odsek zoznamu Char"/>
    <w:aliases w:val="body Char,Odsek zoznamu2 Char,Odsek Char,Odražka 1 Char,List Paragraph Char,Farebný zoznam – zvýraznenie 11 Char,lp1 Char,a-OdsekNormal Char,Lettre d'introduction Char,Paragrafo elenco Char,List Paragraph1 Char,Odsek zoznamu21 Char"/>
    <w:link w:val="Odsekzoznamu"/>
    <w:uiPriority w:val="34"/>
    <w:qFormat/>
    <w:locked/>
    <w:rsid w:val="005D5220"/>
    <w:rPr>
      <w:rFonts w:eastAsia="Times New Roman"/>
      <w:sz w:val="22"/>
      <w:lang w:val="x-none" w:eastAsia="sk-SK"/>
    </w:rPr>
  </w:style>
  <w:style w:type="paragraph" w:customStyle="1" w:styleId="Pismenka">
    <w:name w:val="Pismenka"/>
    <w:basedOn w:val="Zkladntext"/>
    <w:uiPriority w:val="99"/>
    <w:rsid w:val="005D5220"/>
    <w:pPr>
      <w:tabs>
        <w:tab w:val="num" w:pos="426"/>
      </w:tabs>
      <w:ind w:left="426" w:hanging="426"/>
    </w:pPr>
    <w:rPr>
      <w:b/>
      <w:bCs/>
      <w:sz w:val="18"/>
      <w:szCs w:val="18"/>
      <w:lang w:eastAsia="sk-SK"/>
    </w:rPr>
  </w:style>
  <w:style w:type="paragraph" w:styleId="Bezriadkovania">
    <w:name w:val="No Spacing"/>
    <w:uiPriority w:val="1"/>
    <w:qFormat/>
    <w:rsid w:val="005D5220"/>
    <w:pPr>
      <w:spacing w:after="0" w:line="240" w:lineRule="auto"/>
    </w:pPr>
    <w:rPr>
      <w:rFonts w:cs="Times New Roman"/>
      <w:szCs w:val="36"/>
    </w:rPr>
  </w:style>
  <w:style w:type="paragraph" w:styleId="Normlnywebov">
    <w:name w:val="Normal (Web)"/>
    <w:basedOn w:val="Normlny"/>
    <w:uiPriority w:val="99"/>
    <w:unhideWhenUsed/>
    <w:rsid w:val="003F1365"/>
    <w:pPr>
      <w:spacing w:after="100" w:afterAutospacing="1" w:line="240" w:lineRule="auto"/>
    </w:pPr>
    <w:rPr>
      <w:sz w:val="24"/>
      <w:szCs w:val="24"/>
      <w:lang w:eastAsia="sk-SK"/>
    </w:rPr>
  </w:style>
  <w:style w:type="character" w:styleId="Hypertextovprepojenie">
    <w:name w:val="Hyperlink"/>
    <w:basedOn w:val="Predvolenpsmoodseku"/>
    <w:uiPriority w:val="99"/>
    <w:unhideWhenUsed/>
    <w:rsid w:val="003F1365"/>
    <w:rPr>
      <w:color w:val="9E150F"/>
      <w:u w:val="single"/>
    </w:rPr>
  </w:style>
  <w:style w:type="table" w:styleId="Mriekatabuky">
    <w:name w:val="Table Grid"/>
    <w:basedOn w:val="Normlnatabuka"/>
    <w:uiPriority w:val="59"/>
    <w:rsid w:val="003F1365"/>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3F1365"/>
  </w:style>
  <w:style w:type="paragraph" w:customStyle="1" w:styleId="Zkladntext1">
    <w:name w:val="Základní text1"/>
    <w:uiPriority w:val="99"/>
    <w:rsid w:val="003F1365"/>
    <w:pPr>
      <w:spacing w:before="144" w:after="144" w:line="240" w:lineRule="auto"/>
      <w:ind w:firstLine="709"/>
      <w:jc w:val="both"/>
    </w:pPr>
    <w:rPr>
      <w:rFonts w:ascii="Times New Roman" w:hAnsi="Times New Roman" w:cs="Times New Roman"/>
      <w:color w:val="000000"/>
      <w:sz w:val="24"/>
      <w:szCs w:val="24"/>
      <w:lang w:eastAsia="sk-SK"/>
    </w:rPr>
  </w:style>
  <w:style w:type="paragraph" w:customStyle="1" w:styleId="odstavec">
    <w:name w:val="odstavec"/>
    <w:basedOn w:val="Normlny"/>
    <w:autoRedefine/>
    <w:rsid w:val="003F1365"/>
    <w:pPr>
      <w:spacing w:after="0" w:line="240" w:lineRule="auto"/>
      <w:ind w:right="-79"/>
      <w:jc w:val="both"/>
    </w:pPr>
    <w:rPr>
      <w:sz w:val="20"/>
      <w:szCs w:val="24"/>
      <w:lang w:eastAsia="sk-SK"/>
    </w:rPr>
  </w:style>
  <w:style w:type="paragraph" w:customStyle="1" w:styleId="abc">
    <w:name w:val="abc"/>
    <w:basedOn w:val="Normlny"/>
    <w:autoRedefine/>
    <w:rsid w:val="003F1365"/>
    <w:pPr>
      <w:numPr>
        <w:numId w:val="4"/>
      </w:numPr>
      <w:spacing w:before="60" w:after="120" w:line="240" w:lineRule="auto"/>
      <w:jc w:val="both"/>
    </w:pPr>
    <w:rPr>
      <w:b/>
      <w:sz w:val="20"/>
      <w:szCs w:val="20"/>
      <w:lang w:eastAsia="sk-SK"/>
    </w:rPr>
  </w:style>
  <w:style w:type="character" w:customStyle="1" w:styleId="spanr">
    <w:name w:val="span_r"/>
    <w:basedOn w:val="Predvolenpsmoodseku"/>
    <w:rsid w:val="003F1365"/>
    <w:rPr>
      <w:rFonts w:cs="Times New Roman"/>
    </w:rPr>
  </w:style>
  <w:style w:type="paragraph" w:customStyle="1" w:styleId="CharChar1">
    <w:name w:val="Char Char1"/>
    <w:basedOn w:val="Normlny"/>
    <w:rsid w:val="003F1365"/>
    <w:pPr>
      <w:spacing w:after="160" w:line="240" w:lineRule="exact"/>
    </w:pPr>
    <w:rPr>
      <w:rFonts w:ascii="Tahoma" w:hAnsi="Tahoma"/>
      <w:sz w:val="20"/>
      <w:szCs w:val="20"/>
    </w:rPr>
  </w:style>
  <w:style w:type="character" w:customStyle="1" w:styleId="poradna-tl-reaguj1">
    <w:name w:val="poradna-tl-reaguj1"/>
    <w:rsid w:val="003F1365"/>
    <w:rPr>
      <w:color w:val="A55570"/>
      <w:sz w:val="20"/>
    </w:rPr>
  </w:style>
  <w:style w:type="paragraph" w:customStyle="1" w:styleId="Zakladnmtext">
    <w:name w:val="Z&lt;/a&gt;kladn&lt;/m&gt; text"/>
    <w:rsid w:val="003F1365"/>
    <w:pPr>
      <w:spacing w:after="0" w:line="240" w:lineRule="auto"/>
    </w:pPr>
    <w:rPr>
      <w:rFonts w:ascii="Times New Roman" w:hAnsi="Times New Roman" w:cs="Times New Roman"/>
      <w:color w:val="000000"/>
      <w:sz w:val="24"/>
      <w:szCs w:val="20"/>
      <w:lang w:val="en-US" w:eastAsia="sk-SK"/>
    </w:rPr>
  </w:style>
  <w:style w:type="paragraph" w:customStyle="1" w:styleId="Xadka">
    <w:name w:val="&lt;/X&gt;&lt;/a&gt;dka"/>
    <w:rsid w:val="003F1365"/>
    <w:pPr>
      <w:spacing w:after="0" w:line="240" w:lineRule="auto"/>
    </w:pPr>
    <w:rPr>
      <w:rFonts w:ascii="Times New Roman" w:hAnsi="Times New Roman" w:cs="Times New Roman"/>
      <w:color w:val="000000"/>
      <w:sz w:val="24"/>
      <w:szCs w:val="20"/>
      <w:lang w:val="en-US" w:eastAsia="sk-SK"/>
    </w:rPr>
  </w:style>
  <w:style w:type="paragraph" w:customStyle="1" w:styleId="Znahka">
    <w:name w:val="Zna&lt;/h&gt;ka"/>
    <w:rsid w:val="003F1365"/>
    <w:pPr>
      <w:spacing w:after="0" w:line="240" w:lineRule="auto"/>
      <w:ind w:left="288" w:hanging="288"/>
    </w:pPr>
    <w:rPr>
      <w:rFonts w:ascii="Times New Roman" w:hAnsi="Times New Roman" w:cs="Times New Roman"/>
      <w:color w:val="000000"/>
      <w:sz w:val="24"/>
      <w:szCs w:val="20"/>
      <w:lang w:val="en-US" w:eastAsia="sk-SK"/>
    </w:rPr>
  </w:style>
  <w:style w:type="paragraph" w:customStyle="1" w:styleId="Znahka1">
    <w:name w:val="Zna&lt;/h&gt;ka 1"/>
    <w:rsid w:val="003F1365"/>
    <w:pPr>
      <w:spacing w:after="0" w:line="240" w:lineRule="auto"/>
    </w:pPr>
    <w:rPr>
      <w:rFonts w:ascii="Times New Roman" w:hAnsi="Times New Roman" w:cs="Times New Roman"/>
      <w:color w:val="000000"/>
      <w:sz w:val="24"/>
      <w:szCs w:val="20"/>
      <w:lang w:val="en-US" w:eastAsia="sk-SK"/>
    </w:rPr>
  </w:style>
  <w:style w:type="paragraph" w:customStyle="1" w:styleId="Hmsloseznamu">
    <w:name w:val="&lt;/H&gt;&lt;/m&gt;slo seznamu"/>
    <w:rsid w:val="003F1365"/>
    <w:pPr>
      <w:tabs>
        <w:tab w:val="left" w:pos="576"/>
      </w:tabs>
      <w:spacing w:after="0" w:line="240" w:lineRule="auto"/>
    </w:pPr>
    <w:rPr>
      <w:rFonts w:ascii="Times New Roman" w:hAnsi="Times New Roman" w:cs="Times New Roman"/>
      <w:color w:val="000000"/>
      <w:sz w:val="24"/>
      <w:szCs w:val="20"/>
      <w:lang w:val="en-US" w:eastAsia="sk-SK"/>
    </w:rPr>
  </w:style>
  <w:style w:type="paragraph" w:customStyle="1" w:styleId="Podnadpis">
    <w:name w:val="Podnadpis"/>
    <w:rsid w:val="003F1365"/>
    <w:pPr>
      <w:spacing w:after="0" w:line="240" w:lineRule="auto"/>
    </w:pPr>
    <w:rPr>
      <w:rFonts w:ascii="Times New Roman" w:hAnsi="Times New Roman" w:cs="Times New Roman"/>
      <w:b/>
      <w:i/>
      <w:color w:val="000000"/>
      <w:sz w:val="24"/>
      <w:szCs w:val="20"/>
      <w:lang w:val="en-US" w:eastAsia="sk-SK"/>
    </w:rPr>
  </w:style>
  <w:style w:type="paragraph" w:customStyle="1" w:styleId="Nadpis">
    <w:name w:val="Nadpis"/>
    <w:rsid w:val="003F1365"/>
    <w:pPr>
      <w:spacing w:after="0" w:line="240" w:lineRule="auto"/>
      <w:jc w:val="center"/>
    </w:pPr>
    <w:rPr>
      <w:rFonts w:ascii="Arial" w:hAnsi="Arial" w:cs="Times New Roman"/>
      <w:b/>
      <w:color w:val="000000"/>
      <w:sz w:val="36"/>
      <w:szCs w:val="20"/>
      <w:lang w:val="en-US" w:eastAsia="sk-SK"/>
    </w:rPr>
  </w:style>
  <w:style w:type="paragraph" w:customStyle="1" w:styleId="Zahlavm">
    <w:name w:val="Z&lt;/a&gt;hlav&lt;/m&gt;"/>
    <w:rsid w:val="003F1365"/>
    <w:pPr>
      <w:spacing w:after="0" w:line="240" w:lineRule="auto"/>
    </w:pPr>
    <w:rPr>
      <w:rFonts w:ascii="Times New Roman" w:hAnsi="Times New Roman" w:cs="Times New Roman"/>
      <w:color w:val="000000"/>
      <w:sz w:val="24"/>
      <w:szCs w:val="20"/>
      <w:lang w:val="en-US" w:eastAsia="sk-SK"/>
    </w:rPr>
  </w:style>
  <w:style w:type="paragraph" w:customStyle="1" w:styleId="Pata">
    <w:name w:val="Pata"/>
    <w:rsid w:val="003F1365"/>
    <w:pPr>
      <w:spacing w:after="0" w:line="240" w:lineRule="auto"/>
    </w:pPr>
    <w:rPr>
      <w:rFonts w:ascii="Times New Roman" w:hAnsi="Times New Roman" w:cs="Times New Roman"/>
      <w:color w:val="000000"/>
      <w:sz w:val="24"/>
      <w:szCs w:val="20"/>
      <w:lang w:val="en-US" w:eastAsia="sk-SK"/>
    </w:rPr>
  </w:style>
  <w:style w:type="paragraph" w:customStyle="1" w:styleId="Texttabulky">
    <w:name w:val="Text tabulky"/>
    <w:rsid w:val="003F1365"/>
    <w:pPr>
      <w:spacing w:after="0" w:line="240" w:lineRule="auto"/>
    </w:pPr>
    <w:rPr>
      <w:rFonts w:ascii="Times New Roman" w:hAnsi="Times New Roman" w:cs="Times New Roman"/>
      <w:color w:val="000000"/>
      <w:sz w:val="24"/>
      <w:szCs w:val="20"/>
      <w:lang w:val="en-US" w:eastAsia="sk-SK"/>
    </w:rPr>
  </w:style>
  <w:style w:type="paragraph" w:customStyle="1" w:styleId="Zkladntext10">
    <w:name w:val="Základný text1"/>
    <w:rsid w:val="003F1365"/>
    <w:pPr>
      <w:spacing w:after="0" w:line="240" w:lineRule="auto"/>
    </w:pPr>
    <w:rPr>
      <w:rFonts w:ascii="Dutch801 SWC" w:hAnsi="Dutch801 SWC" w:cs="Times New Roman"/>
      <w:color w:val="000000"/>
      <w:sz w:val="24"/>
      <w:szCs w:val="20"/>
      <w:lang w:val="en-US" w:eastAsia="sk-SK"/>
    </w:rPr>
  </w:style>
  <w:style w:type="paragraph" w:customStyle="1" w:styleId="Zkladntext0">
    <w:name w:val="Základní text"/>
    <w:rsid w:val="003F1365"/>
    <w:pPr>
      <w:autoSpaceDE w:val="0"/>
      <w:autoSpaceDN w:val="0"/>
      <w:adjustRightInd w:val="0"/>
      <w:spacing w:after="0" w:line="240" w:lineRule="auto"/>
    </w:pPr>
    <w:rPr>
      <w:rFonts w:ascii="Times New Roman" w:hAnsi="Times New Roman" w:cs="Times New Roman"/>
      <w:color w:val="000000"/>
      <w:sz w:val="20"/>
      <w:szCs w:val="24"/>
      <w:lang w:eastAsia="sk-SK"/>
    </w:rPr>
  </w:style>
  <w:style w:type="paragraph" w:styleId="Zkladntext2">
    <w:name w:val="Body Text 2"/>
    <w:aliases w:val="Char, Char"/>
    <w:basedOn w:val="Normlny"/>
    <w:link w:val="Zkladntext2Char"/>
    <w:rsid w:val="003F1365"/>
    <w:pPr>
      <w:spacing w:after="160" w:line="240" w:lineRule="exact"/>
    </w:pPr>
    <w:rPr>
      <w:rFonts w:ascii="Tahoma" w:hAnsi="Tahoma" w:cs="Tahoma"/>
      <w:sz w:val="20"/>
      <w:szCs w:val="20"/>
      <w:lang w:val="en-US"/>
    </w:rPr>
  </w:style>
  <w:style w:type="character" w:customStyle="1" w:styleId="Zkladntext2Char">
    <w:name w:val="Základný text 2 Char"/>
    <w:aliases w:val="Char Char, Char Char"/>
    <w:basedOn w:val="Predvolenpsmoodseku"/>
    <w:link w:val="Zkladntext2"/>
    <w:locked/>
    <w:rsid w:val="003F1365"/>
    <w:rPr>
      <w:rFonts w:ascii="Times New Roman" w:hAnsi="Times New Roman" w:cs="Times New Roman"/>
      <w:sz w:val="20"/>
      <w:szCs w:val="20"/>
      <w:lang w:val="x-none" w:eastAsia="x-none"/>
    </w:rPr>
  </w:style>
  <w:style w:type="paragraph" w:styleId="Zarkazkladnhotextu">
    <w:name w:val="Body Text Indent"/>
    <w:basedOn w:val="Normlny"/>
    <w:link w:val="ZarkazkladnhotextuChar"/>
    <w:rsid w:val="003F1365"/>
    <w:pPr>
      <w:spacing w:after="0" w:line="240" w:lineRule="auto"/>
      <w:ind w:firstLine="708"/>
      <w:jc w:val="both"/>
    </w:pPr>
    <w:rPr>
      <w:rFonts w:ascii="Dutch801 SWC" w:hAnsi="Dutch801 SWC"/>
      <w:sz w:val="24"/>
      <w:szCs w:val="20"/>
    </w:rPr>
  </w:style>
  <w:style w:type="character" w:customStyle="1" w:styleId="ZarkazkladnhotextuChar">
    <w:name w:val="Zarážka základného textu Char"/>
    <w:basedOn w:val="Predvolenpsmoodseku"/>
    <w:link w:val="Zarkazkladnhotextu"/>
    <w:locked/>
    <w:rsid w:val="003F1365"/>
    <w:rPr>
      <w:rFonts w:ascii="Dutch801 SWC" w:hAnsi="Dutch801 SWC" w:cs="Times New Roman"/>
      <w:sz w:val="20"/>
      <w:szCs w:val="20"/>
      <w:lang w:val="x-none" w:eastAsia="x-none"/>
    </w:rPr>
  </w:style>
  <w:style w:type="paragraph" w:styleId="Zkladntext3">
    <w:name w:val="Body Text 3"/>
    <w:basedOn w:val="Normlny"/>
    <w:link w:val="Zkladntext3Char"/>
    <w:rsid w:val="003F1365"/>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21" w:lineRule="atLeast"/>
    </w:pPr>
    <w:rPr>
      <w:b/>
      <w:bCs/>
      <w:sz w:val="28"/>
      <w:szCs w:val="24"/>
    </w:rPr>
  </w:style>
  <w:style w:type="character" w:customStyle="1" w:styleId="Zkladntext3Char">
    <w:name w:val="Základný text 3 Char"/>
    <w:basedOn w:val="Predvolenpsmoodseku"/>
    <w:link w:val="Zkladntext3"/>
    <w:locked/>
    <w:rsid w:val="003F1365"/>
    <w:rPr>
      <w:rFonts w:ascii="Times New Roman" w:hAnsi="Times New Roman" w:cs="Times New Roman"/>
      <w:b/>
      <w:bCs/>
      <w:sz w:val="24"/>
      <w:szCs w:val="24"/>
      <w:lang w:val="x-none" w:eastAsia="x-none"/>
    </w:rPr>
  </w:style>
  <w:style w:type="paragraph" w:customStyle="1" w:styleId="Zkladntext21">
    <w:name w:val="Základný text 21"/>
    <w:basedOn w:val="Normlny"/>
    <w:rsid w:val="003F1365"/>
    <w:pPr>
      <w:widowControl w:val="0"/>
      <w:spacing w:before="120" w:after="120" w:line="240" w:lineRule="auto"/>
      <w:ind w:left="426"/>
      <w:jc w:val="both"/>
    </w:pPr>
    <w:rPr>
      <w:sz w:val="24"/>
      <w:szCs w:val="20"/>
      <w:lang w:val="cs-CZ"/>
    </w:rPr>
  </w:style>
  <w:style w:type="paragraph" w:customStyle="1" w:styleId="08Textsprvy">
    <w:name w:val="08. Text správy"/>
    <w:basedOn w:val="Normlny"/>
    <w:rsid w:val="003F1365"/>
    <w:pPr>
      <w:spacing w:after="0" w:line="240" w:lineRule="auto"/>
      <w:jc w:val="both"/>
    </w:pPr>
    <w:rPr>
      <w:sz w:val="24"/>
      <w:szCs w:val="20"/>
      <w:lang w:eastAsia="cs-CZ"/>
    </w:rPr>
  </w:style>
  <w:style w:type="table" w:customStyle="1" w:styleId="Mriekatabuky1">
    <w:name w:val="Mriežka tabuľky1"/>
    <w:basedOn w:val="Normlnatabuka"/>
    <w:next w:val="Mriekatabuky"/>
    <w:rsid w:val="003F1365"/>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Normlny"/>
    <w:rsid w:val="003F1365"/>
    <w:pPr>
      <w:spacing w:after="160" w:line="240" w:lineRule="exact"/>
    </w:pPr>
    <w:rPr>
      <w:rFonts w:ascii="Tahoma" w:hAnsi="Tahoma"/>
      <w:sz w:val="20"/>
      <w:szCs w:val="20"/>
    </w:rPr>
  </w:style>
  <w:style w:type="paragraph" w:customStyle="1" w:styleId="titulok">
    <w:name w:val="titulok"/>
    <w:basedOn w:val="Normlny"/>
    <w:rsid w:val="003F1365"/>
    <w:pPr>
      <w:spacing w:before="100" w:beforeAutospacing="1" w:after="100" w:afterAutospacing="1" w:line="240" w:lineRule="auto"/>
      <w:jc w:val="center"/>
    </w:pPr>
    <w:rPr>
      <w:rFonts w:ascii="Arial" w:hAnsi="Arial" w:cs="Arial"/>
      <w:b/>
      <w:bCs/>
      <w:color w:val="007060"/>
      <w:sz w:val="24"/>
      <w:szCs w:val="24"/>
      <w:lang w:eastAsia="sk-SK"/>
    </w:rPr>
  </w:style>
  <w:style w:type="paragraph" w:customStyle="1" w:styleId="CharCharCharCharCharCharCharCharChar1Char">
    <w:name w:val="Char Char Char Char Char Char Char Char Char1 Char"/>
    <w:basedOn w:val="Normlny"/>
    <w:rsid w:val="003F1365"/>
    <w:pPr>
      <w:spacing w:after="160" w:line="240" w:lineRule="exact"/>
    </w:pPr>
    <w:rPr>
      <w:rFonts w:ascii="Tahoma" w:hAnsi="Tahoma"/>
      <w:sz w:val="20"/>
      <w:szCs w:val="20"/>
      <w:lang w:val="en-US"/>
    </w:rPr>
  </w:style>
  <w:style w:type="paragraph" w:customStyle="1" w:styleId="Char1">
    <w:name w:val="Char1"/>
    <w:basedOn w:val="Normlny"/>
    <w:rsid w:val="003F1365"/>
    <w:pPr>
      <w:spacing w:after="160" w:line="240" w:lineRule="exact"/>
    </w:pPr>
    <w:rPr>
      <w:rFonts w:ascii="Tahoma" w:hAnsi="Tahoma" w:cs="Tahoma"/>
      <w:sz w:val="20"/>
      <w:szCs w:val="20"/>
      <w:lang w:val="en-US"/>
    </w:rPr>
  </w:style>
  <w:style w:type="paragraph" w:customStyle="1" w:styleId="tlCharCharChar1CharCharCharChar">
    <w:name w:val="Štýl Char Char Char1 Char Char Char Char"/>
    <w:basedOn w:val="Normlny"/>
    <w:rsid w:val="003F1365"/>
    <w:pPr>
      <w:spacing w:after="160" w:line="240" w:lineRule="exact"/>
    </w:pPr>
    <w:rPr>
      <w:rFonts w:ascii="Tahoma" w:hAnsi="Tahoma" w:cs="Tahoma"/>
      <w:sz w:val="20"/>
      <w:szCs w:val="20"/>
      <w:lang w:val="en-US"/>
    </w:rPr>
  </w:style>
  <w:style w:type="paragraph" w:customStyle="1" w:styleId="AUTunVycentrovan">
    <w:name w:val="AU Tučné Vycentrované"/>
    <w:basedOn w:val="Normlny"/>
    <w:rsid w:val="003F1365"/>
    <w:pPr>
      <w:spacing w:after="0" w:line="240" w:lineRule="auto"/>
      <w:jc w:val="center"/>
    </w:pPr>
    <w:rPr>
      <w:b/>
      <w:bCs/>
      <w:sz w:val="24"/>
      <w:szCs w:val="20"/>
      <w:lang w:eastAsia="cs-CZ"/>
    </w:rPr>
  </w:style>
  <w:style w:type="paragraph" w:customStyle="1" w:styleId="AUODRAKA">
    <w:name w:val="AU ODRAŽKA"/>
    <w:basedOn w:val="Normlny"/>
    <w:rsid w:val="003F1365"/>
    <w:pPr>
      <w:numPr>
        <w:numId w:val="5"/>
      </w:numPr>
      <w:spacing w:before="120" w:after="0" w:line="240" w:lineRule="auto"/>
      <w:jc w:val="both"/>
    </w:pPr>
    <w:rPr>
      <w:sz w:val="24"/>
      <w:szCs w:val="20"/>
      <w:lang w:eastAsia="cs-CZ"/>
    </w:rPr>
  </w:style>
  <w:style w:type="paragraph" w:customStyle="1" w:styleId="CharCharCharCharCharChar1">
    <w:name w:val="Char Char Char Char Char Char1"/>
    <w:basedOn w:val="Normlny"/>
    <w:rsid w:val="003F1365"/>
    <w:pPr>
      <w:spacing w:after="160" w:line="240" w:lineRule="exact"/>
    </w:pPr>
    <w:rPr>
      <w:rFonts w:ascii="Tahoma" w:hAnsi="Tahoma" w:cs="Tahoma"/>
      <w:sz w:val="20"/>
      <w:szCs w:val="20"/>
      <w:lang w:val="en-US"/>
    </w:rPr>
  </w:style>
  <w:style w:type="paragraph" w:customStyle="1" w:styleId="Zarkazkladnhotextu21">
    <w:name w:val="Zarážka základného textu 21"/>
    <w:basedOn w:val="Normlny"/>
    <w:rsid w:val="003F1365"/>
    <w:pPr>
      <w:overflowPunct w:val="0"/>
      <w:autoSpaceDE w:val="0"/>
      <w:autoSpaceDN w:val="0"/>
      <w:adjustRightInd w:val="0"/>
      <w:spacing w:before="120" w:after="0" w:line="240" w:lineRule="auto"/>
      <w:ind w:left="284" w:hanging="284"/>
      <w:jc w:val="both"/>
      <w:textAlignment w:val="baseline"/>
    </w:pPr>
    <w:rPr>
      <w:sz w:val="24"/>
      <w:szCs w:val="20"/>
      <w:lang w:eastAsia="cs-CZ"/>
    </w:rPr>
  </w:style>
  <w:style w:type="paragraph" w:styleId="Zoznamsodrkami2">
    <w:name w:val="List Bullet 2"/>
    <w:basedOn w:val="Normlny"/>
    <w:autoRedefine/>
    <w:rsid w:val="003F1365"/>
    <w:pPr>
      <w:numPr>
        <w:numId w:val="6"/>
      </w:numPr>
      <w:spacing w:after="0" w:line="240" w:lineRule="auto"/>
    </w:pPr>
    <w:rPr>
      <w:rFonts w:ascii="Courier" w:hAnsi="Courier" w:cs="Courier"/>
      <w:sz w:val="24"/>
      <w:szCs w:val="24"/>
      <w:lang w:eastAsia="cs-CZ"/>
    </w:rPr>
  </w:style>
  <w:style w:type="paragraph" w:customStyle="1" w:styleId="CharCharChar2CharCharCharCharChar">
    <w:name w:val="Char Char Char2 Char Char Char Char Char"/>
    <w:basedOn w:val="Normlny"/>
    <w:rsid w:val="003F1365"/>
    <w:pPr>
      <w:spacing w:after="160" w:line="240" w:lineRule="exact"/>
    </w:pPr>
    <w:rPr>
      <w:rFonts w:ascii="Tahoma" w:hAnsi="Tahoma"/>
      <w:sz w:val="20"/>
      <w:szCs w:val="20"/>
      <w:lang w:val="en-US"/>
    </w:rPr>
  </w:style>
  <w:style w:type="table" w:customStyle="1" w:styleId="Normlnatabuka1">
    <w:name w:val="Normálna tabuľka1"/>
    <w:next w:val="Normlnatabuka"/>
    <w:semiHidden/>
    <w:unhideWhenUsed/>
    <w:qFormat/>
    <w:rsid w:val="003F1365"/>
    <w:pPr>
      <w:spacing w:after="0" w:line="240" w:lineRule="auto"/>
    </w:pPr>
    <w:rPr>
      <w:rFonts w:ascii="Dutch801 SWC" w:hAnsi="Dutch801 SWC" w:cs="Times New Roman"/>
      <w:sz w:val="20"/>
      <w:szCs w:val="20"/>
      <w:lang w:eastAsia="sk-SK"/>
    </w:rPr>
    <w:tblPr>
      <w:tblInd w:w="0" w:type="dxa"/>
      <w:tblCellMar>
        <w:top w:w="0" w:type="dxa"/>
        <w:left w:w="108" w:type="dxa"/>
        <w:bottom w:w="0" w:type="dxa"/>
        <w:right w:w="108" w:type="dxa"/>
      </w:tblCellMar>
    </w:tblPr>
  </w:style>
  <w:style w:type="character" w:customStyle="1" w:styleId="ZkladntextodsazenChar">
    <w:name w:val="Základní text odsazený Char"/>
    <w:rsid w:val="003F1365"/>
    <w:rPr>
      <w:rFonts w:ascii="AT* Times New Roman" w:hAnsi="AT* Times New Roman"/>
      <w:sz w:val="24"/>
      <w:lang w:val="sk-SK" w:eastAsia="cs-CZ"/>
    </w:rPr>
  </w:style>
  <w:style w:type="table" w:customStyle="1" w:styleId="Normlnatabuka2">
    <w:name w:val="Normálna tabuľka2"/>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3">
    <w:name w:val="Normálna tabuľka3"/>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4">
    <w:name w:val="Normálna tabuľka4"/>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5">
    <w:name w:val="Normálna tabuľka5"/>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6">
    <w:name w:val="Normálna tabuľka6"/>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7">
    <w:name w:val="Normálna tabuľka7"/>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8">
    <w:name w:val="Normálna tabuľka8"/>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9">
    <w:name w:val="Normálna tabuľka9"/>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10">
    <w:name w:val="Normálna tabuľka10"/>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11">
    <w:name w:val="Normálna tabuľka11"/>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12">
    <w:name w:val="Normálna tabuľka12"/>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13">
    <w:name w:val="Normálna tabuľka13"/>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14">
    <w:name w:val="Normálna tabuľka14"/>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paragraph" w:customStyle="1" w:styleId="CharCharCharChar1CharChar">
    <w:name w:val="Char Char Char Char1 Char Char"/>
    <w:basedOn w:val="Normlny"/>
    <w:rsid w:val="003F1365"/>
    <w:pPr>
      <w:spacing w:after="160" w:line="240" w:lineRule="exact"/>
    </w:pPr>
    <w:rPr>
      <w:rFonts w:ascii="Tahoma" w:hAnsi="Tahoma" w:cs="Tahoma"/>
      <w:sz w:val="20"/>
      <w:szCs w:val="20"/>
      <w:lang w:val="en-US"/>
    </w:rPr>
  </w:style>
  <w:style w:type="table" w:customStyle="1" w:styleId="Normlnatabuka15">
    <w:name w:val="Normálna tabuľka15"/>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paragraph" w:styleId="Obsah1">
    <w:name w:val="toc 1"/>
    <w:basedOn w:val="Normlny"/>
    <w:next w:val="Normlny"/>
    <w:autoRedefine/>
    <w:uiPriority w:val="39"/>
    <w:unhideWhenUsed/>
    <w:rsid w:val="000231EB"/>
    <w:pPr>
      <w:tabs>
        <w:tab w:val="left" w:pos="426"/>
        <w:tab w:val="right" w:leader="dot" w:pos="9062"/>
      </w:tabs>
      <w:spacing w:after="120" w:line="240" w:lineRule="auto"/>
    </w:pPr>
    <w:rPr>
      <w:rFonts w:cs="Courier"/>
      <w:noProof/>
      <w:szCs w:val="22"/>
      <w:lang w:eastAsia="cs-CZ"/>
    </w:rPr>
  </w:style>
  <w:style w:type="paragraph" w:styleId="Obyajntext">
    <w:name w:val="Plain Text"/>
    <w:basedOn w:val="Normlny"/>
    <w:link w:val="ObyajntextChar"/>
    <w:uiPriority w:val="99"/>
    <w:unhideWhenUsed/>
    <w:rsid w:val="003F1365"/>
    <w:pPr>
      <w:spacing w:after="0" w:line="240" w:lineRule="auto"/>
    </w:pPr>
    <w:rPr>
      <w:szCs w:val="21"/>
    </w:rPr>
  </w:style>
  <w:style w:type="character" w:customStyle="1" w:styleId="ObyajntextChar">
    <w:name w:val="Obyčajný text Char"/>
    <w:basedOn w:val="Predvolenpsmoodseku"/>
    <w:link w:val="Obyajntext"/>
    <w:uiPriority w:val="99"/>
    <w:locked/>
    <w:rsid w:val="003F1365"/>
    <w:rPr>
      <w:rFonts w:eastAsia="Times New Roman" w:cs="Times New Roman"/>
      <w:sz w:val="21"/>
      <w:szCs w:val="21"/>
      <w:lang w:val="x-none" w:eastAsia="x-none"/>
    </w:rPr>
  </w:style>
  <w:style w:type="paragraph" w:customStyle="1" w:styleId="Default">
    <w:name w:val="Default"/>
    <w:rsid w:val="003F1365"/>
    <w:pPr>
      <w:autoSpaceDE w:val="0"/>
      <w:autoSpaceDN w:val="0"/>
      <w:adjustRightInd w:val="0"/>
      <w:spacing w:after="0" w:line="240" w:lineRule="auto"/>
    </w:pPr>
    <w:rPr>
      <w:rFonts w:ascii="Times New Roman" w:hAnsi="Times New Roman" w:cs="Times New Roman"/>
      <w:color w:val="000000"/>
      <w:sz w:val="24"/>
      <w:szCs w:val="24"/>
      <w:lang w:eastAsia="sk-SK"/>
    </w:rPr>
  </w:style>
  <w:style w:type="character" w:styleId="PouitHypertextovPrepojenie">
    <w:name w:val="FollowedHyperlink"/>
    <w:basedOn w:val="Predvolenpsmoodseku"/>
    <w:uiPriority w:val="99"/>
    <w:semiHidden/>
    <w:unhideWhenUsed/>
    <w:rsid w:val="003F1365"/>
    <w:rPr>
      <w:color w:val="800080"/>
      <w:u w:val="single"/>
    </w:rPr>
  </w:style>
  <w:style w:type="paragraph" w:customStyle="1" w:styleId="xl687">
    <w:name w:val="xl687"/>
    <w:basedOn w:val="Normlny"/>
    <w:rsid w:val="003F1365"/>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88">
    <w:name w:val="xl688"/>
    <w:basedOn w:val="Normlny"/>
    <w:rsid w:val="003F1365"/>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89">
    <w:name w:val="xl689"/>
    <w:basedOn w:val="Normlny"/>
    <w:rsid w:val="003F1365"/>
    <w:pPr>
      <w:shd w:val="clear" w:color="000000" w:fill="FFFFFF"/>
      <w:spacing w:before="100" w:beforeAutospacing="1" w:after="100" w:afterAutospacing="1" w:line="240" w:lineRule="auto"/>
      <w:jc w:val="center"/>
    </w:pPr>
    <w:rPr>
      <w:rFonts w:ascii="Arial" w:hAnsi="Arial" w:cs="Arial"/>
      <w:b/>
      <w:bCs/>
      <w:sz w:val="20"/>
      <w:szCs w:val="20"/>
      <w:lang w:eastAsia="sk-SK"/>
    </w:rPr>
  </w:style>
  <w:style w:type="paragraph" w:customStyle="1" w:styleId="xl690">
    <w:name w:val="xl690"/>
    <w:basedOn w:val="Normlny"/>
    <w:rsid w:val="003F1365"/>
    <w:pPr>
      <w:shd w:val="clear" w:color="000000" w:fill="FFFFFF"/>
      <w:spacing w:before="100" w:beforeAutospacing="1" w:after="100" w:afterAutospacing="1" w:line="240" w:lineRule="auto"/>
      <w:jc w:val="right"/>
    </w:pPr>
    <w:rPr>
      <w:rFonts w:ascii="Arial" w:hAnsi="Arial" w:cs="Arial"/>
      <w:b/>
      <w:bCs/>
      <w:sz w:val="20"/>
      <w:szCs w:val="20"/>
      <w:lang w:eastAsia="sk-SK"/>
    </w:rPr>
  </w:style>
  <w:style w:type="paragraph" w:customStyle="1" w:styleId="xl691">
    <w:name w:val="xl691"/>
    <w:basedOn w:val="Normlny"/>
    <w:rsid w:val="003F13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hAnsi="Arial" w:cs="Arial"/>
      <w:sz w:val="20"/>
      <w:szCs w:val="20"/>
      <w:lang w:eastAsia="sk-SK"/>
    </w:rPr>
  </w:style>
  <w:style w:type="paragraph" w:customStyle="1" w:styleId="xl692">
    <w:name w:val="xl692"/>
    <w:basedOn w:val="Normlny"/>
    <w:rsid w:val="003F13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3">
    <w:name w:val="xl693"/>
    <w:basedOn w:val="Normlny"/>
    <w:rsid w:val="003F1365"/>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4">
    <w:name w:val="xl694"/>
    <w:basedOn w:val="Normlny"/>
    <w:rsid w:val="003F1365"/>
    <w:pPr>
      <w:pBdr>
        <w:bottom w:val="single" w:sz="4" w:space="0" w:color="000000"/>
      </w:pBd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5">
    <w:name w:val="xl695"/>
    <w:basedOn w:val="Normlny"/>
    <w:rsid w:val="003F1365"/>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6">
    <w:name w:val="xl696"/>
    <w:basedOn w:val="Normlny"/>
    <w:rsid w:val="003F1365"/>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7">
    <w:name w:val="xl697"/>
    <w:basedOn w:val="Normlny"/>
    <w:rsid w:val="003F13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8">
    <w:name w:val="xl698"/>
    <w:basedOn w:val="Normlny"/>
    <w:rsid w:val="003F1365"/>
    <w:pPr>
      <w:shd w:val="clear" w:color="000000" w:fill="FFFFFF"/>
      <w:spacing w:before="100" w:beforeAutospacing="1" w:after="100" w:afterAutospacing="1" w:line="240" w:lineRule="auto"/>
      <w:jc w:val="center"/>
    </w:pPr>
    <w:rPr>
      <w:rFonts w:ascii="Arial" w:hAnsi="Arial" w:cs="Arial"/>
      <w:b/>
      <w:bCs/>
      <w:sz w:val="20"/>
      <w:szCs w:val="20"/>
      <w:lang w:eastAsia="sk-SK"/>
    </w:rPr>
  </w:style>
  <w:style w:type="paragraph" w:customStyle="1" w:styleId="xl699">
    <w:name w:val="xl699"/>
    <w:basedOn w:val="Normlny"/>
    <w:rsid w:val="003F1365"/>
    <w:pPr>
      <w:shd w:val="clear" w:color="000000" w:fill="FFFFFF"/>
      <w:spacing w:before="100" w:beforeAutospacing="1" w:after="100" w:afterAutospacing="1" w:line="240" w:lineRule="auto"/>
      <w:jc w:val="right"/>
    </w:pPr>
    <w:rPr>
      <w:rFonts w:ascii="Arial" w:hAnsi="Arial" w:cs="Arial"/>
      <w:b/>
      <w:bCs/>
      <w:sz w:val="20"/>
      <w:szCs w:val="20"/>
      <w:lang w:eastAsia="sk-SK"/>
    </w:rPr>
  </w:style>
  <w:style w:type="paragraph" w:customStyle="1" w:styleId="xl700">
    <w:name w:val="xl700"/>
    <w:basedOn w:val="Normlny"/>
    <w:rsid w:val="003F1365"/>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701">
    <w:name w:val="xl701"/>
    <w:basedOn w:val="Normlny"/>
    <w:rsid w:val="003F1365"/>
    <w:pPr>
      <w:pBdr>
        <w:bottom w:val="single" w:sz="4" w:space="0" w:color="000000"/>
      </w:pBdr>
      <w:shd w:val="clear" w:color="000000" w:fill="FFFFFF"/>
      <w:spacing w:before="100" w:beforeAutospacing="1" w:after="100" w:afterAutospacing="1" w:line="240" w:lineRule="auto"/>
      <w:textAlignment w:val="center"/>
    </w:pPr>
    <w:rPr>
      <w:rFonts w:ascii="Arial" w:hAnsi="Arial" w:cs="Arial"/>
      <w:sz w:val="20"/>
      <w:szCs w:val="20"/>
      <w:lang w:eastAsia="sk-SK"/>
    </w:rPr>
  </w:style>
  <w:style w:type="paragraph" w:customStyle="1" w:styleId="xl702">
    <w:name w:val="xl702"/>
    <w:basedOn w:val="Normlny"/>
    <w:rsid w:val="003F1365"/>
    <w:pPr>
      <w:pBdr>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3">
    <w:name w:val="xl703"/>
    <w:basedOn w:val="Normlny"/>
    <w:rsid w:val="003F1365"/>
    <w:pPr>
      <w:pBdr>
        <w:left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4">
    <w:name w:val="xl704"/>
    <w:basedOn w:val="Normlny"/>
    <w:rsid w:val="003F1365"/>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5">
    <w:name w:val="xl705"/>
    <w:basedOn w:val="Normlny"/>
    <w:rsid w:val="003F1365"/>
    <w:pPr>
      <w:pBdr>
        <w:bottom w:val="single" w:sz="4" w:space="0" w:color="000000"/>
      </w:pBdr>
      <w:shd w:val="clear" w:color="000000" w:fill="FFFFFF"/>
      <w:spacing w:before="100" w:beforeAutospacing="1" w:after="100" w:afterAutospacing="1" w:line="240" w:lineRule="auto"/>
      <w:textAlignment w:val="center"/>
    </w:pPr>
    <w:rPr>
      <w:rFonts w:ascii="Arial" w:hAnsi="Arial" w:cs="Arial"/>
      <w:sz w:val="20"/>
      <w:szCs w:val="20"/>
      <w:lang w:eastAsia="sk-SK"/>
    </w:rPr>
  </w:style>
  <w:style w:type="paragraph" w:customStyle="1" w:styleId="xl706">
    <w:name w:val="xl706"/>
    <w:basedOn w:val="Normlny"/>
    <w:rsid w:val="003F13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7">
    <w:name w:val="xl707"/>
    <w:basedOn w:val="Normlny"/>
    <w:rsid w:val="003F1365"/>
    <w:pPr>
      <w:pBdr>
        <w:top w:val="single" w:sz="4" w:space="0" w:color="000000"/>
        <w:lef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08">
    <w:name w:val="xl708"/>
    <w:basedOn w:val="Normlny"/>
    <w:rsid w:val="003F1365"/>
    <w:pPr>
      <w:pBdr>
        <w:top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09">
    <w:name w:val="xl709"/>
    <w:basedOn w:val="Normlny"/>
    <w:rsid w:val="003F1365"/>
    <w:pPr>
      <w:pBdr>
        <w:top w:val="single" w:sz="4" w:space="0" w:color="000000"/>
        <w:righ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0">
    <w:name w:val="xl710"/>
    <w:basedOn w:val="Normlny"/>
    <w:rsid w:val="003F1365"/>
    <w:pPr>
      <w:pBdr>
        <w:lef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1">
    <w:name w:val="xl711"/>
    <w:basedOn w:val="Normlny"/>
    <w:rsid w:val="003F1365"/>
    <w:pP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2">
    <w:name w:val="xl712"/>
    <w:basedOn w:val="Normlny"/>
    <w:rsid w:val="003F1365"/>
    <w:pPr>
      <w:pBdr>
        <w:righ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3">
    <w:name w:val="xl713"/>
    <w:basedOn w:val="Normlny"/>
    <w:rsid w:val="003F1365"/>
    <w:pPr>
      <w:spacing w:before="100" w:beforeAutospacing="1" w:after="100" w:afterAutospacing="1" w:line="240" w:lineRule="auto"/>
      <w:textAlignment w:val="top"/>
    </w:pPr>
    <w:rPr>
      <w:rFonts w:ascii="Arial" w:hAnsi="Arial" w:cs="Arial"/>
      <w:sz w:val="20"/>
      <w:szCs w:val="20"/>
      <w:lang w:eastAsia="sk-SK"/>
    </w:rPr>
  </w:style>
  <w:style w:type="paragraph" w:customStyle="1" w:styleId="xl714">
    <w:name w:val="xl714"/>
    <w:basedOn w:val="Normlny"/>
    <w:rsid w:val="003F1365"/>
    <w:pPr>
      <w:pBdr>
        <w:right w:val="single" w:sz="4" w:space="0" w:color="000000"/>
      </w:pBdr>
      <w:spacing w:before="100" w:beforeAutospacing="1" w:after="100" w:afterAutospacing="1" w:line="240" w:lineRule="auto"/>
    </w:pPr>
    <w:rPr>
      <w:rFonts w:ascii="Arial" w:hAnsi="Arial" w:cs="Arial"/>
      <w:sz w:val="20"/>
      <w:szCs w:val="20"/>
      <w:lang w:eastAsia="sk-SK"/>
    </w:rPr>
  </w:style>
  <w:style w:type="paragraph" w:customStyle="1" w:styleId="xl715">
    <w:name w:val="xl715"/>
    <w:basedOn w:val="Normlny"/>
    <w:rsid w:val="003F1365"/>
    <w:pPr>
      <w:pBdr>
        <w:lef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6">
    <w:name w:val="xl716"/>
    <w:basedOn w:val="Normlny"/>
    <w:rsid w:val="003F1365"/>
    <w:pPr>
      <w:pBdr>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7">
    <w:name w:val="xl717"/>
    <w:basedOn w:val="Normlny"/>
    <w:rsid w:val="003F1365"/>
    <w:pPr>
      <w:pBdr>
        <w:left w:val="single" w:sz="4" w:space="0" w:color="000000"/>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8">
    <w:name w:val="xl718"/>
    <w:basedOn w:val="Normlny"/>
    <w:rsid w:val="003F1365"/>
    <w:pPr>
      <w:pBdr>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9">
    <w:name w:val="xl719"/>
    <w:basedOn w:val="Normlny"/>
    <w:rsid w:val="003F1365"/>
    <w:pPr>
      <w:pBdr>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20">
    <w:name w:val="xl720"/>
    <w:basedOn w:val="Normlny"/>
    <w:rsid w:val="003F1365"/>
    <w:pPr>
      <w:pBdr>
        <w:bottom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21">
    <w:name w:val="xl721"/>
    <w:basedOn w:val="Normlny"/>
    <w:rsid w:val="003F136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styleId="Textvysvetlivky">
    <w:name w:val="endnote text"/>
    <w:basedOn w:val="Normlny"/>
    <w:link w:val="TextvysvetlivkyChar"/>
    <w:uiPriority w:val="99"/>
    <w:semiHidden/>
    <w:unhideWhenUsed/>
    <w:rsid w:val="00096FC8"/>
    <w:pPr>
      <w:spacing w:after="0" w:line="240" w:lineRule="auto"/>
    </w:pPr>
    <w:rPr>
      <w:sz w:val="20"/>
      <w:szCs w:val="20"/>
    </w:rPr>
  </w:style>
  <w:style w:type="character" w:customStyle="1" w:styleId="TextvysvetlivkyChar">
    <w:name w:val="Text vysvetlivky Char"/>
    <w:basedOn w:val="Predvolenpsmoodseku"/>
    <w:link w:val="Textvysvetlivky"/>
    <w:uiPriority w:val="99"/>
    <w:semiHidden/>
    <w:locked/>
    <w:rsid w:val="00096FC8"/>
    <w:rPr>
      <w:rFonts w:cs="Times New Roman"/>
      <w:sz w:val="20"/>
      <w:szCs w:val="20"/>
    </w:rPr>
  </w:style>
  <w:style w:type="character" w:styleId="Odkaznavysvetlivku">
    <w:name w:val="endnote reference"/>
    <w:basedOn w:val="Predvolenpsmoodseku"/>
    <w:uiPriority w:val="99"/>
    <w:semiHidden/>
    <w:unhideWhenUsed/>
    <w:rsid w:val="00096FC8"/>
    <w:rPr>
      <w:rFonts w:cs="Times New Roman"/>
      <w:vertAlign w:val="superscript"/>
    </w:rPr>
  </w:style>
  <w:style w:type="paragraph" w:styleId="Obsah2">
    <w:name w:val="toc 2"/>
    <w:basedOn w:val="Normlny"/>
    <w:next w:val="Normlny"/>
    <w:autoRedefine/>
    <w:uiPriority w:val="39"/>
    <w:unhideWhenUsed/>
    <w:rsid w:val="00FC793E"/>
    <w:pPr>
      <w:tabs>
        <w:tab w:val="left" w:pos="709"/>
        <w:tab w:val="right" w:leader="dot" w:pos="9062"/>
      </w:tabs>
      <w:spacing w:after="120" w:line="240" w:lineRule="auto"/>
      <w:ind w:left="709" w:hanging="488"/>
    </w:pPr>
  </w:style>
  <w:style w:type="paragraph" w:styleId="Obsah3">
    <w:name w:val="toc 3"/>
    <w:basedOn w:val="Normlny"/>
    <w:next w:val="Normlny"/>
    <w:autoRedefine/>
    <w:uiPriority w:val="39"/>
    <w:unhideWhenUsed/>
    <w:rsid w:val="00802EEB"/>
    <w:pPr>
      <w:tabs>
        <w:tab w:val="left" w:pos="1134"/>
        <w:tab w:val="right" w:leader="dot" w:pos="9062"/>
      </w:tabs>
      <w:spacing w:after="100" w:line="240" w:lineRule="auto"/>
      <w:ind w:left="440"/>
    </w:pPr>
  </w:style>
  <w:style w:type="paragraph" w:styleId="Hlavikaobsahu">
    <w:name w:val="TOC Heading"/>
    <w:basedOn w:val="Nadpis1"/>
    <w:next w:val="Normlny"/>
    <w:uiPriority w:val="39"/>
    <w:unhideWhenUsed/>
    <w:qFormat/>
    <w:rsid w:val="00B43103"/>
    <w:pPr>
      <w:numPr>
        <w:numId w:val="0"/>
      </w:numPr>
      <w:spacing w:before="480" w:after="0"/>
      <w:outlineLvl w:val="9"/>
    </w:pPr>
    <w:rPr>
      <w:rFonts w:asciiTheme="majorHAnsi" w:hAnsiTheme="majorHAnsi"/>
      <w:color w:val="365F91" w:themeColor="accent1" w:themeShade="BF"/>
      <w:sz w:val="28"/>
      <w:szCs w:val="28"/>
      <w:lang w:eastAsia="sk-SK"/>
    </w:rPr>
  </w:style>
  <w:style w:type="paragraph" w:customStyle="1" w:styleId="Pa14">
    <w:name w:val="Pa14"/>
    <w:basedOn w:val="Default"/>
    <w:next w:val="Default"/>
    <w:uiPriority w:val="99"/>
    <w:rsid w:val="00CE1C18"/>
    <w:pPr>
      <w:spacing w:line="181" w:lineRule="atLeast"/>
    </w:pPr>
    <w:rPr>
      <w:rFonts w:ascii="Franklin Got Itc TCE" w:hAnsi="Franklin Got Itc TCE"/>
      <w:color w:val="auto"/>
      <w:lang w:eastAsia="en-US"/>
    </w:rPr>
  </w:style>
  <w:style w:type="paragraph" w:customStyle="1" w:styleId="Char2">
    <w:name w:val="Char2"/>
    <w:basedOn w:val="Normlny"/>
    <w:link w:val="Odkaznapoznmkupodiarou"/>
    <w:uiPriority w:val="99"/>
    <w:rsid w:val="009A116D"/>
    <w:pPr>
      <w:spacing w:after="0" w:line="240" w:lineRule="exact"/>
    </w:pPr>
    <w:rPr>
      <w:rFonts w:ascii="Arial Narrow" w:hAnsi="Arial Narrow"/>
      <w:szCs w:val="22"/>
      <w:vertAlign w:val="superscript"/>
    </w:rPr>
  </w:style>
  <w:style w:type="numbering" w:customStyle="1" w:styleId="Bezzoznamu1">
    <w:name w:val="Bez zoznamu1"/>
    <w:next w:val="Bezzoznamu"/>
    <w:semiHidden/>
    <w:unhideWhenUsed/>
    <w:rsid w:val="004E5304"/>
  </w:style>
  <w:style w:type="numbering" w:customStyle="1" w:styleId="Bezzoznamu2">
    <w:name w:val="Bez zoznamu2"/>
    <w:next w:val="Bezzoznamu"/>
    <w:semiHidden/>
    <w:unhideWhenUsed/>
    <w:rsid w:val="004E5304"/>
  </w:style>
  <w:style w:type="numbering" w:customStyle="1" w:styleId="Bezzoznamu3">
    <w:name w:val="Bez zoznamu3"/>
    <w:next w:val="Bezzoznamu"/>
    <w:uiPriority w:val="99"/>
    <w:semiHidden/>
    <w:unhideWhenUsed/>
    <w:rsid w:val="004E5304"/>
  </w:style>
  <w:style w:type="character" w:customStyle="1" w:styleId="h1a2">
    <w:name w:val="h1a2"/>
    <w:basedOn w:val="Predvolenpsmoodseku"/>
    <w:rsid w:val="00563559"/>
    <w:rPr>
      <w:vanish/>
      <w:webHidden w:val="0"/>
      <w:sz w:val="24"/>
      <w:szCs w:val="24"/>
      <w:specVanish/>
    </w:rPr>
  </w:style>
  <w:style w:type="paragraph" w:customStyle="1" w:styleId="1">
    <w:name w:val="1"/>
    <w:basedOn w:val="Normlny"/>
    <w:rsid w:val="00563559"/>
    <w:pPr>
      <w:spacing w:after="160" w:line="240" w:lineRule="exact"/>
    </w:pPr>
    <w:rPr>
      <w:rFonts w:ascii="Tahoma" w:hAnsi="Tahoma" w:cs="Tahoma"/>
      <w:sz w:val="20"/>
      <w:szCs w:val="20"/>
    </w:rPr>
  </w:style>
  <w:style w:type="character" w:customStyle="1" w:styleId="awspan">
    <w:name w:val="awspan"/>
    <w:basedOn w:val="Predvolenpsmoodseku"/>
    <w:rsid w:val="00563559"/>
  </w:style>
  <w:style w:type="paragraph" w:customStyle="1" w:styleId="Graf">
    <w:name w:val="Graf"/>
    <w:autoRedefine/>
    <w:qFormat/>
    <w:rsid w:val="00EF2678"/>
    <w:pPr>
      <w:spacing w:after="0"/>
      <w:ind w:firstLine="567"/>
      <w:jc w:val="both"/>
    </w:pPr>
    <w:rPr>
      <w:rFonts w:ascii="Times New Roman" w:eastAsia="Arial Narrow" w:hAnsi="Times New Roman" w:cs="Times New Roman"/>
      <w:b/>
      <w:bCs/>
      <w:noProof/>
      <w:color w:val="4F81BD" w:themeColor="accent1"/>
      <w:sz w:val="20"/>
      <w:szCs w:val="20"/>
      <w:lang w:eastAsia="sk-SK"/>
    </w:rPr>
  </w:style>
  <w:style w:type="paragraph" w:customStyle="1" w:styleId="popistabuliek">
    <w:name w:val="popis tabuliek"/>
    <w:basedOn w:val="Normlny"/>
    <w:link w:val="popistabuliekChar"/>
    <w:qFormat/>
    <w:rsid w:val="003C23FA"/>
    <w:pPr>
      <w:spacing w:after="0" w:line="240" w:lineRule="auto"/>
    </w:pPr>
    <w:rPr>
      <w:b/>
      <w:bCs/>
      <w:color w:val="FFFFFF"/>
      <w:sz w:val="18"/>
      <w:szCs w:val="18"/>
      <w:lang w:eastAsia="sk-SK"/>
    </w:rPr>
  </w:style>
  <w:style w:type="character" w:customStyle="1" w:styleId="popistabuliekChar">
    <w:name w:val="popis tabuliek Char"/>
    <w:basedOn w:val="Predvolenpsmoodseku"/>
    <w:link w:val="popistabuliek"/>
    <w:rsid w:val="003C23FA"/>
    <w:rPr>
      <w:rFonts w:ascii="Times New Roman" w:hAnsi="Times New Roman" w:cs="Times New Roman"/>
      <w:b/>
      <w:bCs/>
      <w:color w:val="FFFFFF"/>
      <w:sz w:val="18"/>
      <w:szCs w:val="18"/>
      <w:lang w:eastAsia="sk-SK"/>
    </w:rPr>
  </w:style>
  <w:style w:type="character" w:styleId="Zvraznenie">
    <w:name w:val="Emphasis"/>
    <w:basedOn w:val="Predvolenpsmoodseku"/>
    <w:uiPriority w:val="20"/>
    <w:qFormat/>
    <w:rsid w:val="00661C75"/>
    <w:rPr>
      <w:i/>
      <w:iCs/>
    </w:rPr>
  </w:style>
  <w:style w:type="paragraph" w:customStyle="1" w:styleId="Box">
    <w:name w:val="Box"/>
    <w:qFormat/>
    <w:rsid w:val="00DD0DA5"/>
    <w:pPr>
      <w:spacing w:before="120" w:after="240" w:line="240" w:lineRule="auto"/>
    </w:pPr>
    <w:rPr>
      <w:rFonts w:eastAsiaTheme="majorEastAsia" w:cstheme="majorBidi"/>
      <w:b/>
      <w:bCs/>
      <w:sz w:val="20"/>
      <w:szCs w:val="36"/>
    </w:rPr>
  </w:style>
  <w:style w:type="paragraph" w:styleId="Popis">
    <w:name w:val="caption"/>
    <w:basedOn w:val="Normlny"/>
    <w:next w:val="Normlny"/>
    <w:autoRedefine/>
    <w:uiPriority w:val="35"/>
    <w:unhideWhenUsed/>
    <w:qFormat/>
    <w:rsid w:val="00536917"/>
    <w:pPr>
      <w:keepNext/>
      <w:framePr w:hSpace="141" w:wrap="around" w:vAnchor="text" w:hAnchor="page" w:x="1700" w:y="300"/>
      <w:spacing w:after="0" w:line="240" w:lineRule="auto"/>
    </w:pPr>
    <w:rPr>
      <w:b/>
      <w:iCs/>
      <w:color w:val="548DD4" w:themeColor="text2" w:themeTint="99"/>
      <w:sz w:val="20"/>
      <w:szCs w:val="18"/>
    </w:rPr>
  </w:style>
  <w:style w:type="character" w:customStyle="1" w:styleId="Nevyrieenzmienka1">
    <w:name w:val="Nevyriešená zmienka1"/>
    <w:basedOn w:val="Predvolenpsmoodseku"/>
    <w:uiPriority w:val="99"/>
    <w:semiHidden/>
    <w:unhideWhenUsed/>
    <w:rsid w:val="006447F4"/>
    <w:rPr>
      <w:color w:val="605E5C"/>
      <w:shd w:val="clear" w:color="auto" w:fill="E1DFDD"/>
    </w:rPr>
  </w:style>
  <w:style w:type="character" w:customStyle="1" w:styleId="Nevyrieenzmienka2">
    <w:name w:val="Nevyriešená zmienka2"/>
    <w:basedOn w:val="Predvolenpsmoodseku"/>
    <w:uiPriority w:val="99"/>
    <w:semiHidden/>
    <w:unhideWhenUsed/>
    <w:rsid w:val="00987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7410">
      <w:bodyDiv w:val="1"/>
      <w:marLeft w:val="0"/>
      <w:marRight w:val="0"/>
      <w:marTop w:val="0"/>
      <w:marBottom w:val="0"/>
      <w:divBdr>
        <w:top w:val="none" w:sz="0" w:space="0" w:color="auto"/>
        <w:left w:val="none" w:sz="0" w:space="0" w:color="auto"/>
        <w:bottom w:val="none" w:sz="0" w:space="0" w:color="auto"/>
        <w:right w:val="none" w:sz="0" w:space="0" w:color="auto"/>
      </w:divBdr>
    </w:div>
    <w:div w:id="56831342">
      <w:bodyDiv w:val="1"/>
      <w:marLeft w:val="0"/>
      <w:marRight w:val="0"/>
      <w:marTop w:val="0"/>
      <w:marBottom w:val="0"/>
      <w:divBdr>
        <w:top w:val="none" w:sz="0" w:space="0" w:color="auto"/>
        <w:left w:val="none" w:sz="0" w:space="0" w:color="auto"/>
        <w:bottom w:val="none" w:sz="0" w:space="0" w:color="auto"/>
        <w:right w:val="none" w:sz="0" w:space="0" w:color="auto"/>
      </w:divBdr>
    </w:div>
    <w:div w:id="64766857">
      <w:bodyDiv w:val="1"/>
      <w:marLeft w:val="0"/>
      <w:marRight w:val="0"/>
      <w:marTop w:val="0"/>
      <w:marBottom w:val="0"/>
      <w:divBdr>
        <w:top w:val="none" w:sz="0" w:space="0" w:color="auto"/>
        <w:left w:val="none" w:sz="0" w:space="0" w:color="auto"/>
        <w:bottom w:val="none" w:sz="0" w:space="0" w:color="auto"/>
        <w:right w:val="none" w:sz="0" w:space="0" w:color="auto"/>
      </w:divBdr>
    </w:div>
    <w:div w:id="67267759">
      <w:bodyDiv w:val="1"/>
      <w:marLeft w:val="0"/>
      <w:marRight w:val="0"/>
      <w:marTop w:val="0"/>
      <w:marBottom w:val="0"/>
      <w:divBdr>
        <w:top w:val="none" w:sz="0" w:space="0" w:color="auto"/>
        <w:left w:val="none" w:sz="0" w:space="0" w:color="auto"/>
        <w:bottom w:val="none" w:sz="0" w:space="0" w:color="auto"/>
        <w:right w:val="none" w:sz="0" w:space="0" w:color="auto"/>
      </w:divBdr>
    </w:div>
    <w:div w:id="75249874">
      <w:bodyDiv w:val="1"/>
      <w:marLeft w:val="0"/>
      <w:marRight w:val="0"/>
      <w:marTop w:val="0"/>
      <w:marBottom w:val="0"/>
      <w:divBdr>
        <w:top w:val="none" w:sz="0" w:space="0" w:color="auto"/>
        <w:left w:val="none" w:sz="0" w:space="0" w:color="auto"/>
        <w:bottom w:val="none" w:sz="0" w:space="0" w:color="auto"/>
        <w:right w:val="none" w:sz="0" w:space="0" w:color="auto"/>
      </w:divBdr>
    </w:div>
    <w:div w:id="75447522">
      <w:bodyDiv w:val="1"/>
      <w:marLeft w:val="0"/>
      <w:marRight w:val="0"/>
      <w:marTop w:val="0"/>
      <w:marBottom w:val="0"/>
      <w:divBdr>
        <w:top w:val="none" w:sz="0" w:space="0" w:color="auto"/>
        <w:left w:val="none" w:sz="0" w:space="0" w:color="auto"/>
        <w:bottom w:val="none" w:sz="0" w:space="0" w:color="auto"/>
        <w:right w:val="none" w:sz="0" w:space="0" w:color="auto"/>
      </w:divBdr>
    </w:div>
    <w:div w:id="95566852">
      <w:bodyDiv w:val="1"/>
      <w:marLeft w:val="0"/>
      <w:marRight w:val="0"/>
      <w:marTop w:val="0"/>
      <w:marBottom w:val="0"/>
      <w:divBdr>
        <w:top w:val="none" w:sz="0" w:space="0" w:color="auto"/>
        <w:left w:val="none" w:sz="0" w:space="0" w:color="auto"/>
        <w:bottom w:val="none" w:sz="0" w:space="0" w:color="auto"/>
        <w:right w:val="none" w:sz="0" w:space="0" w:color="auto"/>
      </w:divBdr>
    </w:div>
    <w:div w:id="106585916">
      <w:bodyDiv w:val="1"/>
      <w:marLeft w:val="0"/>
      <w:marRight w:val="0"/>
      <w:marTop w:val="0"/>
      <w:marBottom w:val="0"/>
      <w:divBdr>
        <w:top w:val="none" w:sz="0" w:space="0" w:color="auto"/>
        <w:left w:val="none" w:sz="0" w:space="0" w:color="auto"/>
        <w:bottom w:val="none" w:sz="0" w:space="0" w:color="auto"/>
        <w:right w:val="none" w:sz="0" w:space="0" w:color="auto"/>
      </w:divBdr>
    </w:div>
    <w:div w:id="107941209">
      <w:bodyDiv w:val="1"/>
      <w:marLeft w:val="0"/>
      <w:marRight w:val="0"/>
      <w:marTop w:val="0"/>
      <w:marBottom w:val="0"/>
      <w:divBdr>
        <w:top w:val="none" w:sz="0" w:space="0" w:color="auto"/>
        <w:left w:val="none" w:sz="0" w:space="0" w:color="auto"/>
        <w:bottom w:val="none" w:sz="0" w:space="0" w:color="auto"/>
        <w:right w:val="none" w:sz="0" w:space="0" w:color="auto"/>
      </w:divBdr>
    </w:div>
    <w:div w:id="113524743">
      <w:bodyDiv w:val="1"/>
      <w:marLeft w:val="0"/>
      <w:marRight w:val="0"/>
      <w:marTop w:val="0"/>
      <w:marBottom w:val="0"/>
      <w:divBdr>
        <w:top w:val="none" w:sz="0" w:space="0" w:color="auto"/>
        <w:left w:val="none" w:sz="0" w:space="0" w:color="auto"/>
        <w:bottom w:val="none" w:sz="0" w:space="0" w:color="auto"/>
        <w:right w:val="none" w:sz="0" w:space="0" w:color="auto"/>
      </w:divBdr>
    </w:div>
    <w:div w:id="185141826">
      <w:bodyDiv w:val="1"/>
      <w:marLeft w:val="0"/>
      <w:marRight w:val="0"/>
      <w:marTop w:val="0"/>
      <w:marBottom w:val="0"/>
      <w:divBdr>
        <w:top w:val="none" w:sz="0" w:space="0" w:color="auto"/>
        <w:left w:val="none" w:sz="0" w:space="0" w:color="auto"/>
        <w:bottom w:val="none" w:sz="0" w:space="0" w:color="auto"/>
        <w:right w:val="none" w:sz="0" w:space="0" w:color="auto"/>
      </w:divBdr>
    </w:div>
    <w:div w:id="193277332">
      <w:bodyDiv w:val="1"/>
      <w:marLeft w:val="0"/>
      <w:marRight w:val="0"/>
      <w:marTop w:val="0"/>
      <w:marBottom w:val="0"/>
      <w:divBdr>
        <w:top w:val="none" w:sz="0" w:space="0" w:color="auto"/>
        <w:left w:val="none" w:sz="0" w:space="0" w:color="auto"/>
        <w:bottom w:val="none" w:sz="0" w:space="0" w:color="auto"/>
        <w:right w:val="none" w:sz="0" w:space="0" w:color="auto"/>
      </w:divBdr>
    </w:div>
    <w:div w:id="234248338">
      <w:bodyDiv w:val="1"/>
      <w:marLeft w:val="0"/>
      <w:marRight w:val="0"/>
      <w:marTop w:val="0"/>
      <w:marBottom w:val="0"/>
      <w:divBdr>
        <w:top w:val="none" w:sz="0" w:space="0" w:color="auto"/>
        <w:left w:val="none" w:sz="0" w:space="0" w:color="auto"/>
        <w:bottom w:val="none" w:sz="0" w:space="0" w:color="auto"/>
        <w:right w:val="none" w:sz="0" w:space="0" w:color="auto"/>
      </w:divBdr>
    </w:div>
    <w:div w:id="279839807">
      <w:bodyDiv w:val="1"/>
      <w:marLeft w:val="0"/>
      <w:marRight w:val="0"/>
      <w:marTop w:val="0"/>
      <w:marBottom w:val="0"/>
      <w:divBdr>
        <w:top w:val="none" w:sz="0" w:space="0" w:color="auto"/>
        <w:left w:val="none" w:sz="0" w:space="0" w:color="auto"/>
        <w:bottom w:val="none" w:sz="0" w:space="0" w:color="auto"/>
        <w:right w:val="none" w:sz="0" w:space="0" w:color="auto"/>
      </w:divBdr>
    </w:div>
    <w:div w:id="293371123">
      <w:bodyDiv w:val="1"/>
      <w:marLeft w:val="0"/>
      <w:marRight w:val="0"/>
      <w:marTop w:val="0"/>
      <w:marBottom w:val="0"/>
      <w:divBdr>
        <w:top w:val="none" w:sz="0" w:space="0" w:color="auto"/>
        <w:left w:val="none" w:sz="0" w:space="0" w:color="auto"/>
        <w:bottom w:val="none" w:sz="0" w:space="0" w:color="auto"/>
        <w:right w:val="none" w:sz="0" w:space="0" w:color="auto"/>
      </w:divBdr>
    </w:div>
    <w:div w:id="316228904">
      <w:bodyDiv w:val="1"/>
      <w:marLeft w:val="0"/>
      <w:marRight w:val="0"/>
      <w:marTop w:val="0"/>
      <w:marBottom w:val="0"/>
      <w:divBdr>
        <w:top w:val="none" w:sz="0" w:space="0" w:color="auto"/>
        <w:left w:val="none" w:sz="0" w:space="0" w:color="auto"/>
        <w:bottom w:val="none" w:sz="0" w:space="0" w:color="auto"/>
        <w:right w:val="none" w:sz="0" w:space="0" w:color="auto"/>
      </w:divBdr>
    </w:div>
    <w:div w:id="322513985">
      <w:bodyDiv w:val="1"/>
      <w:marLeft w:val="0"/>
      <w:marRight w:val="0"/>
      <w:marTop w:val="0"/>
      <w:marBottom w:val="0"/>
      <w:divBdr>
        <w:top w:val="none" w:sz="0" w:space="0" w:color="auto"/>
        <w:left w:val="none" w:sz="0" w:space="0" w:color="auto"/>
        <w:bottom w:val="none" w:sz="0" w:space="0" w:color="auto"/>
        <w:right w:val="none" w:sz="0" w:space="0" w:color="auto"/>
      </w:divBdr>
    </w:div>
    <w:div w:id="332756711">
      <w:bodyDiv w:val="1"/>
      <w:marLeft w:val="0"/>
      <w:marRight w:val="0"/>
      <w:marTop w:val="0"/>
      <w:marBottom w:val="0"/>
      <w:divBdr>
        <w:top w:val="none" w:sz="0" w:space="0" w:color="auto"/>
        <w:left w:val="none" w:sz="0" w:space="0" w:color="auto"/>
        <w:bottom w:val="none" w:sz="0" w:space="0" w:color="auto"/>
        <w:right w:val="none" w:sz="0" w:space="0" w:color="auto"/>
      </w:divBdr>
    </w:div>
    <w:div w:id="370152441">
      <w:bodyDiv w:val="1"/>
      <w:marLeft w:val="0"/>
      <w:marRight w:val="0"/>
      <w:marTop w:val="0"/>
      <w:marBottom w:val="0"/>
      <w:divBdr>
        <w:top w:val="none" w:sz="0" w:space="0" w:color="auto"/>
        <w:left w:val="none" w:sz="0" w:space="0" w:color="auto"/>
        <w:bottom w:val="none" w:sz="0" w:space="0" w:color="auto"/>
        <w:right w:val="none" w:sz="0" w:space="0" w:color="auto"/>
      </w:divBdr>
    </w:div>
    <w:div w:id="381294871">
      <w:bodyDiv w:val="1"/>
      <w:marLeft w:val="0"/>
      <w:marRight w:val="0"/>
      <w:marTop w:val="0"/>
      <w:marBottom w:val="0"/>
      <w:divBdr>
        <w:top w:val="none" w:sz="0" w:space="0" w:color="auto"/>
        <w:left w:val="none" w:sz="0" w:space="0" w:color="auto"/>
        <w:bottom w:val="none" w:sz="0" w:space="0" w:color="auto"/>
        <w:right w:val="none" w:sz="0" w:space="0" w:color="auto"/>
      </w:divBdr>
    </w:div>
    <w:div w:id="400711165">
      <w:bodyDiv w:val="1"/>
      <w:marLeft w:val="0"/>
      <w:marRight w:val="0"/>
      <w:marTop w:val="0"/>
      <w:marBottom w:val="0"/>
      <w:divBdr>
        <w:top w:val="none" w:sz="0" w:space="0" w:color="auto"/>
        <w:left w:val="none" w:sz="0" w:space="0" w:color="auto"/>
        <w:bottom w:val="none" w:sz="0" w:space="0" w:color="auto"/>
        <w:right w:val="none" w:sz="0" w:space="0" w:color="auto"/>
      </w:divBdr>
    </w:div>
    <w:div w:id="439759993">
      <w:bodyDiv w:val="1"/>
      <w:marLeft w:val="0"/>
      <w:marRight w:val="0"/>
      <w:marTop w:val="0"/>
      <w:marBottom w:val="0"/>
      <w:divBdr>
        <w:top w:val="none" w:sz="0" w:space="0" w:color="auto"/>
        <w:left w:val="none" w:sz="0" w:space="0" w:color="auto"/>
        <w:bottom w:val="none" w:sz="0" w:space="0" w:color="auto"/>
        <w:right w:val="none" w:sz="0" w:space="0" w:color="auto"/>
      </w:divBdr>
    </w:div>
    <w:div w:id="441346092">
      <w:bodyDiv w:val="1"/>
      <w:marLeft w:val="0"/>
      <w:marRight w:val="0"/>
      <w:marTop w:val="0"/>
      <w:marBottom w:val="0"/>
      <w:divBdr>
        <w:top w:val="none" w:sz="0" w:space="0" w:color="auto"/>
        <w:left w:val="none" w:sz="0" w:space="0" w:color="auto"/>
        <w:bottom w:val="none" w:sz="0" w:space="0" w:color="auto"/>
        <w:right w:val="none" w:sz="0" w:space="0" w:color="auto"/>
      </w:divBdr>
    </w:div>
    <w:div w:id="443110894">
      <w:bodyDiv w:val="1"/>
      <w:marLeft w:val="0"/>
      <w:marRight w:val="0"/>
      <w:marTop w:val="0"/>
      <w:marBottom w:val="0"/>
      <w:divBdr>
        <w:top w:val="none" w:sz="0" w:space="0" w:color="auto"/>
        <w:left w:val="none" w:sz="0" w:space="0" w:color="auto"/>
        <w:bottom w:val="none" w:sz="0" w:space="0" w:color="auto"/>
        <w:right w:val="none" w:sz="0" w:space="0" w:color="auto"/>
      </w:divBdr>
    </w:div>
    <w:div w:id="471562892">
      <w:bodyDiv w:val="1"/>
      <w:marLeft w:val="0"/>
      <w:marRight w:val="0"/>
      <w:marTop w:val="0"/>
      <w:marBottom w:val="0"/>
      <w:divBdr>
        <w:top w:val="none" w:sz="0" w:space="0" w:color="auto"/>
        <w:left w:val="none" w:sz="0" w:space="0" w:color="auto"/>
        <w:bottom w:val="none" w:sz="0" w:space="0" w:color="auto"/>
        <w:right w:val="none" w:sz="0" w:space="0" w:color="auto"/>
      </w:divBdr>
    </w:div>
    <w:div w:id="485320466">
      <w:bodyDiv w:val="1"/>
      <w:marLeft w:val="0"/>
      <w:marRight w:val="0"/>
      <w:marTop w:val="0"/>
      <w:marBottom w:val="0"/>
      <w:divBdr>
        <w:top w:val="none" w:sz="0" w:space="0" w:color="auto"/>
        <w:left w:val="none" w:sz="0" w:space="0" w:color="auto"/>
        <w:bottom w:val="none" w:sz="0" w:space="0" w:color="auto"/>
        <w:right w:val="none" w:sz="0" w:space="0" w:color="auto"/>
      </w:divBdr>
    </w:div>
    <w:div w:id="509376996">
      <w:bodyDiv w:val="1"/>
      <w:marLeft w:val="0"/>
      <w:marRight w:val="0"/>
      <w:marTop w:val="0"/>
      <w:marBottom w:val="0"/>
      <w:divBdr>
        <w:top w:val="none" w:sz="0" w:space="0" w:color="auto"/>
        <w:left w:val="none" w:sz="0" w:space="0" w:color="auto"/>
        <w:bottom w:val="none" w:sz="0" w:space="0" w:color="auto"/>
        <w:right w:val="none" w:sz="0" w:space="0" w:color="auto"/>
      </w:divBdr>
    </w:div>
    <w:div w:id="646131001">
      <w:bodyDiv w:val="1"/>
      <w:marLeft w:val="0"/>
      <w:marRight w:val="0"/>
      <w:marTop w:val="0"/>
      <w:marBottom w:val="0"/>
      <w:divBdr>
        <w:top w:val="none" w:sz="0" w:space="0" w:color="auto"/>
        <w:left w:val="none" w:sz="0" w:space="0" w:color="auto"/>
        <w:bottom w:val="none" w:sz="0" w:space="0" w:color="auto"/>
        <w:right w:val="none" w:sz="0" w:space="0" w:color="auto"/>
      </w:divBdr>
    </w:div>
    <w:div w:id="715350834">
      <w:bodyDiv w:val="1"/>
      <w:marLeft w:val="0"/>
      <w:marRight w:val="0"/>
      <w:marTop w:val="0"/>
      <w:marBottom w:val="0"/>
      <w:divBdr>
        <w:top w:val="none" w:sz="0" w:space="0" w:color="auto"/>
        <w:left w:val="none" w:sz="0" w:space="0" w:color="auto"/>
        <w:bottom w:val="none" w:sz="0" w:space="0" w:color="auto"/>
        <w:right w:val="none" w:sz="0" w:space="0" w:color="auto"/>
      </w:divBdr>
    </w:div>
    <w:div w:id="732121109">
      <w:bodyDiv w:val="1"/>
      <w:marLeft w:val="0"/>
      <w:marRight w:val="0"/>
      <w:marTop w:val="0"/>
      <w:marBottom w:val="0"/>
      <w:divBdr>
        <w:top w:val="none" w:sz="0" w:space="0" w:color="auto"/>
        <w:left w:val="none" w:sz="0" w:space="0" w:color="auto"/>
        <w:bottom w:val="none" w:sz="0" w:space="0" w:color="auto"/>
        <w:right w:val="none" w:sz="0" w:space="0" w:color="auto"/>
      </w:divBdr>
    </w:div>
    <w:div w:id="73682317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829519161">
      <w:bodyDiv w:val="1"/>
      <w:marLeft w:val="0"/>
      <w:marRight w:val="0"/>
      <w:marTop w:val="0"/>
      <w:marBottom w:val="0"/>
      <w:divBdr>
        <w:top w:val="none" w:sz="0" w:space="0" w:color="auto"/>
        <w:left w:val="none" w:sz="0" w:space="0" w:color="auto"/>
        <w:bottom w:val="none" w:sz="0" w:space="0" w:color="auto"/>
        <w:right w:val="none" w:sz="0" w:space="0" w:color="auto"/>
      </w:divBdr>
    </w:div>
    <w:div w:id="835262656">
      <w:bodyDiv w:val="1"/>
      <w:marLeft w:val="0"/>
      <w:marRight w:val="0"/>
      <w:marTop w:val="0"/>
      <w:marBottom w:val="0"/>
      <w:divBdr>
        <w:top w:val="none" w:sz="0" w:space="0" w:color="auto"/>
        <w:left w:val="none" w:sz="0" w:space="0" w:color="auto"/>
        <w:bottom w:val="none" w:sz="0" w:space="0" w:color="auto"/>
        <w:right w:val="none" w:sz="0" w:space="0" w:color="auto"/>
      </w:divBdr>
    </w:div>
    <w:div w:id="837890354">
      <w:bodyDiv w:val="1"/>
      <w:marLeft w:val="0"/>
      <w:marRight w:val="0"/>
      <w:marTop w:val="0"/>
      <w:marBottom w:val="0"/>
      <w:divBdr>
        <w:top w:val="none" w:sz="0" w:space="0" w:color="auto"/>
        <w:left w:val="none" w:sz="0" w:space="0" w:color="auto"/>
        <w:bottom w:val="none" w:sz="0" w:space="0" w:color="auto"/>
        <w:right w:val="none" w:sz="0" w:space="0" w:color="auto"/>
      </w:divBdr>
    </w:div>
    <w:div w:id="838228281">
      <w:bodyDiv w:val="1"/>
      <w:marLeft w:val="0"/>
      <w:marRight w:val="0"/>
      <w:marTop w:val="0"/>
      <w:marBottom w:val="0"/>
      <w:divBdr>
        <w:top w:val="none" w:sz="0" w:space="0" w:color="auto"/>
        <w:left w:val="none" w:sz="0" w:space="0" w:color="auto"/>
        <w:bottom w:val="none" w:sz="0" w:space="0" w:color="auto"/>
        <w:right w:val="none" w:sz="0" w:space="0" w:color="auto"/>
      </w:divBdr>
    </w:div>
    <w:div w:id="885336854">
      <w:bodyDiv w:val="1"/>
      <w:marLeft w:val="0"/>
      <w:marRight w:val="0"/>
      <w:marTop w:val="0"/>
      <w:marBottom w:val="0"/>
      <w:divBdr>
        <w:top w:val="none" w:sz="0" w:space="0" w:color="auto"/>
        <w:left w:val="none" w:sz="0" w:space="0" w:color="auto"/>
        <w:bottom w:val="none" w:sz="0" w:space="0" w:color="auto"/>
        <w:right w:val="none" w:sz="0" w:space="0" w:color="auto"/>
      </w:divBdr>
    </w:div>
    <w:div w:id="897789820">
      <w:bodyDiv w:val="1"/>
      <w:marLeft w:val="0"/>
      <w:marRight w:val="0"/>
      <w:marTop w:val="0"/>
      <w:marBottom w:val="0"/>
      <w:divBdr>
        <w:top w:val="none" w:sz="0" w:space="0" w:color="auto"/>
        <w:left w:val="none" w:sz="0" w:space="0" w:color="auto"/>
        <w:bottom w:val="none" w:sz="0" w:space="0" w:color="auto"/>
        <w:right w:val="none" w:sz="0" w:space="0" w:color="auto"/>
      </w:divBdr>
    </w:div>
    <w:div w:id="949242871">
      <w:bodyDiv w:val="1"/>
      <w:marLeft w:val="0"/>
      <w:marRight w:val="0"/>
      <w:marTop w:val="0"/>
      <w:marBottom w:val="0"/>
      <w:divBdr>
        <w:top w:val="none" w:sz="0" w:space="0" w:color="auto"/>
        <w:left w:val="none" w:sz="0" w:space="0" w:color="auto"/>
        <w:bottom w:val="none" w:sz="0" w:space="0" w:color="auto"/>
        <w:right w:val="none" w:sz="0" w:space="0" w:color="auto"/>
      </w:divBdr>
    </w:div>
    <w:div w:id="967275789">
      <w:bodyDiv w:val="1"/>
      <w:marLeft w:val="0"/>
      <w:marRight w:val="0"/>
      <w:marTop w:val="0"/>
      <w:marBottom w:val="0"/>
      <w:divBdr>
        <w:top w:val="none" w:sz="0" w:space="0" w:color="auto"/>
        <w:left w:val="none" w:sz="0" w:space="0" w:color="auto"/>
        <w:bottom w:val="none" w:sz="0" w:space="0" w:color="auto"/>
        <w:right w:val="none" w:sz="0" w:space="0" w:color="auto"/>
      </w:divBdr>
    </w:div>
    <w:div w:id="1013917339">
      <w:bodyDiv w:val="1"/>
      <w:marLeft w:val="0"/>
      <w:marRight w:val="0"/>
      <w:marTop w:val="0"/>
      <w:marBottom w:val="0"/>
      <w:divBdr>
        <w:top w:val="none" w:sz="0" w:space="0" w:color="auto"/>
        <w:left w:val="none" w:sz="0" w:space="0" w:color="auto"/>
        <w:bottom w:val="none" w:sz="0" w:space="0" w:color="auto"/>
        <w:right w:val="none" w:sz="0" w:space="0" w:color="auto"/>
      </w:divBdr>
    </w:div>
    <w:div w:id="1017728303">
      <w:bodyDiv w:val="1"/>
      <w:marLeft w:val="0"/>
      <w:marRight w:val="0"/>
      <w:marTop w:val="0"/>
      <w:marBottom w:val="0"/>
      <w:divBdr>
        <w:top w:val="none" w:sz="0" w:space="0" w:color="auto"/>
        <w:left w:val="none" w:sz="0" w:space="0" w:color="auto"/>
        <w:bottom w:val="none" w:sz="0" w:space="0" w:color="auto"/>
        <w:right w:val="none" w:sz="0" w:space="0" w:color="auto"/>
      </w:divBdr>
    </w:div>
    <w:div w:id="1029455632">
      <w:bodyDiv w:val="1"/>
      <w:marLeft w:val="0"/>
      <w:marRight w:val="0"/>
      <w:marTop w:val="0"/>
      <w:marBottom w:val="0"/>
      <w:divBdr>
        <w:top w:val="none" w:sz="0" w:space="0" w:color="auto"/>
        <w:left w:val="none" w:sz="0" w:space="0" w:color="auto"/>
        <w:bottom w:val="none" w:sz="0" w:space="0" w:color="auto"/>
        <w:right w:val="none" w:sz="0" w:space="0" w:color="auto"/>
      </w:divBdr>
    </w:div>
    <w:div w:id="1035469546">
      <w:bodyDiv w:val="1"/>
      <w:marLeft w:val="0"/>
      <w:marRight w:val="0"/>
      <w:marTop w:val="0"/>
      <w:marBottom w:val="0"/>
      <w:divBdr>
        <w:top w:val="none" w:sz="0" w:space="0" w:color="auto"/>
        <w:left w:val="none" w:sz="0" w:space="0" w:color="auto"/>
        <w:bottom w:val="none" w:sz="0" w:space="0" w:color="auto"/>
        <w:right w:val="none" w:sz="0" w:space="0" w:color="auto"/>
      </w:divBdr>
    </w:div>
    <w:div w:id="1078405482">
      <w:bodyDiv w:val="1"/>
      <w:marLeft w:val="0"/>
      <w:marRight w:val="0"/>
      <w:marTop w:val="0"/>
      <w:marBottom w:val="0"/>
      <w:divBdr>
        <w:top w:val="none" w:sz="0" w:space="0" w:color="auto"/>
        <w:left w:val="none" w:sz="0" w:space="0" w:color="auto"/>
        <w:bottom w:val="none" w:sz="0" w:space="0" w:color="auto"/>
        <w:right w:val="none" w:sz="0" w:space="0" w:color="auto"/>
      </w:divBdr>
    </w:div>
    <w:div w:id="1094786392">
      <w:bodyDiv w:val="1"/>
      <w:marLeft w:val="0"/>
      <w:marRight w:val="0"/>
      <w:marTop w:val="0"/>
      <w:marBottom w:val="0"/>
      <w:divBdr>
        <w:top w:val="none" w:sz="0" w:space="0" w:color="auto"/>
        <w:left w:val="none" w:sz="0" w:space="0" w:color="auto"/>
        <w:bottom w:val="none" w:sz="0" w:space="0" w:color="auto"/>
        <w:right w:val="none" w:sz="0" w:space="0" w:color="auto"/>
      </w:divBdr>
    </w:div>
    <w:div w:id="1150900288">
      <w:bodyDiv w:val="1"/>
      <w:marLeft w:val="0"/>
      <w:marRight w:val="0"/>
      <w:marTop w:val="0"/>
      <w:marBottom w:val="0"/>
      <w:divBdr>
        <w:top w:val="none" w:sz="0" w:space="0" w:color="auto"/>
        <w:left w:val="none" w:sz="0" w:space="0" w:color="auto"/>
        <w:bottom w:val="none" w:sz="0" w:space="0" w:color="auto"/>
        <w:right w:val="none" w:sz="0" w:space="0" w:color="auto"/>
      </w:divBdr>
    </w:div>
    <w:div w:id="1189101466">
      <w:bodyDiv w:val="1"/>
      <w:marLeft w:val="0"/>
      <w:marRight w:val="0"/>
      <w:marTop w:val="0"/>
      <w:marBottom w:val="0"/>
      <w:divBdr>
        <w:top w:val="none" w:sz="0" w:space="0" w:color="auto"/>
        <w:left w:val="none" w:sz="0" w:space="0" w:color="auto"/>
        <w:bottom w:val="none" w:sz="0" w:space="0" w:color="auto"/>
        <w:right w:val="none" w:sz="0" w:space="0" w:color="auto"/>
      </w:divBdr>
    </w:div>
    <w:div w:id="1238127830">
      <w:bodyDiv w:val="1"/>
      <w:marLeft w:val="0"/>
      <w:marRight w:val="0"/>
      <w:marTop w:val="0"/>
      <w:marBottom w:val="0"/>
      <w:divBdr>
        <w:top w:val="none" w:sz="0" w:space="0" w:color="auto"/>
        <w:left w:val="none" w:sz="0" w:space="0" w:color="auto"/>
        <w:bottom w:val="none" w:sz="0" w:space="0" w:color="auto"/>
        <w:right w:val="none" w:sz="0" w:space="0" w:color="auto"/>
      </w:divBdr>
    </w:div>
    <w:div w:id="1279947722">
      <w:bodyDiv w:val="1"/>
      <w:marLeft w:val="0"/>
      <w:marRight w:val="0"/>
      <w:marTop w:val="0"/>
      <w:marBottom w:val="0"/>
      <w:divBdr>
        <w:top w:val="none" w:sz="0" w:space="0" w:color="auto"/>
        <w:left w:val="none" w:sz="0" w:space="0" w:color="auto"/>
        <w:bottom w:val="none" w:sz="0" w:space="0" w:color="auto"/>
        <w:right w:val="none" w:sz="0" w:space="0" w:color="auto"/>
      </w:divBdr>
    </w:div>
    <w:div w:id="1280452832">
      <w:bodyDiv w:val="1"/>
      <w:marLeft w:val="0"/>
      <w:marRight w:val="0"/>
      <w:marTop w:val="0"/>
      <w:marBottom w:val="0"/>
      <w:divBdr>
        <w:top w:val="none" w:sz="0" w:space="0" w:color="auto"/>
        <w:left w:val="none" w:sz="0" w:space="0" w:color="auto"/>
        <w:bottom w:val="none" w:sz="0" w:space="0" w:color="auto"/>
        <w:right w:val="none" w:sz="0" w:space="0" w:color="auto"/>
      </w:divBdr>
    </w:div>
    <w:div w:id="1284144670">
      <w:bodyDiv w:val="1"/>
      <w:marLeft w:val="0"/>
      <w:marRight w:val="0"/>
      <w:marTop w:val="0"/>
      <w:marBottom w:val="0"/>
      <w:divBdr>
        <w:top w:val="none" w:sz="0" w:space="0" w:color="auto"/>
        <w:left w:val="none" w:sz="0" w:space="0" w:color="auto"/>
        <w:bottom w:val="none" w:sz="0" w:space="0" w:color="auto"/>
        <w:right w:val="none" w:sz="0" w:space="0" w:color="auto"/>
      </w:divBdr>
    </w:div>
    <w:div w:id="1330018969">
      <w:bodyDiv w:val="1"/>
      <w:marLeft w:val="0"/>
      <w:marRight w:val="0"/>
      <w:marTop w:val="0"/>
      <w:marBottom w:val="0"/>
      <w:divBdr>
        <w:top w:val="none" w:sz="0" w:space="0" w:color="auto"/>
        <w:left w:val="none" w:sz="0" w:space="0" w:color="auto"/>
        <w:bottom w:val="none" w:sz="0" w:space="0" w:color="auto"/>
        <w:right w:val="none" w:sz="0" w:space="0" w:color="auto"/>
      </w:divBdr>
    </w:div>
    <w:div w:id="1331836010">
      <w:bodyDiv w:val="1"/>
      <w:marLeft w:val="0"/>
      <w:marRight w:val="0"/>
      <w:marTop w:val="0"/>
      <w:marBottom w:val="0"/>
      <w:divBdr>
        <w:top w:val="none" w:sz="0" w:space="0" w:color="auto"/>
        <w:left w:val="none" w:sz="0" w:space="0" w:color="auto"/>
        <w:bottom w:val="none" w:sz="0" w:space="0" w:color="auto"/>
        <w:right w:val="none" w:sz="0" w:space="0" w:color="auto"/>
      </w:divBdr>
    </w:div>
    <w:div w:id="1336683633">
      <w:bodyDiv w:val="1"/>
      <w:marLeft w:val="0"/>
      <w:marRight w:val="0"/>
      <w:marTop w:val="0"/>
      <w:marBottom w:val="0"/>
      <w:divBdr>
        <w:top w:val="none" w:sz="0" w:space="0" w:color="auto"/>
        <w:left w:val="none" w:sz="0" w:space="0" w:color="auto"/>
        <w:bottom w:val="none" w:sz="0" w:space="0" w:color="auto"/>
        <w:right w:val="none" w:sz="0" w:space="0" w:color="auto"/>
      </w:divBdr>
    </w:div>
    <w:div w:id="1350062370">
      <w:bodyDiv w:val="1"/>
      <w:marLeft w:val="0"/>
      <w:marRight w:val="0"/>
      <w:marTop w:val="0"/>
      <w:marBottom w:val="0"/>
      <w:divBdr>
        <w:top w:val="none" w:sz="0" w:space="0" w:color="auto"/>
        <w:left w:val="none" w:sz="0" w:space="0" w:color="auto"/>
        <w:bottom w:val="none" w:sz="0" w:space="0" w:color="auto"/>
        <w:right w:val="none" w:sz="0" w:space="0" w:color="auto"/>
      </w:divBdr>
    </w:div>
    <w:div w:id="1373574362">
      <w:bodyDiv w:val="1"/>
      <w:marLeft w:val="0"/>
      <w:marRight w:val="0"/>
      <w:marTop w:val="0"/>
      <w:marBottom w:val="0"/>
      <w:divBdr>
        <w:top w:val="none" w:sz="0" w:space="0" w:color="auto"/>
        <w:left w:val="none" w:sz="0" w:space="0" w:color="auto"/>
        <w:bottom w:val="none" w:sz="0" w:space="0" w:color="auto"/>
        <w:right w:val="none" w:sz="0" w:space="0" w:color="auto"/>
      </w:divBdr>
    </w:div>
    <w:div w:id="1544322201">
      <w:bodyDiv w:val="1"/>
      <w:marLeft w:val="0"/>
      <w:marRight w:val="0"/>
      <w:marTop w:val="0"/>
      <w:marBottom w:val="0"/>
      <w:divBdr>
        <w:top w:val="none" w:sz="0" w:space="0" w:color="auto"/>
        <w:left w:val="none" w:sz="0" w:space="0" w:color="auto"/>
        <w:bottom w:val="none" w:sz="0" w:space="0" w:color="auto"/>
        <w:right w:val="none" w:sz="0" w:space="0" w:color="auto"/>
      </w:divBdr>
    </w:div>
    <w:div w:id="1547985729">
      <w:bodyDiv w:val="1"/>
      <w:marLeft w:val="0"/>
      <w:marRight w:val="0"/>
      <w:marTop w:val="0"/>
      <w:marBottom w:val="0"/>
      <w:divBdr>
        <w:top w:val="none" w:sz="0" w:space="0" w:color="auto"/>
        <w:left w:val="none" w:sz="0" w:space="0" w:color="auto"/>
        <w:bottom w:val="none" w:sz="0" w:space="0" w:color="auto"/>
        <w:right w:val="none" w:sz="0" w:space="0" w:color="auto"/>
      </w:divBdr>
    </w:div>
    <w:div w:id="1562130707">
      <w:bodyDiv w:val="1"/>
      <w:marLeft w:val="0"/>
      <w:marRight w:val="0"/>
      <w:marTop w:val="0"/>
      <w:marBottom w:val="0"/>
      <w:divBdr>
        <w:top w:val="none" w:sz="0" w:space="0" w:color="auto"/>
        <w:left w:val="none" w:sz="0" w:space="0" w:color="auto"/>
        <w:bottom w:val="none" w:sz="0" w:space="0" w:color="auto"/>
        <w:right w:val="none" w:sz="0" w:space="0" w:color="auto"/>
      </w:divBdr>
    </w:div>
    <w:div w:id="1584535414">
      <w:bodyDiv w:val="1"/>
      <w:marLeft w:val="0"/>
      <w:marRight w:val="0"/>
      <w:marTop w:val="0"/>
      <w:marBottom w:val="0"/>
      <w:divBdr>
        <w:top w:val="none" w:sz="0" w:space="0" w:color="auto"/>
        <w:left w:val="none" w:sz="0" w:space="0" w:color="auto"/>
        <w:bottom w:val="none" w:sz="0" w:space="0" w:color="auto"/>
        <w:right w:val="none" w:sz="0" w:space="0" w:color="auto"/>
      </w:divBdr>
    </w:div>
    <w:div w:id="1711878668">
      <w:bodyDiv w:val="1"/>
      <w:marLeft w:val="0"/>
      <w:marRight w:val="0"/>
      <w:marTop w:val="0"/>
      <w:marBottom w:val="0"/>
      <w:divBdr>
        <w:top w:val="none" w:sz="0" w:space="0" w:color="auto"/>
        <w:left w:val="none" w:sz="0" w:space="0" w:color="auto"/>
        <w:bottom w:val="none" w:sz="0" w:space="0" w:color="auto"/>
        <w:right w:val="none" w:sz="0" w:space="0" w:color="auto"/>
      </w:divBdr>
    </w:div>
    <w:div w:id="1723938371">
      <w:bodyDiv w:val="1"/>
      <w:marLeft w:val="0"/>
      <w:marRight w:val="0"/>
      <w:marTop w:val="0"/>
      <w:marBottom w:val="0"/>
      <w:divBdr>
        <w:top w:val="none" w:sz="0" w:space="0" w:color="auto"/>
        <w:left w:val="none" w:sz="0" w:space="0" w:color="auto"/>
        <w:bottom w:val="none" w:sz="0" w:space="0" w:color="auto"/>
        <w:right w:val="none" w:sz="0" w:space="0" w:color="auto"/>
      </w:divBdr>
    </w:div>
    <w:div w:id="1751004728">
      <w:bodyDiv w:val="1"/>
      <w:marLeft w:val="0"/>
      <w:marRight w:val="0"/>
      <w:marTop w:val="0"/>
      <w:marBottom w:val="0"/>
      <w:divBdr>
        <w:top w:val="none" w:sz="0" w:space="0" w:color="auto"/>
        <w:left w:val="none" w:sz="0" w:space="0" w:color="auto"/>
        <w:bottom w:val="none" w:sz="0" w:space="0" w:color="auto"/>
        <w:right w:val="none" w:sz="0" w:space="0" w:color="auto"/>
      </w:divBdr>
    </w:div>
    <w:div w:id="1764258142">
      <w:bodyDiv w:val="1"/>
      <w:marLeft w:val="0"/>
      <w:marRight w:val="0"/>
      <w:marTop w:val="0"/>
      <w:marBottom w:val="0"/>
      <w:divBdr>
        <w:top w:val="none" w:sz="0" w:space="0" w:color="auto"/>
        <w:left w:val="none" w:sz="0" w:space="0" w:color="auto"/>
        <w:bottom w:val="none" w:sz="0" w:space="0" w:color="auto"/>
        <w:right w:val="none" w:sz="0" w:space="0" w:color="auto"/>
      </w:divBdr>
    </w:div>
    <w:div w:id="1802846987">
      <w:bodyDiv w:val="1"/>
      <w:marLeft w:val="0"/>
      <w:marRight w:val="0"/>
      <w:marTop w:val="0"/>
      <w:marBottom w:val="0"/>
      <w:divBdr>
        <w:top w:val="none" w:sz="0" w:space="0" w:color="auto"/>
        <w:left w:val="none" w:sz="0" w:space="0" w:color="auto"/>
        <w:bottom w:val="none" w:sz="0" w:space="0" w:color="auto"/>
        <w:right w:val="none" w:sz="0" w:space="0" w:color="auto"/>
      </w:divBdr>
    </w:div>
    <w:div w:id="1881085109">
      <w:bodyDiv w:val="1"/>
      <w:marLeft w:val="0"/>
      <w:marRight w:val="0"/>
      <w:marTop w:val="0"/>
      <w:marBottom w:val="0"/>
      <w:divBdr>
        <w:top w:val="none" w:sz="0" w:space="0" w:color="auto"/>
        <w:left w:val="none" w:sz="0" w:space="0" w:color="auto"/>
        <w:bottom w:val="none" w:sz="0" w:space="0" w:color="auto"/>
        <w:right w:val="none" w:sz="0" w:space="0" w:color="auto"/>
      </w:divBdr>
    </w:div>
    <w:div w:id="1890338346">
      <w:bodyDiv w:val="1"/>
      <w:marLeft w:val="0"/>
      <w:marRight w:val="0"/>
      <w:marTop w:val="0"/>
      <w:marBottom w:val="0"/>
      <w:divBdr>
        <w:top w:val="none" w:sz="0" w:space="0" w:color="auto"/>
        <w:left w:val="none" w:sz="0" w:space="0" w:color="auto"/>
        <w:bottom w:val="none" w:sz="0" w:space="0" w:color="auto"/>
        <w:right w:val="none" w:sz="0" w:space="0" w:color="auto"/>
      </w:divBdr>
    </w:div>
    <w:div w:id="1896039823">
      <w:bodyDiv w:val="1"/>
      <w:marLeft w:val="0"/>
      <w:marRight w:val="0"/>
      <w:marTop w:val="0"/>
      <w:marBottom w:val="0"/>
      <w:divBdr>
        <w:top w:val="none" w:sz="0" w:space="0" w:color="auto"/>
        <w:left w:val="none" w:sz="0" w:space="0" w:color="auto"/>
        <w:bottom w:val="none" w:sz="0" w:space="0" w:color="auto"/>
        <w:right w:val="none" w:sz="0" w:space="0" w:color="auto"/>
      </w:divBdr>
    </w:div>
    <w:div w:id="1938521178">
      <w:marLeft w:val="0"/>
      <w:marRight w:val="0"/>
      <w:marTop w:val="0"/>
      <w:marBottom w:val="0"/>
      <w:divBdr>
        <w:top w:val="none" w:sz="0" w:space="0" w:color="auto"/>
        <w:left w:val="none" w:sz="0" w:space="0" w:color="auto"/>
        <w:bottom w:val="none" w:sz="0" w:space="0" w:color="auto"/>
        <w:right w:val="none" w:sz="0" w:space="0" w:color="auto"/>
      </w:divBdr>
    </w:div>
    <w:div w:id="1938521179">
      <w:marLeft w:val="0"/>
      <w:marRight w:val="0"/>
      <w:marTop w:val="0"/>
      <w:marBottom w:val="0"/>
      <w:divBdr>
        <w:top w:val="none" w:sz="0" w:space="0" w:color="auto"/>
        <w:left w:val="none" w:sz="0" w:space="0" w:color="auto"/>
        <w:bottom w:val="none" w:sz="0" w:space="0" w:color="auto"/>
        <w:right w:val="none" w:sz="0" w:space="0" w:color="auto"/>
      </w:divBdr>
    </w:div>
    <w:div w:id="1938521180">
      <w:marLeft w:val="0"/>
      <w:marRight w:val="0"/>
      <w:marTop w:val="0"/>
      <w:marBottom w:val="0"/>
      <w:divBdr>
        <w:top w:val="none" w:sz="0" w:space="0" w:color="auto"/>
        <w:left w:val="none" w:sz="0" w:space="0" w:color="auto"/>
        <w:bottom w:val="none" w:sz="0" w:space="0" w:color="auto"/>
        <w:right w:val="none" w:sz="0" w:space="0" w:color="auto"/>
      </w:divBdr>
    </w:div>
    <w:div w:id="1938521181">
      <w:marLeft w:val="0"/>
      <w:marRight w:val="0"/>
      <w:marTop w:val="0"/>
      <w:marBottom w:val="0"/>
      <w:divBdr>
        <w:top w:val="none" w:sz="0" w:space="0" w:color="auto"/>
        <w:left w:val="none" w:sz="0" w:space="0" w:color="auto"/>
        <w:bottom w:val="none" w:sz="0" w:space="0" w:color="auto"/>
        <w:right w:val="none" w:sz="0" w:space="0" w:color="auto"/>
      </w:divBdr>
    </w:div>
    <w:div w:id="1938521182">
      <w:marLeft w:val="0"/>
      <w:marRight w:val="0"/>
      <w:marTop w:val="0"/>
      <w:marBottom w:val="0"/>
      <w:divBdr>
        <w:top w:val="none" w:sz="0" w:space="0" w:color="auto"/>
        <w:left w:val="none" w:sz="0" w:space="0" w:color="auto"/>
        <w:bottom w:val="none" w:sz="0" w:space="0" w:color="auto"/>
        <w:right w:val="none" w:sz="0" w:space="0" w:color="auto"/>
      </w:divBdr>
    </w:div>
    <w:div w:id="1938521183">
      <w:marLeft w:val="0"/>
      <w:marRight w:val="0"/>
      <w:marTop w:val="0"/>
      <w:marBottom w:val="0"/>
      <w:divBdr>
        <w:top w:val="none" w:sz="0" w:space="0" w:color="auto"/>
        <w:left w:val="none" w:sz="0" w:space="0" w:color="auto"/>
        <w:bottom w:val="none" w:sz="0" w:space="0" w:color="auto"/>
        <w:right w:val="none" w:sz="0" w:space="0" w:color="auto"/>
      </w:divBdr>
    </w:div>
    <w:div w:id="1938521184">
      <w:marLeft w:val="0"/>
      <w:marRight w:val="0"/>
      <w:marTop w:val="0"/>
      <w:marBottom w:val="0"/>
      <w:divBdr>
        <w:top w:val="none" w:sz="0" w:space="0" w:color="auto"/>
        <w:left w:val="none" w:sz="0" w:space="0" w:color="auto"/>
        <w:bottom w:val="none" w:sz="0" w:space="0" w:color="auto"/>
        <w:right w:val="none" w:sz="0" w:space="0" w:color="auto"/>
      </w:divBdr>
    </w:div>
    <w:div w:id="1938521185">
      <w:marLeft w:val="0"/>
      <w:marRight w:val="0"/>
      <w:marTop w:val="0"/>
      <w:marBottom w:val="0"/>
      <w:divBdr>
        <w:top w:val="none" w:sz="0" w:space="0" w:color="auto"/>
        <w:left w:val="none" w:sz="0" w:space="0" w:color="auto"/>
        <w:bottom w:val="none" w:sz="0" w:space="0" w:color="auto"/>
        <w:right w:val="none" w:sz="0" w:space="0" w:color="auto"/>
      </w:divBdr>
    </w:div>
    <w:div w:id="1938521186">
      <w:marLeft w:val="0"/>
      <w:marRight w:val="0"/>
      <w:marTop w:val="0"/>
      <w:marBottom w:val="0"/>
      <w:divBdr>
        <w:top w:val="none" w:sz="0" w:space="0" w:color="auto"/>
        <w:left w:val="none" w:sz="0" w:space="0" w:color="auto"/>
        <w:bottom w:val="none" w:sz="0" w:space="0" w:color="auto"/>
        <w:right w:val="none" w:sz="0" w:space="0" w:color="auto"/>
      </w:divBdr>
    </w:div>
    <w:div w:id="1938521187">
      <w:marLeft w:val="0"/>
      <w:marRight w:val="0"/>
      <w:marTop w:val="0"/>
      <w:marBottom w:val="0"/>
      <w:divBdr>
        <w:top w:val="none" w:sz="0" w:space="0" w:color="auto"/>
        <w:left w:val="none" w:sz="0" w:space="0" w:color="auto"/>
        <w:bottom w:val="none" w:sz="0" w:space="0" w:color="auto"/>
        <w:right w:val="none" w:sz="0" w:space="0" w:color="auto"/>
      </w:divBdr>
    </w:div>
    <w:div w:id="1938521188">
      <w:marLeft w:val="0"/>
      <w:marRight w:val="0"/>
      <w:marTop w:val="0"/>
      <w:marBottom w:val="0"/>
      <w:divBdr>
        <w:top w:val="none" w:sz="0" w:space="0" w:color="auto"/>
        <w:left w:val="none" w:sz="0" w:space="0" w:color="auto"/>
        <w:bottom w:val="none" w:sz="0" w:space="0" w:color="auto"/>
        <w:right w:val="none" w:sz="0" w:space="0" w:color="auto"/>
      </w:divBdr>
    </w:div>
    <w:div w:id="1938521189">
      <w:marLeft w:val="0"/>
      <w:marRight w:val="0"/>
      <w:marTop w:val="0"/>
      <w:marBottom w:val="0"/>
      <w:divBdr>
        <w:top w:val="none" w:sz="0" w:space="0" w:color="auto"/>
        <w:left w:val="none" w:sz="0" w:space="0" w:color="auto"/>
        <w:bottom w:val="none" w:sz="0" w:space="0" w:color="auto"/>
        <w:right w:val="none" w:sz="0" w:space="0" w:color="auto"/>
      </w:divBdr>
    </w:div>
    <w:div w:id="1938521190">
      <w:marLeft w:val="0"/>
      <w:marRight w:val="0"/>
      <w:marTop w:val="0"/>
      <w:marBottom w:val="0"/>
      <w:divBdr>
        <w:top w:val="none" w:sz="0" w:space="0" w:color="auto"/>
        <w:left w:val="none" w:sz="0" w:space="0" w:color="auto"/>
        <w:bottom w:val="none" w:sz="0" w:space="0" w:color="auto"/>
        <w:right w:val="none" w:sz="0" w:space="0" w:color="auto"/>
      </w:divBdr>
    </w:div>
    <w:div w:id="1938521191">
      <w:marLeft w:val="0"/>
      <w:marRight w:val="0"/>
      <w:marTop w:val="0"/>
      <w:marBottom w:val="0"/>
      <w:divBdr>
        <w:top w:val="none" w:sz="0" w:space="0" w:color="auto"/>
        <w:left w:val="none" w:sz="0" w:space="0" w:color="auto"/>
        <w:bottom w:val="none" w:sz="0" w:space="0" w:color="auto"/>
        <w:right w:val="none" w:sz="0" w:space="0" w:color="auto"/>
      </w:divBdr>
    </w:div>
    <w:div w:id="1938521192">
      <w:marLeft w:val="0"/>
      <w:marRight w:val="0"/>
      <w:marTop w:val="0"/>
      <w:marBottom w:val="0"/>
      <w:divBdr>
        <w:top w:val="none" w:sz="0" w:space="0" w:color="auto"/>
        <w:left w:val="none" w:sz="0" w:space="0" w:color="auto"/>
        <w:bottom w:val="none" w:sz="0" w:space="0" w:color="auto"/>
        <w:right w:val="none" w:sz="0" w:space="0" w:color="auto"/>
      </w:divBdr>
    </w:div>
    <w:div w:id="1938521193">
      <w:marLeft w:val="0"/>
      <w:marRight w:val="0"/>
      <w:marTop w:val="0"/>
      <w:marBottom w:val="0"/>
      <w:divBdr>
        <w:top w:val="none" w:sz="0" w:space="0" w:color="auto"/>
        <w:left w:val="none" w:sz="0" w:space="0" w:color="auto"/>
        <w:bottom w:val="none" w:sz="0" w:space="0" w:color="auto"/>
        <w:right w:val="none" w:sz="0" w:space="0" w:color="auto"/>
      </w:divBdr>
    </w:div>
    <w:div w:id="1938521194">
      <w:marLeft w:val="0"/>
      <w:marRight w:val="0"/>
      <w:marTop w:val="0"/>
      <w:marBottom w:val="0"/>
      <w:divBdr>
        <w:top w:val="none" w:sz="0" w:space="0" w:color="auto"/>
        <w:left w:val="none" w:sz="0" w:space="0" w:color="auto"/>
        <w:bottom w:val="none" w:sz="0" w:space="0" w:color="auto"/>
        <w:right w:val="none" w:sz="0" w:space="0" w:color="auto"/>
      </w:divBdr>
    </w:div>
    <w:div w:id="1938521195">
      <w:marLeft w:val="0"/>
      <w:marRight w:val="0"/>
      <w:marTop w:val="0"/>
      <w:marBottom w:val="0"/>
      <w:divBdr>
        <w:top w:val="none" w:sz="0" w:space="0" w:color="auto"/>
        <w:left w:val="none" w:sz="0" w:space="0" w:color="auto"/>
        <w:bottom w:val="none" w:sz="0" w:space="0" w:color="auto"/>
        <w:right w:val="none" w:sz="0" w:space="0" w:color="auto"/>
      </w:divBdr>
    </w:div>
    <w:div w:id="1938521196">
      <w:marLeft w:val="0"/>
      <w:marRight w:val="0"/>
      <w:marTop w:val="0"/>
      <w:marBottom w:val="0"/>
      <w:divBdr>
        <w:top w:val="none" w:sz="0" w:space="0" w:color="auto"/>
        <w:left w:val="none" w:sz="0" w:space="0" w:color="auto"/>
        <w:bottom w:val="none" w:sz="0" w:space="0" w:color="auto"/>
        <w:right w:val="none" w:sz="0" w:space="0" w:color="auto"/>
      </w:divBdr>
    </w:div>
    <w:div w:id="1938521197">
      <w:marLeft w:val="0"/>
      <w:marRight w:val="0"/>
      <w:marTop w:val="0"/>
      <w:marBottom w:val="0"/>
      <w:divBdr>
        <w:top w:val="none" w:sz="0" w:space="0" w:color="auto"/>
        <w:left w:val="none" w:sz="0" w:space="0" w:color="auto"/>
        <w:bottom w:val="none" w:sz="0" w:space="0" w:color="auto"/>
        <w:right w:val="none" w:sz="0" w:space="0" w:color="auto"/>
      </w:divBdr>
    </w:div>
    <w:div w:id="1938521198">
      <w:marLeft w:val="0"/>
      <w:marRight w:val="0"/>
      <w:marTop w:val="0"/>
      <w:marBottom w:val="0"/>
      <w:divBdr>
        <w:top w:val="none" w:sz="0" w:space="0" w:color="auto"/>
        <w:left w:val="none" w:sz="0" w:space="0" w:color="auto"/>
        <w:bottom w:val="none" w:sz="0" w:space="0" w:color="auto"/>
        <w:right w:val="none" w:sz="0" w:space="0" w:color="auto"/>
      </w:divBdr>
    </w:div>
    <w:div w:id="1938521199">
      <w:marLeft w:val="0"/>
      <w:marRight w:val="0"/>
      <w:marTop w:val="0"/>
      <w:marBottom w:val="0"/>
      <w:divBdr>
        <w:top w:val="none" w:sz="0" w:space="0" w:color="auto"/>
        <w:left w:val="none" w:sz="0" w:space="0" w:color="auto"/>
        <w:bottom w:val="none" w:sz="0" w:space="0" w:color="auto"/>
        <w:right w:val="none" w:sz="0" w:space="0" w:color="auto"/>
      </w:divBdr>
    </w:div>
    <w:div w:id="1938521200">
      <w:marLeft w:val="0"/>
      <w:marRight w:val="0"/>
      <w:marTop w:val="0"/>
      <w:marBottom w:val="0"/>
      <w:divBdr>
        <w:top w:val="none" w:sz="0" w:space="0" w:color="auto"/>
        <w:left w:val="none" w:sz="0" w:space="0" w:color="auto"/>
        <w:bottom w:val="none" w:sz="0" w:space="0" w:color="auto"/>
        <w:right w:val="none" w:sz="0" w:space="0" w:color="auto"/>
      </w:divBdr>
    </w:div>
    <w:div w:id="1938521201">
      <w:marLeft w:val="0"/>
      <w:marRight w:val="0"/>
      <w:marTop w:val="0"/>
      <w:marBottom w:val="0"/>
      <w:divBdr>
        <w:top w:val="none" w:sz="0" w:space="0" w:color="auto"/>
        <w:left w:val="none" w:sz="0" w:space="0" w:color="auto"/>
        <w:bottom w:val="none" w:sz="0" w:space="0" w:color="auto"/>
        <w:right w:val="none" w:sz="0" w:space="0" w:color="auto"/>
      </w:divBdr>
    </w:div>
    <w:div w:id="1938521202">
      <w:marLeft w:val="0"/>
      <w:marRight w:val="0"/>
      <w:marTop w:val="0"/>
      <w:marBottom w:val="0"/>
      <w:divBdr>
        <w:top w:val="none" w:sz="0" w:space="0" w:color="auto"/>
        <w:left w:val="none" w:sz="0" w:space="0" w:color="auto"/>
        <w:bottom w:val="none" w:sz="0" w:space="0" w:color="auto"/>
        <w:right w:val="none" w:sz="0" w:space="0" w:color="auto"/>
      </w:divBdr>
    </w:div>
    <w:div w:id="1938521203">
      <w:marLeft w:val="0"/>
      <w:marRight w:val="0"/>
      <w:marTop w:val="0"/>
      <w:marBottom w:val="0"/>
      <w:divBdr>
        <w:top w:val="none" w:sz="0" w:space="0" w:color="auto"/>
        <w:left w:val="none" w:sz="0" w:space="0" w:color="auto"/>
        <w:bottom w:val="none" w:sz="0" w:space="0" w:color="auto"/>
        <w:right w:val="none" w:sz="0" w:space="0" w:color="auto"/>
      </w:divBdr>
    </w:div>
    <w:div w:id="1938521204">
      <w:marLeft w:val="0"/>
      <w:marRight w:val="0"/>
      <w:marTop w:val="0"/>
      <w:marBottom w:val="0"/>
      <w:divBdr>
        <w:top w:val="none" w:sz="0" w:space="0" w:color="auto"/>
        <w:left w:val="none" w:sz="0" w:space="0" w:color="auto"/>
        <w:bottom w:val="none" w:sz="0" w:space="0" w:color="auto"/>
        <w:right w:val="none" w:sz="0" w:space="0" w:color="auto"/>
      </w:divBdr>
    </w:div>
    <w:div w:id="1938521205">
      <w:marLeft w:val="0"/>
      <w:marRight w:val="0"/>
      <w:marTop w:val="0"/>
      <w:marBottom w:val="0"/>
      <w:divBdr>
        <w:top w:val="none" w:sz="0" w:space="0" w:color="auto"/>
        <w:left w:val="none" w:sz="0" w:space="0" w:color="auto"/>
        <w:bottom w:val="none" w:sz="0" w:space="0" w:color="auto"/>
        <w:right w:val="none" w:sz="0" w:space="0" w:color="auto"/>
      </w:divBdr>
    </w:div>
    <w:div w:id="1938521206">
      <w:marLeft w:val="0"/>
      <w:marRight w:val="0"/>
      <w:marTop w:val="0"/>
      <w:marBottom w:val="0"/>
      <w:divBdr>
        <w:top w:val="none" w:sz="0" w:space="0" w:color="auto"/>
        <w:left w:val="none" w:sz="0" w:space="0" w:color="auto"/>
        <w:bottom w:val="none" w:sz="0" w:space="0" w:color="auto"/>
        <w:right w:val="none" w:sz="0" w:space="0" w:color="auto"/>
      </w:divBdr>
    </w:div>
    <w:div w:id="1938521207">
      <w:marLeft w:val="0"/>
      <w:marRight w:val="0"/>
      <w:marTop w:val="0"/>
      <w:marBottom w:val="0"/>
      <w:divBdr>
        <w:top w:val="none" w:sz="0" w:space="0" w:color="auto"/>
        <w:left w:val="none" w:sz="0" w:space="0" w:color="auto"/>
        <w:bottom w:val="none" w:sz="0" w:space="0" w:color="auto"/>
        <w:right w:val="none" w:sz="0" w:space="0" w:color="auto"/>
      </w:divBdr>
    </w:div>
    <w:div w:id="1938521208">
      <w:marLeft w:val="0"/>
      <w:marRight w:val="0"/>
      <w:marTop w:val="0"/>
      <w:marBottom w:val="0"/>
      <w:divBdr>
        <w:top w:val="none" w:sz="0" w:space="0" w:color="auto"/>
        <w:left w:val="none" w:sz="0" w:space="0" w:color="auto"/>
        <w:bottom w:val="none" w:sz="0" w:space="0" w:color="auto"/>
        <w:right w:val="none" w:sz="0" w:space="0" w:color="auto"/>
      </w:divBdr>
    </w:div>
    <w:div w:id="1938521209">
      <w:marLeft w:val="0"/>
      <w:marRight w:val="0"/>
      <w:marTop w:val="0"/>
      <w:marBottom w:val="0"/>
      <w:divBdr>
        <w:top w:val="none" w:sz="0" w:space="0" w:color="auto"/>
        <w:left w:val="none" w:sz="0" w:space="0" w:color="auto"/>
        <w:bottom w:val="none" w:sz="0" w:space="0" w:color="auto"/>
        <w:right w:val="none" w:sz="0" w:space="0" w:color="auto"/>
      </w:divBdr>
    </w:div>
    <w:div w:id="1938521210">
      <w:marLeft w:val="0"/>
      <w:marRight w:val="0"/>
      <w:marTop w:val="0"/>
      <w:marBottom w:val="0"/>
      <w:divBdr>
        <w:top w:val="none" w:sz="0" w:space="0" w:color="auto"/>
        <w:left w:val="none" w:sz="0" w:space="0" w:color="auto"/>
        <w:bottom w:val="none" w:sz="0" w:space="0" w:color="auto"/>
        <w:right w:val="none" w:sz="0" w:space="0" w:color="auto"/>
      </w:divBdr>
    </w:div>
    <w:div w:id="1938521211">
      <w:marLeft w:val="0"/>
      <w:marRight w:val="0"/>
      <w:marTop w:val="0"/>
      <w:marBottom w:val="0"/>
      <w:divBdr>
        <w:top w:val="none" w:sz="0" w:space="0" w:color="auto"/>
        <w:left w:val="none" w:sz="0" w:space="0" w:color="auto"/>
        <w:bottom w:val="none" w:sz="0" w:space="0" w:color="auto"/>
        <w:right w:val="none" w:sz="0" w:space="0" w:color="auto"/>
      </w:divBdr>
    </w:div>
    <w:div w:id="1938521212">
      <w:marLeft w:val="0"/>
      <w:marRight w:val="0"/>
      <w:marTop w:val="0"/>
      <w:marBottom w:val="0"/>
      <w:divBdr>
        <w:top w:val="none" w:sz="0" w:space="0" w:color="auto"/>
        <w:left w:val="none" w:sz="0" w:space="0" w:color="auto"/>
        <w:bottom w:val="none" w:sz="0" w:space="0" w:color="auto"/>
        <w:right w:val="none" w:sz="0" w:space="0" w:color="auto"/>
      </w:divBdr>
    </w:div>
    <w:div w:id="1938521213">
      <w:marLeft w:val="0"/>
      <w:marRight w:val="0"/>
      <w:marTop w:val="0"/>
      <w:marBottom w:val="0"/>
      <w:divBdr>
        <w:top w:val="none" w:sz="0" w:space="0" w:color="auto"/>
        <w:left w:val="none" w:sz="0" w:space="0" w:color="auto"/>
        <w:bottom w:val="none" w:sz="0" w:space="0" w:color="auto"/>
        <w:right w:val="none" w:sz="0" w:space="0" w:color="auto"/>
      </w:divBdr>
    </w:div>
    <w:div w:id="1938521214">
      <w:marLeft w:val="0"/>
      <w:marRight w:val="0"/>
      <w:marTop w:val="0"/>
      <w:marBottom w:val="0"/>
      <w:divBdr>
        <w:top w:val="none" w:sz="0" w:space="0" w:color="auto"/>
        <w:left w:val="none" w:sz="0" w:space="0" w:color="auto"/>
        <w:bottom w:val="none" w:sz="0" w:space="0" w:color="auto"/>
        <w:right w:val="none" w:sz="0" w:space="0" w:color="auto"/>
      </w:divBdr>
    </w:div>
    <w:div w:id="1938521215">
      <w:marLeft w:val="0"/>
      <w:marRight w:val="0"/>
      <w:marTop w:val="0"/>
      <w:marBottom w:val="0"/>
      <w:divBdr>
        <w:top w:val="none" w:sz="0" w:space="0" w:color="auto"/>
        <w:left w:val="none" w:sz="0" w:space="0" w:color="auto"/>
        <w:bottom w:val="none" w:sz="0" w:space="0" w:color="auto"/>
        <w:right w:val="none" w:sz="0" w:space="0" w:color="auto"/>
      </w:divBdr>
    </w:div>
    <w:div w:id="1938521216">
      <w:marLeft w:val="0"/>
      <w:marRight w:val="0"/>
      <w:marTop w:val="0"/>
      <w:marBottom w:val="0"/>
      <w:divBdr>
        <w:top w:val="none" w:sz="0" w:space="0" w:color="auto"/>
        <w:left w:val="none" w:sz="0" w:space="0" w:color="auto"/>
        <w:bottom w:val="none" w:sz="0" w:space="0" w:color="auto"/>
        <w:right w:val="none" w:sz="0" w:space="0" w:color="auto"/>
      </w:divBdr>
    </w:div>
    <w:div w:id="1938521217">
      <w:marLeft w:val="0"/>
      <w:marRight w:val="0"/>
      <w:marTop w:val="0"/>
      <w:marBottom w:val="0"/>
      <w:divBdr>
        <w:top w:val="none" w:sz="0" w:space="0" w:color="auto"/>
        <w:left w:val="none" w:sz="0" w:space="0" w:color="auto"/>
        <w:bottom w:val="none" w:sz="0" w:space="0" w:color="auto"/>
        <w:right w:val="none" w:sz="0" w:space="0" w:color="auto"/>
      </w:divBdr>
    </w:div>
    <w:div w:id="1938521218">
      <w:marLeft w:val="0"/>
      <w:marRight w:val="0"/>
      <w:marTop w:val="0"/>
      <w:marBottom w:val="0"/>
      <w:divBdr>
        <w:top w:val="none" w:sz="0" w:space="0" w:color="auto"/>
        <w:left w:val="none" w:sz="0" w:space="0" w:color="auto"/>
        <w:bottom w:val="none" w:sz="0" w:space="0" w:color="auto"/>
        <w:right w:val="none" w:sz="0" w:space="0" w:color="auto"/>
      </w:divBdr>
    </w:div>
    <w:div w:id="1938521219">
      <w:marLeft w:val="0"/>
      <w:marRight w:val="0"/>
      <w:marTop w:val="0"/>
      <w:marBottom w:val="0"/>
      <w:divBdr>
        <w:top w:val="none" w:sz="0" w:space="0" w:color="auto"/>
        <w:left w:val="none" w:sz="0" w:space="0" w:color="auto"/>
        <w:bottom w:val="none" w:sz="0" w:space="0" w:color="auto"/>
        <w:right w:val="none" w:sz="0" w:space="0" w:color="auto"/>
      </w:divBdr>
    </w:div>
    <w:div w:id="1938521220">
      <w:marLeft w:val="0"/>
      <w:marRight w:val="0"/>
      <w:marTop w:val="0"/>
      <w:marBottom w:val="0"/>
      <w:divBdr>
        <w:top w:val="none" w:sz="0" w:space="0" w:color="auto"/>
        <w:left w:val="none" w:sz="0" w:space="0" w:color="auto"/>
        <w:bottom w:val="none" w:sz="0" w:space="0" w:color="auto"/>
        <w:right w:val="none" w:sz="0" w:space="0" w:color="auto"/>
      </w:divBdr>
    </w:div>
    <w:div w:id="1938521221">
      <w:marLeft w:val="0"/>
      <w:marRight w:val="0"/>
      <w:marTop w:val="0"/>
      <w:marBottom w:val="0"/>
      <w:divBdr>
        <w:top w:val="none" w:sz="0" w:space="0" w:color="auto"/>
        <w:left w:val="none" w:sz="0" w:space="0" w:color="auto"/>
        <w:bottom w:val="none" w:sz="0" w:space="0" w:color="auto"/>
        <w:right w:val="none" w:sz="0" w:space="0" w:color="auto"/>
      </w:divBdr>
    </w:div>
    <w:div w:id="1938521222">
      <w:marLeft w:val="0"/>
      <w:marRight w:val="0"/>
      <w:marTop w:val="0"/>
      <w:marBottom w:val="0"/>
      <w:divBdr>
        <w:top w:val="none" w:sz="0" w:space="0" w:color="auto"/>
        <w:left w:val="none" w:sz="0" w:space="0" w:color="auto"/>
        <w:bottom w:val="none" w:sz="0" w:space="0" w:color="auto"/>
        <w:right w:val="none" w:sz="0" w:space="0" w:color="auto"/>
      </w:divBdr>
    </w:div>
    <w:div w:id="1938521223">
      <w:marLeft w:val="0"/>
      <w:marRight w:val="0"/>
      <w:marTop w:val="0"/>
      <w:marBottom w:val="0"/>
      <w:divBdr>
        <w:top w:val="none" w:sz="0" w:space="0" w:color="auto"/>
        <w:left w:val="none" w:sz="0" w:space="0" w:color="auto"/>
        <w:bottom w:val="none" w:sz="0" w:space="0" w:color="auto"/>
        <w:right w:val="none" w:sz="0" w:space="0" w:color="auto"/>
      </w:divBdr>
    </w:div>
    <w:div w:id="1938521224">
      <w:marLeft w:val="0"/>
      <w:marRight w:val="0"/>
      <w:marTop w:val="0"/>
      <w:marBottom w:val="0"/>
      <w:divBdr>
        <w:top w:val="none" w:sz="0" w:space="0" w:color="auto"/>
        <w:left w:val="none" w:sz="0" w:space="0" w:color="auto"/>
        <w:bottom w:val="none" w:sz="0" w:space="0" w:color="auto"/>
        <w:right w:val="none" w:sz="0" w:space="0" w:color="auto"/>
      </w:divBdr>
    </w:div>
    <w:div w:id="1938521225">
      <w:marLeft w:val="0"/>
      <w:marRight w:val="0"/>
      <w:marTop w:val="0"/>
      <w:marBottom w:val="0"/>
      <w:divBdr>
        <w:top w:val="none" w:sz="0" w:space="0" w:color="auto"/>
        <w:left w:val="none" w:sz="0" w:space="0" w:color="auto"/>
        <w:bottom w:val="none" w:sz="0" w:space="0" w:color="auto"/>
        <w:right w:val="none" w:sz="0" w:space="0" w:color="auto"/>
      </w:divBdr>
    </w:div>
    <w:div w:id="1938521226">
      <w:marLeft w:val="0"/>
      <w:marRight w:val="0"/>
      <w:marTop w:val="0"/>
      <w:marBottom w:val="0"/>
      <w:divBdr>
        <w:top w:val="none" w:sz="0" w:space="0" w:color="auto"/>
        <w:left w:val="none" w:sz="0" w:space="0" w:color="auto"/>
        <w:bottom w:val="none" w:sz="0" w:space="0" w:color="auto"/>
        <w:right w:val="none" w:sz="0" w:space="0" w:color="auto"/>
      </w:divBdr>
    </w:div>
    <w:div w:id="1938521227">
      <w:marLeft w:val="0"/>
      <w:marRight w:val="0"/>
      <w:marTop w:val="0"/>
      <w:marBottom w:val="0"/>
      <w:divBdr>
        <w:top w:val="none" w:sz="0" w:space="0" w:color="auto"/>
        <w:left w:val="none" w:sz="0" w:space="0" w:color="auto"/>
        <w:bottom w:val="none" w:sz="0" w:space="0" w:color="auto"/>
        <w:right w:val="none" w:sz="0" w:space="0" w:color="auto"/>
      </w:divBdr>
    </w:div>
    <w:div w:id="1938521228">
      <w:marLeft w:val="0"/>
      <w:marRight w:val="0"/>
      <w:marTop w:val="0"/>
      <w:marBottom w:val="0"/>
      <w:divBdr>
        <w:top w:val="none" w:sz="0" w:space="0" w:color="auto"/>
        <w:left w:val="none" w:sz="0" w:space="0" w:color="auto"/>
        <w:bottom w:val="none" w:sz="0" w:space="0" w:color="auto"/>
        <w:right w:val="none" w:sz="0" w:space="0" w:color="auto"/>
      </w:divBdr>
    </w:div>
    <w:div w:id="1938521229">
      <w:marLeft w:val="0"/>
      <w:marRight w:val="0"/>
      <w:marTop w:val="0"/>
      <w:marBottom w:val="0"/>
      <w:divBdr>
        <w:top w:val="none" w:sz="0" w:space="0" w:color="auto"/>
        <w:left w:val="none" w:sz="0" w:space="0" w:color="auto"/>
        <w:bottom w:val="none" w:sz="0" w:space="0" w:color="auto"/>
        <w:right w:val="none" w:sz="0" w:space="0" w:color="auto"/>
      </w:divBdr>
    </w:div>
    <w:div w:id="1938521230">
      <w:marLeft w:val="0"/>
      <w:marRight w:val="0"/>
      <w:marTop w:val="0"/>
      <w:marBottom w:val="0"/>
      <w:divBdr>
        <w:top w:val="none" w:sz="0" w:space="0" w:color="auto"/>
        <w:left w:val="none" w:sz="0" w:space="0" w:color="auto"/>
        <w:bottom w:val="none" w:sz="0" w:space="0" w:color="auto"/>
        <w:right w:val="none" w:sz="0" w:space="0" w:color="auto"/>
      </w:divBdr>
    </w:div>
    <w:div w:id="1938521231">
      <w:marLeft w:val="0"/>
      <w:marRight w:val="0"/>
      <w:marTop w:val="0"/>
      <w:marBottom w:val="0"/>
      <w:divBdr>
        <w:top w:val="none" w:sz="0" w:space="0" w:color="auto"/>
        <w:left w:val="none" w:sz="0" w:space="0" w:color="auto"/>
        <w:bottom w:val="none" w:sz="0" w:space="0" w:color="auto"/>
        <w:right w:val="none" w:sz="0" w:space="0" w:color="auto"/>
      </w:divBdr>
    </w:div>
    <w:div w:id="1938521232">
      <w:marLeft w:val="0"/>
      <w:marRight w:val="0"/>
      <w:marTop w:val="0"/>
      <w:marBottom w:val="0"/>
      <w:divBdr>
        <w:top w:val="none" w:sz="0" w:space="0" w:color="auto"/>
        <w:left w:val="none" w:sz="0" w:space="0" w:color="auto"/>
        <w:bottom w:val="none" w:sz="0" w:space="0" w:color="auto"/>
        <w:right w:val="none" w:sz="0" w:space="0" w:color="auto"/>
      </w:divBdr>
    </w:div>
    <w:div w:id="1938521233">
      <w:marLeft w:val="0"/>
      <w:marRight w:val="0"/>
      <w:marTop w:val="0"/>
      <w:marBottom w:val="0"/>
      <w:divBdr>
        <w:top w:val="none" w:sz="0" w:space="0" w:color="auto"/>
        <w:left w:val="none" w:sz="0" w:space="0" w:color="auto"/>
        <w:bottom w:val="none" w:sz="0" w:space="0" w:color="auto"/>
        <w:right w:val="none" w:sz="0" w:space="0" w:color="auto"/>
      </w:divBdr>
    </w:div>
    <w:div w:id="1938521234">
      <w:marLeft w:val="0"/>
      <w:marRight w:val="0"/>
      <w:marTop w:val="0"/>
      <w:marBottom w:val="0"/>
      <w:divBdr>
        <w:top w:val="none" w:sz="0" w:space="0" w:color="auto"/>
        <w:left w:val="none" w:sz="0" w:space="0" w:color="auto"/>
        <w:bottom w:val="none" w:sz="0" w:space="0" w:color="auto"/>
        <w:right w:val="none" w:sz="0" w:space="0" w:color="auto"/>
      </w:divBdr>
    </w:div>
    <w:div w:id="1938521235">
      <w:marLeft w:val="0"/>
      <w:marRight w:val="0"/>
      <w:marTop w:val="0"/>
      <w:marBottom w:val="0"/>
      <w:divBdr>
        <w:top w:val="none" w:sz="0" w:space="0" w:color="auto"/>
        <w:left w:val="none" w:sz="0" w:space="0" w:color="auto"/>
        <w:bottom w:val="none" w:sz="0" w:space="0" w:color="auto"/>
        <w:right w:val="none" w:sz="0" w:space="0" w:color="auto"/>
      </w:divBdr>
    </w:div>
    <w:div w:id="1949581762">
      <w:bodyDiv w:val="1"/>
      <w:marLeft w:val="0"/>
      <w:marRight w:val="0"/>
      <w:marTop w:val="0"/>
      <w:marBottom w:val="0"/>
      <w:divBdr>
        <w:top w:val="none" w:sz="0" w:space="0" w:color="auto"/>
        <w:left w:val="none" w:sz="0" w:space="0" w:color="auto"/>
        <w:bottom w:val="none" w:sz="0" w:space="0" w:color="auto"/>
        <w:right w:val="none" w:sz="0" w:space="0" w:color="auto"/>
      </w:divBdr>
    </w:div>
    <w:div w:id="1982810551">
      <w:bodyDiv w:val="1"/>
      <w:marLeft w:val="0"/>
      <w:marRight w:val="0"/>
      <w:marTop w:val="0"/>
      <w:marBottom w:val="0"/>
      <w:divBdr>
        <w:top w:val="none" w:sz="0" w:space="0" w:color="auto"/>
        <w:left w:val="none" w:sz="0" w:space="0" w:color="auto"/>
        <w:bottom w:val="none" w:sz="0" w:space="0" w:color="auto"/>
        <w:right w:val="none" w:sz="0" w:space="0" w:color="auto"/>
      </w:divBdr>
    </w:div>
    <w:div w:id="1996955556">
      <w:bodyDiv w:val="1"/>
      <w:marLeft w:val="0"/>
      <w:marRight w:val="0"/>
      <w:marTop w:val="0"/>
      <w:marBottom w:val="0"/>
      <w:divBdr>
        <w:top w:val="none" w:sz="0" w:space="0" w:color="auto"/>
        <w:left w:val="none" w:sz="0" w:space="0" w:color="auto"/>
        <w:bottom w:val="none" w:sz="0" w:space="0" w:color="auto"/>
        <w:right w:val="none" w:sz="0" w:space="0" w:color="auto"/>
      </w:divBdr>
    </w:div>
    <w:div w:id="206028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image001.png@01DB1A2A.C9B87820" TargetMode="External"/><Relationship Id="rId18" Type="http://schemas.openxmlformats.org/officeDocument/2006/relationships/hyperlink" Target="http://www.registeruz.s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registeruz.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slov-lex.sk/ezbierky/pravne-predpisy/SK/ZZ/2004/580/" TargetMode="External"/><Relationship Id="rId3" Type="http://schemas.openxmlformats.org/officeDocument/2006/relationships/hyperlink" Target="https://eur-lex.europa.eu/legal-content/SK/TXT/?uri=CELEX%3A12008M%2FPRO%2F12" TargetMode="External"/><Relationship Id="rId7" Type="http://schemas.openxmlformats.org/officeDocument/2006/relationships/hyperlink" Target="https://ec.europa.eu/eurostat/data/data-revision-policy" TargetMode="External"/><Relationship Id="rId2" Type="http://schemas.openxmlformats.org/officeDocument/2006/relationships/hyperlink" Target="http://www.statistics.sk" TargetMode="External"/><Relationship Id="rId1" Type="http://schemas.openxmlformats.org/officeDocument/2006/relationships/hyperlink" Target="http://datacube.statistics.sk/" TargetMode="External"/><Relationship Id="rId6" Type="http://schemas.openxmlformats.org/officeDocument/2006/relationships/hyperlink" Target="https://slovak.statistics.sk/wps/portal/ext/products/informationmessages/inf_sprava_detail" TargetMode="External"/><Relationship Id="rId11" Type="http://schemas.openxmlformats.org/officeDocument/2006/relationships/hyperlink" Target="https://economy-finance.ec.europa.eu/publications/debt-sustainability-monitor-2023_en" TargetMode="External"/><Relationship Id="rId5" Type="http://schemas.openxmlformats.org/officeDocument/2006/relationships/hyperlink" Target="https://s-circabc.europa.eu/ui/group/ca7c9cc4-b473-4abc-8e95-263dcd57d79d/library/a3b89f37-ead4-4058-9711-6a7a092f1717/details" TargetMode="External"/><Relationship Id="rId10" Type="http://schemas.openxmlformats.org/officeDocument/2006/relationships/hyperlink" Target="https://rokovania.gov.sk/RVL/Material/29795/1" TargetMode="External"/><Relationship Id="rId4" Type="http://schemas.openxmlformats.org/officeDocument/2006/relationships/hyperlink" Target="https://www.aspi.sk/products/lawText/1/99837/1/2/zakon-c-519-2022-zz-o-solidarnom-prispevku-z-cinnosti-v-odvetviach-ropy-zemneho-plynu-uhlia-a-rafinerii-a-o-doplneni-niektorych-zakonov/zakon-c-519-2022-zz-o-solidarnom-prispevku-z-cinnosti-v-odvetviach-ropy-zemneho-plynu-uhlia-a-rafinerii-a-o-doplneni-niektorych-zakonov" TargetMode="External"/><Relationship Id="rId9" Type="http://schemas.openxmlformats.org/officeDocument/2006/relationships/hyperlink" Target="https://www.mfsr.sk/sk/financie/institut-financnej-politiky/publikacie-ifp/manualy/jednorazove-vplyvy.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DFS.mf.mfsr.sk\FileShare\ADRESARE\IFP_NEW\6_VSEOBECNE\6_4_Ludia\Kubas\V&#353;eli&#269;o\Bondy%208.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VM-DFS.mf.mfsr.sk\FileShare\ADRESARE\IFP_NEW\2_FISKAL\07_Implicitne%20zavazky\2024\SVS_2023\IZ_casovy%20ra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809425524595804E-2"/>
          <c:y val="4.5546426708398542E-2"/>
          <c:w val="0.92316236670106644"/>
          <c:h val="0.66511280646844029"/>
        </c:manualLayout>
      </c:layout>
      <c:lineChart>
        <c:grouping val="standard"/>
        <c:varyColors val="0"/>
        <c:ser>
          <c:idx val="0"/>
          <c:order val="0"/>
          <c:tx>
            <c:strRef>
              <c:f>Hárok1!$B$1</c:f>
              <c:strCache>
                <c:ptCount val="1"/>
                <c:pt idx="0">
                  <c:v>2-ročný výnos SK</c:v>
                </c:pt>
              </c:strCache>
            </c:strRef>
          </c:tx>
          <c:spPr>
            <a:ln w="19050" cap="rnd">
              <a:solidFill>
                <a:schemeClr val="bg1">
                  <a:lumMod val="65000"/>
                </a:schemeClr>
              </a:solidFill>
              <a:round/>
            </a:ln>
            <a:effectLst/>
          </c:spPr>
          <c:marker>
            <c:symbol val="none"/>
          </c:marker>
          <c:cat>
            <c:numRef>
              <c:f>Hárok1!$A$2:$A$3652</c:f>
              <c:numCache>
                <c:formatCode>m/d/yyyy</c:formatCode>
                <c:ptCount val="3651"/>
                <c:pt idx="0">
                  <c:v>45289</c:v>
                </c:pt>
                <c:pt idx="1">
                  <c:v>45288</c:v>
                </c:pt>
                <c:pt idx="2">
                  <c:v>45287</c:v>
                </c:pt>
                <c:pt idx="3">
                  <c:v>45286</c:v>
                </c:pt>
                <c:pt idx="4">
                  <c:v>45285</c:v>
                </c:pt>
                <c:pt idx="5">
                  <c:v>45282</c:v>
                </c:pt>
                <c:pt idx="6">
                  <c:v>45281</c:v>
                </c:pt>
                <c:pt idx="7">
                  <c:v>45280</c:v>
                </c:pt>
                <c:pt idx="8">
                  <c:v>45279</c:v>
                </c:pt>
                <c:pt idx="9">
                  <c:v>45278</c:v>
                </c:pt>
                <c:pt idx="10">
                  <c:v>45275</c:v>
                </c:pt>
                <c:pt idx="11">
                  <c:v>45274</c:v>
                </c:pt>
                <c:pt idx="12">
                  <c:v>45273</c:v>
                </c:pt>
                <c:pt idx="13">
                  <c:v>45272</c:v>
                </c:pt>
                <c:pt idx="14">
                  <c:v>45271</c:v>
                </c:pt>
                <c:pt idx="15">
                  <c:v>45268</c:v>
                </c:pt>
                <c:pt idx="16">
                  <c:v>45267</c:v>
                </c:pt>
                <c:pt idx="17">
                  <c:v>45266</c:v>
                </c:pt>
                <c:pt idx="18">
                  <c:v>45265</c:v>
                </c:pt>
                <c:pt idx="19">
                  <c:v>45264</c:v>
                </c:pt>
                <c:pt idx="20">
                  <c:v>45261</c:v>
                </c:pt>
                <c:pt idx="21">
                  <c:v>45260</c:v>
                </c:pt>
                <c:pt idx="22">
                  <c:v>45259</c:v>
                </c:pt>
                <c:pt idx="23">
                  <c:v>45258</c:v>
                </c:pt>
                <c:pt idx="24">
                  <c:v>45257</c:v>
                </c:pt>
                <c:pt idx="25">
                  <c:v>45254</c:v>
                </c:pt>
                <c:pt idx="26">
                  <c:v>45253</c:v>
                </c:pt>
                <c:pt idx="27">
                  <c:v>45252</c:v>
                </c:pt>
                <c:pt idx="28">
                  <c:v>45251</c:v>
                </c:pt>
                <c:pt idx="29">
                  <c:v>45250</c:v>
                </c:pt>
                <c:pt idx="30">
                  <c:v>45247</c:v>
                </c:pt>
                <c:pt idx="31">
                  <c:v>45246</c:v>
                </c:pt>
                <c:pt idx="32">
                  <c:v>45245</c:v>
                </c:pt>
                <c:pt idx="33">
                  <c:v>45244</c:v>
                </c:pt>
                <c:pt idx="34">
                  <c:v>45243</c:v>
                </c:pt>
                <c:pt idx="35">
                  <c:v>45240</c:v>
                </c:pt>
                <c:pt idx="36">
                  <c:v>45239</c:v>
                </c:pt>
                <c:pt idx="37">
                  <c:v>45238</c:v>
                </c:pt>
                <c:pt idx="38">
                  <c:v>45237</c:v>
                </c:pt>
                <c:pt idx="39">
                  <c:v>45236</c:v>
                </c:pt>
                <c:pt idx="40">
                  <c:v>45233</c:v>
                </c:pt>
                <c:pt idx="41">
                  <c:v>45232</c:v>
                </c:pt>
                <c:pt idx="42">
                  <c:v>45231</c:v>
                </c:pt>
                <c:pt idx="43">
                  <c:v>45230</c:v>
                </c:pt>
                <c:pt idx="44">
                  <c:v>45229</c:v>
                </c:pt>
                <c:pt idx="45">
                  <c:v>45226</c:v>
                </c:pt>
                <c:pt idx="46">
                  <c:v>45225</c:v>
                </c:pt>
                <c:pt idx="47">
                  <c:v>45224</c:v>
                </c:pt>
                <c:pt idx="48">
                  <c:v>45223</c:v>
                </c:pt>
                <c:pt idx="49">
                  <c:v>45222</c:v>
                </c:pt>
                <c:pt idx="50">
                  <c:v>45219</c:v>
                </c:pt>
                <c:pt idx="51">
                  <c:v>45218</c:v>
                </c:pt>
                <c:pt idx="52">
                  <c:v>45217</c:v>
                </c:pt>
                <c:pt idx="53">
                  <c:v>45216</c:v>
                </c:pt>
                <c:pt idx="54">
                  <c:v>45215</c:v>
                </c:pt>
                <c:pt idx="55">
                  <c:v>45212</c:v>
                </c:pt>
                <c:pt idx="56">
                  <c:v>45211</c:v>
                </c:pt>
                <c:pt idx="57">
                  <c:v>45210</c:v>
                </c:pt>
                <c:pt idx="58">
                  <c:v>45209</c:v>
                </c:pt>
                <c:pt idx="59">
                  <c:v>45208</c:v>
                </c:pt>
                <c:pt idx="60">
                  <c:v>45205</c:v>
                </c:pt>
                <c:pt idx="61">
                  <c:v>45204</c:v>
                </c:pt>
                <c:pt idx="62">
                  <c:v>45203</c:v>
                </c:pt>
                <c:pt idx="63">
                  <c:v>45202</c:v>
                </c:pt>
                <c:pt idx="64">
                  <c:v>45201</c:v>
                </c:pt>
                <c:pt idx="65">
                  <c:v>45198</c:v>
                </c:pt>
                <c:pt idx="66">
                  <c:v>45197</c:v>
                </c:pt>
                <c:pt idx="67">
                  <c:v>45196</c:v>
                </c:pt>
                <c:pt idx="68">
                  <c:v>45195</c:v>
                </c:pt>
                <c:pt idx="69">
                  <c:v>45194</c:v>
                </c:pt>
                <c:pt idx="70">
                  <c:v>45191</c:v>
                </c:pt>
                <c:pt idx="71">
                  <c:v>45190</c:v>
                </c:pt>
                <c:pt idx="72">
                  <c:v>45189</c:v>
                </c:pt>
                <c:pt idx="73">
                  <c:v>45188</c:v>
                </c:pt>
                <c:pt idx="74">
                  <c:v>45187</c:v>
                </c:pt>
                <c:pt idx="75">
                  <c:v>45184</c:v>
                </c:pt>
                <c:pt idx="76">
                  <c:v>45183</c:v>
                </c:pt>
                <c:pt idx="77">
                  <c:v>45182</c:v>
                </c:pt>
                <c:pt idx="78">
                  <c:v>45181</c:v>
                </c:pt>
                <c:pt idx="79">
                  <c:v>45180</c:v>
                </c:pt>
                <c:pt idx="80">
                  <c:v>45177</c:v>
                </c:pt>
                <c:pt idx="81">
                  <c:v>45176</c:v>
                </c:pt>
                <c:pt idx="82">
                  <c:v>45175</c:v>
                </c:pt>
                <c:pt idx="83">
                  <c:v>45174</c:v>
                </c:pt>
                <c:pt idx="84">
                  <c:v>45173</c:v>
                </c:pt>
                <c:pt idx="85">
                  <c:v>45170</c:v>
                </c:pt>
                <c:pt idx="86">
                  <c:v>45169</c:v>
                </c:pt>
                <c:pt idx="87">
                  <c:v>45168</c:v>
                </c:pt>
                <c:pt idx="88">
                  <c:v>45167</c:v>
                </c:pt>
                <c:pt idx="89">
                  <c:v>45166</c:v>
                </c:pt>
                <c:pt idx="90">
                  <c:v>45163</c:v>
                </c:pt>
                <c:pt idx="91">
                  <c:v>45162</c:v>
                </c:pt>
                <c:pt idx="92">
                  <c:v>45161</c:v>
                </c:pt>
                <c:pt idx="93">
                  <c:v>45160</c:v>
                </c:pt>
                <c:pt idx="94">
                  <c:v>45159</c:v>
                </c:pt>
                <c:pt idx="95">
                  <c:v>45156</c:v>
                </c:pt>
                <c:pt idx="96">
                  <c:v>45155</c:v>
                </c:pt>
                <c:pt idx="97">
                  <c:v>45154</c:v>
                </c:pt>
                <c:pt idx="98">
                  <c:v>45153</c:v>
                </c:pt>
                <c:pt idx="99">
                  <c:v>45152</c:v>
                </c:pt>
                <c:pt idx="100">
                  <c:v>45149</c:v>
                </c:pt>
                <c:pt idx="101">
                  <c:v>45148</c:v>
                </c:pt>
                <c:pt idx="102">
                  <c:v>45147</c:v>
                </c:pt>
                <c:pt idx="103">
                  <c:v>45146</c:v>
                </c:pt>
                <c:pt idx="104">
                  <c:v>45145</c:v>
                </c:pt>
                <c:pt idx="105">
                  <c:v>45142</c:v>
                </c:pt>
                <c:pt idx="106">
                  <c:v>45141</c:v>
                </c:pt>
                <c:pt idx="107">
                  <c:v>45140</c:v>
                </c:pt>
                <c:pt idx="108">
                  <c:v>45139</c:v>
                </c:pt>
                <c:pt idx="109">
                  <c:v>45138</c:v>
                </c:pt>
                <c:pt idx="110">
                  <c:v>45135</c:v>
                </c:pt>
                <c:pt idx="111">
                  <c:v>45134</c:v>
                </c:pt>
                <c:pt idx="112">
                  <c:v>45133</c:v>
                </c:pt>
                <c:pt idx="113">
                  <c:v>45132</c:v>
                </c:pt>
                <c:pt idx="114">
                  <c:v>45131</c:v>
                </c:pt>
                <c:pt idx="115">
                  <c:v>45128</c:v>
                </c:pt>
                <c:pt idx="116">
                  <c:v>45127</c:v>
                </c:pt>
                <c:pt idx="117">
                  <c:v>45126</c:v>
                </c:pt>
                <c:pt idx="118">
                  <c:v>45125</c:v>
                </c:pt>
                <c:pt idx="119">
                  <c:v>45124</c:v>
                </c:pt>
                <c:pt idx="120">
                  <c:v>45121</c:v>
                </c:pt>
                <c:pt idx="121">
                  <c:v>45120</c:v>
                </c:pt>
                <c:pt idx="122">
                  <c:v>45119</c:v>
                </c:pt>
                <c:pt idx="123">
                  <c:v>45118</c:v>
                </c:pt>
                <c:pt idx="124">
                  <c:v>45117</c:v>
                </c:pt>
                <c:pt idx="125">
                  <c:v>45114</c:v>
                </c:pt>
                <c:pt idx="126">
                  <c:v>45113</c:v>
                </c:pt>
                <c:pt idx="127">
                  <c:v>45112</c:v>
                </c:pt>
                <c:pt idx="128">
                  <c:v>45111</c:v>
                </c:pt>
                <c:pt idx="129">
                  <c:v>45110</c:v>
                </c:pt>
                <c:pt idx="130">
                  <c:v>45107</c:v>
                </c:pt>
                <c:pt idx="131">
                  <c:v>45106</c:v>
                </c:pt>
                <c:pt idx="132">
                  <c:v>45105</c:v>
                </c:pt>
                <c:pt idx="133">
                  <c:v>45104</c:v>
                </c:pt>
                <c:pt idx="134">
                  <c:v>45103</c:v>
                </c:pt>
                <c:pt idx="135">
                  <c:v>45100</c:v>
                </c:pt>
                <c:pt idx="136">
                  <c:v>45099</c:v>
                </c:pt>
                <c:pt idx="137">
                  <c:v>45098</c:v>
                </c:pt>
                <c:pt idx="138">
                  <c:v>45097</c:v>
                </c:pt>
                <c:pt idx="139">
                  <c:v>45096</c:v>
                </c:pt>
                <c:pt idx="140">
                  <c:v>45093</c:v>
                </c:pt>
                <c:pt idx="141">
                  <c:v>45092</c:v>
                </c:pt>
                <c:pt idx="142">
                  <c:v>45091</c:v>
                </c:pt>
                <c:pt idx="143">
                  <c:v>45090</c:v>
                </c:pt>
                <c:pt idx="144">
                  <c:v>45089</c:v>
                </c:pt>
                <c:pt idx="145">
                  <c:v>45086</c:v>
                </c:pt>
                <c:pt idx="146">
                  <c:v>45085</c:v>
                </c:pt>
                <c:pt idx="147">
                  <c:v>45084</c:v>
                </c:pt>
                <c:pt idx="148">
                  <c:v>45083</c:v>
                </c:pt>
                <c:pt idx="149">
                  <c:v>45082</c:v>
                </c:pt>
                <c:pt idx="150">
                  <c:v>45079</c:v>
                </c:pt>
                <c:pt idx="151">
                  <c:v>45078</c:v>
                </c:pt>
                <c:pt idx="152">
                  <c:v>45077</c:v>
                </c:pt>
                <c:pt idx="153">
                  <c:v>45076</c:v>
                </c:pt>
                <c:pt idx="154">
                  <c:v>45075</c:v>
                </c:pt>
                <c:pt idx="155">
                  <c:v>45072</c:v>
                </c:pt>
                <c:pt idx="156">
                  <c:v>45071</c:v>
                </c:pt>
                <c:pt idx="157">
                  <c:v>45070</c:v>
                </c:pt>
                <c:pt idx="158">
                  <c:v>45069</c:v>
                </c:pt>
                <c:pt idx="159">
                  <c:v>45068</c:v>
                </c:pt>
                <c:pt idx="160">
                  <c:v>45065</c:v>
                </c:pt>
                <c:pt idx="161">
                  <c:v>45064</c:v>
                </c:pt>
                <c:pt idx="162">
                  <c:v>45063</c:v>
                </c:pt>
                <c:pt idx="163">
                  <c:v>45062</c:v>
                </c:pt>
                <c:pt idx="164">
                  <c:v>45061</c:v>
                </c:pt>
                <c:pt idx="165">
                  <c:v>45058</c:v>
                </c:pt>
                <c:pt idx="166">
                  <c:v>45057</c:v>
                </c:pt>
                <c:pt idx="167">
                  <c:v>45056</c:v>
                </c:pt>
                <c:pt idx="168">
                  <c:v>45055</c:v>
                </c:pt>
                <c:pt idx="169">
                  <c:v>45054</c:v>
                </c:pt>
                <c:pt idx="170">
                  <c:v>45051</c:v>
                </c:pt>
                <c:pt idx="171">
                  <c:v>45050</c:v>
                </c:pt>
                <c:pt idx="172">
                  <c:v>45049</c:v>
                </c:pt>
                <c:pt idx="173">
                  <c:v>45048</c:v>
                </c:pt>
                <c:pt idx="174">
                  <c:v>45047</c:v>
                </c:pt>
                <c:pt idx="175">
                  <c:v>45044</c:v>
                </c:pt>
                <c:pt idx="176">
                  <c:v>45043</c:v>
                </c:pt>
                <c:pt idx="177">
                  <c:v>45042</c:v>
                </c:pt>
                <c:pt idx="178">
                  <c:v>45041</c:v>
                </c:pt>
                <c:pt idx="179">
                  <c:v>45040</c:v>
                </c:pt>
                <c:pt idx="180">
                  <c:v>45037</c:v>
                </c:pt>
                <c:pt idx="181">
                  <c:v>45036</c:v>
                </c:pt>
                <c:pt idx="182">
                  <c:v>45035</c:v>
                </c:pt>
                <c:pt idx="183">
                  <c:v>45034</c:v>
                </c:pt>
                <c:pt idx="184">
                  <c:v>45033</c:v>
                </c:pt>
                <c:pt idx="185">
                  <c:v>45030</c:v>
                </c:pt>
                <c:pt idx="186">
                  <c:v>45029</c:v>
                </c:pt>
                <c:pt idx="187">
                  <c:v>45028</c:v>
                </c:pt>
                <c:pt idx="188">
                  <c:v>45027</c:v>
                </c:pt>
                <c:pt idx="189">
                  <c:v>45026</c:v>
                </c:pt>
                <c:pt idx="190">
                  <c:v>45023</c:v>
                </c:pt>
                <c:pt idx="191">
                  <c:v>45022</c:v>
                </c:pt>
                <c:pt idx="192">
                  <c:v>45021</c:v>
                </c:pt>
                <c:pt idx="193">
                  <c:v>45020</c:v>
                </c:pt>
                <c:pt idx="194">
                  <c:v>45019</c:v>
                </c:pt>
                <c:pt idx="195">
                  <c:v>45016</c:v>
                </c:pt>
                <c:pt idx="196">
                  <c:v>45015</c:v>
                </c:pt>
                <c:pt idx="197">
                  <c:v>45014</c:v>
                </c:pt>
                <c:pt idx="198">
                  <c:v>45013</c:v>
                </c:pt>
                <c:pt idx="199">
                  <c:v>45012</c:v>
                </c:pt>
                <c:pt idx="200">
                  <c:v>45009</c:v>
                </c:pt>
                <c:pt idx="201">
                  <c:v>45008</c:v>
                </c:pt>
                <c:pt idx="202">
                  <c:v>45007</c:v>
                </c:pt>
                <c:pt idx="203">
                  <c:v>45006</c:v>
                </c:pt>
                <c:pt idx="204">
                  <c:v>45005</c:v>
                </c:pt>
                <c:pt idx="205">
                  <c:v>45002</c:v>
                </c:pt>
                <c:pt idx="206">
                  <c:v>45001</c:v>
                </c:pt>
                <c:pt idx="207">
                  <c:v>45000</c:v>
                </c:pt>
                <c:pt idx="208">
                  <c:v>44999</c:v>
                </c:pt>
                <c:pt idx="209">
                  <c:v>44998</c:v>
                </c:pt>
                <c:pt idx="210">
                  <c:v>44995</c:v>
                </c:pt>
                <c:pt idx="211">
                  <c:v>44994</c:v>
                </c:pt>
                <c:pt idx="212">
                  <c:v>44993</c:v>
                </c:pt>
                <c:pt idx="213">
                  <c:v>44992</c:v>
                </c:pt>
                <c:pt idx="214">
                  <c:v>44991</c:v>
                </c:pt>
                <c:pt idx="215">
                  <c:v>44988</c:v>
                </c:pt>
                <c:pt idx="216">
                  <c:v>44987</c:v>
                </c:pt>
                <c:pt idx="217">
                  <c:v>44986</c:v>
                </c:pt>
                <c:pt idx="218">
                  <c:v>44985</c:v>
                </c:pt>
                <c:pt idx="219">
                  <c:v>44984</c:v>
                </c:pt>
                <c:pt idx="220">
                  <c:v>44981</c:v>
                </c:pt>
                <c:pt idx="221">
                  <c:v>44980</c:v>
                </c:pt>
                <c:pt idx="222">
                  <c:v>44979</c:v>
                </c:pt>
                <c:pt idx="223">
                  <c:v>44978</c:v>
                </c:pt>
                <c:pt idx="224">
                  <c:v>44977</c:v>
                </c:pt>
                <c:pt idx="225">
                  <c:v>44974</c:v>
                </c:pt>
                <c:pt idx="226">
                  <c:v>44973</c:v>
                </c:pt>
                <c:pt idx="227">
                  <c:v>44972</c:v>
                </c:pt>
                <c:pt idx="228">
                  <c:v>44971</c:v>
                </c:pt>
                <c:pt idx="229">
                  <c:v>44970</c:v>
                </c:pt>
                <c:pt idx="230">
                  <c:v>44967</c:v>
                </c:pt>
                <c:pt idx="231">
                  <c:v>44966</c:v>
                </c:pt>
                <c:pt idx="232">
                  <c:v>44965</c:v>
                </c:pt>
                <c:pt idx="233">
                  <c:v>44964</c:v>
                </c:pt>
                <c:pt idx="234">
                  <c:v>44963</c:v>
                </c:pt>
                <c:pt idx="235">
                  <c:v>44960</c:v>
                </c:pt>
                <c:pt idx="236">
                  <c:v>44959</c:v>
                </c:pt>
                <c:pt idx="237">
                  <c:v>44958</c:v>
                </c:pt>
                <c:pt idx="238">
                  <c:v>44957</c:v>
                </c:pt>
                <c:pt idx="239">
                  <c:v>44956</c:v>
                </c:pt>
                <c:pt idx="240">
                  <c:v>44953</c:v>
                </c:pt>
                <c:pt idx="241">
                  <c:v>44952</c:v>
                </c:pt>
                <c:pt idx="242">
                  <c:v>44951</c:v>
                </c:pt>
                <c:pt idx="243">
                  <c:v>44950</c:v>
                </c:pt>
                <c:pt idx="244">
                  <c:v>44949</c:v>
                </c:pt>
                <c:pt idx="245">
                  <c:v>44946</c:v>
                </c:pt>
                <c:pt idx="246">
                  <c:v>44945</c:v>
                </c:pt>
                <c:pt idx="247">
                  <c:v>44944</c:v>
                </c:pt>
                <c:pt idx="248">
                  <c:v>44943</c:v>
                </c:pt>
                <c:pt idx="249">
                  <c:v>44942</c:v>
                </c:pt>
                <c:pt idx="250">
                  <c:v>44939</c:v>
                </c:pt>
                <c:pt idx="251">
                  <c:v>44938</c:v>
                </c:pt>
                <c:pt idx="252">
                  <c:v>44937</c:v>
                </c:pt>
                <c:pt idx="253">
                  <c:v>44936</c:v>
                </c:pt>
                <c:pt idx="254">
                  <c:v>44935</c:v>
                </c:pt>
                <c:pt idx="255">
                  <c:v>44932</c:v>
                </c:pt>
                <c:pt idx="256">
                  <c:v>44931</c:v>
                </c:pt>
                <c:pt idx="257">
                  <c:v>44930</c:v>
                </c:pt>
                <c:pt idx="258">
                  <c:v>44929</c:v>
                </c:pt>
                <c:pt idx="259">
                  <c:v>44928</c:v>
                </c:pt>
                <c:pt idx="260">
                  <c:v>44925</c:v>
                </c:pt>
                <c:pt idx="261">
                  <c:v>44924</c:v>
                </c:pt>
                <c:pt idx="262">
                  <c:v>44923</c:v>
                </c:pt>
                <c:pt idx="263">
                  <c:v>44922</c:v>
                </c:pt>
                <c:pt idx="264">
                  <c:v>44921</c:v>
                </c:pt>
                <c:pt idx="265">
                  <c:v>44918</c:v>
                </c:pt>
                <c:pt idx="266">
                  <c:v>44917</c:v>
                </c:pt>
                <c:pt idx="267">
                  <c:v>44916</c:v>
                </c:pt>
                <c:pt idx="268">
                  <c:v>44915</c:v>
                </c:pt>
                <c:pt idx="269">
                  <c:v>44914</c:v>
                </c:pt>
                <c:pt idx="270">
                  <c:v>44911</c:v>
                </c:pt>
                <c:pt idx="271">
                  <c:v>44910</c:v>
                </c:pt>
                <c:pt idx="272">
                  <c:v>44909</c:v>
                </c:pt>
                <c:pt idx="273">
                  <c:v>44908</c:v>
                </c:pt>
                <c:pt idx="274">
                  <c:v>44907</c:v>
                </c:pt>
                <c:pt idx="275">
                  <c:v>44904</c:v>
                </c:pt>
                <c:pt idx="276">
                  <c:v>44903</c:v>
                </c:pt>
                <c:pt idx="277">
                  <c:v>44902</c:v>
                </c:pt>
                <c:pt idx="278">
                  <c:v>44901</c:v>
                </c:pt>
                <c:pt idx="279">
                  <c:v>44900</c:v>
                </c:pt>
                <c:pt idx="280">
                  <c:v>44897</c:v>
                </c:pt>
                <c:pt idx="281">
                  <c:v>44896</c:v>
                </c:pt>
                <c:pt idx="282">
                  <c:v>44895</c:v>
                </c:pt>
                <c:pt idx="283">
                  <c:v>44894</c:v>
                </c:pt>
                <c:pt idx="284">
                  <c:v>44893</c:v>
                </c:pt>
                <c:pt idx="285">
                  <c:v>44890</c:v>
                </c:pt>
                <c:pt idx="286">
                  <c:v>44889</c:v>
                </c:pt>
                <c:pt idx="287">
                  <c:v>44888</c:v>
                </c:pt>
                <c:pt idx="288">
                  <c:v>44887</c:v>
                </c:pt>
                <c:pt idx="289">
                  <c:v>44886</c:v>
                </c:pt>
                <c:pt idx="290">
                  <c:v>44883</c:v>
                </c:pt>
                <c:pt idx="291">
                  <c:v>44882</c:v>
                </c:pt>
                <c:pt idx="292">
                  <c:v>44881</c:v>
                </c:pt>
                <c:pt idx="293">
                  <c:v>44880</c:v>
                </c:pt>
                <c:pt idx="294">
                  <c:v>44879</c:v>
                </c:pt>
                <c:pt idx="295">
                  <c:v>44876</c:v>
                </c:pt>
                <c:pt idx="296">
                  <c:v>44875</c:v>
                </c:pt>
                <c:pt idx="297">
                  <c:v>44874</c:v>
                </c:pt>
                <c:pt idx="298">
                  <c:v>44873</c:v>
                </c:pt>
                <c:pt idx="299">
                  <c:v>44872</c:v>
                </c:pt>
                <c:pt idx="300">
                  <c:v>44869</c:v>
                </c:pt>
                <c:pt idx="301">
                  <c:v>44868</c:v>
                </c:pt>
                <c:pt idx="302">
                  <c:v>44867</c:v>
                </c:pt>
                <c:pt idx="303">
                  <c:v>44866</c:v>
                </c:pt>
                <c:pt idx="304">
                  <c:v>44865</c:v>
                </c:pt>
                <c:pt idx="305">
                  <c:v>44862</c:v>
                </c:pt>
                <c:pt idx="306">
                  <c:v>44861</c:v>
                </c:pt>
                <c:pt idx="307">
                  <c:v>44860</c:v>
                </c:pt>
                <c:pt idx="308">
                  <c:v>44859</c:v>
                </c:pt>
                <c:pt idx="309">
                  <c:v>44858</c:v>
                </c:pt>
                <c:pt idx="310">
                  <c:v>44855</c:v>
                </c:pt>
                <c:pt idx="311">
                  <c:v>44854</c:v>
                </c:pt>
                <c:pt idx="312">
                  <c:v>44853</c:v>
                </c:pt>
                <c:pt idx="313">
                  <c:v>44852</c:v>
                </c:pt>
                <c:pt idx="314">
                  <c:v>44851</c:v>
                </c:pt>
                <c:pt idx="315">
                  <c:v>44848</c:v>
                </c:pt>
                <c:pt idx="316">
                  <c:v>44847</c:v>
                </c:pt>
                <c:pt idx="317">
                  <c:v>44846</c:v>
                </c:pt>
                <c:pt idx="318">
                  <c:v>44845</c:v>
                </c:pt>
                <c:pt idx="319">
                  <c:v>44844</c:v>
                </c:pt>
                <c:pt idx="320">
                  <c:v>44841</c:v>
                </c:pt>
                <c:pt idx="321">
                  <c:v>44840</c:v>
                </c:pt>
                <c:pt idx="322">
                  <c:v>44839</c:v>
                </c:pt>
                <c:pt idx="323">
                  <c:v>44838</c:v>
                </c:pt>
                <c:pt idx="324">
                  <c:v>44837</c:v>
                </c:pt>
                <c:pt idx="325">
                  <c:v>44834</c:v>
                </c:pt>
                <c:pt idx="326">
                  <c:v>44833</c:v>
                </c:pt>
                <c:pt idx="327">
                  <c:v>44832</c:v>
                </c:pt>
                <c:pt idx="328">
                  <c:v>44831</c:v>
                </c:pt>
                <c:pt idx="329">
                  <c:v>44830</c:v>
                </c:pt>
                <c:pt idx="330">
                  <c:v>44827</c:v>
                </c:pt>
                <c:pt idx="331">
                  <c:v>44826</c:v>
                </c:pt>
                <c:pt idx="332">
                  <c:v>44825</c:v>
                </c:pt>
                <c:pt idx="333">
                  <c:v>44824</c:v>
                </c:pt>
                <c:pt idx="334">
                  <c:v>44823</c:v>
                </c:pt>
                <c:pt idx="335">
                  <c:v>44820</c:v>
                </c:pt>
                <c:pt idx="336">
                  <c:v>44819</c:v>
                </c:pt>
                <c:pt idx="337">
                  <c:v>44818</c:v>
                </c:pt>
                <c:pt idx="338">
                  <c:v>44817</c:v>
                </c:pt>
                <c:pt idx="339">
                  <c:v>44816</c:v>
                </c:pt>
                <c:pt idx="340">
                  <c:v>44813</c:v>
                </c:pt>
                <c:pt idx="341">
                  <c:v>44812</c:v>
                </c:pt>
                <c:pt idx="342">
                  <c:v>44811</c:v>
                </c:pt>
                <c:pt idx="343">
                  <c:v>44810</c:v>
                </c:pt>
                <c:pt idx="344">
                  <c:v>44809</c:v>
                </c:pt>
                <c:pt idx="345">
                  <c:v>44806</c:v>
                </c:pt>
                <c:pt idx="346">
                  <c:v>44805</c:v>
                </c:pt>
                <c:pt idx="347">
                  <c:v>44804</c:v>
                </c:pt>
                <c:pt idx="348">
                  <c:v>44803</c:v>
                </c:pt>
                <c:pt idx="349">
                  <c:v>44802</c:v>
                </c:pt>
                <c:pt idx="350">
                  <c:v>44799</c:v>
                </c:pt>
                <c:pt idx="351">
                  <c:v>44798</c:v>
                </c:pt>
                <c:pt idx="352">
                  <c:v>44797</c:v>
                </c:pt>
                <c:pt idx="353">
                  <c:v>44796</c:v>
                </c:pt>
                <c:pt idx="354">
                  <c:v>44795</c:v>
                </c:pt>
                <c:pt idx="355">
                  <c:v>44792</c:v>
                </c:pt>
                <c:pt idx="356">
                  <c:v>44791</c:v>
                </c:pt>
                <c:pt idx="357">
                  <c:v>44790</c:v>
                </c:pt>
                <c:pt idx="358">
                  <c:v>44789</c:v>
                </c:pt>
                <c:pt idx="359">
                  <c:v>44788</c:v>
                </c:pt>
                <c:pt idx="360">
                  <c:v>44785</c:v>
                </c:pt>
                <c:pt idx="361">
                  <c:v>44784</c:v>
                </c:pt>
                <c:pt idx="362">
                  <c:v>44783</c:v>
                </c:pt>
                <c:pt idx="363">
                  <c:v>44782</c:v>
                </c:pt>
                <c:pt idx="364">
                  <c:v>44781</c:v>
                </c:pt>
                <c:pt idx="365">
                  <c:v>44778</c:v>
                </c:pt>
                <c:pt idx="366">
                  <c:v>44777</c:v>
                </c:pt>
                <c:pt idx="367">
                  <c:v>44776</c:v>
                </c:pt>
                <c:pt idx="368">
                  <c:v>44775</c:v>
                </c:pt>
                <c:pt idx="369">
                  <c:v>44774</c:v>
                </c:pt>
                <c:pt idx="370">
                  <c:v>44771</c:v>
                </c:pt>
                <c:pt idx="371">
                  <c:v>44770</c:v>
                </c:pt>
                <c:pt idx="372">
                  <c:v>44769</c:v>
                </c:pt>
                <c:pt idx="373">
                  <c:v>44768</c:v>
                </c:pt>
                <c:pt idx="374">
                  <c:v>44767</c:v>
                </c:pt>
                <c:pt idx="375">
                  <c:v>44764</c:v>
                </c:pt>
                <c:pt idx="376">
                  <c:v>44763</c:v>
                </c:pt>
                <c:pt idx="377">
                  <c:v>44762</c:v>
                </c:pt>
                <c:pt idx="378">
                  <c:v>44761</c:v>
                </c:pt>
                <c:pt idx="379">
                  <c:v>44760</c:v>
                </c:pt>
                <c:pt idx="380">
                  <c:v>44757</c:v>
                </c:pt>
                <c:pt idx="381">
                  <c:v>44756</c:v>
                </c:pt>
                <c:pt idx="382">
                  <c:v>44755</c:v>
                </c:pt>
                <c:pt idx="383">
                  <c:v>44754</c:v>
                </c:pt>
                <c:pt idx="384">
                  <c:v>44753</c:v>
                </c:pt>
                <c:pt idx="385">
                  <c:v>44750</c:v>
                </c:pt>
                <c:pt idx="386">
                  <c:v>44749</c:v>
                </c:pt>
                <c:pt idx="387">
                  <c:v>44748</c:v>
                </c:pt>
                <c:pt idx="388">
                  <c:v>44747</c:v>
                </c:pt>
                <c:pt idx="389">
                  <c:v>44746</c:v>
                </c:pt>
                <c:pt idx="390">
                  <c:v>44743</c:v>
                </c:pt>
                <c:pt idx="391">
                  <c:v>44742</c:v>
                </c:pt>
                <c:pt idx="392">
                  <c:v>44741</c:v>
                </c:pt>
                <c:pt idx="393">
                  <c:v>44740</c:v>
                </c:pt>
                <c:pt idx="394">
                  <c:v>44739</c:v>
                </c:pt>
                <c:pt idx="395">
                  <c:v>44736</c:v>
                </c:pt>
                <c:pt idx="396">
                  <c:v>44735</c:v>
                </c:pt>
                <c:pt idx="397">
                  <c:v>44734</c:v>
                </c:pt>
                <c:pt idx="398">
                  <c:v>44733</c:v>
                </c:pt>
                <c:pt idx="399">
                  <c:v>44732</c:v>
                </c:pt>
                <c:pt idx="400">
                  <c:v>44729</c:v>
                </c:pt>
                <c:pt idx="401">
                  <c:v>44728</c:v>
                </c:pt>
                <c:pt idx="402">
                  <c:v>44727</c:v>
                </c:pt>
                <c:pt idx="403">
                  <c:v>44726</c:v>
                </c:pt>
                <c:pt idx="404">
                  <c:v>44725</c:v>
                </c:pt>
                <c:pt idx="405">
                  <c:v>44722</c:v>
                </c:pt>
                <c:pt idx="406">
                  <c:v>44721</c:v>
                </c:pt>
                <c:pt idx="407">
                  <c:v>44720</c:v>
                </c:pt>
                <c:pt idx="408">
                  <c:v>44719</c:v>
                </c:pt>
                <c:pt idx="409">
                  <c:v>44718</c:v>
                </c:pt>
                <c:pt idx="410">
                  <c:v>44715</c:v>
                </c:pt>
                <c:pt idx="411">
                  <c:v>44714</c:v>
                </c:pt>
                <c:pt idx="412">
                  <c:v>44713</c:v>
                </c:pt>
                <c:pt idx="413">
                  <c:v>44712</c:v>
                </c:pt>
                <c:pt idx="414">
                  <c:v>44711</c:v>
                </c:pt>
                <c:pt idx="415">
                  <c:v>44708</c:v>
                </c:pt>
                <c:pt idx="416">
                  <c:v>44707</c:v>
                </c:pt>
                <c:pt idx="417">
                  <c:v>44706</c:v>
                </c:pt>
                <c:pt idx="418">
                  <c:v>44705</c:v>
                </c:pt>
                <c:pt idx="419">
                  <c:v>44704</c:v>
                </c:pt>
                <c:pt idx="420">
                  <c:v>44701</c:v>
                </c:pt>
                <c:pt idx="421">
                  <c:v>44700</c:v>
                </c:pt>
                <c:pt idx="422">
                  <c:v>44699</c:v>
                </c:pt>
                <c:pt idx="423">
                  <c:v>44698</c:v>
                </c:pt>
                <c:pt idx="424">
                  <c:v>44697</c:v>
                </c:pt>
                <c:pt idx="425">
                  <c:v>44694</c:v>
                </c:pt>
                <c:pt idx="426">
                  <c:v>44693</c:v>
                </c:pt>
                <c:pt idx="427">
                  <c:v>44692</c:v>
                </c:pt>
                <c:pt idx="428">
                  <c:v>44691</c:v>
                </c:pt>
                <c:pt idx="429">
                  <c:v>44690</c:v>
                </c:pt>
                <c:pt idx="430">
                  <c:v>44687</c:v>
                </c:pt>
                <c:pt idx="431">
                  <c:v>44686</c:v>
                </c:pt>
                <c:pt idx="432">
                  <c:v>44685</c:v>
                </c:pt>
                <c:pt idx="433">
                  <c:v>44684</c:v>
                </c:pt>
                <c:pt idx="434">
                  <c:v>44683</c:v>
                </c:pt>
                <c:pt idx="435">
                  <c:v>44680</c:v>
                </c:pt>
                <c:pt idx="436">
                  <c:v>44679</c:v>
                </c:pt>
                <c:pt idx="437">
                  <c:v>44678</c:v>
                </c:pt>
                <c:pt idx="438">
                  <c:v>44677</c:v>
                </c:pt>
                <c:pt idx="439">
                  <c:v>44676</c:v>
                </c:pt>
                <c:pt idx="440">
                  <c:v>44673</c:v>
                </c:pt>
                <c:pt idx="441">
                  <c:v>44672</c:v>
                </c:pt>
                <c:pt idx="442">
                  <c:v>44671</c:v>
                </c:pt>
                <c:pt idx="443">
                  <c:v>44670</c:v>
                </c:pt>
                <c:pt idx="444">
                  <c:v>44669</c:v>
                </c:pt>
                <c:pt idx="445">
                  <c:v>44666</c:v>
                </c:pt>
                <c:pt idx="446">
                  <c:v>44665</c:v>
                </c:pt>
                <c:pt idx="447">
                  <c:v>44664</c:v>
                </c:pt>
                <c:pt idx="448">
                  <c:v>44663</c:v>
                </c:pt>
                <c:pt idx="449">
                  <c:v>44662</c:v>
                </c:pt>
                <c:pt idx="450">
                  <c:v>44659</c:v>
                </c:pt>
                <c:pt idx="451">
                  <c:v>44658</c:v>
                </c:pt>
                <c:pt idx="452">
                  <c:v>44657</c:v>
                </c:pt>
                <c:pt idx="453">
                  <c:v>44656</c:v>
                </c:pt>
                <c:pt idx="454">
                  <c:v>44655</c:v>
                </c:pt>
                <c:pt idx="455">
                  <c:v>44652</c:v>
                </c:pt>
                <c:pt idx="456">
                  <c:v>44651</c:v>
                </c:pt>
                <c:pt idx="457">
                  <c:v>44650</c:v>
                </c:pt>
                <c:pt idx="458">
                  <c:v>44649</c:v>
                </c:pt>
                <c:pt idx="459">
                  <c:v>44648</c:v>
                </c:pt>
                <c:pt idx="460">
                  <c:v>44645</c:v>
                </c:pt>
                <c:pt idx="461">
                  <c:v>44644</c:v>
                </c:pt>
                <c:pt idx="462">
                  <c:v>44643</c:v>
                </c:pt>
                <c:pt idx="463">
                  <c:v>44642</c:v>
                </c:pt>
                <c:pt idx="464">
                  <c:v>44641</c:v>
                </c:pt>
                <c:pt idx="465">
                  <c:v>44638</c:v>
                </c:pt>
                <c:pt idx="466">
                  <c:v>44637</c:v>
                </c:pt>
                <c:pt idx="467">
                  <c:v>44636</c:v>
                </c:pt>
                <c:pt idx="468">
                  <c:v>44635</c:v>
                </c:pt>
                <c:pt idx="469">
                  <c:v>44634</c:v>
                </c:pt>
                <c:pt idx="470">
                  <c:v>44631</c:v>
                </c:pt>
                <c:pt idx="471">
                  <c:v>44630</c:v>
                </c:pt>
                <c:pt idx="472">
                  <c:v>44629</c:v>
                </c:pt>
                <c:pt idx="473">
                  <c:v>44628</c:v>
                </c:pt>
                <c:pt idx="474">
                  <c:v>44627</c:v>
                </c:pt>
                <c:pt idx="475">
                  <c:v>44624</c:v>
                </c:pt>
                <c:pt idx="476">
                  <c:v>44623</c:v>
                </c:pt>
                <c:pt idx="477">
                  <c:v>44622</c:v>
                </c:pt>
                <c:pt idx="478">
                  <c:v>44621</c:v>
                </c:pt>
                <c:pt idx="479">
                  <c:v>44620</c:v>
                </c:pt>
                <c:pt idx="480">
                  <c:v>44617</c:v>
                </c:pt>
                <c:pt idx="481">
                  <c:v>44616</c:v>
                </c:pt>
                <c:pt idx="482">
                  <c:v>44615</c:v>
                </c:pt>
                <c:pt idx="483">
                  <c:v>44614</c:v>
                </c:pt>
                <c:pt idx="484">
                  <c:v>44613</c:v>
                </c:pt>
                <c:pt idx="485">
                  <c:v>44610</c:v>
                </c:pt>
                <c:pt idx="486">
                  <c:v>44609</c:v>
                </c:pt>
                <c:pt idx="487">
                  <c:v>44608</c:v>
                </c:pt>
                <c:pt idx="488">
                  <c:v>44607</c:v>
                </c:pt>
                <c:pt idx="489">
                  <c:v>44606</c:v>
                </c:pt>
                <c:pt idx="490">
                  <c:v>44603</c:v>
                </c:pt>
                <c:pt idx="491">
                  <c:v>44602</c:v>
                </c:pt>
                <c:pt idx="492">
                  <c:v>44601</c:v>
                </c:pt>
                <c:pt idx="493">
                  <c:v>44600</c:v>
                </c:pt>
                <c:pt idx="494">
                  <c:v>44599</c:v>
                </c:pt>
                <c:pt idx="495">
                  <c:v>44596</c:v>
                </c:pt>
                <c:pt idx="496">
                  <c:v>44595</c:v>
                </c:pt>
                <c:pt idx="497">
                  <c:v>44594</c:v>
                </c:pt>
                <c:pt idx="498">
                  <c:v>44593</c:v>
                </c:pt>
                <c:pt idx="499">
                  <c:v>44592</c:v>
                </c:pt>
                <c:pt idx="500">
                  <c:v>44589</c:v>
                </c:pt>
                <c:pt idx="501">
                  <c:v>44588</c:v>
                </c:pt>
                <c:pt idx="502">
                  <c:v>44587</c:v>
                </c:pt>
                <c:pt idx="503">
                  <c:v>44586</c:v>
                </c:pt>
                <c:pt idx="504">
                  <c:v>44585</c:v>
                </c:pt>
                <c:pt idx="505">
                  <c:v>44582</c:v>
                </c:pt>
                <c:pt idx="506">
                  <c:v>44581</c:v>
                </c:pt>
                <c:pt idx="507">
                  <c:v>44580</c:v>
                </c:pt>
                <c:pt idx="508">
                  <c:v>44579</c:v>
                </c:pt>
                <c:pt idx="509">
                  <c:v>44578</c:v>
                </c:pt>
                <c:pt idx="510">
                  <c:v>44575</c:v>
                </c:pt>
                <c:pt idx="511">
                  <c:v>44574</c:v>
                </c:pt>
                <c:pt idx="512">
                  <c:v>44573</c:v>
                </c:pt>
                <c:pt idx="513">
                  <c:v>44572</c:v>
                </c:pt>
                <c:pt idx="514">
                  <c:v>44571</c:v>
                </c:pt>
                <c:pt idx="515">
                  <c:v>44568</c:v>
                </c:pt>
                <c:pt idx="516">
                  <c:v>44567</c:v>
                </c:pt>
                <c:pt idx="517">
                  <c:v>44566</c:v>
                </c:pt>
                <c:pt idx="518">
                  <c:v>44565</c:v>
                </c:pt>
                <c:pt idx="519">
                  <c:v>44564</c:v>
                </c:pt>
                <c:pt idx="520">
                  <c:v>44561</c:v>
                </c:pt>
                <c:pt idx="521">
                  <c:v>44560</c:v>
                </c:pt>
                <c:pt idx="522">
                  <c:v>44559</c:v>
                </c:pt>
                <c:pt idx="523">
                  <c:v>44558</c:v>
                </c:pt>
                <c:pt idx="524">
                  <c:v>44557</c:v>
                </c:pt>
                <c:pt idx="525">
                  <c:v>44554</c:v>
                </c:pt>
                <c:pt idx="526">
                  <c:v>44553</c:v>
                </c:pt>
                <c:pt idx="527">
                  <c:v>44552</c:v>
                </c:pt>
                <c:pt idx="528">
                  <c:v>44551</c:v>
                </c:pt>
                <c:pt idx="529">
                  <c:v>44550</c:v>
                </c:pt>
                <c:pt idx="530">
                  <c:v>44547</c:v>
                </c:pt>
                <c:pt idx="531">
                  <c:v>44546</c:v>
                </c:pt>
                <c:pt idx="532">
                  <c:v>44545</c:v>
                </c:pt>
                <c:pt idx="533">
                  <c:v>44544</c:v>
                </c:pt>
                <c:pt idx="534">
                  <c:v>44543</c:v>
                </c:pt>
                <c:pt idx="535">
                  <c:v>44540</c:v>
                </c:pt>
                <c:pt idx="536">
                  <c:v>44539</c:v>
                </c:pt>
                <c:pt idx="537">
                  <c:v>44538</c:v>
                </c:pt>
                <c:pt idx="538">
                  <c:v>44537</c:v>
                </c:pt>
                <c:pt idx="539">
                  <c:v>44536</c:v>
                </c:pt>
                <c:pt idx="540">
                  <c:v>44533</c:v>
                </c:pt>
                <c:pt idx="541">
                  <c:v>44532</c:v>
                </c:pt>
                <c:pt idx="542">
                  <c:v>44531</c:v>
                </c:pt>
                <c:pt idx="543">
                  <c:v>44530</c:v>
                </c:pt>
                <c:pt idx="544">
                  <c:v>44529</c:v>
                </c:pt>
                <c:pt idx="545">
                  <c:v>44526</c:v>
                </c:pt>
                <c:pt idx="546">
                  <c:v>44525</c:v>
                </c:pt>
                <c:pt idx="547">
                  <c:v>44524</c:v>
                </c:pt>
                <c:pt idx="548">
                  <c:v>44523</c:v>
                </c:pt>
                <c:pt idx="549">
                  <c:v>44522</c:v>
                </c:pt>
                <c:pt idx="550">
                  <c:v>44519</c:v>
                </c:pt>
                <c:pt idx="551">
                  <c:v>44518</c:v>
                </c:pt>
                <c:pt idx="552">
                  <c:v>44517</c:v>
                </c:pt>
                <c:pt idx="553">
                  <c:v>44516</c:v>
                </c:pt>
                <c:pt idx="554">
                  <c:v>44515</c:v>
                </c:pt>
                <c:pt idx="555">
                  <c:v>44512</c:v>
                </c:pt>
                <c:pt idx="556">
                  <c:v>44511</c:v>
                </c:pt>
                <c:pt idx="557">
                  <c:v>44510</c:v>
                </c:pt>
                <c:pt idx="558">
                  <c:v>44509</c:v>
                </c:pt>
                <c:pt idx="559">
                  <c:v>44508</c:v>
                </c:pt>
                <c:pt idx="560">
                  <c:v>44505</c:v>
                </c:pt>
                <c:pt idx="561">
                  <c:v>44504</c:v>
                </c:pt>
                <c:pt idx="562">
                  <c:v>44503</c:v>
                </c:pt>
                <c:pt idx="563">
                  <c:v>44502</c:v>
                </c:pt>
                <c:pt idx="564">
                  <c:v>44501</c:v>
                </c:pt>
                <c:pt idx="565">
                  <c:v>44498</c:v>
                </c:pt>
                <c:pt idx="566">
                  <c:v>44497</c:v>
                </c:pt>
                <c:pt idx="567">
                  <c:v>44496</c:v>
                </c:pt>
                <c:pt idx="568">
                  <c:v>44495</c:v>
                </c:pt>
                <c:pt idx="569">
                  <c:v>44494</c:v>
                </c:pt>
                <c:pt idx="570">
                  <c:v>44491</c:v>
                </c:pt>
                <c:pt idx="571">
                  <c:v>44490</c:v>
                </c:pt>
                <c:pt idx="572">
                  <c:v>44489</c:v>
                </c:pt>
                <c:pt idx="573">
                  <c:v>44488</c:v>
                </c:pt>
                <c:pt idx="574">
                  <c:v>44487</c:v>
                </c:pt>
                <c:pt idx="575">
                  <c:v>44484</c:v>
                </c:pt>
                <c:pt idx="576">
                  <c:v>44483</c:v>
                </c:pt>
                <c:pt idx="577">
                  <c:v>44482</c:v>
                </c:pt>
                <c:pt idx="578">
                  <c:v>44481</c:v>
                </c:pt>
                <c:pt idx="579">
                  <c:v>44480</c:v>
                </c:pt>
                <c:pt idx="580">
                  <c:v>44477</c:v>
                </c:pt>
                <c:pt idx="581">
                  <c:v>44476</c:v>
                </c:pt>
                <c:pt idx="582">
                  <c:v>44475</c:v>
                </c:pt>
                <c:pt idx="583">
                  <c:v>44474</c:v>
                </c:pt>
                <c:pt idx="584">
                  <c:v>44473</c:v>
                </c:pt>
                <c:pt idx="585">
                  <c:v>44470</c:v>
                </c:pt>
                <c:pt idx="586">
                  <c:v>44469</c:v>
                </c:pt>
                <c:pt idx="587">
                  <c:v>44468</c:v>
                </c:pt>
                <c:pt idx="588">
                  <c:v>44467</c:v>
                </c:pt>
                <c:pt idx="589">
                  <c:v>44466</c:v>
                </c:pt>
                <c:pt idx="590">
                  <c:v>44463</c:v>
                </c:pt>
                <c:pt idx="591">
                  <c:v>44462</c:v>
                </c:pt>
                <c:pt idx="592">
                  <c:v>44461</c:v>
                </c:pt>
                <c:pt idx="593">
                  <c:v>44460</c:v>
                </c:pt>
                <c:pt idx="594">
                  <c:v>44459</c:v>
                </c:pt>
                <c:pt idx="595">
                  <c:v>44456</c:v>
                </c:pt>
                <c:pt idx="596">
                  <c:v>44455</c:v>
                </c:pt>
                <c:pt idx="597">
                  <c:v>44454</c:v>
                </c:pt>
                <c:pt idx="598">
                  <c:v>44453</c:v>
                </c:pt>
                <c:pt idx="599">
                  <c:v>44452</c:v>
                </c:pt>
                <c:pt idx="600">
                  <c:v>44449</c:v>
                </c:pt>
                <c:pt idx="601">
                  <c:v>44448</c:v>
                </c:pt>
                <c:pt idx="602">
                  <c:v>44447</c:v>
                </c:pt>
                <c:pt idx="603">
                  <c:v>44446</c:v>
                </c:pt>
                <c:pt idx="604">
                  <c:v>44445</c:v>
                </c:pt>
                <c:pt idx="605">
                  <c:v>44442</c:v>
                </c:pt>
                <c:pt idx="606">
                  <c:v>44441</c:v>
                </c:pt>
                <c:pt idx="607">
                  <c:v>44440</c:v>
                </c:pt>
                <c:pt idx="608">
                  <c:v>44439</c:v>
                </c:pt>
                <c:pt idx="609">
                  <c:v>44438</c:v>
                </c:pt>
                <c:pt idx="610">
                  <c:v>44435</c:v>
                </c:pt>
                <c:pt idx="611">
                  <c:v>44434</c:v>
                </c:pt>
                <c:pt idx="612">
                  <c:v>44433</c:v>
                </c:pt>
                <c:pt idx="613">
                  <c:v>44432</c:v>
                </c:pt>
                <c:pt idx="614">
                  <c:v>44431</c:v>
                </c:pt>
                <c:pt idx="615">
                  <c:v>44428</c:v>
                </c:pt>
                <c:pt idx="616">
                  <c:v>44427</c:v>
                </c:pt>
                <c:pt idx="617">
                  <c:v>44426</c:v>
                </c:pt>
                <c:pt idx="618">
                  <c:v>44425</c:v>
                </c:pt>
                <c:pt idx="619">
                  <c:v>44424</c:v>
                </c:pt>
                <c:pt idx="620">
                  <c:v>44421</c:v>
                </c:pt>
                <c:pt idx="621">
                  <c:v>44420</c:v>
                </c:pt>
                <c:pt idx="622">
                  <c:v>44419</c:v>
                </c:pt>
                <c:pt idx="623">
                  <c:v>44418</c:v>
                </c:pt>
                <c:pt idx="624">
                  <c:v>44417</c:v>
                </c:pt>
                <c:pt idx="625">
                  <c:v>44414</c:v>
                </c:pt>
                <c:pt idx="626">
                  <c:v>44413</c:v>
                </c:pt>
                <c:pt idx="627">
                  <c:v>44412</c:v>
                </c:pt>
                <c:pt idx="628">
                  <c:v>44411</c:v>
                </c:pt>
                <c:pt idx="629">
                  <c:v>44410</c:v>
                </c:pt>
                <c:pt idx="630">
                  <c:v>44407</c:v>
                </c:pt>
                <c:pt idx="631">
                  <c:v>44406</c:v>
                </c:pt>
                <c:pt idx="632">
                  <c:v>44405</c:v>
                </c:pt>
                <c:pt idx="633">
                  <c:v>44404</c:v>
                </c:pt>
                <c:pt idx="634">
                  <c:v>44403</c:v>
                </c:pt>
                <c:pt idx="635">
                  <c:v>44400</c:v>
                </c:pt>
                <c:pt idx="636">
                  <c:v>44399</c:v>
                </c:pt>
                <c:pt idx="637">
                  <c:v>44398</c:v>
                </c:pt>
                <c:pt idx="638">
                  <c:v>44397</c:v>
                </c:pt>
                <c:pt idx="639">
                  <c:v>44396</c:v>
                </c:pt>
                <c:pt idx="640">
                  <c:v>44393</c:v>
                </c:pt>
                <c:pt idx="641">
                  <c:v>44392</c:v>
                </c:pt>
                <c:pt idx="642">
                  <c:v>44391</c:v>
                </c:pt>
                <c:pt idx="643">
                  <c:v>44390</c:v>
                </c:pt>
                <c:pt idx="644">
                  <c:v>44389</c:v>
                </c:pt>
                <c:pt idx="645">
                  <c:v>44386</c:v>
                </c:pt>
                <c:pt idx="646">
                  <c:v>44385</c:v>
                </c:pt>
                <c:pt idx="647">
                  <c:v>44384</c:v>
                </c:pt>
                <c:pt idx="648">
                  <c:v>44383</c:v>
                </c:pt>
                <c:pt idx="649">
                  <c:v>44382</c:v>
                </c:pt>
                <c:pt idx="650">
                  <c:v>44379</c:v>
                </c:pt>
                <c:pt idx="651">
                  <c:v>44378</c:v>
                </c:pt>
                <c:pt idx="652">
                  <c:v>44377</c:v>
                </c:pt>
                <c:pt idx="653">
                  <c:v>44376</c:v>
                </c:pt>
                <c:pt idx="654">
                  <c:v>44375</c:v>
                </c:pt>
                <c:pt idx="655">
                  <c:v>44372</c:v>
                </c:pt>
                <c:pt idx="656">
                  <c:v>44371</c:v>
                </c:pt>
                <c:pt idx="657">
                  <c:v>44370</c:v>
                </c:pt>
                <c:pt idx="658">
                  <c:v>44369</c:v>
                </c:pt>
                <c:pt idx="659">
                  <c:v>44368</c:v>
                </c:pt>
                <c:pt idx="660">
                  <c:v>44365</c:v>
                </c:pt>
                <c:pt idx="661">
                  <c:v>44364</c:v>
                </c:pt>
                <c:pt idx="662">
                  <c:v>44363</c:v>
                </c:pt>
                <c:pt idx="663">
                  <c:v>44362</c:v>
                </c:pt>
                <c:pt idx="664">
                  <c:v>44361</c:v>
                </c:pt>
                <c:pt idx="665">
                  <c:v>44358</c:v>
                </c:pt>
                <c:pt idx="666">
                  <c:v>44357</c:v>
                </c:pt>
                <c:pt idx="667">
                  <c:v>44356</c:v>
                </c:pt>
                <c:pt idx="668">
                  <c:v>44355</c:v>
                </c:pt>
                <c:pt idx="669">
                  <c:v>44354</c:v>
                </c:pt>
                <c:pt idx="670">
                  <c:v>44351</c:v>
                </c:pt>
                <c:pt idx="671">
                  <c:v>44350</c:v>
                </c:pt>
                <c:pt idx="672">
                  <c:v>44349</c:v>
                </c:pt>
                <c:pt idx="673">
                  <c:v>44348</c:v>
                </c:pt>
                <c:pt idx="674">
                  <c:v>44347</c:v>
                </c:pt>
                <c:pt idx="675">
                  <c:v>44344</c:v>
                </c:pt>
                <c:pt idx="676">
                  <c:v>44343</c:v>
                </c:pt>
                <c:pt idx="677">
                  <c:v>44342</c:v>
                </c:pt>
                <c:pt idx="678">
                  <c:v>44341</c:v>
                </c:pt>
                <c:pt idx="679">
                  <c:v>44340</c:v>
                </c:pt>
                <c:pt idx="680">
                  <c:v>44337</c:v>
                </c:pt>
                <c:pt idx="681">
                  <c:v>44336</c:v>
                </c:pt>
                <c:pt idx="682">
                  <c:v>44335</c:v>
                </c:pt>
                <c:pt idx="683">
                  <c:v>44334</c:v>
                </c:pt>
                <c:pt idx="684">
                  <c:v>44333</c:v>
                </c:pt>
                <c:pt idx="685">
                  <c:v>44330</c:v>
                </c:pt>
                <c:pt idx="686">
                  <c:v>44329</c:v>
                </c:pt>
                <c:pt idx="687">
                  <c:v>44328</c:v>
                </c:pt>
                <c:pt idx="688">
                  <c:v>44327</c:v>
                </c:pt>
                <c:pt idx="689">
                  <c:v>44326</c:v>
                </c:pt>
                <c:pt idx="690">
                  <c:v>44323</c:v>
                </c:pt>
                <c:pt idx="691">
                  <c:v>44322</c:v>
                </c:pt>
                <c:pt idx="692">
                  <c:v>44321</c:v>
                </c:pt>
                <c:pt idx="693">
                  <c:v>44320</c:v>
                </c:pt>
                <c:pt idx="694">
                  <c:v>44319</c:v>
                </c:pt>
                <c:pt idx="695">
                  <c:v>44316</c:v>
                </c:pt>
                <c:pt idx="696">
                  <c:v>44315</c:v>
                </c:pt>
                <c:pt idx="697">
                  <c:v>44314</c:v>
                </c:pt>
                <c:pt idx="698">
                  <c:v>44313</c:v>
                </c:pt>
                <c:pt idx="699">
                  <c:v>44312</c:v>
                </c:pt>
                <c:pt idx="700">
                  <c:v>44309</c:v>
                </c:pt>
                <c:pt idx="701">
                  <c:v>44308</c:v>
                </c:pt>
                <c:pt idx="702">
                  <c:v>44307</c:v>
                </c:pt>
                <c:pt idx="703">
                  <c:v>44306</c:v>
                </c:pt>
                <c:pt idx="704">
                  <c:v>44305</c:v>
                </c:pt>
                <c:pt idx="705">
                  <c:v>44302</c:v>
                </c:pt>
                <c:pt idx="706">
                  <c:v>44301</c:v>
                </c:pt>
                <c:pt idx="707">
                  <c:v>44300</c:v>
                </c:pt>
                <c:pt idx="708">
                  <c:v>44299</c:v>
                </c:pt>
                <c:pt idx="709">
                  <c:v>44298</c:v>
                </c:pt>
                <c:pt idx="710">
                  <c:v>44295</c:v>
                </c:pt>
                <c:pt idx="711">
                  <c:v>44294</c:v>
                </c:pt>
                <c:pt idx="712">
                  <c:v>44293</c:v>
                </c:pt>
                <c:pt idx="713">
                  <c:v>44292</c:v>
                </c:pt>
                <c:pt idx="714">
                  <c:v>44291</c:v>
                </c:pt>
                <c:pt idx="715">
                  <c:v>44288</c:v>
                </c:pt>
                <c:pt idx="716">
                  <c:v>44287</c:v>
                </c:pt>
                <c:pt idx="717">
                  <c:v>44286</c:v>
                </c:pt>
                <c:pt idx="718">
                  <c:v>44285</c:v>
                </c:pt>
                <c:pt idx="719">
                  <c:v>44284</c:v>
                </c:pt>
                <c:pt idx="720">
                  <c:v>44281</c:v>
                </c:pt>
                <c:pt idx="721">
                  <c:v>44280</c:v>
                </c:pt>
                <c:pt idx="722">
                  <c:v>44279</c:v>
                </c:pt>
                <c:pt idx="723">
                  <c:v>44278</c:v>
                </c:pt>
                <c:pt idx="724">
                  <c:v>44277</c:v>
                </c:pt>
                <c:pt idx="725">
                  <c:v>44274</c:v>
                </c:pt>
                <c:pt idx="726">
                  <c:v>44273</c:v>
                </c:pt>
                <c:pt idx="727">
                  <c:v>44272</c:v>
                </c:pt>
                <c:pt idx="728">
                  <c:v>44271</c:v>
                </c:pt>
                <c:pt idx="729">
                  <c:v>44270</c:v>
                </c:pt>
                <c:pt idx="730">
                  <c:v>44267</c:v>
                </c:pt>
                <c:pt idx="731">
                  <c:v>44266</c:v>
                </c:pt>
                <c:pt idx="732">
                  <c:v>44265</c:v>
                </c:pt>
                <c:pt idx="733">
                  <c:v>44264</c:v>
                </c:pt>
                <c:pt idx="734">
                  <c:v>44263</c:v>
                </c:pt>
                <c:pt idx="735">
                  <c:v>44260</c:v>
                </c:pt>
                <c:pt idx="736">
                  <c:v>44259</c:v>
                </c:pt>
                <c:pt idx="737">
                  <c:v>44258</c:v>
                </c:pt>
                <c:pt idx="738">
                  <c:v>44257</c:v>
                </c:pt>
                <c:pt idx="739">
                  <c:v>44256</c:v>
                </c:pt>
                <c:pt idx="740">
                  <c:v>44253</c:v>
                </c:pt>
                <c:pt idx="741">
                  <c:v>44252</c:v>
                </c:pt>
                <c:pt idx="742">
                  <c:v>44251</c:v>
                </c:pt>
                <c:pt idx="743">
                  <c:v>44250</c:v>
                </c:pt>
                <c:pt idx="744">
                  <c:v>44249</c:v>
                </c:pt>
                <c:pt idx="745">
                  <c:v>44246</c:v>
                </c:pt>
                <c:pt idx="746">
                  <c:v>44245</c:v>
                </c:pt>
                <c:pt idx="747">
                  <c:v>44244</c:v>
                </c:pt>
                <c:pt idx="748">
                  <c:v>44243</c:v>
                </c:pt>
                <c:pt idx="749">
                  <c:v>44242</c:v>
                </c:pt>
                <c:pt idx="750">
                  <c:v>44239</c:v>
                </c:pt>
                <c:pt idx="751">
                  <c:v>44238</c:v>
                </c:pt>
                <c:pt idx="752">
                  <c:v>44237</c:v>
                </c:pt>
                <c:pt idx="753">
                  <c:v>44236</c:v>
                </c:pt>
                <c:pt idx="754">
                  <c:v>44235</c:v>
                </c:pt>
                <c:pt idx="755">
                  <c:v>44232</c:v>
                </c:pt>
                <c:pt idx="756">
                  <c:v>44231</c:v>
                </c:pt>
                <c:pt idx="757">
                  <c:v>44230</c:v>
                </c:pt>
                <c:pt idx="758">
                  <c:v>44229</c:v>
                </c:pt>
                <c:pt idx="759">
                  <c:v>44228</c:v>
                </c:pt>
                <c:pt idx="760">
                  <c:v>44225</c:v>
                </c:pt>
                <c:pt idx="761">
                  <c:v>44224</c:v>
                </c:pt>
                <c:pt idx="762">
                  <c:v>44223</c:v>
                </c:pt>
                <c:pt idx="763">
                  <c:v>44222</c:v>
                </c:pt>
                <c:pt idx="764">
                  <c:v>44221</c:v>
                </c:pt>
                <c:pt idx="765">
                  <c:v>44218</c:v>
                </c:pt>
                <c:pt idx="766">
                  <c:v>44217</c:v>
                </c:pt>
                <c:pt idx="767">
                  <c:v>44216</c:v>
                </c:pt>
                <c:pt idx="768">
                  <c:v>44215</c:v>
                </c:pt>
                <c:pt idx="769">
                  <c:v>44214</c:v>
                </c:pt>
                <c:pt idx="770">
                  <c:v>44211</c:v>
                </c:pt>
                <c:pt idx="771">
                  <c:v>44210</c:v>
                </c:pt>
                <c:pt idx="772">
                  <c:v>44209</c:v>
                </c:pt>
                <c:pt idx="773">
                  <c:v>44208</c:v>
                </c:pt>
                <c:pt idx="774">
                  <c:v>44207</c:v>
                </c:pt>
                <c:pt idx="775">
                  <c:v>44204</c:v>
                </c:pt>
                <c:pt idx="776">
                  <c:v>44203</c:v>
                </c:pt>
                <c:pt idx="777">
                  <c:v>44202</c:v>
                </c:pt>
                <c:pt idx="778">
                  <c:v>44201</c:v>
                </c:pt>
                <c:pt idx="779">
                  <c:v>44200</c:v>
                </c:pt>
                <c:pt idx="780">
                  <c:v>44197</c:v>
                </c:pt>
                <c:pt idx="781">
                  <c:v>44196</c:v>
                </c:pt>
                <c:pt idx="782">
                  <c:v>44195</c:v>
                </c:pt>
                <c:pt idx="783">
                  <c:v>44194</c:v>
                </c:pt>
                <c:pt idx="784">
                  <c:v>44193</c:v>
                </c:pt>
                <c:pt idx="785">
                  <c:v>44190</c:v>
                </c:pt>
                <c:pt idx="786">
                  <c:v>44189</c:v>
                </c:pt>
                <c:pt idx="787">
                  <c:v>44188</c:v>
                </c:pt>
                <c:pt idx="788">
                  <c:v>44187</c:v>
                </c:pt>
                <c:pt idx="789">
                  <c:v>44186</c:v>
                </c:pt>
                <c:pt idx="790">
                  <c:v>44183</c:v>
                </c:pt>
                <c:pt idx="791">
                  <c:v>44182</c:v>
                </c:pt>
                <c:pt idx="792">
                  <c:v>44181</c:v>
                </c:pt>
                <c:pt idx="793">
                  <c:v>44180</c:v>
                </c:pt>
                <c:pt idx="794">
                  <c:v>44179</c:v>
                </c:pt>
                <c:pt idx="795">
                  <c:v>44176</c:v>
                </c:pt>
                <c:pt idx="796">
                  <c:v>44175</c:v>
                </c:pt>
                <c:pt idx="797">
                  <c:v>44174</c:v>
                </c:pt>
                <c:pt idx="798">
                  <c:v>44173</c:v>
                </c:pt>
                <c:pt idx="799">
                  <c:v>44172</c:v>
                </c:pt>
                <c:pt idx="800">
                  <c:v>44169</c:v>
                </c:pt>
                <c:pt idx="801">
                  <c:v>44168</c:v>
                </c:pt>
                <c:pt idx="802">
                  <c:v>44167</c:v>
                </c:pt>
                <c:pt idx="803">
                  <c:v>44166</c:v>
                </c:pt>
                <c:pt idx="804">
                  <c:v>44165</c:v>
                </c:pt>
                <c:pt idx="805">
                  <c:v>44162</c:v>
                </c:pt>
                <c:pt idx="806">
                  <c:v>44161</c:v>
                </c:pt>
                <c:pt idx="807">
                  <c:v>44160</c:v>
                </c:pt>
                <c:pt idx="808">
                  <c:v>44159</c:v>
                </c:pt>
                <c:pt idx="809">
                  <c:v>44158</c:v>
                </c:pt>
                <c:pt idx="810">
                  <c:v>44155</c:v>
                </c:pt>
                <c:pt idx="811">
                  <c:v>44154</c:v>
                </c:pt>
                <c:pt idx="812">
                  <c:v>44153</c:v>
                </c:pt>
                <c:pt idx="813">
                  <c:v>44152</c:v>
                </c:pt>
                <c:pt idx="814">
                  <c:v>44151</c:v>
                </c:pt>
                <c:pt idx="815">
                  <c:v>44148</c:v>
                </c:pt>
                <c:pt idx="816">
                  <c:v>44147</c:v>
                </c:pt>
                <c:pt idx="817">
                  <c:v>44146</c:v>
                </c:pt>
                <c:pt idx="818">
                  <c:v>44145</c:v>
                </c:pt>
                <c:pt idx="819">
                  <c:v>44144</c:v>
                </c:pt>
                <c:pt idx="820">
                  <c:v>44141</c:v>
                </c:pt>
                <c:pt idx="821">
                  <c:v>44140</c:v>
                </c:pt>
                <c:pt idx="822">
                  <c:v>44139</c:v>
                </c:pt>
                <c:pt idx="823">
                  <c:v>44138</c:v>
                </c:pt>
                <c:pt idx="824">
                  <c:v>44137</c:v>
                </c:pt>
                <c:pt idx="825">
                  <c:v>44134</c:v>
                </c:pt>
                <c:pt idx="826">
                  <c:v>44133</c:v>
                </c:pt>
                <c:pt idx="827">
                  <c:v>44132</c:v>
                </c:pt>
                <c:pt idx="828">
                  <c:v>44131</c:v>
                </c:pt>
                <c:pt idx="829">
                  <c:v>44130</c:v>
                </c:pt>
                <c:pt idx="830">
                  <c:v>44127</c:v>
                </c:pt>
                <c:pt idx="831">
                  <c:v>44126</c:v>
                </c:pt>
                <c:pt idx="832">
                  <c:v>44125</c:v>
                </c:pt>
                <c:pt idx="833">
                  <c:v>44124</c:v>
                </c:pt>
                <c:pt idx="834">
                  <c:v>44123</c:v>
                </c:pt>
                <c:pt idx="835">
                  <c:v>44120</c:v>
                </c:pt>
                <c:pt idx="836">
                  <c:v>44119</c:v>
                </c:pt>
                <c:pt idx="837">
                  <c:v>44118</c:v>
                </c:pt>
                <c:pt idx="838">
                  <c:v>44117</c:v>
                </c:pt>
                <c:pt idx="839">
                  <c:v>44116</c:v>
                </c:pt>
                <c:pt idx="840">
                  <c:v>44113</c:v>
                </c:pt>
                <c:pt idx="841">
                  <c:v>44112</c:v>
                </c:pt>
                <c:pt idx="842">
                  <c:v>44111</c:v>
                </c:pt>
                <c:pt idx="843">
                  <c:v>44110</c:v>
                </c:pt>
                <c:pt idx="844">
                  <c:v>44109</c:v>
                </c:pt>
                <c:pt idx="845">
                  <c:v>44106</c:v>
                </c:pt>
                <c:pt idx="846">
                  <c:v>44105</c:v>
                </c:pt>
                <c:pt idx="847">
                  <c:v>44104</c:v>
                </c:pt>
                <c:pt idx="848">
                  <c:v>44103</c:v>
                </c:pt>
                <c:pt idx="849">
                  <c:v>44102</c:v>
                </c:pt>
                <c:pt idx="850">
                  <c:v>44099</c:v>
                </c:pt>
                <c:pt idx="851">
                  <c:v>44098</c:v>
                </c:pt>
                <c:pt idx="852">
                  <c:v>44097</c:v>
                </c:pt>
                <c:pt idx="853">
                  <c:v>44096</c:v>
                </c:pt>
                <c:pt idx="854">
                  <c:v>44095</c:v>
                </c:pt>
                <c:pt idx="855">
                  <c:v>44092</c:v>
                </c:pt>
                <c:pt idx="856">
                  <c:v>44091</c:v>
                </c:pt>
                <c:pt idx="857">
                  <c:v>44090</c:v>
                </c:pt>
                <c:pt idx="858">
                  <c:v>44089</c:v>
                </c:pt>
                <c:pt idx="859">
                  <c:v>44088</c:v>
                </c:pt>
                <c:pt idx="860">
                  <c:v>44085</c:v>
                </c:pt>
                <c:pt idx="861">
                  <c:v>44084</c:v>
                </c:pt>
                <c:pt idx="862">
                  <c:v>44083</c:v>
                </c:pt>
                <c:pt idx="863">
                  <c:v>44082</c:v>
                </c:pt>
                <c:pt idx="864">
                  <c:v>44081</c:v>
                </c:pt>
                <c:pt idx="865">
                  <c:v>44078</c:v>
                </c:pt>
                <c:pt idx="866">
                  <c:v>44077</c:v>
                </c:pt>
                <c:pt idx="867">
                  <c:v>44076</c:v>
                </c:pt>
                <c:pt idx="868">
                  <c:v>44075</c:v>
                </c:pt>
                <c:pt idx="869">
                  <c:v>44074</c:v>
                </c:pt>
                <c:pt idx="870">
                  <c:v>44071</c:v>
                </c:pt>
                <c:pt idx="871">
                  <c:v>44070</c:v>
                </c:pt>
                <c:pt idx="872">
                  <c:v>44069</c:v>
                </c:pt>
                <c:pt idx="873">
                  <c:v>44068</c:v>
                </c:pt>
                <c:pt idx="874">
                  <c:v>44067</c:v>
                </c:pt>
                <c:pt idx="875">
                  <c:v>44064</c:v>
                </c:pt>
                <c:pt idx="876">
                  <c:v>44063</c:v>
                </c:pt>
                <c:pt idx="877">
                  <c:v>44062</c:v>
                </c:pt>
                <c:pt idx="878">
                  <c:v>44061</c:v>
                </c:pt>
                <c:pt idx="879">
                  <c:v>44060</c:v>
                </c:pt>
                <c:pt idx="880">
                  <c:v>44057</c:v>
                </c:pt>
                <c:pt idx="881">
                  <c:v>44056</c:v>
                </c:pt>
                <c:pt idx="882">
                  <c:v>44055</c:v>
                </c:pt>
                <c:pt idx="883">
                  <c:v>44054</c:v>
                </c:pt>
                <c:pt idx="884">
                  <c:v>44053</c:v>
                </c:pt>
                <c:pt idx="885">
                  <c:v>44050</c:v>
                </c:pt>
                <c:pt idx="886">
                  <c:v>44049</c:v>
                </c:pt>
                <c:pt idx="887">
                  <c:v>44048</c:v>
                </c:pt>
                <c:pt idx="888">
                  <c:v>44047</c:v>
                </c:pt>
                <c:pt idx="889">
                  <c:v>44046</c:v>
                </c:pt>
                <c:pt idx="890">
                  <c:v>44043</c:v>
                </c:pt>
                <c:pt idx="891">
                  <c:v>44042</c:v>
                </c:pt>
                <c:pt idx="892">
                  <c:v>44041</c:v>
                </c:pt>
                <c:pt idx="893">
                  <c:v>44040</c:v>
                </c:pt>
                <c:pt idx="894">
                  <c:v>44039</c:v>
                </c:pt>
                <c:pt idx="895">
                  <c:v>44036</c:v>
                </c:pt>
                <c:pt idx="896">
                  <c:v>44035</c:v>
                </c:pt>
                <c:pt idx="897">
                  <c:v>44034</c:v>
                </c:pt>
                <c:pt idx="898">
                  <c:v>44033</c:v>
                </c:pt>
                <c:pt idx="899">
                  <c:v>44032</c:v>
                </c:pt>
                <c:pt idx="900">
                  <c:v>44029</c:v>
                </c:pt>
                <c:pt idx="901">
                  <c:v>44028</c:v>
                </c:pt>
                <c:pt idx="902">
                  <c:v>44027</c:v>
                </c:pt>
                <c:pt idx="903">
                  <c:v>44026</c:v>
                </c:pt>
                <c:pt idx="904">
                  <c:v>44025</c:v>
                </c:pt>
                <c:pt idx="905">
                  <c:v>44022</c:v>
                </c:pt>
                <c:pt idx="906">
                  <c:v>44021</c:v>
                </c:pt>
                <c:pt idx="907">
                  <c:v>44020</c:v>
                </c:pt>
                <c:pt idx="908">
                  <c:v>44019</c:v>
                </c:pt>
                <c:pt idx="909">
                  <c:v>44018</c:v>
                </c:pt>
                <c:pt idx="910">
                  <c:v>44015</c:v>
                </c:pt>
                <c:pt idx="911">
                  <c:v>44014</c:v>
                </c:pt>
                <c:pt idx="912">
                  <c:v>44013</c:v>
                </c:pt>
                <c:pt idx="913">
                  <c:v>44012</c:v>
                </c:pt>
                <c:pt idx="914">
                  <c:v>44011</c:v>
                </c:pt>
                <c:pt idx="915">
                  <c:v>44008</c:v>
                </c:pt>
                <c:pt idx="916">
                  <c:v>44007</c:v>
                </c:pt>
                <c:pt idx="917">
                  <c:v>44006</c:v>
                </c:pt>
                <c:pt idx="918">
                  <c:v>44005</c:v>
                </c:pt>
                <c:pt idx="919">
                  <c:v>44004</c:v>
                </c:pt>
                <c:pt idx="920">
                  <c:v>44001</c:v>
                </c:pt>
                <c:pt idx="921">
                  <c:v>44000</c:v>
                </c:pt>
                <c:pt idx="922">
                  <c:v>43999</c:v>
                </c:pt>
                <c:pt idx="923">
                  <c:v>43998</c:v>
                </c:pt>
                <c:pt idx="924">
                  <c:v>43997</c:v>
                </c:pt>
                <c:pt idx="925">
                  <c:v>43994</c:v>
                </c:pt>
                <c:pt idx="926">
                  <c:v>43993</c:v>
                </c:pt>
                <c:pt idx="927">
                  <c:v>43992</c:v>
                </c:pt>
                <c:pt idx="928">
                  <c:v>43991</c:v>
                </c:pt>
                <c:pt idx="929">
                  <c:v>43990</c:v>
                </c:pt>
                <c:pt idx="930">
                  <c:v>43987</c:v>
                </c:pt>
                <c:pt idx="931">
                  <c:v>43986</c:v>
                </c:pt>
                <c:pt idx="932">
                  <c:v>43985</c:v>
                </c:pt>
                <c:pt idx="933">
                  <c:v>43984</c:v>
                </c:pt>
                <c:pt idx="934">
                  <c:v>43983</c:v>
                </c:pt>
                <c:pt idx="935">
                  <c:v>43980</c:v>
                </c:pt>
                <c:pt idx="936">
                  <c:v>43979</c:v>
                </c:pt>
                <c:pt idx="937">
                  <c:v>43978</c:v>
                </c:pt>
                <c:pt idx="938">
                  <c:v>43977</c:v>
                </c:pt>
                <c:pt idx="939">
                  <c:v>43976</c:v>
                </c:pt>
                <c:pt idx="940">
                  <c:v>43973</c:v>
                </c:pt>
                <c:pt idx="941">
                  <c:v>43972</c:v>
                </c:pt>
                <c:pt idx="942">
                  <c:v>43971</c:v>
                </c:pt>
                <c:pt idx="943">
                  <c:v>43970</c:v>
                </c:pt>
                <c:pt idx="944">
                  <c:v>43969</c:v>
                </c:pt>
                <c:pt idx="945">
                  <c:v>43966</c:v>
                </c:pt>
                <c:pt idx="946">
                  <c:v>43965</c:v>
                </c:pt>
                <c:pt idx="947">
                  <c:v>43964</c:v>
                </c:pt>
                <c:pt idx="948">
                  <c:v>43963</c:v>
                </c:pt>
                <c:pt idx="949">
                  <c:v>43962</c:v>
                </c:pt>
                <c:pt idx="950">
                  <c:v>43959</c:v>
                </c:pt>
                <c:pt idx="951">
                  <c:v>43958</c:v>
                </c:pt>
                <c:pt idx="952">
                  <c:v>43957</c:v>
                </c:pt>
                <c:pt idx="953">
                  <c:v>43956</c:v>
                </c:pt>
                <c:pt idx="954">
                  <c:v>43955</c:v>
                </c:pt>
                <c:pt idx="955">
                  <c:v>43952</c:v>
                </c:pt>
                <c:pt idx="956">
                  <c:v>43951</c:v>
                </c:pt>
                <c:pt idx="957">
                  <c:v>43950</c:v>
                </c:pt>
                <c:pt idx="958">
                  <c:v>43949</c:v>
                </c:pt>
                <c:pt idx="959">
                  <c:v>43948</c:v>
                </c:pt>
                <c:pt idx="960">
                  <c:v>43945</c:v>
                </c:pt>
                <c:pt idx="961">
                  <c:v>43944</c:v>
                </c:pt>
                <c:pt idx="962">
                  <c:v>43943</c:v>
                </c:pt>
                <c:pt idx="963">
                  <c:v>43942</c:v>
                </c:pt>
                <c:pt idx="964">
                  <c:v>43941</c:v>
                </c:pt>
                <c:pt idx="965">
                  <c:v>43938</c:v>
                </c:pt>
                <c:pt idx="966">
                  <c:v>43937</c:v>
                </c:pt>
                <c:pt idx="967">
                  <c:v>43936</c:v>
                </c:pt>
                <c:pt idx="968">
                  <c:v>43935</c:v>
                </c:pt>
                <c:pt idx="969">
                  <c:v>43934</c:v>
                </c:pt>
                <c:pt idx="970">
                  <c:v>43931</c:v>
                </c:pt>
                <c:pt idx="971">
                  <c:v>43930</c:v>
                </c:pt>
                <c:pt idx="972">
                  <c:v>43929</c:v>
                </c:pt>
                <c:pt idx="973">
                  <c:v>43928</c:v>
                </c:pt>
                <c:pt idx="974">
                  <c:v>43927</c:v>
                </c:pt>
                <c:pt idx="975">
                  <c:v>43924</c:v>
                </c:pt>
                <c:pt idx="976">
                  <c:v>43923</c:v>
                </c:pt>
                <c:pt idx="977">
                  <c:v>43922</c:v>
                </c:pt>
                <c:pt idx="978">
                  <c:v>43921</c:v>
                </c:pt>
                <c:pt idx="979">
                  <c:v>43920</c:v>
                </c:pt>
                <c:pt idx="980">
                  <c:v>43917</c:v>
                </c:pt>
                <c:pt idx="981">
                  <c:v>43916</c:v>
                </c:pt>
                <c:pt idx="982">
                  <c:v>43915</c:v>
                </c:pt>
                <c:pt idx="983">
                  <c:v>43914</c:v>
                </c:pt>
                <c:pt idx="984">
                  <c:v>43913</c:v>
                </c:pt>
                <c:pt idx="985">
                  <c:v>43910</c:v>
                </c:pt>
                <c:pt idx="986">
                  <c:v>43909</c:v>
                </c:pt>
                <c:pt idx="987">
                  <c:v>43908</c:v>
                </c:pt>
                <c:pt idx="988">
                  <c:v>43907</c:v>
                </c:pt>
                <c:pt idx="989">
                  <c:v>43906</c:v>
                </c:pt>
                <c:pt idx="990">
                  <c:v>43903</c:v>
                </c:pt>
                <c:pt idx="991">
                  <c:v>43902</c:v>
                </c:pt>
                <c:pt idx="992">
                  <c:v>43901</c:v>
                </c:pt>
                <c:pt idx="993">
                  <c:v>43900</c:v>
                </c:pt>
                <c:pt idx="994">
                  <c:v>43899</c:v>
                </c:pt>
                <c:pt idx="995">
                  <c:v>43896</c:v>
                </c:pt>
                <c:pt idx="996">
                  <c:v>43895</c:v>
                </c:pt>
                <c:pt idx="997">
                  <c:v>43894</c:v>
                </c:pt>
                <c:pt idx="998">
                  <c:v>43893</c:v>
                </c:pt>
                <c:pt idx="999">
                  <c:v>43892</c:v>
                </c:pt>
                <c:pt idx="1000">
                  <c:v>43889</c:v>
                </c:pt>
                <c:pt idx="1001">
                  <c:v>43888</c:v>
                </c:pt>
                <c:pt idx="1002">
                  <c:v>43887</c:v>
                </c:pt>
                <c:pt idx="1003">
                  <c:v>43886</c:v>
                </c:pt>
                <c:pt idx="1004">
                  <c:v>43885</c:v>
                </c:pt>
                <c:pt idx="1005">
                  <c:v>43882</c:v>
                </c:pt>
                <c:pt idx="1006">
                  <c:v>43881</c:v>
                </c:pt>
                <c:pt idx="1007">
                  <c:v>43880</c:v>
                </c:pt>
                <c:pt idx="1008">
                  <c:v>43879</c:v>
                </c:pt>
                <c:pt idx="1009">
                  <c:v>43878</c:v>
                </c:pt>
                <c:pt idx="1010">
                  <c:v>43875</c:v>
                </c:pt>
                <c:pt idx="1011">
                  <c:v>43874</c:v>
                </c:pt>
                <c:pt idx="1012">
                  <c:v>43873</c:v>
                </c:pt>
                <c:pt idx="1013">
                  <c:v>43872</c:v>
                </c:pt>
                <c:pt idx="1014">
                  <c:v>43871</c:v>
                </c:pt>
                <c:pt idx="1015">
                  <c:v>43868</c:v>
                </c:pt>
                <c:pt idx="1016">
                  <c:v>43867</c:v>
                </c:pt>
                <c:pt idx="1017">
                  <c:v>43866</c:v>
                </c:pt>
                <c:pt idx="1018">
                  <c:v>43865</c:v>
                </c:pt>
                <c:pt idx="1019">
                  <c:v>43864</c:v>
                </c:pt>
                <c:pt idx="1020">
                  <c:v>43861</c:v>
                </c:pt>
                <c:pt idx="1021">
                  <c:v>43860</c:v>
                </c:pt>
                <c:pt idx="1022">
                  <c:v>43859</c:v>
                </c:pt>
                <c:pt idx="1023">
                  <c:v>43858</c:v>
                </c:pt>
                <c:pt idx="1024">
                  <c:v>43857</c:v>
                </c:pt>
                <c:pt idx="1025">
                  <c:v>43854</c:v>
                </c:pt>
                <c:pt idx="1026">
                  <c:v>43853</c:v>
                </c:pt>
                <c:pt idx="1027">
                  <c:v>43852</c:v>
                </c:pt>
                <c:pt idx="1028">
                  <c:v>43851</c:v>
                </c:pt>
                <c:pt idx="1029">
                  <c:v>43850</c:v>
                </c:pt>
                <c:pt idx="1030">
                  <c:v>43847</c:v>
                </c:pt>
                <c:pt idx="1031">
                  <c:v>43846</c:v>
                </c:pt>
                <c:pt idx="1032">
                  <c:v>43845</c:v>
                </c:pt>
                <c:pt idx="1033">
                  <c:v>43844</c:v>
                </c:pt>
                <c:pt idx="1034">
                  <c:v>43843</c:v>
                </c:pt>
                <c:pt idx="1035">
                  <c:v>43840</c:v>
                </c:pt>
                <c:pt idx="1036">
                  <c:v>43839</c:v>
                </c:pt>
                <c:pt idx="1037">
                  <c:v>43838</c:v>
                </c:pt>
                <c:pt idx="1038">
                  <c:v>43837</c:v>
                </c:pt>
                <c:pt idx="1039">
                  <c:v>43836</c:v>
                </c:pt>
                <c:pt idx="1040">
                  <c:v>43833</c:v>
                </c:pt>
                <c:pt idx="1041">
                  <c:v>43832</c:v>
                </c:pt>
                <c:pt idx="1042">
                  <c:v>43831</c:v>
                </c:pt>
                <c:pt idx="1043">
                  <c:v>43830</c:v>
                </c:pt>
                <c:pt idx="1044">
                  <c:v>43829</c:v>
                </c:pt>
                <c:pt idx="1045">
                  <c:v>43826</c:v>
                </c:pt>
                <c:pt idx="1046">
                  <c:v>43825</c:v>
                </c:pt>
                <c:pt idx="1047">
                  <c:v>43824</c:v>
                </c:pt>
                <c:pt idx="1048">
                  <c:v>43823</c:v>
                </c:pt>
                <c:pt idx="1049">
                  <c:v>43822</c:v>
                </c:pt>
                <c:pt idx="1050">
                  <c:v>43819</c:v>
                </c:pt>
                <c:pt idx="1051">
                  <c:v>43818</c:v>
                </c:pt>
                <c:pt idx="1052">
                  <c:v>43817</c:v>
                </c:pt>
                <c:pt idx="1053">
                  <c:v>43816</c:v>
                </c:pt>
                <c:pt idx="1054">
                  <c:v>43815</c:v>
                </c:pt>
                <c:pt idx="1055">
                  <c:v>43812</c:v>
                </c:pt>
                <c:pt idx="1056">
                  <c:v>43811</c:v>
                </c:pt>
                <c:pt idx="1057">
                  <c:v>43810</c:v>
                </c:pt>
                <c:pt idx="1058">
                  <c:v>43809</c:v>
                </c:pt>
                <c:pt idx="1059">
                  <c:v>43808</c:v>
                </c:pt>
                <c:pt idx="1060">
                  <c:v>43805</c:v>
                </c:pt>
                <c:pt idx="1061">
                  <c:v>43804</c:v>
                </c:pt>
                <c:pt idx="1062">
                  <c:v>43803</c:v>
                </c:pt>
                <c:pt idx="1063">
                  <c:v>43802</c:v>
                </c:pt>
                <c:pt idx="1064">
                  <c:v>43801</c:v>
                </c:pt>
                <c:pt idx="1065">
                  <c:v>43798</c:v>
                </c:pt>
                <c:pt idx="1066">
                  <c:v>43797</c:v>
                </c:pt>
                <c:pt idx="1067">
                  <c:v>43796</c:v>
                </c:pt>
                <c:pt idx="1068">
                  <c:v>43795</c:v>
                </c:pt>
                <c:pt idx="1069">
                  <c:v>43794</c:v>
                </c:pt>
                <c:pt idx="1070">
                  <c:v>43791</c:v>
                </c:pt>
                <c:pt idx="1071">
                  <c:v>43790</c:v>
                </c:pt>
                <c:pt idx="1072">
                  <c:v>43789</c:v>
                </c:pt>
                <c:pt idx="1073">
                  <c:v>43788</c:v>
                </c:pt>
                <c:pt idx="1074">
                  <c:v>43787</c:v>
                </c:pt>
                <c:pt idx="1075">
                  <c:v>43784</c:v>
                </c:pt>
                <c:pt idx="1076">
                  <c:v>43783</c:v>
                </c:pt>
                <c:pt idx="1077">
                  <c:v>43782</c:v>
                </c:pt>
                <c:pt idx="1078">
                  <c:v>43781</c:v>
                </c:pt>
                <c:pt idx="1079">
                  <c:v>43780</c:v>
                </c:pt>
                <c:pt idx="1080">
                  <c:v>43777</c:v>
                </c:pt>
                <c:pt idx="1081">
                  <c:v>43776</c:v>
                </c:pt>
                <c:pt idx="1082">
                  <c:v>43775</c:v>
                </c:pt>
                <c:pt idx="1083">
                  <c:v>43774</c:v>
                </c:pt>
                <c:pt idx="1084">
                  <c:v>43773</c:v>
                </c:pt>
                <c:pt idx="1085">
                  <c:v>43770</c:v>
                </c:pt>
                <c:pt idx="1086">
                  <c:v>43769</c:v>
                </c:pt>
                <c:pt idx="1087">
                  <c:v>43768</c:v>
                </c:pt>
                <c:pt idx="1088">
                  <c:v>43767</c:v>
                </c:pt>
                <c:pt idx="1089">
                  <c:v>43766</c:v>
                </c:pt>
                <c:pt idx="1090">
                  <c:v>43763</c:v>
                </c:pt>
                <c:pt idx="1091">
                  <c:v>43762</c:v>
                </c:pt>
                <c:pt idx="1092">
                  <c:v>43761</c:v>
                </c:pt>
                <c:pt idx="1093">
                  <c:v>43760</c:v>
                </c:pt>
                <c:pt idx="1094">
                  <c:v>43759</c:v>
                </c:pt>
                <c:pt idx="1095">
                  <c:v>43756</c:v>
                </c:pt>
                <c:pt idx="1096">
                  <c:v>43755</c:v>
                </c:pt>
                <c:pt idx="1097">
                  <c:v>43754</c:v>
                </c:pt>
                <c:pt idx="1098">
                  <c:v>43753</c:v>
                </c:pt>
                <c:pt idx="1099">
                  <c:v>43752</c:v>
                </c:pt>
                <c:pt idx="1100">
                  <c:v>43749</c:v>
                </c:pt>
                <c:pt idx="1101">
                  <c:v>43748</c:v>
                </c:pt>
                <c:pt idx="1102">
                  <c:v>43747</c:v>
                </c:pt>
                <c:pt idx="1103">
                  <c:v>43746</c:v>
                </c:pt>
                <c:pt idx="1104">
                  <c:v>43745</c:v>
                </c:pt>
                <c:pt idx="1105">
                  <c:v>43742</c:v>
                </c:pt>
                <c:pt idx="1106">
                  <c:v>43741</c:v>
                </c:pt>
                <c:pt idx="1107">
                  <c:v>43740</c:v>
                </c:pt>
                <c:pt idx="1108">
                  <c:v>43739</c:v>
                </c:pt>
                <c:pt idx="1109">
                  <c:v>43738</c:v>
                </c:pt>
                <c:pt idx="1110">
                  <c:v>43735</c:v>
                </c:pt>
                <c:pt idx="1111">
                  <c:v>43734</c:v>
                </c:pt>
                <c:pt idx="1112">
                  <c:v>43733</c:v>
                </c:pt>
                <c:pt idx="1113">
                  <c:v>43732</c:v>
                </c:pt>
                <c:pt idx="1114">
                  <c:v>43731</c:v>
                </c:pt>
                <c:pt idx="1115">
                  <c:v>43728</c:v>
                </c:pt>
                <c:pt idx="1116">
                  <c:v>43727</c:v>
                </c:pt>
                <c:pt idx="1117">
                  <c:v>43726</c:v>
                </c:pt>
                <c:pt idx="1118">
                  <c:v>43725</c:v>
                </c:pt>
                <c:pt idx="1119">
                  <c:v>43724</c:v>
                </c:pt>
                <c:pt idx="1120">
                  <c:v>43721</c:v>
                </c:pt>
                <c:pt idx="1121">
                  <c:v>43720</c:v>
                </c:pt>
                <c:pt idx="1122">
                  <c:v>43719</c:v>
                </c:pt>
                <c:pt idx="1123">
                  <c:v>43718</c:v>
                </c:pt>
                <c:pt idx="1124">
                  <c:v>43717</c:v>
                </c:pt>
                <c:pt idx="1125">
                  <c:v>43714</c:v>
                </c:pt>
                <c:pt idx="1126">
                  <c:v>43713</c:v>
                </c:pt>
                <c:pt idx="1127">
                  <c:v>43712</c:v>
                </c:pt>
                <c:pt idx="1128">
                  <c:v>43711</c:v>
                </c:pt>
                <c:pt idx="1129">
                  <c:v>43710</c:v>
                </c:pt>
                <c:pt idx="1130">
                  <c:v>43707</c:v>
                </c:pt>
                <c:pt idx="1131">
                  <c:v>43706</c:v>
                </c:pt>
                <c:pt idx="1132">
                  <c:v>43705</c:v>
                </c:pt>
                <c:pt idx="1133">
                  <c:v>43704</c:v>
                </c:pt>
                <c:pt idx="1134">
                  <c:v>43703</c:v>
                </c:pt>
                <c:pt idx="1135">
                  <c:v>43700</c:v>
                </c:pt>
                <c:pt idx="1136">
                  <c:v>43699</c:v>
                </c:pt>
                <c:pt idx="1137">
                  <c:v>43698</c:v>
                </c:pt>
                <c:pt idx="1138">
                  <c:v>43697</c:v>
                </c:pt>
                <c:pt idx="1139">
                  <c:v>43696</c:v>
                </c:pt>
                <c:pt idx="1140">
                  <c:v>43693</c:v>
                </c:pt>
                <c:pt idx="1141">
                  <c:v>43692</c:v>
                </c:pt>
                <c:pt idx="1142">
                  <c:v>43691</c:v>
                </c:pt>
                <c:pt idx="1143">
                  <c:v>43690</c:v>
                </c:pt>
                <c:pt idx="1144">
                  <c:v>43689</c:v>
                </c:pt>
                <c:pt idx="1145">
                  <c:v>43686</c:v>
                </c:pt>
                <c:pt idx="1146">
                  <c:v>43685</c:v>
                </c:pt>
                <c:pt idx="1147">
                  <c:v>43684</c:v>
                </c:pt>
                <c:pt idx="1148">
                  <c:v>43683</c:v>
                </c:pt>
                <c:pt idx="1149">
                  <c:v>43682</c:v>
                </c:pt>
                <c:pt idx="1150">
                  <c:v>43679</c:v>
                </c:pt>
                <c:pt idx="1151">
                  <c:v>43678</c:v>
                </c:pt>
                <c:pt idx="1152">
                  <c:v>43677</c:v>
                </c:pt>
                <c:pt idx="1153">
                  <c:v>43676</c:v>
                </c:pt>
                <c:pt idx="1154">
                  <c:v>43675</c:v>
                </c:pt>
                <c:pt idx="1155">
                  <c:v>43672</c:v>
                </c:pt>
                <c:pt idx="1156">
                  <c:v>43671</c:v>
                </c:pt>
                <c:pt idx="1157">
                  <c:v>43670</c:v>
                </c:pt>
                <c:pt idx="1158">
                  <c:v>43669</c:v>
                </c:pt>
                <c:pt idx="1159">
                  <c:v>43668</c:v>
                </c:pt>
                <c:pt idx="1160">
                  <c:v>43665</c:v>
                </c:pt>
                <c:pt idx="1161">
                  <c:v>43664</c:v>
                </c:pt>
                <c:pt idx="1162">
                  <c:v>43663</c:v>
                </c:pt>
                <c:pt idx="1163">
                  <c:v>43662</c:v>
                </c:pt>
                <c:pt idx="1164">
                  <c:v>43661</c:v>
                </c:pt>
                <c:pt idx="1165">
                  <c:v>43658</c:v>
                </c:pt>
                <c:pt idx="1166">
                  <c:v>43657</c:v>
                </c:pt>
                <c:pt idx="1167">
                  <c:v>43656</c:v>
                </c:pt>
                <c:pt idx="1168">
                  <c:v>43655</c:v>
                </c:pt>
                <c:pt idx="1169">
                  <c:v>43654</c:v>
                </c:pt>
                <c:pt idx="1170">
                  <c:v>43651</c:v>
                </c:pt>
                <c:pt idx="1171">
                  <c:v>43650</c:v>
                </c:pt>
                <c:pt idx="1172">
                  <c:v>43649</c:v>
                </c:pt>
                <c:pt idx="1173">
                  <c:v>43648</c:v>
                </c:pt>
                <c:pt idx="1174">
                  <c:v>43647</c:v>
                </c:pt>
                <c:pt idx="1175">
                  <c:v>43644</c:v>
                </c:pt>
                <c:pt idx="1176">
                  <c:v>43643</c:v>
                </c:pt>
                <c:pt idx="1177">
                  <c:v>43642</c:v>
                </c:pt>
                <c:pt idx="1178">
                  <c:v>43641</c:v>
                </c:pt>
                <c:pt idx="1179">
                  <c:v>43640</c:v>
                </c:pt>
                <c:pt idx="1180">
                  <c:v>43637</c:v>
                </c:pt>
                <c:pt idx="1181">
                  <c:v>43636</c:v>
                </c:pt>
                <c:pt idx="1182">
                  <c:v>43635</c:v>
                </c:pt>
                <c:pt idx="1183">
                  <c:v>43634</c:v>
                </c:pt>
                <c:pt idx="1184">
                  <c:v>43633</c:v>
                </c:pt>
                <c:pt idx="1185">
                  <c:v>43630</c:v>
                </c:pt>
                <c:pt idx="1186">
                  <c:v>43629</c:v>
                </c:pt>
                <c:pt idx="1187">
                  <c:v>43628</c:v>
                </c:pt>
                <c:pt idx="1188">
                  <c:v>43627</c:v>
                </c:pt>
                <c:pt idx="1189">
                  <c:v>43626</c:v>
                </c:pt>
                <c:pt idx="1190">
                  <c:v>43623</c:v>
                </c:pt>
                <c:pt idx="1191">
                  <c:v>43622</c:v>
                </c:pt>
                <c:pt idx="1192">
                  <c:v>43621</c:v>
                </c:pt>
                <c:pt idx="1193">
                  <c:v>43620</c:v>
                </c:pt>
                <c:pt idx="1194">
                  <c:v>43619</c:v>
                </c:pt>
                <c:pt idx="1195">
                  <c:v>43616</c:v>
                </c:pt>
                <c:pt idx="1196">
                  <c:v>43615</c:v>
                </c:pt>
                <c:pt idx="1197">
                  <c:v>43614</c:v>
                </c:pt>
                <c:pt idx="1198">
                  <c:v>43613</c:v>
                </c:pt>
                <c:pt idx="1199">
                  <c:v>43612</c:v>
                </c:pt>
                <c:pt idx="1200">
                  <c:v>43609</c:v>
                </c:pt>
                <c:pt idx="1201">
                  <c:v>43608</c:v>
                </c:pt>
                <c:pt idx="1202">
                  <c:v>43607</c:v>
                </c:pt>
                <c:pt idx="1203">
                  <c:v>43606</c:v>
                </c:pt>
                <c:pt idx="1204">
                  <c:v>43605</c:v>
                </c:pt>
                <c:pt idx="1205">
                  <c:v>43602</c:v>
                </c:pt>
                <c:pt idx="1206">
                  <c:v>43601</c:v>
                </c:pt>
                <c:pt idx="1207">
                  <c:v>43600</c:v>
                </c:pt>
                <c:pt idx="1208">
                  <c:v>43599</c:v>
                </c:pt>
                <c:pt idx="1209">
                  <c:v>43598</c:v>
                </c:pt>
                <c:pt idx="1210">
                  <c:v>43595</c:v>
                </c:pt>
                <c:pt idx="1211">
                  <c:v>43594</c:v>
                </c:pt>
                <c:pt idx="1212">
                  <c:v>43593</c:v>
                </c:pt>
                <c:pt idx="1213">
                  <c:v>43592</c:v>
                </c:pt>
                <c:pt idx="1214">
                  <c:v>43591</c:v>
                </c:pt>
                <c:pt idx="1215">
                  <c:v>43588</c:v>
                </c:pt>
                <c:pt idx="1216">
                  <c:v>43587</c:v>
                </c:pt>
                <c:pt idx="1217">
                  <c:v>43586</c:v>
                </c:pt>
                <c:pt idx="1218">
                  <c:v>43585</c:v>
                </c:pt>
                <c:pt idx="1219">
                  <c:v>43584</c:v>
                </c:pt>
                <c:pt idx="1220">
                  <c:v>43581</c:v>
                </c:pt>
                <c:pt idx="1221">
                  <c:v>43580</c:v>
                </c:pt>
                <c:pt idx="1222">
                  <c:v>43579</c:v>
                </c:pt>
                <c:pt idx="1223">
                  <c:v>43578</c:v>
                </c:pt>
                <c:pt idx="1224">
                  <c:v>43577</c:v>
                </c:pt>
                <c:pt idx="1225">
                  <c:v>43574</c:v>
                </c:pt>
                <c:pt idx="1226">
                  <c:v>43573</c:v>
                </c:pt>
                <c:pt idx="1227">
                  <c:v>43572</c:v>
                </c:pt>
                <c:pt idx="1228">
                  <c:v>43571</c:v>
                </c:pt>
                <c:pt idx="1229">
                  <c:v>43570</c:v>
                </c:pt>
                <c:pt idx="1230">
                  <c:v>43567</c:v>
                </c:pt>
                <c:pt idx="1231">
                  <c:v>43566</c:v>
                </c:pt>
                <c:pt idx="1232">
                  <c:v>43565</c:v>
                </c:pt>
                <c:pt idx="1233">
                  <c:v>43564</c:v>
                </c:pt>
                <c:pt idx="1234">
                  <c:v>43563</c:v>
                </c:pt>
                <c:pt idx="1235">
                  <c:v>43560</c:v>
                </c:pt>
                <c:pt idx="1236">
                  <c:v>43559</c:v>
                </c:pt>
                <c:pt idx="1237">
                  <c:v>43558</c:v>
                </c:pt>
                <c:pt idx="1238">
                  <c:v>43557</c:v>
                </c:pt>
                <c:pt idx="1239">
                  <c:v>43556</c:v>
                </c:pt>
                <c:pt idx="1240">
                  <c:v>43553</c:v>
                </c:pt>
                <c:pt idx="1241">
                  <c:v>43552</c:v>
                </c:pt>
                <c:pt idx="1242">
                  <c:v>43551</c:v>
                </c:pt>
                <c:pt idx="1243">
                  <c:v>43550</c:v>
                </c:pt>
                <c:pt idx="1244">
                  <c:v>43549</c:v>
                </c:pt>
                <c:pt idx="1245">
                  <c:v>43546</c:v>
                </c:pt>
                <c:pt idx="1246">
                  <c:v>43545</c:v>
                </c:pt>
                <c:pt idx="1247">
                  <c:v>43544</c:v>
                </c:pt>
                <c:pt idx="1248">
                  <c:v>43543</c:v>
                </c:pt>
                <c:pt idx="1249">
                  <c:v>43542</c:v>
                </c:pt>
                <c:pt idx="1250">
                  <c:v>43539</c:v>
                </c:pt>
                <c:pt idx="1251">
                  <c:v>43538</c:v>
                </c:pt>
                <c:pt idx="1252">
                  <c:v>43537</c:v>
                </c:pt>
                <c:pt idx="1253">
                  <c:v>43536</c:v>
                </c:pt>
                <c:pt idx="1254">
                  <c:v>43535</c:v>
                </c:pt>
                <c:pt idx="1255">
                  <c:v>43532</c:v>
                </c:pt>
                <c:pt idx="1256">
                  <c:v>43531</c:v>
                </c:pt>
                <c:pt idx="1257">
                  <c:v>43530</c:v>
                </c:pt>
                <c:pt idx="1258">
                  <c:v>43529</c:v>
                </c:pt>
                <c:pt idx="1259">
                  <c:v>43528</c:v>
                </c:pt>
                <c:pt idx="1260">
                  <c:v>43525</c:v>
                </c:pt>
                <c:pt idx="1261">
                  <c:v>43524</c:v>
                </c:pt>
                <c:pt idx="1262">
                  <c:v>43523</c:v>
                </c:pt>
                <c:pt idx="1263">
                  <c:v>43522</c:v>
                </c:pt>
                <c:pt idx="1264">
                  <c:v>43521</c:v>
                </c:pt>
                <c:pt idx="1265">
                  <c:v>43518</c:v>
                </c:pt>
                <c:pt idx="1266">
                  <c:v>43517</c:v>
                </c:pt>
                <c:pt idx="1267">
                  <c:v>43516</c:v>
                </c:pt>
                <c:pt idx="1268">
                  <c:v>43515</c:v>
                </c:pt>
                <c:pt idx="1269">
                  <c:v>43514</c:v>
                </c:pt>
                <c:pt idx="1270">
                  <c:v>43511</c:v>
                </c:pt>
                <c:pt idx="1271">
                  <c:v>43510</c:v>
                </c:pt>
                <c:pt idx="1272">
                  <c:v>43509</c:v>
                </c:pt>
                <c:pt idx="1273">
                  <c:v>43508</c:v>
                </c:pt>
                <c:pt idx="1274">
                  <c:v>43507</c:v>
                </c:pt>
                <c:pt idx="1275">
                  <c:v>43504</c:v>
                </c:pt>
                <c:pt idx="1276">
                  <c:v>43503</c:v>
                </c:pt>
                <c:pt idx="1277">
                  <c:v>43502</c:v>
                </c:pt>
                <c:pt idx="1278">
                  <c:v>43501</c:v>
                </c:pt>
                <c:pt idx="1279">
                  <c:v>43500</c:v>
                </c:pt>
                <c:pt idx="1280">
                  <c:v>43497</c:v>
                </c:pt>
                <c:pt idx="1281">
                  <c:v>43496</c:v>
                </c:pt>
                <c:pt idx="1282">
                  <c:v>43495</c:v>
                </c:pt>
                <c:pt idx="1283">
                  <c:v>43494</c:v>
                </c:pt>
                <c:pt idx="1284">
                  <c:v>43493</c:v>
                </c:pt>
                <c:pt idx="1285">
                  <c:v>43490</c:v>
                </c:pt>
                <c:pt idx="1286">
                  <c:v>43489</c:v>
                </c:pt>
                <c:pt idx="1287">
                  <c:v>43488</c:v>
                </c:pt>
                <c:pt idx="1288">
                  <c:v>43487</c:v>
                </c:pt>
                <c:pt idx="1289">
                  <c:v>43486</c:v>
                </c:pt>
                <c:pt idx="1290">
                  <c:v>43483</c:v>
                </c:pt>
                <c:pt idx="1291">
                  <c:v>43482</c:v>
                </c:pt>
                <c:pt idx="1292">
                  <c:v>43481</c:v>
                </c:pt>
                <c:pt idx="1293">
                  <c:v>43480</c:v>
                </c:pt>
                <c:pt idx="1294">
                  <c:v>43479</c:v>
                </c:pt>
                <c:pt idx="1295">
                  <c:v>43476</c:v>
                </c:pt>
                <c:pt idx="1296">
                  <c:v>43475</c:v>
                </c:pt>
                <c:pt idx="1297">
                  <c:v>43474</c:v>
                </c:pt>
                <c:pt idx="1298">
                  <c:v>43473</c:v>
                </c:pt>
                <c:pt idx="1299">
                  <c:v>43472</c:v>
                </c:pt>
                <c:pt idx="1300">
                  <c:v>43469</c:v>
                </c:pt>
                <c:pt idx="1301">
                  <c:v>43468</c:v>
                </c:pt>
                <c:pt idx="1302">
                  <c:v>43467</c:v>
                </c:pt>
                <c:pt idx="1303">
                  <c:v>43466</c:v>
                </c:pt>
                <c:pt idx="1304">
                  <c:v>43465</c:v>
                </c:pt>
                <c:pt idx="1305">
                  <c:v>43462</c:v>
                </c:pt>
                <c:pt idx="1306">
                  <c:v>43461</c:v>
                </c:pt>
                <c:pt idx="1307">
                  <c:v>43460</c:v>
                </c:pt>
                <c:pt idx="1308">
                  <c:v>43459</c:v>
                </c:pt>
                <c:pt idx="1309">
                  <c:v>43458</c:v>
                </c:pt>
                <c:pt idx="1310">
                  <c:v>43455</c:v>
                </c:pt>
                <c:pt idx="1311">
                  <c:v>43454</c:v>
                </c:pt>
                <c:pt idx="1312">
                  <c:v>43453</c:v>
                </c:pt>
                <c:pt idx="1313">
                  <c:v>43452</c:v>
                </c:pt>
                <c:pt idx="1314">
                  <c:v>43451</c:v>
                </c:pt>
                <c:pt idx="1315">
                  <c:v>43448</c:v>
                </c:pt>
                <c:pt idx="1316">
                  <c:v>43447</c:v>
                </c:pt>
                <c:pt idx="1317">
                  <c:v>43446</c:v>
                </c:pt>
                <c:pt idx="1318">
                  <c:v>43445</c:v>
                </c:pt>
                <c:pt idx="1319">
                  <c:v>43444</c:v>
                </c:pt>
                <c:pt idx="1320">
                  <c:v>43441</c:v>
                </c:pt>
                <c:pt idx="1321">
                  <c:v>43440</c:v>
                </c:pt>
                <c:pt idx="1322">
                  <c:v>43439</c:v>
                </c:pt>
                <c:pt idx="1323">
                  <c:v>43438</c:v>
                </c:pt>
                <c:pt idx="1324">
                  <c:v>43437</c:v>
                </c:pt>
                <c:pt idx="1325">
                  <c:v>43434</c:v>
                </c:pt>
                <c:pt idx="1326">
                  <c:v>43433</c:v>
                </c:pt>
                <c:pt idx="1327">
                  <c:v>43432</c:v>
                </c:pt>
                <c:pt idx="1328">
                  <c:v>43431</c:v>
                </c:pt>
                <c:pt idx="1329">
                  <c:v>43430</c:v>
                </c:pt>
                <c:pt idx="1330">
                  <c:v>43427</c:v>
                </c:pt>
                <c:pt idx="1331">
                  <c:v>43426</c:v>
                </c:pt>
                <c:pt idx="1332">
                  <c:v>43425</c:v>
                </c:pt>
                <c:pt idx="1333">
                  <c:v>43424</c:v>
                </c:pt>
                <c:pt idx="1334">
                  <c:v>43423</c:v>
                </c:pt>
                <c:pt idx="1335">
                  <c:v>43420</c:v>
                </c:pt>
                <c:pt idx="1336">
                  <c:v>43419</c:v>
                </c:pt>
                <c:pt idx="1337">
                  <c:v>43418</c:v>
                </c:pt>
                <c:pt idx="1338">
                  <c:v>43417</c:v>
                </c:pt>
                <c:pt idx="1339">
                  <c:v>43416</c:v>
                </c:pt>
                <c:pt idx="1340">
                  <c:v>43413</c:v>
                </c:pt>
                <c:pt idx="1341">
                  <c:v>43412</c:v>
                </c:pt>
                <c:pt idx="1342">
                  <c:v>43411</c:v>
                </c:pt>
                <c:pt idx="1343">
                  <c:v>43410</c:v>
                </c:pt>
                <c:pt idx="1344">
                  <c:v>43409</c:v>
                </c:pt>
                <c:pt idx="1345">
                  <c:v>43406</c:v>
                </c:pt>
                <c:pt idx="1346">
                  <c:v>43405</c:v>
                </c:pt>
                <c:pt idx="1347">
                  <c:v>43404</c:v>
                </c:pt>
                <c:pt idx="1348">
                  <c:v>43403</c:v>
                </c:pt>
                <c:pt idx="1349">
                  <c:v>43402</c:v>
                </c:pt>
                <c:pt idx="1350">
                  <c:v>43399</c:v>
                </c:pt>
                <c:pt idx="1351">
                  <c:v>43398</c:v>
                </c:pt>
                <c:pt idx="1352">
                  <c:v>43397</c:v>
                </c:pt>
                <c:pt idx="1353">
                  <c:v>43396</c:v>
                </c:pt>
                <c:pt idx="1354">
                  <c:v>43395</c:v>
                </c:pt>
                <c:pt idx="1355">
                  <c:v>43392</c:v>
                </c:pt>
                <c:pt idx="1356">
                  <c:v>43391</c:v>
                </c:pt>
                <c:pt idx="1357">
                  <c:v>43390</c:v>
                </c:pt>
                <c:pt idx="1358">
                  <c:v>43389</c:v>
                </c:pt>
                <c:pt idx="1359">
                  <c:v>43388</c:v>
                </c:pt>
                <c:pt idx="1360">
                  <c:v>43385</c:v>
                </c:pt>
                <c:pt idx="1361">
                  <c:v>43384</c:v>
                </c:pt>
                <c:pt idx="1362">
                  <c:v>43383</c:v>
                </c:pt>
                <c:pt idx="1363">
                  <c:v>43382</c:v>
                </c:pt>
                <c:pt idx="1364">
                  <c:v>43381</c:v>
                </c:pt>
                <c:pt idx="1365">
                  <c:v>43378</c:v>
                </c:pt>
                <c:pt idx="1366">
                  <c:v>43377</c:v>
                </c:pt>
                <c:pt idx="1367">
                  <c:v>43376</c:v>
                </c:pt>
                <c:pt idx="1368">
                  <c:v>43375</c:v>
                </c:pt>
                <c:pt idx="1369">
                  <c:v>43374</c:v>
                </c:pt>
                <c:pt idx="1370">
                  <c:v>43371</c:v>
                </c:pt>
                <c:pt idx="1371">
                  <c:v>43370</c:v>
                </c:pt>
                <c:pt idx="1372">
                  <c:v>43369</c:v>
                </c:pt>
                <c:pt idx="1373">
                  <c:v>43368</c:v>
                </c:pt>
                <c:pt idx="1374">
                  <c:v>43367</c:v>
                </c:pt>
                <c:pt idx="1375">
                  <c:v>43364</c:v>
                </c:pt>
                <c:pt idx="1376">
                  <c:v>43363</c:v>
                </c:pt>
                <c:pt idx="1377">
                  <c:v>43362</c:v>
                </c:pt>
                <c:pt idx="1378">
                  <c:v>43361</c:v>
                </c:pt>
                <c:pt idx="1379">
                  <c:v>43360</c:v>
                </c:pt>
                <c:pt idx="1380">
                  <c:v>43357</c:v>
                </c:pt>
                <c:pt idx="1381">
                  <c:v>43356</c:v>
                </c:pt>
                <c:pt idx="1382">
                  <c:v>43355</c:v>
                </c:pt>
                <c:pt idx="1383">
                  <c:v>43354</c:v>
                </c:pt>
                <c:pt idx="1384">
                  <c:v>43353</c:v>
                </c:pt>
                <c:pt idx="1385">
                  <c:v>43350</c:v>
                </c:pt>
                <c:pt idx="1386">
                  <c:v>43349</c:v>
                </c:pt>
                <c:pt idx="1387">
                  <c:v>43348</c:v>
                </c:pt>
                <c:pt idx="1388">
                  <c:v>43347</c:v>
                </c:pt>
                <c:pt idx="1389">
                  <c:v>43346</c:v>
                </c:pt>
                <c:pt idx="1390">
                  <c:v>43343</c:v>
                </c:pt>
                <c:pt idx="1391">
                  <c:v>43342</c:v>
                </c:pt>
                <c:pt idx="1392">
                  <c:v>43341</c:v>
                </c:pt>
                <c:pt idx="1393">
                  <c:v>43340</c:v>
                </c:pt>
                <c:pt idx="1394">
                  <c:v>43339</c:v>
                </c:pt>
                <c:pt idx="1395">
                  <c:v>43336</c:v>
                </c:pt>
                <c:pt idx="1396">
                  <c:v>43335</c:v>
                </c:pt>
                <c:pt idx="1397">
                  <c:v>43334</c:v>
                </c:pt>
                <c:pt idx="1398">
                  <c:v>43333</c:v>
                </c:pt>
                <c:pt idx="1399">
                  <c:v>43332</c:v>
                </c:pt>
                <c:pt idx="1400">
                  <c:v>43329</c:v>
                </c:pt>
                <c:pt idx="1401">
                  <c:v>43328</c:v>
                </c:pt>
                <c:pt idx="1402">
                  <c:v>43327</c:v>
                </c:pt>
                <c:pt idx="1403">
                  <c:v>43326</c:v>
                </c:pt>
                <c:pt idx="1404">
                  <c:v>43325</c:v>
                </c:pt>
                <c:pt idx="1405">
                  <c:v>43322</c:v>
                </c:pt>
                <c:pt idx="1406">
                  <c:v>43321</c:v>
                </c:pt>
                <c:pt idx="1407">
                  <c:v>43320</c:v>
                </c:pt>
                <c:pt idx="1408">
                  <c:v>43319</c:v>
                </c:pt>
                <c:pt idx="1409">
                  <c:v>43318</c:v>
                </c:pt>
                <c:pt idx="1410">
                  <c:v>43315</c:v>
                </c:pt>
                <c:pt idx="1411">
                  <c:v>43314</c:v>
                </c:pt>
                <c:pt idx="1412">
                  <c:v>43313</c:v>
                </c:pt>
                <c:pt idx="1413">
                  <c:v>43312</c:v>
                </c:pt>
                <c:pt idx="1414">
                  <c:v>43311</c:v>
                </c:pt>
                <c:pt idx="1415">
                  <c:v>43308</c:v>
                </c:pt>
                <c:pt idx="1416">
                  <c:v>43307</c:v>
                </c:pt>
                <c:pt idx="1417">
                  <c:v>43306</c:v>
                </c:pt>
                <c:pt idx="1418">
                  <c:v>43305</c:v>
                </c:pt>
                <c:pt idx="1419">
                  <c:v>43304</c:v>
                </c:pt>
                <c:pt idx="1420">
                  <c:v>43301</c:v>
                </c:pt>
                <c:pt idx="1421">
                  <c:v>43300</c:v>
                </c:pt>
                <c:pt idx="1422">
                  <c:v>43299</c:v>
                </c:pt>
                <c:pt idx="1423">
                  <c:v>43298</c:v>
                </c:pt>
                <c:pt idx="1424">
                  <c:v>43297</c:v>
                </c:pt>
                <c:pt idx="1425">
                  <c:v>43294</c:v>
                </c:pt>
                <c:pt idx="1426">
                  <c:v>43293</c:v>
                </c:pt>
                <c:pt idx="1427">
                  <c:v>43292</c:v>
                </c:pt>
                <c:pt idx="1428">
                  <c:v>43291</c:v>
                </c:pt>
                <c:pt idx="1429">
                  <c:v>43290</c:v>
                </c:pt>
                <c:pt idx="1430">
                  <c:v>43287</c:v>
                </c:pt>
                <c:pt idx="1431">
                  <c:v>43286</c:v>
                </c:pt>
                <c:pt idx="1432">
                  <c:v>43285</c:v>
                </c:pt>
                <c:pt idx="1433">
                  <c:v>43284</c:v>
                </c:pt>
                <c:pt idx="1434">
                  <c:v>43283</c:v>
                </c:pt>
                <c:pt idx="1435">
                  <c:v>43280</c:v>
                </c:pt>
                <c:pt idx="1436">
                  <c:v>43279</c:v>
                </c:pt>
                <c:pt idx="1437">
                  <c:v>43278</c:v>
                </c:pt>
                <c:pt idx="1438">
                  <c:v>43277</c:v>
                </c:pt>
                <c:pt idx="1439">
                  <c:v>43276</c:v>
                </c:pt>
                <c:pt idx="1440">
                  <c:v>43273</c:v>
                </c:pt>
                <c:pt idx="1441">
                  <c:v>43272</c:v>
                </c:pt>
                <c:pt idx="1442">
                  <c:v>43271</c:v>
                </c:pt>
                <c:pt idx="1443">
                  <c:v>43270</c:v>
                </c:pt>
                <c:pt idx="1444">
                  <c:v>43269</c:v>
                </c:pt>
                <c:pt idx="1445">
                  <c:v>43266</c:v>
                </c:pt>
                <c:pt idx="1446">
                  <c:v>43265</c:v>
                </c:pt>
                <c:pt idx="1447">
                  <c:v>43264</c:v>
                </c:pt>
                <c:pt idx="1448">
                  <c:v>43263</c:v>
                </c:pt>
                <c:pt idx="1449">
                  <c:v>43262</c:v>
                </c:pt>
                <c:pt idx="1450">
                  <c:v>43259</c:v>
                </c:pt>
                <c:pt idx="1451">
                  <c:v>43258</c:v>
                </c:pt>
                <c:pt idx="1452">
                  <c:v>43257</c:v>
                </c:pt>
                <c:pt idx="1453">
                  <c:v>43256</c:v>
                </c:pt>
                <c:pt idx="1454">
                  <c:v>43255</c:v>
                </c:pt>
                <c:pt idx="1455">
                  <c:v>43252</c:v>
                </c:pt>
                <c:pt idx="1456">
                  <c:v>43251</c:v>
                </c:pt>
                <c:pt idx="1457">
                  <c:v>43250</c:v>
                </c:pt>
                <c:pt idx="1458">
                  <c:v>43249</c:v>
                </c:pt>
                <c:pt idx="1459">
                  <c:v>43248</c:v>
                </c:pt>
                <c:pt idx="1460">
                  <c:v>43245</c:v>
                </c:pt>
                <c:pt idx="1461">
                  <c:v>43244</c:v>
                </c:pt>
                <c:pt idx="1462">
                  <c:v>43243</c:v>
                </c:pt>
                <c:pt idx="1463">
                  <c:v>43242</c:v>
                </c:pt>
                <c:pt idx="1464">
                  <c:v>43241</c:v>
                </c:pt>
                <c:pt idx="1465">
                  <c:v>43238</c:v>
                </c:pt>
                <c:pt idx="1466">
                  <c:v>43237</c:v>
                </c:pt>
                <c:pt idx="1467">
                  <c:v>43236</c:v>
                </c:pt>
                <c:pt idx="1468">
                  <c:v>43235</c:v>
                </c:pt>
                <c:pt idx="1469">
                  <c:v>43234</c:v>
                </c:pt>
                <c:pt idx="1470">
                  <c:v>43231</c:v>
                </c:pt>
                <c:pt idx="1471">
                  <c:v>43230</c:v>
                </c:pt>
                <c:pt idx="1472">
                  <c:v>43229</c:v>
                </c:pt>
                <c:pt idx="1473">
                  <c:v>43228</c:v>
                </c:pt>
                <c:pt idx="1474">
                  <c:v>43227</c:v>
                </c:pt>
                <c:pt idx="1475">
                  <c:v>43224</c:v>
                </c:pt>
                <c:pt idx="1476">
                  <c:v>43223</c:v>
                </c:pt>
                <c:pt idx="1477">
                  <c:v>43222</c:v>
                </c:pt>
                <c:pt idx="1478">
                  <c:v>43221</c:v>
                </c:pt>
                <c:pt idx="1479">
                  <c:v>43220</c:v>
                </c:pt>
                <c:pt idx="1480">
                  <c:v>43217</c:v>
                </c:pt>
                <c:pt idx="1481">
                  <c:v>43216</c:v>
                </c:pt>
                <c:pt idx="1482">
                  <c:v>43215</c:v>
                </c:pt>
                <c:pt idx="1483">
                  <c:v>43214</c:v>
                </c:pt>
                <c:pt idx="1484">
                  <c:v>43213</c:v>
                </c:pt>
                <c:pt idx="1485">
                  <c:v>43210</c:v>
                </c:pt>
                <c:pt idx="1486">
                  <c:v>43209</c:v>
                </c:pt>
                <c:pt idx="1487">
                  <c:v>43208</c:v>
                </c:pt>
                <c:pt idx="1488">
                  <c:v>43207</c:v>
                </c:pt>
                <c:pt idx="1489">
                  <c:v>43206</c:v>
                </c:pt>
                <c:pt idx="1490">
                  <c:v>43203</c:v>
                </c:pt>
                <c:pt idx="1491">
                  <c:v>43202</c:v>
                </c:pt>
                <c:pt idx="1492">
                  <c:v>43201</c:v>
                </c:pt>
                <c:pt idx="1493">
                  <c:v>43200</c:v>
                </c:pt>
                <c:pt idx="1494">
                  <c:v>43199</c:v>
                </c:pt>
                <c:pt idx="1495">
                  <c:v>43196</c:v>
                </c:pt>
                <c:pt idx="1496">
                  <c:v>43195</c:v>
                </c:pt>
                <c:pt idx="1497">
                  <c:v>43194</c:v>
                </c:pt>
                <c:pt idx="1498">
                  <c:v>43193</c:v>
                </c:pt>
                <c:pt idx="1499">
                  <c:v>43192</c:v>
                </c:pt>
                <c:pt idx="1500">
                  <c:v>43189</c:v>
                </c:pt>
                <c:pt idx="1501">
                  <c:v>43188</c:v>
                </c:pt>
                <c:pt idx="1502">
                  <c:v>43187</c:v>
                </c:pt>
                <c:pt idx="1503">
                  <c:v>43186</c:v>
                </c:pt>
                <c:pt idx="1504">
                  <c:v>43185</c:v>
                </c:pt>
                <c:pt idx="1505">
                  <c:v>43182</c:v>
                </c:pt>
                <c:pt idx="1506">
                  <c:v>43181</c:v>
                </c:pt>
                <c:pt idx="1507">
                  <c:v>43180</c:v>
                </c:pt>
                <c:pt idx="1508">
                  <c:v>43179</c:v>
                </c:pt>
                <c:pt idx="1509">
                  <c:v>43178</c:v>
                </c:pt>
                <c:pt idx="1510">
                  <c:v>43175</c:v>
                </c:pt>
                <c:pt idx="1511">
                  <c:v>43174</c:v>
                </c:pt>
                <c:pt idx="1512">
                  <c:v>43173</c:v>
                </c:pt>
                <c:pt idx="1513">
                  <c:v>43172</c:v>
                </c:pt>
                <c:pt idx="1514">
                  <c:v>43171</c:v>
                </c:pt>
                <c:pt idx="1515">
                  <c:v>43168</c:v>
                </c:pt>
                <c:pt idx="1516">
                  <c:v>43167</c:v>
                </c:pt>
                <c:pt idx="1517">
                  <c:v>43166</c:v>
                </c:pt>
                <c:pt idx="1518">
                  <c:v>43165</c:v>
                </c:pt>
                <c:pt idx="1519">
                  <c:v>43164</c:v>
                </c:pt>
                <c:pt idx="1520">
                  <c:v>43161</c:v>
                </c:pt>
                <c:pt idx="1521">
                  <c:v>43160</c:v>
                </c:pt>
                <c:pt idx="1522">
                  <c:v>43159</c:v>
                </c:pt>
                <c:pt idx="1523">
                  <c:v>43158</c:v>
                </c:pt>
                <c:pt idx="1524">
                  <c:v>43157</c:v>
                </c:pt>
                <c:pt idx="1525">
                  <c:v>43154</c:v>
                </c:pt>
                <c:pt idx="1526">
                  <c:v>43153</c:v>
                </c:pt>
                <c:pt idx="1527">
                  <c:v>43152</c:v>
                </c:pt>
                <c:pt idx="1528">
                  <c:v>43151</c:v>
                </c:pt>
                <c:pt idx="1529">
                  <c:v>43150</c:v>
                </c:pt>
                <c:pt idx="1530">
                  <c:v>43147</c:v>
                </c:pt>
                <c:pt idx="1531">
                  <c:v>43146</c:v>
                </c:pt>
                <c:pt idx="1532">
                  <c:v>43145</c:v>
                </c:pt>
                <c:pt idx="1533">
                  <c:v>43144</c:v>
                </c:pt>
                <c:pt idx="1534">
                  <c:v>43143</c:v>
                </c:pt>
                <c:pt idx="1535">
                  <c:v>43140</c:v>
                </c:pt>
                <c:pt idx="1536">
                  <c:v>43139</c:v>
                </c:pt>
                <c:pt idx="1537">
                  <c:v>43138</c:v>
                </c:pt>
                <c:pt idx="1538">
                  <c:v>43137</c:v>
                </c:pt>
                <c:pt idx="1539">
                  <c:v>43136</c:v>
                </c:pt>
                <c:pt idx="1540">
                  <c:v>43133</c:v>
                </c:pt>
                <c:pt idx="1541">
                  <c:v>43132</c:v>
                </c:pt>
                <c:pt idx="1542">
                  <c:v>43131</c:v>
                </c:pt>
                <c:pt idx="1543">
                  <c:v>43130</c:v>
                </c:pt>
                <c:pt idx="1544">
                  <c:v>43129</c:v>
                </c:pt>
                <c:pt idx="1545">
                  <c:v>43126</c:v>
                </c:pt>
                <c:pt idx="1546">
                  <c:v>43125</c:v>
                </c:pt>
                <c:pt idx="1547">
                  <c:v>43124</c:v>
                </c:pt>
                <c:pt idx="1548">
                  <c:v>43123</c:v>
                </c:pt>
                <c:pt idx="1549">
                  <c:v>43122</c:v>
                </c:pt>
                <c:pt idx="1550">
                  <c:v>43119</c:v>
                </c:pt>
                <c:pt idx="1551">
                  <c:v>43118</c:v>
                </c:pt>
                <c:pt idx="1552">
                  <c:v>43117</c:v>
                </c:pt>
                <c:pt idx="1553">
                  <c:v>43116</c:v>
                </c:pt>
                <c:pt idx="1554">
                  <c:v>43115</c:v>
                </c:pt>
                <c:pt idx="1555">
                  <c:v>43112</c:v>
                </c:pt>
                <c:pt idx="1556">
                  <c:v>43111</c:v>
                </c:pt>
                <c:pt idx="1557">
                  <c:v>43110</c:v>
                </c:pt>
                <c:pt idx="1558">
                  <c:v>43109</c:v>
                </c:pt>
                <c:pt idx="1559">
                  <c:v>43108</c:v>
                </c:pt>
                <c:pt idx="1560">
                  <c:v>43105</c:v>
                </c:pt>
                <c:pt idx="1561">
                  <c:v>43104</c:v>
                </c:pt>
                <c:pt idx="1562">
                  <c:v>43103</c:v>
                </c:pt>
                <c:pt idx="1563">
                  <c:v>43102</c:v>
                </c:pt>
                <c:pt idx="1564">
                  <c:v>43101</c:v>
                </c:pt>
                <c:pt idx="1565">
                  <c:v>43098</c:v>
                </c:pt>
                <c:pt idx="1566">
                  <c:v>43097</c:v>
                </c:pt>
                <c:pt idx="1567">
                  <c:v>43096</c:v>
                </c:pt>
                <c:pt idx="1568">
                  <c:v>43095</c:v>
                </c:pt>
                <c:pt idx="1569">
                  <c:v>43094</c:v>
                </c:pt>
                <c:pt idx="1570">
                  <c:v>43091</c:v>
                </c:pt>
                <c:pt idx="1571">
                  <c:v>43090</c:v>
                </c:pt>
                <c:pt idx="1572">
                  <c:v>43089</c:v>
                </c:pt>
                <c:pt idx="1573">
                  <c:v>43088</c:v>
                </c:pt>
                <c:pt idx="1574">
                  <c:v>43087</c:v>
                </c:pt>
                <c:pt idx="1575">
                  <c:v>43084</c:v>
                </c:pt>
                <c:pt idx="1576">
                  <c:v>43083</c:v>
                </c:pt>
                <c:pt idx="1577">
                  <c:v>43082</c:v>
                </c:pt>
                <c:pt idx="1578">
                  <c:v>43081</c:v>
                </c:pt>
                <c:pt idx="1579">
                  <c:v>43080</c:v>
                </c:pt>
                <c:pt idx="1580">
                  <c:v>43077</c:v>
                </c:pt>
                <c:pt idx="1581">
                  <c:v>43076</c:v>
                </c:pt>
                <c:pt idx="1582">
                  <c:v>43075</c:v>
                </c:pt>
                <c:pt idx="1583">
                  <c:v>43074</c:v>
                </c:pt>
                <c:pt idx="1584">
                  <c:v>43073</c:v>
                </c:pt>
                <c:pt idx="1585">
                  <c:v>43070</c:v>
                </c:pt>
                <c:pt idx="1586">
                  <c:v>43069</c:v>
                </c:pt>
                <c:pt idx="1587">
                  <c:v>43068</c:v>
                </c:pt>
                <c:pt idx="1588">
                  <c:v>43067</c:v>
                </c:pt>
                <c:pt idx="1589">
                  <c:v>43066</c:v>
                </c:pt>
                <c:pt idx="1590">
                  <c:v>43063</c:v>
                </c:pt>
                <c:pt idx="1591">
                  <c:v>43062</c:v>
                </c:pt>
                <c:pt idx="1592">
                  <c:v>43061</c:v>
                </c:pt>
                <c:pt idx="1593">
                  <c:v>43060</c:v>
                </c:pt>
                <c:pt idx="1594">
                  <c:v>43059</c:v>
                </c:pt>
                <c:pt idx="1595">
                  <c:v>43056</c:v>
                </c:pt>
                <c:pt idx="1596">
                  <c:v>43055</c:v>
                </c:pt>
                <c:pt idx="1597">
                  <c:v>43054</c:v>
                </c:pt>
                <c:pt idx="1598">
                  <c:v>43053</c:v>
                </c:pt>
                <c:pt idx="1599">
                  <c:v>43052</c:v>
                </c:pt>
                <c:pt idx="1600">
                  <c:v>43049</c:v>
                </c:pt>
                <c:pt idx="1601">
                  <c:v>43048</c:v>
                </c:pt>
                <c:pt idx="1602">
                  <c:v>43047</c:v>
                </c:pt>
                <c:pt idx="1603">
                  <c:v>43046</c:v>
                </c:pt>
                <c:pt idx="1604">
                  <c:v>43045</c:v>
                </c:pt>
                <c:pt idx="1605">
                  <c:v>43042</c:v>
                </c:pt>
                <c:pt idx="1606">
                  <c:v>43041</c:v>
                </c:pt>
                <c:pt idx="1607">
                  <c:v>43040</c:v>
                </c:pt>
                <c:pt idx="1608">
                  <c:v>43039</c:v>
                </c:pt>
                <c:pt idx="1609">
                  <c:v>43038</c:v>
                </c:pt>
                <c:pt idx="1610">
                  <c:v>43035</c:v>
                </c:pt>
                <c:pt idx="1611">
                  <c:v>43034</c:v>
                </c:pt>
                <c:pt idx="1612">
                  <c:v>43033</c:v>
                </c:pt>
                <c:pt idx="1613">
                  <c:v>43032</c:v>
                </c:pt>
                <c:pt idx="1614">
                  <c:v>43031</c:v>
                </c:pt>
                <c:pt idx="1615">
                  <c:v>43028</c:v>
                </c:pt>
                <c:pt idx="1616">
                  <c:v>43027</c:v>
                </c:pt>
                <c:pt idx="1617">
                  <c:v>43026</c:v>
                </c:pt>
                <c:pt idx="1618">
                  <c:v>43025</c:v>
                </c:pt>
                <c:pt idx="1619">
                  <c:v>43024</c:v>
                </c:pt>
                <c:pt idx="1620">
                  <c:v>43021</c:v>
                </c:pt>
                <c:pt idx="1621">
                  <c:v>43020</c:v>
                </c:pt>
                <c:pt idx="1622">
                  <c:v>43019</c:v>
                </c:pt>
                <c:pt idx="1623">
                  <c:v>43018</c:v>
                </c:pt>
                <c:pt idx="1624">
                  <c:v>43017</c:v>
                </c:pt>
                <c:pt idx="1625">
                  <c:v>43014</c:v>
                </c:pt>
                <c:pt idx="1626">
                  <c:v>43013</c:v>
                </c:pt>
                <c:pt idx="1627">
                  <c:v>43012</c:v>
                </c:pt>
                <c:pt idx="1628">
                  <c:v>43011</c:v>
                </c:pt>
                <c:pt idx="1629">
                  <c:v>43010</c:v>
                </c:pt>
                <c:pt idx="1630">
                  <c:v>43007</c:v>
                </c:pt>
                <c:pt idx="1631">
                  <c:v>43006</c:v>
                </c:pt>
                <c:pt idx="1632">
                  <c:v>43005</c:v>
                </c:pt>
                <c:pt idx="1633">
                  <c:v>43004</c:v>
                </c:pt>
                <c:pt idx="1634">
                  <c:v>43003</c:v>
                </c:pt>
                <c:pt idx="1635">
                  <c:v>43000</c:v>
                </c:pt>
                <c:pt idx="1636">
                  <c:v>42999</c:v>
                </c:pt>
                <c:pt idx="1637">
                  <c:v>42998</c:v>
                </c:pt>
                <c:pt idx="1638">
                  <c:v>42997</c:v>
                </c:pt>
                <c:pt idx="1639">
                  <c:v>42996</c:v>
                </c:pt>
                <c:pt idx="1640">
                  <c:v>42993</c:v>
                </c:pt>
                <c:pt idx="1641">
                  <c:v>42992</c:v>
                </c:pt>
                <c:pt idx="1642">
                  <c:v>42991</c:v>
                </c:pt>
                <c:pt idx="1643">
                  <c:v>42990</c:v>
                </c:pt>
                <c:pt idx="1644">
                  <c:v>42989</c:v>
                </c:pt>
                <c:pt idx="1645">
                  <c:v>42986</c:v>
                </c:pt>
                <c:pt idx="1646">
                  <c:v>42985</c:v>
                </c:pt>
                <c:pt idx="1647">
                  <c:v>42984</c:v>
                </c:pt>
                <c:pt idx="1648">
                  <c:v>42983</c:v>
                </c:pt>
                <c:pt idx="1649">
                  <c:v>42982</c:v>
                </c:pt>
                <c:pt idx="1650">
                  <c:v>42979</c:v>
                </c:pt>
                <c:pt idx="1651">
                  <c:v>42978</c:v>
                </c:pt>
                <c:pt idx="1652">
                  <c:v>42977</c:v>
                </c:pt>
                <c:pt idx="1653">
                  <c:v>42976</c:v>
                </c:pt>
                <c:pt idx="1654">
                  <c:v>42975</c:v>
                </c:pt>
                <c:pt idx="1655">
                  <c:v>42972</c:v>
                </c:pt>
                <c:pt idx="1656">
                  <c:v>42971</c:v>
                </c:pt>
                <c:pt idx="1657">
                  <c:v>42970</c:v>
                </c:pt>
                <c:pt idx="1658">
                  <c:v>42969</c:v>
                </c:pt>
                <c:pt idx="1659">
                  <c:v>42968</c:v>
                </c:pt>
                <c:pt idx="1660">
                  <c:v>42965</c:v>
                </c:pt>
                <c:pt idx="1661">
                  <c:v>42964</c:v>
                </c:pt>
                <c:pt idx="1662">
                  <c:v>42963</c:v>
                </c:pt>
                <c:pt idx="1663">
                  <c:v>42962</c:v>
                </c:pt>
                <c:pt idx="1664">
                  <c:v>42961</c:v>
                </c:pt>
                <c:pt idx="1665">
                  <c:v>42958</c:v>
                </c:pt>
                <c:pt idx="1666">
                  <c:v>42957</c:v>
                </c:pt>
                <c:pt idx="1667">
                  <c:v>42956</c:v>
                </c:pt>
                <c:pt idx="1668">
                  <c:v>42955</c:v>
                </c:pt>
                <c:pt idx="1669">
                  <c:v>42954</c:v>
                </c:pt>
                <c:pt idx="1670">
                  <c:v>42951</c:v>
                </c:pt>
                <c:pt idx="1671">
                  <c:v>42950</c:v>
                </c:pt>
                <c:pt idx="1672">
                  <c:v>42949</c:v>
                </c:pt>
                <c:pt idx="1673">
                  <c:v>42948</c:v>
                </c:pt>
                <c:pt idx="1674">
                  <c:v>42947</c:v>
                </c:pt>
                <c:pt idx="1675">
                  <c:v>42944</c:v>
                </c:pt>
                <c:pt idx="1676">
                  <c:v>42943</c:v>
                </c:pt>
                <c:pt idx="1677">
                  <c:v>42942</c:v>
                </c:pt>
                <c:pt idx="1678">
                  <c:v>42941</c:v>
                </c:pt>
                <c:pt idx="1679">
                  <c:v>42940</c:v>
                </c:pt>
                <c:pt idx="1680">
                  <c:v>42937</c:v>
                </c:pt>
                <c:pt idx="1681">
                  <c:v>42936</c:v>
                </c:pt>
                <c:pt idx="1682">
                  <c:v>42935</c:v>
                </c:pt>
                <c:pt idx="1683">
                  <c:v>42934</c:v>
                </c:pt>
                <c:pt idx="1684">
                  <c:v>42933</c:v>
                </c:pt>
                <c:pt idx="1685">
                  <c:v>42930</c:v>
                </c:pt>
                <c:pt idx="1686">
                  <c:v>42929</c:v>
                </c:pt>
                <c:pt idx="1687">
                  <c:v>42928</c:v>
                </c:pt>
                <c:pt idx="1688">
                  <c:v>42927</c:v>
                </c:pt>
                <c:pt idx="1689">
                  <c:v>42926</c:v>
                </c:pt>
                <c:pt idx="1690">
                  <c:v>42923</c:v>
                </c:pt>
                <c:pt idx="1691">
                  <c:v>42922</c:v>
                </c:pt>
                <c:pt idx="1692">
                  <c:v>42921</c:v>
                </c:pt>
                <c:pt idx="1693">
                  <c:v>42920</c:v>
                </c:pt>
                <c:pt idx="1694">
                  <c:v>42919</c:v>
                </c:pt>
                <c:pt idx="1695">
                  <c:v>42916</c:v>
                </c:pt>
                <c:pt idx="1696">
                  <c:v>42915</c:v>
                </c:pt>
                <c:pt idx="1697">
                  <c:v>42914</c:v>
                </c:pt>
                <c:pt idx="1698">
                  <c:v>42913</c:v>
                </c:pt>
                <c:pt idx="1699">
                  <c:v>42912</c:v>
                </c:pt>
                <c:pt idx="1700">
                  <c:v>42909</c:v>
                </c:pt>
                <c:pt idx="1701">
                  <c:v>42908</c:v>
                </c:pt>
                <c:pt idx="1702">
                  <c:v>42907</c:v>
                </c:pt>
                <c:pt idx="1703">
                  <c:v>42906</c:v>
                </c:pt>
                <c:pt idx="1704">
                  <c:v>42905</c:v>
                </c:pt>
                <c:pt idx="1705">
                  <c:v>42902</c:v>
                </c:pt>
                <c:pt idx="1706">
                  <c:v>42901</c:v>
                </c:pt>
                <c:pt idx="1707">
                  <c:v>42900</c:v>
                </c:pt>
                <c:pt idx="1708">
                  <c:v>42899</c:v>
                </c:pt>
                <c:pt idx="1709">
                  <c:v>42898</c:v>
                </c:pt>
                <c:pt idx="1710">
                  <c:v>42895</c:v>
                </c:pt>
                <c:pt idx="1711">
                  <c:v>42894</c:v>
                </c:pt>
                <c:pt idx="1712">
                  <c:v>42893</c:v>
                </c:pt>
                <c:pt idx="1713">
                  <c:v>42892</c:v>
                </c:pt>
                <c:pt idx="1714">
                  <c:v>42891</c:v>
                </c:pt>
                <c:pt idx="1715">
                  <c:v>42888</c:v>
                </c:pt>
                <c:pt idx="1716">
                  <c:v>42887</c:v>
                </c:pt>
                <c:pt idx="1717">
                  <c:v>42886</c:v>
                </c:pt>
                <c:pt idx="1718">
                  <c:v>42885</c:v>
                </c:pt>
                <c:pt idx="1719">
                  <c:v>42884</c:v>
                </c:pt>
                <c:pt idx="1720">
                  <c:v>42881</c:v>
                </c:pt>
                <c:pt idx="1721">
                  <c:v>42880</c:v>
                </c:pt>
                <c:pt idx="1722">
                  <c:v>42879</c:v>
                </c:pt>
                <c:pt idx="1723">
                  <c:v>42878</c:v>
                </c:pt>
                <c:pt idx="1724">
                  <c:v>42877</c:v>
                </c:pt>
                <c:pt idx="1725">
                  <c:v>42874</c:v>
                </c:pt>
                <c:pt idx="1726">
                  <c:v>42873</c:v>
                </c:pt>
                <c:pt idx="1727">
                  <c:v>42872</c:v>
                </c:pt>
                <c:pt idx="1728">
                  <c:v>42871</c:v>
                </c:pt>
                <c:pt idx="1729">
                  <c:v>42870</c:v>
                </c:pt>
                <c:pt idx="1730">
                  <c:v>42867</c:v>
                </c:pt>
                <c:pt idx="1731">
                  <c:v>42866</c:v>
                </c:pt>
                <c:pt idx="1732">
                  <c:v>42865</c:v>
                </c:pt>
                <c:pt idx="1733">
                  <c:v>42864</c:v>
                </c:pt>
                <c:pt idx="1734">
                  <c:v>42863</c:v>
                </c:pt>
                <c:pt idx="1735">
                  <c:v>42860</c:v>
                </c:pt>
                <c:pt idx="1736">
                  <c:v>42859</c:v>
                </c:pt>
                <c:pt idx="1737">
                  <c:v>42858</c:v>
                </c:pt>
                <c:pt idx="1738">
                  <c:v>42857</c:v>
                </c:pt>
                <c:pt idx="1739">
                  <c:v>42856</c:v>
                </c:pt>
                <c:pt idx="1740">
                  <c:v>42853</c:v>
                </c:pt>
                <c:pt idx="1741">
                  <c:v>42852</c:v>
                </c:pt>
                <c:pt idx="1742">
                  <c:v>42851</c:v>
                </c:pt>
                <c:pt idx="1743">
                  <c:v>42850</c:v>
                </c:pt>
                <c:pt idx="1744">
                  <c:v>42849</c:v>
                </c:pt>
                <c:pt idx="1745">
                  <c:v>42846</c:v>
                </c:pt>
                <c:pt idx="1746">
                  <c:v>42845</c:v>
                </c:pt>
                <c:pt idx="1747">
                  <c:v>42844</c:v>
                </c:pt>
                <c:pt idx="1748">
                  <c:v>42843</c:v>
                </c:pt>
                <c:pt idx="1749">
                  <c:v>42842</c:v>
                </c:pt>
                <c:pt idx="1750">
                  <c:v>42839</c:v>
                </c:pt>
                <c:pt idx="1751">
                  <c:v>42838</c:v>
                </c:pt>
                <c:pt idx="1752">
                  <c:v>42837</c:v>
                </c:pt>
                <c:pt idx="1753">
                  <c:v>42836</c:v>
                </c:pt>
                <c:pt idx="1754">
                  <c:v>42835</c:v>
                </c:pt>
                <c:pt idx="1755">
                  <c:v>42832</c:v>
                </c:pt>
                <c:pt idx="1756">
                  <c:v>42831</c:v>
                </c:pt>
                <c:pt idx="1757">
                  <c:v>42830</c:v>
                </c:pt>
                <c:pt idx="1758">
                  <c:v>42829</c:v>
                </c:pt>
                <c:pt idx="1759">
                  <c:v>42828</c:v>
                </c:pt>
                <c:pt idx="1760">
                  <c:v>42825</c:v>
                </c:pt>
                <c:pt idx="1761">
                  <c:v>42824</c:v>
                </c:pt>
                <c:pt idx="1762">
                  <c:v>42823</c:v>
                </c:pt>
                <c:pt idx="1763">
                  <c:v>42822</c:v>
                </c:pt>
                <c:pt idx="1764">
                  <c:v>42821</c:v>
                </c:pt>
                <c:pt idx="1765">
                  <c:v>42818</c:v>
                </c:pt>
                <c:pt idx="1766">
                  <c:v>42817</c:v>
                </c:pt>
                <c:pt idx="1767">
                  <c:v>42816</c:v>
                </c:pt>
                <c:pt idx="1768">
                  <c:v>42815</c:v>
                </c:pt>
                <c:pt idx="1769">
                  <c:v>42814</c:v>
                </c:pt>
                <c:pt idx="1770">
                  <c:v>42811</c:v>
                </c:pt>
                <c:pt idx="1771">
                  <c:v>42810</c:v>
                </c:pt>
                <c:pt idx="1772">
                  <c:v>42809</c:v>
                </c:pt>
                <c:pt idx="1773">
                  <c:v>42808</c:v>
                </c:pt>
                <c:pt idx="1774">
                  <c:v>42807</c:v>
                </c:pt>
                <c:pt idx="1775">
                  <c:v>42804</c:v>
                </c:pt>
                <c:pt idx="1776">
                  <c:v>42803</c:v>
                </c:pt>
                <c:pt idx="1777">
                  <c:v>42802</c:v>
                </c:pt>
                <c:pt idx="1778">
                  <c:v>42801</c:v>
                </c:pt>
                <c:pt idx="1779">
                  <c:v>42800</c:v>
                </c:pt>
                <c:pt idx="1780">
                  <c:v>42797</c:v>
                </c:pt>
                <c:pt idx="1781">
                  <c:v>42796</c:v>
                </c:pt>
                <c:pt idx="1782">
                  <c:v>42795</c:v>
                </c:pt>
                <c:pt idx="1783">
                  <c:v>42794</c:v>
                </c:pt>
                <c:pt idx="1784">
                  <c:v>42793</c:v>
                </c:pt>
                <c:pt idx="1785">
                  <c:v>42790</c:v>
                </c:pt>
                <c:pt idx="1786">
                  <c:v>42789</c:v>
                </c:pt>
                <c:pt idx="1787">
                  <c:v>42788</c:v>
                </c:pt>
                <c:pt idx="1788">
                  <c:v>42787</c:v>
                </c:pt>
                <c:pt idx="1789">
                  <c:v>42786</c:v>
                </c:pt>
                <c:pt idx="1790">
                  <c:v>42783</c:v>
                </c:pt>
                <c:pt idx="1791">
                  <c:v>42782</c:v>
                </c:pt>
                <c:pt idx="1792">
                  <c:v>42781</c:v>
                </c:pt>
                <c:pt idx="1793">
                  <c:v>42780</c:v>
                </c:pt>
                <c:pt idx="1794">
                  <c:v>42779</c:v>
                </c:pt>
                <c:pt idx="1795">
                  <c:v>42776</c:v>
                </c:pt>
                <c:pt idx="1796">
                  <c:v>42775</c:v>
                </c:pt>
                <c:pt idx="1797">
                  <c:v>42774</c:v>
                </c:pt>
                <c:pt idx="1798">
                  <c:v>42773</c:v>
                </c:pt>
                <c:pt idx="1799">
                  <c:v>42772</c:v>
                </c:pt>
                <c:pt idx="1800">
                  <c:v>42769</c:v>
                </c:pt>
                <c:pt idx="1801">
                  <c:v>42768</c:v>
                </c:pt>
                <c:pt idx="1802">
                  <c:v>42767</c:v>
                </c:pt>
                <c:pt idx="1803">
                  <c:v>42766</c:v>
                </c:pt>
                <c:pt idx="1804">
                  <c:v>42765</c:v>
                </c:pt>
                <c:pt idx="1805">
                  <c:v>42762</c:v>
                </c:pt>
                <c:pt idx="1806">
                  <c:v>42761</c:v>
                </c:pt>
                <c:pt idx="1807">
                  <c:v>42760</c:v>
                </c:pt>
                <c:pt idx="1808">
                  <c:v>42759</c:v>
                </c:pt>
                <c:pt idx="1809">
                  <c:v>42758</c:v>
                </c:pt>
                <c:pt idx="1810">
                  <c:v>42755</c:v>
                </c:pt>
                <c:pt idx="1811">
                  <c:v>42754</c:v>
                </c:pt>
                <c:pt idx="1812">
                  <c:v>42753</c:v>
                </c:pt>
                <c:pt idx="1813">
                  <c:v>42752</c:v>
                </c:pt>
                <c:pt idx="1814">
                  <c:v>42751</c:v>
                </c:pt>
                <c:pt idx="1815">
                  <c:v>42748</c:v>
                </c:pt>
                <c:pt idx="1816">
                  <c:v>42747</c:v>
                </c:pt>
                <c:pt idx="1817">
                  <c:v>42746</c:v>
                </c:pt>
                <c:pt idx="1818">
                  <c:v>42745</c:v>
                </c:pt>
                <c:pt idx="1819">
                  <c:v>42744</c:v>
                </c:pt>
                <c:pt idx="1820">
                  <c:v>42741</c:v>
                </c:pt>
                <c:pt idx="1821">
                  <c:v>42740</c:v>
                </c:pt>
                <c:pt idx="1822">
                  <c:v>42739</c:v>
                </c:pt>
                <c:pt idx="1823">
                  <c:v>42738</c:v>
                </c:pt>
                <c:pt idx="1824">
                  <c:v>42737</c:v>
                </c:pt>
                <c:pt idx="1825">
                  <c:v>42734</c:v>
                </c:pt>
                <c:pt idx="1826">
                  <c:v>42733</c:v>
                </c:pt>
                <c:pt idx="1827">
                  <c:v>42732</c:v>
                </c:pt>
                <c:pt idx="1828">
                  <c:v>42731</c:v>
                </c:pt>
                <c:pt idx="1829">
                  <c:v>42730</c:v>
                </c:pt>
                <c:pt idx="1830">
                  <c:v>42727</c:v>
                </c:pt>
                <c:pt idx="1831">
                  <c:v>42726</c:v>
                </c:pt>
                <c:pt idx="1832">
                  <c:v>42725</c:v>
                </c:pt>
                <c:pt idx="1833">
                  <c:v>42724</c:v>
                </c:pt>
                <c:pt idx="1834">
                  <c:v>42723</c:v>
                </c:pt>
                <c:pt idx="1835">
                  <c:v>42720</c:v>
                </c:pt>
                <c:pt idx="1836">
                  <c:v>42719</c:v>
                </c:pt>
                <c:pt idx="1837">
                  <c:v>42718</c:v>
                </c:pt>
                <c:pt idx="1838">
                  <c:v>42717</c:v>
                </c:pt>
                <c:pt idx="1839">
                  <c:v>42716</c:v>
                </c:pt>
                <c:pt idx="1840">
                  <c:v>42713</c:v>
                </c:pt>
                <c:pt idx="1841">
                  <c:v>42712</c:v>
                </c:pt>
                <c:pt idx="1842">
                  <c:v>42711</c:v>
                </c:pt>
                <c:pt idx="1843">
                  <c:v>42710</c:v>
                </c:pt>
                <c:pt idx="1844">
                  <c:v>42709</c:v>
                </c:pt>
                <c:pt idx="1845">
                  <c:v>42706</c:v>
                </c:pt>
                <c:pt idx="1846">
                  <c:v>42705</c:v>
                </c:pt>
                <c:pt idx="1847">
                  <c:v>42704</c:v>
                </c:pt>
                <c:pt idx="1848">
                  <c:v>42703</c:v>
                </c:pt>
                <c:pt idx="1849">
                  <c:v>42702</c:v>
                </c:pt>
                <c:pt idx="1850">
                  <c:v>42699</c:v>
                </c:pt>
                <c:pt idx="1851">
                  <c:v>42698</c:v>
                </c:pt>
                <c:pt idx="1852">
                  <c:v>42697</c:v>
                </c:pt>
                <c:pt idx="1853">
                  <c:v>42696</c:v>
                </c:pt>
                <c:pt idx="1854">
                  <c:v>42695</c:v>
                </c:pt>
                <c:pt idx="1855">
                  <c:v>42692</c:v>
                </c:pt>
                <c:pt idx="1856">
                  <c:v>42691</c:v>
                </c:pt>
                <c:pt idx="1857">
                  <c:v>42690</c:v>
                </c:pt>
                <c:pt idx="1858">
                  <c:v>42689</c:v>
                </c:pt>
                <c:pt idx="1859">
                  <c:v>42688</c:v>
                </c:pt>
                <c:pt idx="1860">
                  <c:v>42685</c:v>
                </c:pt>
                <c:pt idx="1861">
                  <c:v>42684</c:v>
                </c:pt>
                <c:pt idx="1862">
                  <c:v>42683</c:v>
                </c:pt>
                <c:pt idx="1863">
                  <c:v>42682</c:v>
                </c:pt>
                <c:pt idx="1864">
                  <c:v>42681</c:v>
                </c:pt>
                <c:pt idx="1865">
                  <c:v>42678</c:v>
                </c:pt>
                <c:pt idx="1866">
                  <c:v>42677</c:v>
                </c:pt>
                <c:pt idx="1867">
                  <c:v>42676</c:v>
                </c:pt>
                <c:pt idx="1868">
                  <c:v>42675</c:v>
                </c:pt>
                <c:pt idx="1869">
                  <c:v>42674</c:v>
                </c:pt>
                <c:pt idx="1870">
                  <c:v>42671</c:v>
                </c:pt>
                <c:pt idx="1871">
                  <c:v>42670</c:v>
                </c:pt>
                <c:pt idx="1872">
                  <c:v>42669</c:v>
                </c:pt>
                <c:pt idx="1873">
                  <c:v>42668</c:v>
                </c:pt>
                <c:pt idx="1874">
                  <c:v>42667</c:v>
                </c:pt>
                <c:pt idx="1875">
                  <c:v>42664</c:v>
                </c:pt>
                <c:pt idx="1876">
                  <c:v>42663</c:v>
                </c:pt>
                <c:pt idx="1877">
                  <c:v>42662</c:v>
                </c:pt>
                <c:pt idx="1878">
                  <c:v>42661</c:v>
                </c:pt>
                <c:pt idx="1879">
                  <c:v>42660</c:v>
                </c:pt>
                <c:pt idx="1880">
                  <c:v>42657</c:v>
                </c:pt>
                <c:pt idx="1881">
                  <c:v>42656</c:v>
                </c:pt>
                <c:pt idx="1882">
                  <c:v>42655</c:v>
                </c:pt>
                <c:pt idx="1883">
                  <c:v>42654</c:v>
                </c:pt>
                <c:pt idx="1884">
                  <c:v>42653</c:v>
                </c:pt>
                <c:pt idx="1885">
                  <c:v>42650</c:v>
                </c:pt>
                <c:pt idx="1886">
                  <c:v>42649</c:v>
                </c:pt>
                <c:pt idx="1887">
                  <c:v>42648</c:v>
                </c:pt>
                <c:pt idx="1888">
                  <c:v>42647</c:v>
                </c:pt>
                <c:pt idx="1889">
                  <c:v>42646</c:v>
                </c:pt>
                <c:pt idx="1890">
                  <c:v>42643</c:v>
                </c:pt>
                <c:pt idx="1891">
                  <c:v>42642</c:v>
                </c:pt>
                <c:pt idx="1892">
                  <c:v>42641</c:v>
                </c:pt>
                <c:pt idx="1893">
                  <c:v>42640</c:v>
                </c:pt>
                <c:pt idx="1894">
                  <c:v>42639</c:v>
                </c:pt>
                <c:pt idx="1895">
                  <c:v>42636</c:v>
                </c:pt>
                <c:pt idx="1896">
                  <c:v>42635</c:v>
                </c:pt>
                <c:pt idx="1897">
                  <c:v>42634</c:v>
                </c:pt>
                <c:pt idx="1898">
                  <c:v>42633</c:v>
                </c:pt>
                <c:pt idx="1899">
                  <c:v>42632</c:v>
                </c:pt>
                <c:pt idx="1900">
                  <c:v>42629</c:v>
                </c:pt>
                <c:pt idx="1901">
                  <c:v>42628</c:v>
                </c:pt>
                <c:pt idx="1902">
                  <c:v>42627</c:v>
                </c:pt>
                <c:pt idx="1903">
                  <c:v>42626</c:v>
                </c:pt>
                <c:pt idx="1904">
                  <c:v>42625</c:v>
                </c:pt>
                <c:pt idx="1905">
                  <c:v>42622</c:v>
                </c:pt>
                <c:pt idx="1906">
                  <c:v>42621</c:v>
                </c:pt>
                <c:pt idx="1907">
                  <c:v>42620</c:v>
                </c:pt>
                <c:pt idx="1908">
                  <c:v>42619</c:v>
                </c:pt>
                <c:pt idx="1909">
                  <c:v>42618</c:v>
                </c:pt>
                <c:pt idx="1910">
                  <c:v>42615</c:v>
                </c:pt>
                <c:pt idx="1911">
                  <c:v>42614</c:v>
                </c:pt>
                <c:pt idx="1912">
                  <c:v>42613</c:v>
                </c:pt>
                <c:pt idx="1913">
                  <c:v>42612</c:v>
                </c:pt>
                <c:pt idx="1914">
                  <c:v>42611</c:v>
                </c:pt>
                <c:pt idx="1915">
                  <c:v>42608</c:v>
                </c:pt>
                <c:pt idx="1916">
                  <c:v>42607</c:v>
                </c:pt>
                <c:pt idx="1917">
                  <c:v>42606</c:v>
                </c:pt>
                <c:pt idx="1918">
                  <c:v>42605</c:v>
                </c:pt>
                <c:pt idx="1919">
                  <c:v>42604</c:v>
                </c:pt>
                <c:pt idx="1920">
                  <c:v>42601</c:v>
                </c:pt>
                <c:pt idx="1921">
                  <c:v>42600</c:v>
                </c:pt>
                <c:pt idx="1922">
                  <c:v>42599</c:v>
                </c:pt>
                <c:pt idx="1923">
                  <c:v>42598</c:v>
                </c:pt>
                <c:pt idx="1924">
                  <c:v>42597</c:v>
                </c:pt>
                <c:pt idx="1925">
                  <c:v>42594</c:v>
                </c:pt>
                <c:pt idx="1926">
                  <c:v>42593</c:v>
                </c:pt>
                <c:pt idx="1927">
                  <c:v>42592</c:v>
                </c:pt>
                <c:pt idx="1928">
                  <c:v>42591</c:v>
                </c:pt>
                <c:pt idx="1929">
                  <c:v>42590</c:v>
                </c:pt>
                <c:pt idx="1930">
                  <c:v>42587</c:v>
                </c:pt>
                <c:pt idx="1931">
                  <c:v>42586</c:v>
                </c:pt>
                <c:pt idx="1932">
                  <c:v>42585</c:v>
                </c:pt>
                <c:pt idx="1933">
                  <c:v>42584</c:v>
                </c:pt>
                <c:pt idx="1934">
                  <c:v>42583</c:v>
                </c:pt>
                <c:pt idx="1935">
                  <c:v>42580</c:v>
                </c:pt>
                <c:pt idx="1936">
                  <c:v>42579</c:v>
                </c:pt>
                <c:pt idx="1937">
                  <c:v>42578</c:v>
                </c:pt>
                <c:pt idx="1938">
                  <c:v>42577</c:v>
                </c:pt>
                <c:pt idx="1939">
                  <c:v>42576</c:v>
                </c:pt>
                <c:pt idx="1940">
                  <c:v>42573</c:v>
                </c:pt>
                <c:pt idx="1941">
                  <c:v>42572</c:v>
                </c:pt>
                <c:pt idx="1942">
                  <c:v>42571</c:v>
                </c:pt>
                <c:pt idx="1943">
                  <c:v>42570</c:v>
                </c:pt>
                <c:pt idx="1944">
                  <c:v>42569</c:v>
                </c:pt>
                <c:pt idx="1945">
                  <c:v>42566</c:v>
                </c:pt>
                <c:pt idx="1946">
                  <c:v>42565</c:v>
                </c:pt>
                <c:pt idx="1947">
                  <c:v>42564</c:v>
                </c:pt>
                <c:pt idx="1948">
                  <c:v>42563</c:v>
                </c:pt>
                <c:pt idx="1949">
                  <c:v>42562</c:v>
                </c:pt>
                <c:pt idx="1950">
                  <c:v>42559</c:v>
                </c:pt>
                <c:pt idx="1951">
                  <c:v>42558</c:v>
                </c:pt>
                <c:pt idx="1952">
                  <c:v>42557</c:v>
                </c:pt>
                <c:pt idx="1953">
                  <c:v>42556</c:v>
                </c:pt>
                <c:pt idx="1954">
                  <c:v>42555</c:v>
                </c:pt>
                <c:pt idx="1955">
                  <c:v>42552</c:v>
                </c:pt>
                <c:pt idx="1956">
                  <c:v>42551</c:v>
                </c:pt>
                <c:pt idx="1957">
                  <c:v>42550</c:v>
                </c:pt>
                <c:pt idx="1958">
                  <c:v>42549</c:v>
                </c:pt>
                <c:pt idx="1959">
                  <c:v>42548</c:v>
                </c:pt>
                <c:pt idx="1960">
                  <c:v>42545</c:v>
                </c:pt>
                <c:pt idx="1961">
                  <c:v>42544</c:v>
                </c:pt>
                <c:pt idx="1962">
                  <c:v>42543</c:v>
                </c:pt>
                <c:pt idx="1963">
                  <c:v>42542</c:v>
                </c:pt>
                <c:pt idx="1964">
                  <c:v>42541</c:v>
                </c:pt>
                <c:pt idx="1965">
                  <c:v>42538</c:v>
                </c:pt>
                <c:pt idx="1966">
                  <c:v>42537</c:v>
                </c:pt>
                <c:pt idx="1967">
                  <c:v>42536</c:v>
                </c:pt>
                <c:pt idx="1968">
                  <c:v>42535</c:v>
                </c:pt>
                <c:pt idx="1969">
                  <c:v>42534</c:v>
                </c:pt>
                <c:pt idx="1970">
                  <c:v>42531</c:v>
                </c:pt>
                <c:pt idx="1971">
                  <c:v>42530</c:v>
                </c:pt>
                <c:pt idx="1972">
                  <c:v>42529</c:v>
                </c:pt>
                <c:pt idx="1973">
                  <c:v>42528</c:v>
                </c:pt>
                <c:pt idx="1974">
                  <c:v>42527</c:v>
                </c:pt>
                <c:pt idx="1975">
                  <c:v>42524</c:v>
                </c:pt>
                <c:pt idx="1976">
                  <c:v>42523</c:v>
                </c:pt>
                <c:pt idx="1977">
                  <c:v>42522</c:v>
                </c:pt>
                <c:pt idx="1978">
                  <c:v>42521</c:v>
                </c:pt>
                <c:pt idx="1979">
                  <c:v>42520</c:v>
                </c:pt>
                <c:pt idx="1980">
                  <c:v>42517</c:v>
                </c:pt>
                <c:pt idx="1981">
                  <c:v>42516</c:v>
                </c:pt>
                <c:pt idx="1982">
                  <c:v>42515</c:v>
                </c:pt>
                <c:pt idx="1983">
                  <c:v>42514</c:v>
                </c:pt>
                <c:pt idx="1984">
                  <c:v>42513</c:v>
                </c:pt>
                <c:pt idx="1985">
                  <c:v>42510</c:v>
                </c:pt>
                <c:pt idx="1986">
                  <c:v>42509</c:v>
                </c:pt>
                <c:pt idx="1987">
                  <c:v>42508</c:v>
                </c:pt>
                <c:pt idx="1988">
                  <c:v>42507</c:v>
                </c:pt>
                <c:pt idx="1989">
                  <c:v>42506</c:v>
                </c:pt>
                <c:pt idx="1990">
                  <c:v>42503</c:v>
                </c:pt>
                <c:pt idx="1991">
                  <c:v>42502</c:v>
                </c:pt>
                <c:pt idx="1992">
                  <c:v>42501</c:v>
                </c:pt>
                <c:pt idx="1993">
                  <c:v>42500</c:v>
                </c:pt>
                <c:pt idx="1994">
                  <c:v>42499</c:v>
                </c:pt>
                <c:pt idx="1995">
                  <c:v>42496</c:v>
                </c:pt>
                <c:pt idx="1996">
                  <c:v>42495</c:v>
                </c:pt>
                <c:pt idx="1997">
                  <c:v>42494</c:v>
                </c:pt>
                <c:pt idx="1998">
                  <c:v>42493</c:v>
                </c:pt>
                <c:pt idx="1999">
                  <c:v>42492</c:v>
                </c:pt>
                <c:pt idx="2000">
                  <c:v>42489</c:v>
                </c:pt>
                <c:pt idx="2001">
                  <c:v>42488</c:v>
                </c:pt>
                <c:pt idx="2002">
                  <c:v>42487</c:v>
                </c:pt>
                <c:pt idx="2003">
                  <c:v>42486</c:v>
                </c:pt>
                <c:pt idx="2004">
                  <c:v>42485</c:v>
                </c:pt>
                <c:pt idx="2005">
                  <c:v>42482</c:v>
                </c:pt>
                <c:pt idx="2006">
                  <c:v>42481</c:v>
                </c:pt>
                <c:pt idx="2007">
                  <c:v>42480</c:v>
                </c:pt>
                <c:pt idx="2008">
                  <c:v>42479</c:v>
                </c:pt>
                <c:pt idx="2009">
                  <c:v>42478</c:v>
                </c:pt>
                <c:pt idx="2010">
                  <c:v>42475</c:v>
                </c:pt>
                <c:pt idx="2011">
                  <c:v>42474</c:v>
                </c:pt>
                <c:pt idx="2012">
                  <c:v>42473</c:v>
                </c:pt>
                <c:pt idx="2013">
                  <c:v>42472</c:v>
                </c:pt>
                <c:pt idx="2014">
                  <c:v>42471</c:v>
                </c:pt>
                <c:pt idx="2015">
                  <c:v>42468</c:v>
                </c:pt>
                <c:pt idx="2016">
                  <c:v>42467</c:v>
                </c:pt>
                <c:pt idx="2017">
                  <c:v>42466</c:v>
                </c:pt>
                <c:pt idx="2018">
                  <c:v>42465</c:v>
                </c:pt>
                <c:pt idx="2019">
                  <c:v>42464</c:v>
                </c:pt>
                <c:pt idx="2020">
                  <c:v>42461</c:v>
                </c:pt>
                <c:pt idx="2021">
                  <c:v>42460</c:v>
                </c:pt>
                <c:pt idx="2022">
                  <c:v>42459</c:v>
                </c:pt>
                <c:pt idx="2023">
                  <c:v>42458</c:v>
                </c:pt>
                <c:pt idx="2024">
                  <c:v>42457</c:v>
                </c:pt>
                <c:pt idx="2025">
                  <c:v>42454</c:v>
                </c:pt>
                <c:pt idx="2026">
                  <c:v>42453</c:v>
                </c:pt>
                <c:pt idx="2027">
                  <c:v>42452</c:v>
                </c:pt>
                <c:pt idx="2028">
                  <c:v>42451</c:v>
                </c:pt>
                <c:pt idx="2029">
                  <c:v>42450</c:v>
                </c:pt>
                <c:pt idx="2030">
                  <c:v>42447</c:v>
                </c:pt>
                <c:pt idx="2031">
                  <c:v>42446</c:v>
                </c:pt>
                <c:pt idx="2032">
                  <c:v>42445</c:v>
                </c:pt>
                <c:pt idx="2033">
                  <c:v>42444</c:v>
                </c:pt>
                <c:pt idx="2034">
                  <c:v>42443</c:v>
                </c:pt>
                <c:pt idx="2035">
                  <c:v>42440</c:v>
                </c:pt>
                <c:pt idx="2036">
                  <c:v>42439</c:v>
                </c:pt>
                <c:pt idx="2037">
                  <c:v>42438</c:v>
                </c:pt>
                <c:pt idx="2038">
                  <c:v>42437</c:v>
                </c:pt>
                <c:pt idx="2039">
                  <c:v>42436</c:v>
                </c:pt>
                <c:pt idx="2040">
                  <c:v>42433</c:v>
                </c:pt>
                <c:pt idx="2041">
                  <c:v>42432</c:v>
                </c:pt>
                <c:pt idx="2042">
                  <c:v>42431</c:v>
                </c:pt>
                <c:pt idx="2043">
                  <c:v>42430</c:v>
                </c:pt>
                <c:pt idx="2044">
                  <c:v>42429</c:v>
                </c:pt>
                <c:pt idx="2045">
                  <c:v>42426</c:v>
                </c:pt>
                <c:pt idx="2046">
                  <c:v>42425</c:v>
                </c:pt>
                <c:pt idx="2047">
                  <c:v>42424</c:v>
                </c:pt>
                <c:pt idx="2048">
                  <c:v>42423</c:v>
                </c:pt>
                <c:pt idx="2049">
                  <c:v>42422</c:v>
                </c:pt>
                <c:pt idx="2050">
                  <c:v>42419</c:v>
                </c:pt>
                <c:pt idx="2051">
                  <c:v>42418</c:v>
                </c:pt>
                <c:pt idx="2052">
                  <c:v>42417</c:v>
                </c:pt>
                <c:pt idx="2053">
                  <c:v>42416</c:v>
                </c:pt>
                <c:pt idx="2054">
                  <c:v>42415</c:v>
                </c:pt>
                <c:pt idx="2055">
                  <c:v>42412</c:v>
                </c:pt>
                <c:pt idx="2056">
                  <c:v>42411</c:v>
                </c:pt>
                <c:pt idx="2057">
                  <c:v>42410</c:v>
                </c:pt>
                <c:pt idx="2058">
                  <c:v>42409</c:v>
                </c:pt>
                <c:pt idx="2059">
                  <c:v>42408</c:v>
                </c:pt>
                <c:pt idx="2060">
                  <c:v>42405</c:v>
                </c:pt>
                <c:pt idx="2061">
                  <c:v>42404</c:v>
                </c:pt>
                <c:pt idx="2062">
                  <c:v>42403</c:v>
                </c:pt>
                <c:pt idx="2063">
                  <c:v>42402</c:v>
                </c:pt>
                <c:pt idx="2064">
                  <c:v>42401</c:v>
                </c:pt>
                <c:pt idx="2065">
                  <c:v>42398</c:v>
                </c:pt>
                <c:pt idx="2066">
                  <c:v>42397</c:v>
                </c:pt>
                <c:pt idx="2067">
                  <c:v>42396</c:v>
                </c:pt>
                <c:pt idx="2068">
                  <c:v>42395</c:v>
                </c:pt>
                <c:pt idx="2069">
                  <c:v>42394</c:v>
                </c:pt>
                <c:pt idx="2070">
                  <c:v>42391</c:v>
                </c:pt>
                <c:pt idx="2071">
                  <c:v>42390</c:v>
                </c:pt>
                <c:pt idx="2072">
                  <c:v>42389</c:v>
                </c:pt>
                <c:pt idx="2073">
                  <c:v>42388</c:v>
                </c:pt>
                <c:pt idx="2074">
                  <c:v>42387</c:v>
                </c:pt>
                <c:pt idx="2075">
                  <c:v>42384</c:v>
                </c:pt>
                <c:pt idx="2076">
                  <c:v>42383</c:v>
                </c:pt>
                <c:pt idx="2077">
                  <c:v>42382</c:v>
                </c:pt>
                <c:pt idx="2078">
                  <c:v>42381</c:v>
                </c:pt>
                <c:pt idx="2079">
                  <c:v>42380</c:v>
                </c:pt>
                <c:pt idx="2080">
                  <c:v>42377</c:v>
                </c:pt>
                <c:pt idx="2081">
                  <c:v>42376</c:v>
                </c:pt>
                <c:pt idx="2082">
                  <c:v>42375</c:v>
                </c:pt>
                <c:pt idx="2083">
                  <c:v>42374</c:v>
                </c:pt>
                <c:pt idx="2084">
                  <c:v>42373</c:v>
                </c:pt>
                <c:pt idx="2085">
                  <c:v>42370</c:v>
                </c:pt>
                <c:pt idx="2086">
                  <c:v>42369</c:v>
                </c:pt>
                <c:pt idx="2087">
                  <c:v>42368</c:v>
                </c:pt>
                <c:pt idx="2088">
                  <c:v>42367</c:v>
                </c:pt>
                <c:pt idx="2089">
                  <c:v>42366</c:v>
                </c:pt>
                <c:pt idx="2090">
                  <c:v>42363</c:v>
                </c:pt>
                <c:pt idx="2091">
                  <c:v>42362</c:v>
                </c:pt>
                <c:pt idx="2092">
                  <c:v>42361</c:v>
                </c:pt>
                <c:pt idx="2093">
                  <c:v>42360</c:v>
                </c:pt>
                <c:pt idx="2094">
                  <c:v>42359</c:v>
                </c:pt>
                <c:pt idx="2095">
                  <c:v>42356</c:v>
                </c:pt>
                <c:pt idx="2096">
                  <c:v>42355</c:v>
                </c:pt>
                <c:pt idx="2097">
                  <c:v>42354</c:v>
                </c:pt>
                <c:pt idx="2098">
                  <c:v>42353</c:v>
                </c:pt>
                <c:pt idx="2099">
                  <c:v>42352</c:v>
                </c:pt>
                <c:pt idx="2100">
                  <c:v>42349</c:v>
                </c:pt>
                <c:pt idx="2101">
                  <c:v>42348</c:v>
                </c:pt>
                <c:pt idx="2102">
                  <c:v>42347</c:v>
                </c:pt>
                <c:pt idx="2103">
                  <c:v>42346</c:v>
                </c:pt>
                <c:pt idx="2104">
                  <c:v>42345</c:v>
                </c:pt>
                <c:pt idx="2105">
                  <c:v>42342</c:v>
                </c:pt>
                <c:pt idx="2106">
                  <c:v>42341</c:v>
                </c:pt>
                <c:pt idx="2107">
                  <c:v>42340</c:v>
                </c:pt>
                <c:pt idx="2108">
                  <c:v>42339</c:v>
                </c:pt>
                <c:pt idx="2109">
                  <c:v>42338</c:v>
                </c:pt>
                <c:pt idx="2110">
                  <c:v>42335</c:v>
                </c:pt>
                <c:pt idx="2111">
                  <c:v>42334</c:v>
                </c:pt>
                <c:pt idx="2112">
                  <c:v>42333</c:v>
                </c:pt>
                <c:pt idx="2113">
                  <c:v>42332</c:v>
                </c:pt>
                <c:pt idx="2114">
                  <c:v>42331</c:v>
                </c:pt>
                <c:pt idx="2115">
                  <c:v>42328</c:v>
                </c:pt>
                <c:pt idx="2116">
                  <c:v>42327</c:v>
                </c:pt>
                <c:pt idx="2117">
                  <c:v>42326</c:v>
                </c:pt>
                <c:pt idx="2118">
                  <c:v>42325</c:v>
                </c:pt>
                <c:pt idx="2119">
                  <c:v>42324</c:v>
                </c:pt>
                <c:pt idx="2120">
                  <c:v>42321</c:v>
                </c:pt>
                <c:pt idx="2121">
                  <c:v>42320</c:v>
                </c:pt>
                <c:pt idx="2122">
                  <c:v>42319</c:v>
                </c:pt>
                <c:pt idx="2123">
                  <c:v>42318</c:v>
                </c:pt>
                <c:pt idx="2124">
                  <c:v>42317</c:v>
                </c:pt>
                <c:pt idx="2125">
                  <c:v>42314</c:v>
                </c:pt>
                <c:pt idx="2126">
                  <c:v>42313</c:v>
                </c:pt>
                <c:pt idx="2127">
                  <c:v>42312</c:v>
                </c:pt>
                <c:pt idx="2128">
                  <c:v>42311</c:v>
                </c:pt>
                <c:pt idx="2129">
                  <c:v>42310</c:v>
                </c:pt>
                <c:pt idx="2130">
                  <c:v>42307</c:v>
                </c:pt>
                <c:pt idx="2131">
                  <c:v>42306</c:v>
                </c:pt>
                <c:pt idx="2132">
                  <c:v>42305</c:v>
                </c:pt>
                <c:pt idx="2133">
                  <c:v>42304</c:v>
                </c:pt>
                <c:pt idx="2134">
                  <c:v>42303</c:v>
                </c:pt>
                <c:pt idx="2135">
                  <c:v>42300</c:v>
                </c:pt>
                <c:pt idx="2136">
                  <c:v>42299</c:v>
                </c:pt>
                <c:pt idx="2137">
                  <c:v>42298</c:v>
                </c:pt>
                <c:pt idx="2138">
                  <c:v>42297</c:v>
                </c:pt>
                <c:pt idx="2139">
                  <c:v>42296</c:v>
                </c:pt>
                <c:pt idx="2140">
                  <c:v>42293</c:v>
                </c:pt>
                <c:pt idx="2141">
                  <c:v>42292</c:v>
                </c:pt>
                <c:pt idx="2142">
                  <c:v>42291</c:v>
                </c:pt>
                <c:pt idx="2143">
                  <c:v>42290</c:v>
                </c:pt>
                <c:pt idx="2144">
                  <c:v>42289</c:v>
                </c:pt>
                <c:pt idx="2145">
                  <c:v>42286</c:v>
                </c:pt>
                <c:pt idx="2146">
                  <c:v>42285</c:v>
                </c:pt>
                <c:pt idx="2147">
                  <c:v>42284</c:v>
                </c:pt>
                <c:pt idx="2148">
                  <c:v>42283</c:v>
                </c:pt>
                <c:pt idx="2149">
                  <c:v>42282</c:v>
                </c:pt>
                <c:pt idx="2150">
                  <c:v>42279</c:v>
                </c:pt>
                <c:pt idx="2151">
                  <c:v>42278</c:v>
                </c:pt>
                <c:pt idx="2152">
                  <c:v>42277</c:v>
                </c:pt>
                <c:pt idx="2153">
                  <c:v>42276</c:v>
                </c:pt>
                <c:pt idx="2154">
                  <c:v>42275</c:v>
                </c:pt>
                <c:pt idx="2155">
                  <c:v>42272</c:v>
                </c:pt>
                <c:pt idx="2156">
                  <c:v>42271</c:v>
                </c:pt>
                <c:pt idx="2157">
                  <c:v>42270</c:v>
                </c:pt>
                <c:pt idx="2158">
                  <c:v>42269</c:v>
                </c:pt>
                <c:pt idx="2159">
                  <c:v>42268</c:v>
                </c:pt>
                <c:pt idx="2160">
                  <c:v>42265</c:v>
                </c:pt>
                <c:pt idx="2161">
                  <c:v>42264</c:v>
                </c:pt>
                <c:pt idx="2162">
                  <c:v>42263</c:v>
                </c:pt>
                <c:pt idx="2163">
                  <c:v>42262</c:v>
                </c:pt>
                <c:pt idx="2164">
                  <c:v>42261</c:v>
                </c:pt>
                <c:pt idx="2165">
                  <c:v>42258</c:v>
                </c:pt>
                <c:pt idx="2166">
                  <c:v>42257</c:v>
                </c:pt>
                <c:pt idx="2167">
                  <c:v>42256</c:v>
                </c:pt>
                <c:pt idx="2168">
                  <c:v>42255</c:v>
                </c:pt>
                <c:pt idx="2169">
                  <c:v>42254</c:v>
                </c:pt>
                <c:pt idx="2170">
                  <c:v>42251</c:v>
                </c:pt>
                <c:pt idx="2171">
                  <c:v>42250</c:v>
                </c:pt>
                <c:pt idx="2172">
                  <c:v>42249</c:v>
                </c:pt>
                <c:pt idx="2173">
                  <c:v>42248</c:v>
                </c:pt>
                <c:pt idx="2174">
                  <c:v>42247</c:v>
                </c:pt>
                <c:pt idx="2175">
                  <c:v>42244</c:v>
                </c:pt>
                <c:pt idx="2176">
                  <c:v>42243</c:v>
                </c:pt>
                <c:pt idx="2177">
                  <c:v>42242</c:v>
                </c:pt>
                <c:pt idx="2178">
                  <c:v>42241</c:v>
                </c:pt>
                <c:pt idx="2179">
                  <c:v>42240</c:v>
                </c:pt>
                <c:pt idx="2180">
                  <c:v>42237</c:v>
                </c:pt>
                <c:pt idx="2181">
                  <c:v>42236</c:v>
                </c:pt>
                <c:pt idx="2182">
                  <c:v>42235</c:v>
                </c:pt>
                <c:pt idx="2183">
                  <c:v>42234</c:v>
                </c:pt>
                <c:pt idx="2184">
                  <c:v>42233</c:v>
                </c:pt>
                <c:pt idx="2185">
                  <c:v>42230</c:v>
                </c:pt>
                <c:pt idx="2186">
                  <c:v>42229</c:v>
                </c:pt>
                <c:pt idx="2187">
                  <c:v>42228</c:v>
                </c:pt>
                <c:pt idx="2188">
                  <c:v>42227</c:v>
                </c:pt>
                <c:pt idx="2189">
                  <c:v>42226</c:v>
                </c:pt>
                <c:pt idx="2190">
                  <c:v>42223</c:v>
                </c:pt>
                <c:pt idx="2191">
                  <c:v>42222</c:v>
                </c:pt>
                <c:pt idx="2192">
                  <c:v>42221</c:v>
                </c:pt>
                <c:pt idx="2193">
                  <c:v>42220</c:v>
                </c:pt>
                <c:pt idx="2194">
                  <c:v>42219</c:v>
                </c:pt>
                <c:pt idx="2195">
                  <c:v>42216</c:v>
                </c:pt>
                <c:pt idx="2196">
                  <c:v>42215</c:v>
                </c:pt>
                <c:pt idx="2197">
                  <c:v>42214</c:v>
                </c:pt>
                <c:pt idx="2198">
                  <c:v>42213</c:v>
                </c:pt>
                <c:pt idx="2199">
                  <c:v>42212</c:v>
                </c:pt>
                <c:pt idx="2200">
                  <c:v>42209</c:v>
                </c:pt>
                <c:pt idx="2201">
                  <c:v>42208</c:v>
                </c:pt>
                <c:pt idx="2202">
                  <c:v>42207</c:v>
                </c:pt>
                <c:pt idx="2203">
                  <c:v>42206</c:v>
                </c:pt>
                <c:pt idx="2204">
                  <c:v>42205</c:v>
                </c:pt>
                <c:pt idx="2205">
                  <c:v>42202</c:v>
                </c:pt>
                <c:pt idx="2206">
                  <c:v>42201</c:v>
                </c:pt>
                <c:pt idx="2207">
                  <c:v>42200</c:v>
                </c:pt>
                <c:pt idx="2208">
                  <c:v>42199</c:v>
                </c:pt>
                <c:pt idx="2209">
                  <c:v>42198</c:v>
                </c:pt>
                <c:pt idx="2210">
                  <c:v>42195</c:v>
                </c:pt>
                <c:pt idx="2211">
                  <c:v>42194</c:v>
                </c:pt>
                <c:pt idx="2212">
                  <c:v>42193</c:v>
                </c:pt>
                <c:pt idx="2213">
                  <c:v>42192</c:v>
                </c:pt>
                <c:pt idx="2214">
                  <c:v>42191</c:v>
                </c:pt>
                <c:pt idx="2215">
                  <c:v>42188</c:v>
                </c:pt>
                <c:pt idx="2216">
                  <c:v>42187</c:v>
                </c:pt>
                <c:pt idx="2217">
                  <c:v>42186</c:v>
                </c:pt>
                <c:pt idx="2218">
                  <c:v>42185</c:v>
                </c:pt>
                <c:pt idx="2219">
                  <c:v>42184</c:v>
                </c:pt>
                <c:pt idx="2220">
                  <c:v>42181</c:v>
                </c:pt>
                <c:pt idx="2221">
                  <c:v>42180</c:v>
                </c:pt>
                <c:pt idx="2222">
                  <c:v>42179</c:v>
                </c:pt>
                <c:pt idx="2223">
                  <c:v>42178</c:v>
                </c:pt>
                <c:pt idx="2224">
                  <c:v>42177</c:v>
                </c:pt>
                <c:pt idx="2225">
                  <c:v>42174</c:v>
                </c:pt>
                <c:pt idx="2226">
                  <c:v>42173</c:v>
                </c:pt>
                <c:pt idx="2227">
                  <c:v>42172</c:v>
                </c:pt>
                <c:pt idx="2228">
                  <c:v>42171</c:v>
                </c:pt>
                <c:pt idx="2229">
                  <c:v>42170</c:v>
                </c:pt>
                <c:pt idx="2230">
                  <c:v>42167</c:v>
                </c:pt>
                <c:pt idx="2231">
                  <c:v>42166</c:v>
                </c:pt>
                <c:pt idx="2232">
                  <c:v>42165</c:v>
                </c:pt>
                <c:pt idx="2233">
                  <c:v>42164</c:v>
                </c:pt>
                <c:pt idx="2234">
                  <c:v>42163</c:v>
                </c:pt>
                <c:pt idx="2235">
                  <c:v>42160</c:v>
                </c:pt>
                <c:pt idx="2236">
                  <c:v>42159</c:v>
                </c:pt>
                <c:pt idx="2237">
                  <c:v>42158</c:v>
                </c:pt>
                <c:pt idx="2238">
                  <c:v>42157</c:v>
                </c:pt>
                <c:pt idx="2239">
                  <c:v>42156</c:v>
                </c:pt>
                <c:pt idx="2240">
                  <c:v>42153</c:v>
                </c:pt>
                <c:pt idx="2241">
                  <c:v>42152</c:v>
                </c:pt>
                <c:pt idx="2242">
                  <c:v>42151</c:v>
                </c:pt>
                <c:pt idx="2243">
                  <c:v>42150</c:v>
                </c:pt>
                <c:pt idx="2244">
                  <c:v>42149</c:v>
                </c:pt>
                <c:pt idx="2245">
                  <c:v>42146</c:v>
                </c:pt>
                <c:pt idx="2246">
                  <c:v>42145</c:v>
                </c:pt>
                <c:pt idx="2247">
                  <c:v>42144</c:v>
                </c:pt>
                <c:pt idx="2248">
                  <c:v>42143</c:v>
                </c:pt>
                <c:pt idx="2249">
                  <c:v>42142</c:v>
                </c:pt>
                <c:pt idx="2250">
                  <c:v>42139</c:v>
                </c:pt>
                <c:pt idx="2251">
                  <c:v>42138</c:v>
                </c:pt>
                <c:pt idx="2252">
                  <c:v>42137</c:v>
                </c:pt>
                <c:pt idx="2253">
                  <c:v>42136</c:v>
                </c:pt>
                <c:pt idx="2254">
                  <c:v>42135</c:v>
                </c:pt>
                <c:pt idx="2255">
                  <c:v>42132</c:v>
                </c:pt>
                <c:pt idx="2256">
                  <c:v>42131</c:v>
                </c:pt>
                <c:pt idx="2257">
                  <c:v>42130</c:v>
                </c:pt>
                <c:pt idx="2258">
                  <c:v>42129</c:v>
                </c:pt>
                <c:pt idx="2259">
                  <c:v>42128</c:v>
                </c:pt>
                <c:pt idx="2260">
                  <c:v>42125</c:v>
                </c:pt>
                <c:pt idx="2261">
                  <c:v>42124</c:v>
                </c:pt>
                <c:pt idx="2262">
                  <c:v>42123</c:v>
                </c:pt>
                <c:pt idx="2263">
                  <c:v>42122</c:v>
                </c:pt>
                <c:pt idx="2264">
                  <c:v>42121</c:v>
                </c:pt>
                <c:pt idx="2265">
                  <c:v>42118</c:v>
                </c:pt>
                <c:pt idx="2266">
                  <c:v>42117</c:v>
                </c:pt>
                <c:pt idx="2267">
                  <c:v>42116</c:v>
                </c:pt>
                <c:pt idx="2268">
                  <c:v>42115</c:v>
                </c:pt>
                <c:pt idx="2269">
                  <c:v>42114</c:v>
                </c:pt>
                <c:pt idx="2270">
                  <c:v>42111</c:v>
                </c:pt>
                <c:pt idx="2271">
                  <c:v>42110</c:v>
                </c:pt>
                <c:pt idx="2272">
                  <c:v>42109</c:v>
                </c:pt>
                <c:pt idx="2273">
                  <c:v>42108</c:v>
                </c:pt>
                <c:pt idx="2274">
                  <c:v>42107</c:v>
                </c:pt>
                <c:pt idx="2275">
                  <c:v>42104</c:v>
                </c:pt>
                <c:pt idx="2276">
                  <c:v>42103</c:v>
                </c:pt>
                <c:pt idx="2277">
                  <c:v>42102</c:v>
                </c:pt>
                <c:pt idx="2278">
                  <c:v>42101</c:v>
                </c:pt>
                <c:pt idx="2279">
                  <c:v>42100</c:v>
                </c:pt>
                <c:pt idx="2280">
                  <c:v>42097</c:v>
                </c:pt>
                <c:pt idx="2281">
                  <c:v>42096</c:v>
                </c:pt>
                <c:pt idx="2282">
                  <c:v>42095</c:v>
                </c:pt>
                <c:pt idx="2283">
                  <c:v>42094</c:v>
                </c:pt>
                <c:pt idx="2284">
                  <c:v>42093</c:v>
                </c:pt>
                <c:pt idx="2285">
                  <c:v>42090</c:v>
                </c:pt>
                <c:pt idx="2286">
                  <c:v>42089</c:v>
                </c:pt>
                <c:pt idx="2287">
                  <c:v>42088</c:v>
                </c:pt>
                <c:pt idx="2288">
                  <c:v>42087</c:v>
                </c:pt>
                <c:pt idx="2289">
                  <c:v>42086</c:v>
                </c:pt>
                <c:pt idx="2290">
                  <c:v>42083</c:v>
                </c:pt>
                <c:pt idx="2291">
                  <c:v>42082</c:v>
                </c:pt>
                <c:pt idx="2292">
                  <c:v>42081</c:v>
                </c:pt>
                <c:pt idx="2293">
                  <c:v>42080</c:v>
                </c:pt>
                <c:pt idx="2294">
                  <c:v>42079</c:v>
                </c:pt>
                <c:pt idx="2295">
                  <c:v>42076</c:v>
                </c:pt>
                <c:pt idx="2296">
                  <c:v>42075</c:v>
                </c:pt>
                <c:pt idx="2297">
                  <c:v>42074</c:v>
                </c:pt>
                <c:pt idx="2298">
                  <c:v>42073</c:v>
                </c:pt>
                <c:pt idx="2299">
                  <c:v>42072</c:v>
                </c:pt>
                <c:pt idx="2300">
                  <c:v>42069</c:v>
                </c:pt>
                <c:pt idx="2301">
                  <c:v>42068</c:v>
                </c:pt>
                <c:pt idx="2302">
                  <c:v>42067</c:v>
                </c:pt>
                <c:pt idx="2303">
                  <c:v>42066</c:v>
                </c:pt>
                <c:pt idx="2304">
                  <c:v>42065</c:v>
                </c:pt>
                <c:pt idx="2305">
                  <c:v>42062</c:v>
                </c:pt>
                <c:pt idx="2306">
                  <c:v>42061</c:v>
                </c:pt>
                <c:pt idx="2307">
                  <c:v>42060</c:v>
                </c:pt>
                <c:pt idx="2308">
                  <c:v>42059</c:v>
                </c:pt>
                <c:pt idx="2309">
                  <c:v>42058</c:v>
                </c:pt>
                <c:pt idx="2310">
                  <c:v>42055</c:v>
                </c:pt>
                <c:pt idx="2311">
                  <c:v>42054</c:v>
                </c:pt>
                <c:pt idx="2312">
                  <c:v>42053</c:v>
                </c:pt>
                <c:pt idx="2313">
                  <c:v>42052</c:v>
                </c:pt>
                <c:pt idx="2314">
                  <c:v>42051</c:v>
                </c:pt>
                <c:pt idx="2315">
                  <c:v>42048</c:v>
                </c:pt>
                <c:pt idx="2316">
                  <c:v>42047</c:v>
                </c:pt>
                <c:pt idx="2317">
                  <c:v>42046</c:v>
                </c:pt>
                <c:pt idx="2318">
                  <c:v>42045</c:v>
                </c:pt>
                <c:pt idx="2319">
                  <c:v>42044</c:v>
                </c:pt>
                <c:pt idx="2320">
                  <c:v>42041</c:v>
                </c:pt>
                <c:pt idx="2321">
                  <c:v>42040</c:v>
                </c:pt>
                <c:pt idx="2322">
                  <c:v>42039</c:v>
                </c:pt>
                <c:pt idx="2323">
                  <c:v>42038</c:v>
                </c:pt>
                <c:pt idx="2324">
                  <c:v>42037</c:v>
                </c:pt>
                <c:pt idx="2325">
                  <c:v>42034</c:v>
                </c:pt>
                <c:pt idx="2326">
                  <c:v>42033</c:v>
                </c:pt>
                <c:pt idx="2327">
                  <c:v>42032</c:v>
                </c:pt>
                <c:pt idx="2328">
                  <c:v>42031</c:v>
                </c:pt>
                <c:pt idx="2329">
                  <c:v>42030</c:v>
                </c:pt>
                <c:pt idx="2330">
                  <c:v>42027</c:v>
                </c:pt>
                <c:pt idx="2331">
                  <c:v>42026</c:v>
                </c:pt>
                <c:pt idx="2332">
                  <c:v>42025</c:v>
                </c:pt>
                <c:pt idx="2333">
                  <c:v>42024</c:v>
                </c:pt>
                <c:pt idx="2334">
                  <c:v>42023</c:v>
                </c:pt>
                <c:pt idx="2335">
                  <c:v>42020</c:v>
                </c:pt>
                <c:pt idx="2336">
                  <c:v>42019</c:v>
                </c:pt>
                <c:pt idx="2337">
                  <c:v>42018</c:v>
                </c:pt>
                <c:pt idx="2338">
                  <c:v>42017</c:v>
                </c:pt>
                <c:pt idx="2339">
                  <c:v>42016</c:v>
                </c:pt>
                <c:pt idx="2340">
                  <c:v>42013</c:v>
                </c:pt>
                <c:pt idx="2341">
                  <c:v>42012</c:v>
                </c:pt>
                <c:pt idx="2342">
                  <c:v>42011</c:v>
                </c:pt>
                <c:pt idx="2343">
                  <c:v>42010</c:v>
                </c:pt>
                <c:pt idx="2344">
                  <c:v>42009</c:v>
                </c:pt>
                <c:pt idx="2345">
                  <c:v>42006</c:v>
                </c:pt>
                <c:pt idx="2346">
                  <c:v>42005</c:v>
                </c:pt>
                <c:pt idx="2347">
                  <c:v>42004</c:v>
                </c:pt>
                <c:pt idx="2348">
                  <c:v>42003</c:v>
                </c:pt>
                <c:pt idx="2349">
                  <c:v>42002</c:v>
                </c:pt>
                <c:pt idx="2350">
                  <c:v>41999</c:v>
                </c:pt>
                <c:pt idx="2351">
                  <c:v>41998</c:v>
                </c:pt>
                <c:pt idx="2352">
                  <c:v>41997</c:v>
                </c:pt>
                <c:pt idx="2353">
                  <c:v>41996</c:v>
                </c:pt>
                <c:pt idx="2354">
                  <c:v>41995</c:v>
                </c:pt>
                <c:pt idx="2355">
                  <c:v>41992</c:v>
                </c:pt>
                <c:pt idx="2356">
                  <c:v>41991</c:v>
                </c:pt>
                <c:pt idx="2357">
                  <c:v>41990</c:v>
                </c:pt>
                <c:pt idx="2358">
                  <c:v>41989</c:v>
                </c:pt>
                <c:pt idx="2359">
                  <c:v>41988</c:v>
                </c:pt>
                <c:pt idx="2360">
                  <c:v>41985</c:v>
                </c:pt>
                <c:pt idx="2361">
                  <c:v>41984</c:v>
                </c:pt>
                <c:pt idx="2362">
                  <c:v>41983</c:v>
                </c:pt>
                <c:pt idx="2363">
                  <c:v>41982</c:v>
                </c:pt>
                <c:pt idx="2364">
                  <c:v>41981</c:v>
                </c:pt>
                <c:pt idx="2365">
                  <c:v>41978</c:v>
                </c:pt>
                <c:pt idx="2366">
                  <c:v>41977</c:v>
                </c:pt>
                <c:pt idx="2367">
                  <c:v>41976</c:v>
                </c:pt>
                <c:pt idx="2368">
                  <c:v>41975</c:v>
                </c:pt>
                <c:pt idx="2369">
                  <c:v>41974</c:v>
                </c:pt>
                <c:pt idx="2370">
                  <c:v>41971</c:v>
                </c:pt>
                <c:pt idx="2371">
                  <c:v>41970</c:v>
                </c:pt>
                <c:pt idx="2372">
                  <c:v>41969</c:v>
                </c:pt>
                <c:pt idx="2373">
                  <c:v>41968</c:v>
                </c:pt>
                <c:pt idx="2374">
                  <c:v>41967</c:v>
                </c:pt>
                <c:pt idx="2375">
                  <c:v>41964</c:v>
                </c:pt>
                <c:pt idx="2376">
                  <c:v>41963</c:v>
                </c:pt>
                <c:pt idx="2377">
                  <c:v>41962</c:v>
                </c:pt>
                <c:pt idx="2378">
                  <c:v>41961</c:v>
                </c:pt>
                <c:pt idx="2379">
                  <c:v>41960</c:v>
                </c:pt>
                <c:pt idx="2380">
                  <c:v>41957</c:v>
                </c:pt>
                <c:pt idx="2381">
                  <c:v>41956</c:v>
                </c:pt>
                <c:pt idx="2382">
                  <c:v>41955</c:v>
                </c:pt>
                <c:pt idx="2383">
                  <c:v>41954</c:v>
                </c:pt>
                <c:pt idx="2384">
                  <c:v>41953</c:v>
                </c:pt>
                <c:pt idx="2385">
                  <c:v>41950</c:v>
                </c:pt>
                <c:pt idx="2386">
                  <c:v>41949</c:v>
                </c:pt>
                <c:pt idx="2387">
                  <c:v>41948</c:v>
                </c:pt>
                <c:pt idx="2388">
                  <c:v>41947</c:v>
                </c:pt>
                <c:pt idx="2389">
                  <c:v>41946</c:v>
                </c:pt>
                <c:pt idx="2390">
                  <c:v>41943</c:v>
                </c:pt>
                <c:pt idx="2391">
                  <c:v>41942</c:v>
                </c:pt>
                <c:pt idx="2392">
                  <c:v>41941</c:v>
                </c:pt>
                <c:pt idx="2393">
                  <c:v>41940</c:v>
                </c:pt>
                <c:pt idx="2394">
                  <c:v>41939</c:v>
                </c:pt>
                <c:pt idx="2395">
                  <c:v>41936</c:v>
                </c:pt>
                <c:pt idx="2396">
                  <c:v>41935</c:v>
                </c:pt>
                <c:pt idx="2397">
                  <c:v>41934</c:v>
                </c:pt>
                <c:pt idx="2398">
                  <c:v>41933</c:v>
                </c:pt>
                <c:pt idx="2399">
                  <c:v>41932</c:v>
                </c:pt>
                <c:pt idx="2400">
                  <c:v>41929</c:v>
                </c:pt>
                <c:pt idx="2401">
                  <c:v>41928</c:v>
                </c:pt>
                <c:pt idx="2402">
                  <c:v>41927</c:v>
                </c:pt>
                <c:pt idx="2403">
                  <c:v>41926</c:v>
                </c:pt>
                <c:pt idx="2404">
                  <c:v>41925</c:v>
                </c:pt>
                <c:pt idx="2405">
                  <c:v>41922</c:v>
                </c:pt>
                <c:pt idx="2406">
                  <c:v>41921</c:v>
                </c:pt>
                <c:pt idx="2407">
                  <c:v>41920</c:v>
                </c:pt>
                <c:pt idx="2408">
                  <c:v>41919</c:v>
                </c:pt>
                <c:pt idx="2409">
                  <c:v>41918</c:v>
                </c:pt>
                <c:pt idx="2410">
                  <c:v>41915</c:v>
                </c:pt>
                <c:pt idx="2411">
                  <c:v>41914</c:v>
                </c:pt>
                <c:pt idx="2412">
                  <c:v>41913</c:v>
                </c:pt>
                <c:pt idx="2413">
                  <c:v>41912</c:v>
                </c:pt>
                <c:pt idx="2414">
                  <c:v>41911</c:v>
                </c:pt>
                <c:pt idx="2415">
                  <c:v>41908</c:v>
                </c:pt>
                <c:pt idx="2416">
                  <c:v>41907</c:v>
                </c:pt>
                <c:pt idx="2417">
                  <c:v>41906</c:v>
                </c:pt>
                <c:pt idx="2418">
                  <c:v>41905</c:v>
                </c:pt>
                <c:pt idx="2419">
                  <c:v>41904</c:v>
                </c:pt>
                <c:pt idx="2420">
                  <c:v>41901</c:v>
                </c:pt>
                <c:pt idx="2421">
                  <c:v>41900</c:v>
                </c:pt>
                <c:pt idx="2422">
                  <c:v>41899</c:v>
                </c:pt>
                <c:pt idx="2423">
                  <c:v>41898</c:v>
                </c:pt>
                <c:pt idx="2424">
                  <c:v>41897</c:v>
                </c:pt>
                <c:pt idx="2425">
                  <c:v>41894</c:v>
                </c:pt>
                <c:pt idx="2426">
                  <c:v>41893</c:v>
                </c:pt>
                <c:pt idx="2427">
                  <c:v>41892</c:v>
                </c:pt>
                <c:pt idx="2428">
                  <c:v>41891</c:v>
                </c:pt>
                <c:pt idx="2429">
                  <c:v>41890</c:v>
                </c:pt>
                <c:pt idx="2430">
                  <c:v>41887</c:v>
                </c:pt>
                <c:pt idx="2431">
                  <c:v>41886</c:v>
                </c:pt>
                <c:pt idx="2432">
                  <c:v>41885</c:v>
                </c:pt>
                <c:pt idx="2433">
                  <c:v>41884</c:v>
                </c:pt>
                <c:pt idx="2434">
                  <c:v>41883</c:v>
                </c:pt>
                <c:pt idx="2435">
                  <c:v>41880</c:v>
                </c:pt>
                <c:pt idx="2436">
                  <c:v>41879</c:v>
                </c:pt>
                <c:pt idx="2437">
                  <c:v>41878</c:v>
                </c:pt>
                <c:pt idx="2438">
                  <c:v>41877</c:v>
                </c:pt>
                <c:pt idx="2439">
                  <c:v>41876</c:v>
                </c:pt>
                <c:pt idx="2440">
                  <c:v>41873</c:v>
                </c:pt>
                <c:pt idx="2441">
                  <c:v>41872</c:v>
                </c:pt>
                <c:pt idx="2442">
                  <c:v>41871</c:v>
                </c:pt>
                <c:pt idx="2443">
                  <c:v>41870</c:v>
                </c:pt>
                <c:pt idx="2444">
                  <c:v>41869</c:v>
                </c:pt>
                <c:pt idx="2445">
                  <c:v>41866</c:v>
                </c:pt>
                <c:pt idx="2446">
                  <c:v>41865</c:v>
                </c:pt>
                <c:pt idx="2447">
                  <c:v>41864</c:v>
                </c:pt>
                <c:pt idx="2448">
                  <c:v>41863</c:v>
                </c:pt>
                <c:pt idx="2449">
                  <c:v>41862</c:v>
                </c:pt>
                <c:pt idx="2450">
                  <c:v>41859</c:v>
                </c:pt>
                <c:pt idx="2451">
                  <c:v>41858</c:v>
                </c:pt>
                <c:pt idx="2452">
                  <c:v>41857</c:v>
                </c:pt>
                <c:pt idx="2453">
                  <c:v>41856</c:v>
                </c:pt>
                <c:pt idx="2454">
                  <c:v>41855</c:v>
                </c:pt>
                <c:pt idx="2455">
                  <c:v>41852</c:v>
                </c:pt>
                <c:pt idx="2456">
                  <c:v>41851</c:v>
                </c:pt>
                <c:pt idx="2457">
                  <c:v>41850</c:v>
                </c:pt>
                <c:pt idx="2458">
                  <c:v>41849</c:v>
                </c:pt>
                <c:pt idx="2459">
                  <c:v>41848</c:v>
                </c:pt>
                <c:pt idx="2460">
                  <c:v>41845</c:v>
                </c:pt>
                <c:pt idx="2461">
                  <c:v>41844</c:v>
                </c:pt>
                <c:pt idx="2462">
                  <c:v>41843</c:v>
                </c:pt>
                <c:pt idx="2463">
                  <c:v>41842</c:v>
                </c:pt>
                <c:pt idx="2464">
                  <c:v>41841</c:v>
                </c:pt>
                <c:pt idx="2465">
                  <c:v>41838</c:v>
                </c:pt>
                <c:pt idx="2466">
                  <c:v>41837</c:v>
                </c:pt>
                <c:pt idx="2467">
                  <c:v>41836</c:v>
                </c:pt>
                <c:pt idx="2468">
                  <c:v>41835</c:v>
                </c:pt>
                <c:pt idx="2469">
                  <c:v>41834</c:v>
                </c:pt>
                <c:pt idx="2470">
                  <c:v>41831</c:v>
                </c:pt>
                <c:pt idx="2471">
                  <c:v>41830</c:v>
                </c:pt>
                <c:pt idx="2472">
                  <c:v>41829</c:v>
                </c:pt>
                <c:pt idx="2473">
                  <c:v>41828</c:v>
                </c:pt>
                <c:pt idx="2474">
                  <c:v>41827</c:v>
                </c:pt>
                <c:pt idx="2475">
                  <c:v>41824</c:v>
                </c:pt>
                <c:pt idx="2476">
                  <c:v>41823</c:v>
                </c:pt>
                <c:pt idx="2477">
                  <c:v>41822</c:v>
                </c:pt>
                <c:pt idx="2478">
                  <c:v>41821</c:v>
                </c:pt>
                <c:pt idx="2479">
                  <c:v>41820</c:v>
                </c:pt>
                <c:pt idx="2480">
                  <c:v>41817</c:v>
                </c:pt>
                <c:pt idx="2481">
                  <c:v>41816</c:v>
                </c:pt>
                <c:pt idx="2482">
                  <c:v>41815</c:v>
                </c:pt>
                <c:pt idx="2483">
                  <c:v>41814</c:v>
                </c:pt>
                <c:pt idx="2484">
                  <c:v>41813</c:v>
                </c:pt>
                <c:pt idx="2485">
                  <c:v>41810</c:v>
                </c:pt>
                <c:pt idx="2486">
                  <c:v>41809</c:v>
                </c:pt>
                <c:pt idx="2487">
                  <c:v>41808</c:v>
                </c:pt>
                <c:pt idx="2488">
                  <c:v>41807</c:v>
                </c:pt>
                <c:pt idx="2489">
                  <c:v>41806</c:v>
                </c:pt>
                <c:pt idx="2490">
                  <c:v>41803</c:v>
                </c:pt>
                <c:pt idx="2491">
                  <c:v>41802</c:v>
                </c:pt>
                <c:pt idx="2492">
                  <c:v>41801</c:v>
                </c:pt>
                <c:pt idx="2493">
                  <c:v>41800</c:v>
                </c:pt>
                <c:pt idx="2494">
                  <c:v>41799</c:v>
                </c:pt>
                <c:pt idx="2495">
                  <c:v>41796</c:v>
                </c:pt>
                <c:pt idx="2496">
                  <c:v>41795</c:v>
                </c:pt>
                <c:pt idx="2497">
                  <c:v>41794</c:v>
                </c:pt>
                <c:pt idx="2498">
                  <c:v>41793</c:v>
                </c:pt>
                <c:pt idx="2499">
                  <c:v>41792</c:v>
                </c:pt>
                <c:pt idx="2500">
                  <c:v>41789</c:v>
                </c:pt>
                <c:pt idx="2501">
                  <c:v>41788</c:v>
                </c:pt>
                <c:pt idx="2502">
                  <c:v>41787</c:v>
                </c:pt>
                <c:pt idx="2503">
                  <c:v>41786</c:v>
                </c:pt>
                <c:pt idx="2504">
                  <c:v>41785</c:v>
                </c:pt>
                <c:pt idx="2505">
                  <c:v>41782</c:v>
                </c:pt>
                <c:pt idx="2506">
                  <c:v>41781</c:v>
                </c:pt>
                <c:pt idx="2507">
                  <c:v>41780</c:v>
                </c:pt>
                <c:pt idx="2508">
                  <c:v>41779</c:v>
                </c:pt>
                <c:pt idx="2509">
                  <c:v>41778</c:v>
                </c:pt>
                <c:pt idx="2510">
                  <c:v>41775</c:v>
                </c:pt>
                <c:pt idx="2511">
                  <c:v>41774</c:v>
                </c:pt>
                <c:pt idx="2512">
                  <c:v>41773</c:v>
                </c:pt>
                <c:pt idx="2513">
                  <c:v>41772</c:v>
                </c:pt>
                <c:pt idx="2514">
                  <c:v>41771</c:v>
                </c:pt>
                <c:pt idx="2515">
                  <c:v>41768</c:v>
                </c:pt>
                <c:pt idx="2516">
                  <c:v>41767</c:v>
                </c:pt>
                <c:pt idx="2517">
                  <c:v>41766</c:v>
                </c:pt>
                <c:pt idx="2518">
                  <c:v>41765</c:v>
                </c:pt>
                <c:pt idx="2519">
                  <c:v>41764</c:v>
                </c:pt>
                <c:pt idx="2520">
                  <c:v>41761</c:v>
                </c:pt>
                <c:pt idx="2521">
                  <c:v>41760</c:v>
                </c:pt>
                <c:pt idx="2522">
                  <c:v>41759</c:v>
                </c:pt>
                <c:pt idx="2523">
                  <c:v>41758</c:v>
                </c:pt>
                <c:pt idx="2524">
                  <c:v>41757</c:v>
                </c:pt>
                <c:pt idx="2525">
                  <c:v>41754</c:v>
                </c:pt>
                <c:pt idx="2526">
                  <c:v>41753</c:v>
                </c:pt>
                <c:pt idx="2527">
                  <c:v>41752</c:v>
                </c:pt>
                <c:pt idx="2528">
                  <c:v>41751</c:v>
                </c:pt>
                <c:pt idx="2529">
                  <c:v>41750</c:v>
                </c:pt>
                <c:pt idx="2530">
                  <c:v>41747</c:v>
                </c:pt>
                <c:pt idx="2531">
                  <c:v>41746</c:v>
                </c:pt>
                <c:pt idx="2532">
                  <c:v>41745</c:v>
                </c:pt>
                <c:pt idx="2533">
                  <c:v>41744</c:v>
                </c:pt>
                <c:pt idx="2534">
                  <c:v>41743</c:v>
                </c:pt>
                <c:pt idx="2535">
                  <c:v>41740</c:v>
                </c:pt>
                <c:pt idx="2536">
                  <c:v>41739</c:v>
                </c:pt>
                <c:pt idx="2537">
                  <c:v>41738</c:v>
                </c:pt>
                <c:pt idx="2538">
                  <c:v>41737</c:v>
                </c:pt>
                <c:pt idx="2539">
                  <c:v>41736</c:v>
                </c:pt>
                <c:pt idx="2540">
                  <c:v>41733</c:v>
                </c:pt>
                <c:pt idx="2541">
                  <c:v>41732</c:v>
                </c:pt>
                <c:pt idx="2542">
                  <c:v>41731</c:v>
                </c:pt>
                <c:pt idx="2543">
                  <c:v>41730</c:v>
                </c:pt>
                <c:pt idx="2544">
                  <c:v>41729</c:v>
                </c:pt>
                <c:pt idx="2545">
                  <c:v>41726</c:v>
                </c:pt>
                <c:pt idx="2546">
                  <c:v>41725</c:v>
                </c:pt>
                <c:pt idx="2547">
                  <c:v>41724</c:v>
                </c:pt>
                <c:pt idx="2548">
                  <c:v>41723</c:v>
                </c:pt>
                <c:pt idx="2549">
                  <c:v>41722</c:v>
                </c:pt>
                <c:pt idx="2550">
                  <c:v>41719</c:v>
                </c:pt>
                <c:pt idx="2551">
                  <c:v>41718</c:v>
                </c:pt>
                <c:pt idx="2552">
                  <c:v>41717</c:v>
                </c:pt>
                <c:pt idx="2553">
                  <c:v>41716</c:v>
                </c:pt>
                <c:pt idx="2554">
                  <c:v>41715</c:v>
                </c:pt>
                <c:pt idx="2555">
                  <c:v>41712</c:v>
                </c:pt>
                <c:pt idx="2556">
                  <c:v>41711</c:v>
                </c:pt>
                <c:pt idx="2557">
                  <c:v>41710</c:v>
                </c:pt>
                <c:pt idx="2558">
                  <c:v>41709</c:v>
                </c:pt>
                <c:pt idx="2559">
                  <c:v>41708</c:v>
                </c:pt>
                <c:pt idx="2560">
                  <c:v>41705</c:v>
                </c:pt>
                <c:pt idx="2561">
                  <c:v>41704</c:v>
                </c:pt>
                <c:pt idx="2562">
                  <c:v>41703</c:v>
                </c:pt>
                <c:pt idx="2563">
                  <c:v>41702</c:v>
                </c:pt>
                <c:pt idx="2564">
                  <c:v>41701</c:v>
                </c:pt>
                <c:pt idx="2565">
                  <c:v>41698</c:v>
                </c:pt>
                <c:pt idx="2566">
                  <c:v>41697</c:v>
                </c:pt>
                <c:pt idx="2567">
                  <c:v>41696</c:v>
                </c:pt>
                <c:pt idx="2568">
                  <c:v>41695</c:v>
                </c:pt>
                <c:pt idx="2569">
                  <c:v>41694</c:v>
                </c:pt>
                <c:pt idx="2570">
                  <c:v>41691</c:v>
                </c:pt>
                <c:pt idx="2571">
                  <c:v>41690</c:v>
                </c:pt>
                <c:pt idx="2572">
                  <c:v>41689</c:v>
                </c:pt>
                <c:pt idx="2573">
                  <c:v>41688</c:v>
                </c:pt>
                <c:pt idx="2574">
                  <c:v>41687</c:v>
                </c:pt>
                <c:pt idx="2575">
                  <c:v>41684</c:v>
                </c:pt>
                <c:pt idx="2576">
                  <c:v>41683</c:v>
                </c:pt>
                <c:pt idx="2577">
                  <c:v>41682</c:v>
                </c:pt>
                <c:pt idx="2578">
                  <c:v>41681</c:v>
                </c:pt>
                <c:pt idx="2579">
                  <c:v>41680</c:v>
                </c:pt>
                <c:pt idx="2580">
                  <c:v>41677</c:v>
                </c:pt>
                <c:pt idx="2581">
                  <c:v>41676</c:v>
                </c:pt>
                <c:pt idx="2582">
                  <c:v>41675</c:v>
                </c:pt>
                <c:pt idx="2583">
                  <c:v>41674</c:v>
                </c:pt>
                <c:pt idx="2584">
                  <c:v>41673</c:v>
                </c:pt>
                <c:pt idx="2585">
                  <c:v>41670</c:v>
                </c:pt>
                <c:pt idx="2586">
                  <c:v>41669</c:v>
                </c:pt>
                <c:pt idx="2587">
                  <c:v>41668</c:v>
                </c:pt>
                <c:pt idx="2588">
                  <c:v>41667</c:v>
                </c:pt>
                <c:pt idx="2589">
                  <c:v>41666</c:v>
                </c:pt>
                <c:pt idx="2590">
                  <c:v>41663</c:v>
                </c:pt>
                <c:pt idx="2591">
                  <c:v>41662</c:v>
                </c:pt>
                <c:pt idx="2592">
                  <c:v>41661</c:v>
                </c:pt>
                <c:pt idx="2593">
                  <c:v>41660</c:v>
                </c:pt>
                <c:pt idx="2594">
                  <c:v>41659</c:v>
                </c:pt>
                <c:pt idx="2595">
                  <c:v>41656</c:v>
                </c:pt>
                <c:pt idx="2596">
                  <c:v>41655</c:v>
                </c:pt>
                <c:pt idx="2597">
                  <c:v>41654</c:v>
                </c:pt>
                <c:pt idx="2598">
                  <c:v>41653</c:v>
                </c:pt>
                <c:pt idx="2599">
                  <c:v>41652</c:v>
                </c:pt>
                <c:pt idx="2600">
                  <c:v>41649</c:v>
                </c:pt>
                <c:pt idx="2601">
                  <c:v>41648</c:v>
                </c:pt>
                <c:pt idx="2602">
                  <c:v>41647</c:v>
                </c:pt>
                <c:pt idx="2603">
                  <c:v>41646</c:v>
                </c:pt>
                <c:pt idx="2604">
                  <c:v>41645</c:v>
                </c:pt>
                <c:pt idx="2605">
                  <c:v>41642</c:v>
                </c:pt>
                <c:pt idx="2606">
                  <c:v>41641</c:v>
                </c:pt>
                <c:pt idx="2607">
                  <c:v>41640</c:v>
                </c:pt>
                <c:pt idx="2608">
                  <c:v>41639</c:v>
                </c:pt>
                <c:pt idx="2609">
                  <c:v>41638</c:v>
                </c:pt>
                <c:pt idx="2610">
                  <c:v>41635</c:v>
                </c:pt>
                <c:pt idx="2611">
                  <c:v>41634</c:v>
                </c:pt>
                <c:pt idx="2612">
                  <c:v>41633</c:v>
                </c:pt>
                <c:pt idx="2613">
                  <c:v>41632</c:v>
                </c:pt>
                <c:pt idx="2614">
                  <c:v>41631</c:v>
                </c:pt>
                <c:pt idx="2615">
                  <c:v>41628</c:v>
                </c:pt>
                <c:pt idx="2616">
                  <c:v>41627</c:v>
                </c:pt>
                <c:pt idx="2617">
                  <c:v>41626</c:v>
                </c:pt>
                <c:pt idx="2618">
                  <c:v>41625</c:v>
                </c:pt>
                <c:pt idx="2619">
                  <c:v>41624</c:v>
                </c:pt>
                <c:pt idx="2620">
                  <c:v>41621</c:v>
                </c:pt>
                <c:pt idx="2621">
                  <c:v>41620</c:v>
                </c:pt>
                <c:pt idx="2622">
                  <c:v>41619</c:v>
                </c:pt>
                <c:pt idx="2623">
                  <c:v>41618</c:v>
                </c:pt>
                <c:pt idx="2624">
                  <c:v>41617</c:v>
                </c:pt>
                <c:pt idx="2625">
                  <c:v>41614</c:v>
                </c:pt>
                <c:pt idx="2626">
                  <c:v>41613</c:v>
                </c:pt>
                <c:pt idx="2627">
                  <c:v>41612</c:v>
                </c:pt>
                <c:pt idx="2628">
                  <c:v>41611</c:v>
                </c:pt>
                <c:pt idx="2629">
                  <c:v>41610</c:v>
                </c:pt>
                <c:pt idx="2630">
                  <c:v>41607</c:v>
                </c:pt>
                <c:pt idx="2631">
                  <c:v>41606</c:v>
                </c:pt>
                <c:pt idx="2632">
                  <c:v>41605</c:v>
                </c:pt>
                <c:pt idx="2633">
                  <c:v>41604</c:v>
                </c:pt>
                <c:pt idx="2634">
                  <c:v>41603</c:v>
                </c:pt>
                <c:pt idx="2635">
                  <c:v>41600</c:v>
                </c:pt>
                <c:pt idx="2636">
                  <c:v>41599</c:v>
                </c:pt>
                <c:pt idx="2637">
                  <c:v>41598</c:v>
                </c:pt>
                <c:pt idx="2638">
                  <c:v>41597</c:v>
                </c:pt>
                <c:pt idx="2639">
                  <c:v>41596</c:v>
                </c:pt>
                <c:pt idx="2640">
                  <c:v>41593</c:v>
                </c:pt>
                <c:pt idx="2641">
                  <c:v>41592</c:v>
                </c:pt>
                <c:pt idx="2642">
                  <c:v>41591</c:v>
                </c:pt>
                <c:pt idx="2643">
                  <c:v>41590</c:v>
                </c:pt>
                <c:pt idx="2644">
                  <c:v>41589</c:v>
                </c:pt>
                <c:pt idx="2645">
                  <c:v>41586</c:v>
                </c:pt>
                <c:pt idx="2646">
                  <c:v>41585</c:v>
                </c:pt>
                <c:pt idx="2647">
                  <c:v>41584</c:v>
                </c:pt>
                <c:pt idx="2648">
                  <c:v>41583</c:v>
                </c:pt>
                <c:pt idx="2649">
                  <c:v>41582</c:v>
                </c:pt>
                <c:pt idx="2650">
                  <c:v>41579</c:v>
                </c:pt>
                <c:pt idx="2651">
                  <c:v>41578</c:v>
                </c:pt>
                <c:pt idx="2652">
                  <c:v>41577</c:v>
                </c:pt>
                <c:pt idx="2653">
                  <c:v>41576</c:v>
                </c:pt>
                <c:pt idx="2654">
                  <c:v>41575</c:v>
                </c:pt>
                <c:pt idx="2655">
                  <c:v>41572</c:v>
                </c:pt>
                <c:pt idx="2656">
                  <c:v>41571</c:v>
                </c:pt>
                <c:pt idx="2657">
                  <c:v>41570</c:v>
                </c:pt>
                <c:pt idx="2658">
                  <c:v>41569</c:v>
                </c:pt>
                <c:pt idx="2659">
                  <c:v>41568</c:v>
                </c:pt>
                <c:pt idx="2660">
                  <c:v>41565</c:v>
                </c:pt>
                <c:pt idx="2661">
                  <c:v>41564</c:v>
                </c:pt>
                <c:pt idx="2662">
                  <c:v>41563</c:v>
                </c:pt>
                <c:pt idx="2663">
                  <c:v>41562</c:v>
                </c:pt>
                <c:pt idx="2664">
                  <c:v>41561</c:v>
                </c:pt>
                <c:pt idx="2665">
                  <c:v>41558</c:v>
                </c:pt>
                <c:pt idx="2666">
                  <c:v>41557</c:v>
                </c:pt>
                <c:pt idx="2667">
                  <c:v>41556</c:v>
                </c:pt>
                <c:pt idx="2668">
                  <c:v>41555</c:v>
                </c:pt>
                <c:pt idx="2669">
                  <c:v>41554</c:v>
                </c:pt>
                <c:pt idx="2670">
                  <c:v>41551</c:v>
                </c:pt>
                <c:pt idx="2671">
                  <c:v>41550</c:v>
                </c:pt>
                <c:pt idx="2672">
                  <c:v>41549</c:v>
                </c:pt>
                <c:pt idx="2673">
                  <c:v>41548</c:v>
                </c:pt>
                <c:pt idx="2674">
                  <c:v>41547</c:v>
                </c:pt>
                <c:pt idx="2675">
                  <c:v>41544</c:v>
                </c:pt>
                <c:pt idx="2676">
                  <c:v>41543</c:v>
                </c:pt>
                <c:pt idx="2677">
                  <c:v>41542</c:v>
                </c:pt>
                <c:pt idx="2678">
                  <c:v>41541</c:v>
                </c:pt>
                <c:pt idx="2679">
                  <c:v>41540</c:v>
                </c:pt>
                <c:pt idx="2680">
                  <c:v>41537</c:v>
                </c:pt>
                <c:pt idx="2681">
                  <c:v>41536</c:v>
                </c:pt>
                <c:pt idx="2682">
                  <c:v>41535</c:v>
                </c:pt>
                <c:pt idx="2683">
                  <c:v>41534</c:v>
                </c:pt>
                <c:pt idx="2684">
                  <c:v>41533</c:v>
                </c:pt>
                <c:pt idx="2685">
                  <c:v>41530</c:v>
                </c:pt>
                <c:pt idx="2686">
                  <c:v>41529</c:v>
                </c:pt>
                <c:pt idx="2687">
                  <c:v>41528</c:v>
                </c:pt>
                <c:pt idx="2688">
                  <c:v>41527</c:v>
                </c:pt>
                <c:pt idx="2689">
                  <c:v>41526</c:v>
                </c:pt>
                <c:pt idx="2690">
                  <c:v>41523</c:v>
                </c:pt>
                <c:pt idx="2691">
                  <c:v>41522</c:v>
                </c:pt>
                <c:pt idx="2692">
                  <c:v>41521</c:v>
                </c:pt>
                <c:pt idx="2693">
                  <c:v>41520</c:v>
                </c:pt>
                <c:pt idx="2694">
                  <c:v>41519</c:v>
                </c:pt>
                <c:pt idx="2695">
                  <c:v>41516</c:v>
                </c:pt>
                <c:pt idx="2696">
                  <c:v>41515</c:v>
                </c:pt>
                <c:pt idx="2697">
                  <c:v>41514</c:v>
                </c:pt>
                <c:pt idx="2698">
                  <c:v>41513</c:v>
                </c:pt>
                <c:pt idx="2699">
                  <c:v>41512</c:v>
                </c:pt>
                <c:pt idx="2700">
                  <c:v>41509</c:v>
                </c:pt>
                <c:pt idx="2701">
                  <c:v>41508</c:v>
                </c:pt>
                <c:pt idx="2702">
                  <c:v>41507</c:v>
                </c:pt>
                <c:pt idx="2703">
                  <c:v>41506</c:v>
                </c:pt>
                <c:pt idx="2704">
                  <c:v>41505</c:v>
                </c:pt>
                <c:pt idx="2705">
                  <c:v>41502</c:v>
                </c:pt>
                <c:pt idx="2706">
                  <c:v>41501</c:v>
                </c:pt>
                <c:pt idx="2707">
                  <c:v>41500</c:v>
                </c:pt>
                <c:pt idx="2708">
                  <c:v>41499</c:v>
                </c:pt>
                <c:pt idx="2709">
                  <c:v>41498</c:v>
                </c:pt>
                <c:pt idx="2710">
                  <c:v>41495</c:v>
                </c:pt>
                <c:pt idx="2711">
                  <c:v>41494</c:v>
                </c:pt>
                <c:pt idx="2712">
                  <c:v>41493</c:v>
                </c:pt>
                <c:pt idx="2713">
                  <c:v>41492</c:v>
                </c:pt>
                <c:pt idx="2714">
                  <c:v>41491</c:v>
                </c:pt>
                <c:pt idx="2715">
                  <c:v>41488</c:v>
                </c:pt>
                <c:pt idx="2716">
                  <c:v>41487</c:v>
                </c:pt>
                <c:pt idx="2717">
                  <c:v>41486</c:v>
                </c:pt>
                <c:pt idx="2718">
                  <c:v>41485</c:v>
                </c:pt>
                <c:pt idx="2719">
                  <c:v>41484</c:v>
                </c:pt>
                <c:pt idx="2720">
                  <c:v>41481</c:v>
                </c:pt>
                <c:pt idx="2721">
                  <c:v>41480</c:v>
                </c:pt>
                <c:pt idx="2722">
                  <c:v>41479</c:v>
                </c:pt>
                <c:pt idx="2723">
                  <c:v>41478</c:v>
                </c:pt>
                <c:pt idx="2724">
                  <c:v>41477</c:v>
                </c:pt>
                <c:pt idx="2725">
                  <c:v>41474</c:v>
                </c:pt>
                <c:pt idx="2726">
                  <c:v>41473</c:v>
                </c:pt>
                <c:pt idx="2727">
                  <c:v>41472</c:v>
                </c:pt>
                <c:pt idx="2728">
                  <c:v>41471</c:v>
                </c:pt>
                <c:pt idx="2729">
                  <c:v>41470</c:v>
                </c:pt>
                <c:pt idx="2730">
                  <c:v>41467</c:v>
                </c:pt>
                <c:pt idx="2731">
                  <c:v>41466</c:v>
                </c:pt>
                <c:pt idx="2732">
                  <c:v>41465</c:v>
                </c:pt>
                <c:pt idx="2733">
                  <c:v>41464</c:v>
                </c:pt>
                <c:pt idx="2734">
                  <c:v>41463</c:v>
                </c:pt>
                <c:pt idx="2735">
                  <c:v>41460</c:v>
                </c:pt>
                <c:pt idx="2736">
                  <c:v>41459</c:v>
                </c:pt>
                <c:pt idx="2737">
                  <c:v>41458</c:v>
                </c:pt>
                <c:pt idx="2738">
                  <c:v>41457</c:v>
                </c:pt>
                <c:pt idx="2739">
                  <c:v>41456</c:v>
                </c:pt>
                <c:pt idx="2740">
                  <c:v>41453</c:v>
                </c:pt>
                <c:pt idx="2741">
                  <c:v>41452</c:v>
                </c:pt>
                <c:pt idx="2742">
                  <c:v>41451</c:v>
                </c:pt>
                <c:pt idx="2743">
                  <c:v>41450</c:v>
                </c:pt>
                <c:pt idx="2744">
                  <c:v>41449</c:v>
                </c:pt>
                <c:pt idx="2745">
                  <c:v>41446</c:v>
                </c:pt>
                <c:pt idx="2746">
                  <c:v>41445</c:v>
                </c:pt>
                <c:pt idx="2747">
                  <c:v>41444</c:v>
                </c:pt>
                <c:pt idx="2748">
                  <c:v>41443</c:v>
                </c:pt>
                <c:pt idx="2749">
                  <c:v>41442</c:v>
                </c:pt>
                <c:pt idx="2750">
                  <c:v>41439</c:v>
                </c:pt>
                <c:pt idx="2751">
                  <c:v>41438</c:v>
                </c:pt>
                <c:pt idx="2752">
                  <c:v>41437</c:v>
                </c:pt>
                <c:pt idx="2753">
                  <c:v>41436</c:v>
                </c:pt>
                <c:pt idx="2754">
                  <c:v>41435</c:v>
                </c:pt>
                <c:pt idx="2755">
                  <c:v>41432</c:v>
                </c:pt>
                <c:pt idx="2756">
                  <c:v>41431</c:v>
                </c:pt>
                <c:pt idx="2757">
                  <c:v>41430</c:v>
                </c:pt>
                <c:pt idx="2758">
                  <c:v>41429</c:v>
                </c:pt>
                <c:pt idx="2759">
                  <c:v>41428</c:v>
                </c:pt>
                <c:pt idx="2760">
                  <c:v>41425</c:v>
                </c:pt>
                <c:pt idx="2761">
                  <c:v>41424</c:v>
                </c:pt>
                <c:pt idx="2762">
                  <c:v>41423</c:v>
                </c:pt>
                <c:pt idx="2763">
                  <c:v>41422</c:v>
                </c:pt>
                <c:pt idx="2764">
                  <c:v>41421</c:v>
                </c:pt>
                <c:pt idx="2765">
                  <c:v>41418</c:v>
                </c:pt>
                <c:pt idx="2766">
                  <c:v>41417</c:v>
                </c:pt>
                <c:pt idx="2767">
                  <c:v>41416</c:v>
                </c:pt>
                <c:pt idx="2768">
                  <c:v>41415</c:v>
                </c:pt>
                <c:pt idx="2769">
                  <c:v>41414</c:v>
                </c:pt>
                <c:pt idx="2770">
                  <c:v>41411</c:v>
                </c:pt>
                <c:pt idx="2771">
                  <c:v>41410</c:v>
                </c:pt>
                <c:pt idx="2772">
                  <c:v>41409</c:v>
                </c:pt>
                <c:pt idx="2773">
                  <c:v>41408</c:v>
                </c:pt>
                <c:pt idx="2774">
                  <c:v>41407</c:v>
                </c:pt>
                <c:pt idx="2775">
                  <c:v>41404</c:v>
                </c:pt>
                <c:pt idx="2776">
                  <c:v>41403</c:v>
                </c:pt>
                <c:pt idx="2777">
                  <c:v>41402</c:v>
                </c:pt>
                <c:pt idx="2778">
                  <c:v>41401</c:v>
                </c:pt>
                <c:pt idx="2779">
                  <c:v>41400</c:v>
                </c:pt>
                <c:pt idx="2780">
                  <c:v>41397</c:v>
                </c:pt>
                <c:pt idx="2781">
                  <c:v>41396</c:v>
                </c:pt>
                <c:pt idx="2782">
                  <c:v>41395</c:v>
                </c:pt>
                <c:pt idx="2783">
                  <c:v>41394</c:v>
                </c:pt>
                <c:pt idx="2784">
                  <c:v>41393</c:v>
                </c:pt>
                <c:pt idx="2785">
                  <c:v>41390</c:v>
                </c:pt>
                <c:pt idx="2786">
                  <c:v>41389</c:v>
                </c:pt>
                <c:pt idx="2787">
                  <c:v>41388</c:v>
                </c:pt>
                <c:pt idx="2788">
                  <c:v>41387</c:v>
                </c:pt>
                <c:pt idx="2789">
                  <c:v>41386</c:v>
                </c:pt>
                <c:pt idx="2790">
                  <c:v>41383</c:v>
                </c:pt>
                <c:pt idx="2791">
                  <c:v>41382</c:v>
                </c:pt>
                <c:pt idx="2792">
                  <c:v>41381</c:v>
                </c:pt>
                <c:pt idx="2793">
                  <c:v>41380</c:v>
                </c:pt>
                <c:pt idx="2794">
                  <c:v>41379</c:v>
                </c:pt>
                <c:pt idx="2795">
                  <c:v>41376</c:v>
                </c:pt>
                <c:pt idx="2796">
                  <c:v>41375</c:v>
                </c:pt>
                <c:pt idx="2797">
                  <c:v>41374</c:v>
                </c:pt>
                <c:pt idx="2798">
                  <c:v>41373</c:v>
                </c:pt>
                <c:pt idx="2799">
                  <c:v>41372</c:v>
                </c:pt>
                <c:pt idx="2800">
                  <c:v>41369</c:v>
                </c:pt>
                <c:pt idx="2801">
                  <c:v>41368</c:v>
                </c:pt>
                <c:pt idx="2802">
                  <c:v>41367</c:v>
                </c:pt>
                <c:pt idx="2803">
                  <c:v>41366</c:v>
                </c:pt>
                <c:pt idx="2804">
                  <c:v>41365</c:v>
                </c:pt>
                <c:pt idx="2805">
                  <c:v>41362</c:v>
                </c:pt>
                <c:pt idx="2806">
                  <c:v>41361</c:v>
                </c:pt>
                <c:pt idx="2807">
                  <c:v>41360</c:v>
                </c:pt>
                <c:pt idx="2808">
                  <c:v>41359</c:v>
                </c:pt>
                <c:pt idx="2809">
                  <c:v>41358</c:v>
                </c:pt>
                <c:pt idx="2810">
                  <c:v>41355</c:v>
                </c:pt>
                <c:pt idx="2811">
                  <c:v>41354</c:v>
                </c:pt>
                <c:pt idx="2812">
                  <c:v>41353</c:v>
                </c:pt>
                <c:pt idx="2813">
                  <c:v>41352</c:v>
                </c:pt>
                <c:pt idx="2814">
                  <c:v>41351</c:v>
                </c:pt>
                <c:pt idx="2815">
                  <c:v>41348</c:v>
                </c:pt>
                <c:pt idx="2816">
                  <c:v>41347</c:v>
                </c:pt>
                <c:pt idx="2817">
                  <c:v>41346</c:v>
                </c:pt>
                <c:pt idx="2818">
                  <c:v>41345</c:v>
                </c:pt>
                <c:pt idx="2819">
                  <c:v>41344</c:v>
                </c:pt>
                <c:pt idx="2820">
                  <c:v>41341</c:v>
                </c:pt>
                <c:pt idx="2821">
                  <c:v>41340</c:v>
                </c:pt>
                <c:pt idx="2822">
                  <c:v>41339</c:v>
                </c:pt>
                <c:pt idx="2823">
                  <c:v>41338</c:v>
                </c:pt>
                <c:pt idx="2824">
                  <c:v>41337</c:v>
                </c:pt>
                <c:pt idx="2825">
                  <c:v>41334</c:v>
                </c:pt>
                <c:pt idx="2826">
                  <c:v>41333</c:v>
                </c:pt>
                <c:pt idx="2827">
                  <c:v>41332</c:v>
                </c:pt>
                <c:pt idx="2828">
                  <c:v>41331</c:v>
                </c:pt>
                <c:pt idx="2829">
                  <c:v>41330</c:v>
                </c:pt>
                <c:pt idx="2830">
                  <c:v>41327</c:v>
                </c:pt>
                <c:pt idx="2831">
                  <c:v>41326</c:v>
                </c:pt>
                <c:pt idx="2832">
                  <c:v>41325</c:v>
                </c:pt>
                <c:pt idx="2833">
                  <c:v>41324</c:v>
                </c:pt>
                <c:pt idx="2834">
                  <c:v>41323</c:v>
                </c:pt>
                <c:pt idx="2835">
                  <c:v>41320</c:v>
                </c:pt>
                <c:pt idx="2836">
                  <c:v>41319</c:v>
                </c:pt>
                <c:pt idx="2837">
                  <c:v>41318</c:v>
                </c:pt>
                <c:pt idx="2838">
                  <c:v>41317</c:v>
                </c:pt>
                <c:pt idx="2839">
                  <c:v>41316</c:v>
                </c:pt>
                <c:pt idx="2840">
                  <c:v>41313</c:v>
                </c:pt>
                <c:pt idx="2841">
                  <c:v>41312</c:v>
                </c:pt>
                <c:pt idx="2842">
                  <c:v>41311</c:v>
                </c:pt>
                <c:pt idx="2843">
                  <c:v>41310</c:v>
                </c:pt>
                <c:pt idx="2844">
                  <c:v>41309</c:v>
                </c:pt>
                <c:pt idx="2845">
                  <c:v>41306</c:v>
                </c:pt>
                <c:pt idx="2846">
                  <c:v>41305</c:v>
                </c:pt>
                <c:pt idx="2847">
                  <c:v>41304</c:v>
                </c:pt>
                <c:pt idx="2848">
                  <c:v>41303</c:v>
                </c:pt>
                <c:pt idx="2849">
                  <c:v>41302</c:v>
                </c:pt>
                <c:pt idx="2850">
                  <c:v>41299</c:v>
                </c:pt>
                <c:pt idx="2851">
                  <c:v>41298</c:v>
                </c:pt>
                <c:pt idx="2852">
                  <c:v>41297</c:v>
                </c:pt>
                <c:pt idx="2853">
                  <c:v>41296</c:v>
                </c:pt>
                <c:pt idx="2854">
                  <c:v>41295</c:v>
                </c:pt>
                <c:pt idx="2855">
                  <c:v>41292</c:v>
                </c:pt>
                <c:pt idx="2856">
                  <c:v>41291</c:v>
                </c:pt>
                <c:pt idx="2857">
                  <c:v>41290</c:v>
                </c:pt>
                <c:pt idx="2858">
                  <c:v>41289</c:v>
                </c:pt>
                <c:pt idx="2859">
                  <c:v>41288</c:v>
                </c:pt>
                <c:pt idx="2860">
                  <c:v>41285</c:v>
                </c:pt>
                <c:pt idx="2861">
                  <c:v>41284</c:v>
                </c:pt>
                <c:pt idx="2862">
                  <c:v>41283</c:v>
                </c:pt>
                <c:pt idx="2863">
                  <c:v>41282</c:v>
                </c:pt>
                <c:pt idx="2864">
                  <c:v>41281</c:v>
                </c:pt>
                <c:pt idx="2865">
                  <c:v>41278</c:v>
                </c:pt>
                <c:pt idx="2866">
                  <c:v>41277</c:v>
                </c:pt>
                <c:pt idx="2867">
                  <c:v>41276</c:v>
                </c:pt>
                <c:pt idx="2868">
                  <c:v>41275</c:v>
                </c:pt>
                <c:pt idx="2869">
                  <c:v>41274</c:v>
                </c:pt>
                <c:pt idx="2870">
                  <c:v>41271</c:v>
                </c:pt>
                <c:pt idx="2871">
                  <c:v>41270</c:v>
                </c:pt>
                <c:pt idx="2872">
                  <c:v>41269</c:v>
                </c:pt>
                <c:pt idx="2873">
                  <c:v>41268</c:v>
                </c:pt>
                <c:pt idx="2874">
                  <c:v>41267</c:v>
                </c:pt>
                <c:pt idx="2875">
                  <c:v>41264</c:v>
                </c:pt>
                <c:pt idx="2876">
                  <c:v>41263</c:v>
                </c:pt>
                <c:pt idx="2877">
                  <c:v>41262</c:v>
                </c:pt>
                <c:pt idx="2878">
                  <c:v>41261</c:v>
                </c:pt>
                <c:pt idx="2879">
                  <c:v>41260</c:v>
                </c:pt>
                <c:pt idx="2880">
                  <c:v>41257</c:v>
                </c:pt>
                <c:pt idx="2881">
                  <c:v>41256</c:v>
                </c:pt>
                <c:pt idx="2882">
                  <c:v>41255</c:v>
                </c:pt>
                <c:pt idx="2883">
                  <c:v>41254</c:v>
                </c:pt>
                <c:pt idx="2884">
                  <c:v>41253</c:v>
                </c:pt>
                <c:pt idx="2885">
                  <c:v>41250</c:v>
                </c:pt>
                <c:pt idx="2886">
                  <c:v>41249</c:v>
                </c:pt>
                <c:pt idx="2887">
                  <c:v>41248</c:v>
                </c:pt>
                <c:pt idx="2888">
                  <c:v>41247</c:v>
                </c:pt>
                <c:pt idx="2889">
                  <c:v>41246</c:v>
                </c:pt>
                <c:pt idx="2890">
                  <c:v>41243</c:v>
                </c:pt>
                <c:pt idx="2891">
                  <c:v>41242</c:v>
                </c:pt>
                <c:pt idx="2892">
                  <c:v>41241</c:v>
                </c:pt>
                <c:pt idx="2893">
                  <c:v>41240</c:v>
                </c:pt>
                <c:pt idx="2894">
                  <c:v>41239</c:v>
                </c:pt>
                <c:pt idx="2895">
                  <c:v>41236</c:v>
                </c:pt>
                <c:pt idx="2896">
                  <c:v>41235</c:v>
                </c:pt>
                <c:pt idx="2897">
                  <c:v>41234</c:v>
                </c:pt>
                <c:pt idx="2898">
                  <c:v>41233</c:v>
                </c:pt>
                <c:pt idx="2899">
                  <c:v>41232</c:v>
                </c:pt>
                <c:pt idx="2900">
                  <c:v>41229</c:v>
                </c:pt>
                <c:pt idx="2901">
                  <c:v>41228</c:v>
                </c:pt>
                <c:pt idx="2902">
                  <c:v>41227</c:v>
                </c:pt>
                <c:pt idx="2903">
                  <c:v>41226</c:v>
                </c:pt>
                <c:pt idx="2904">
                  <c:v>41225</c:v>
                </c:pt>
                <c:pt idx="2905">
                  <c:v>41222</c:v>
                </c:pt>
                <c:pt idx="2906">
                  <c:v>41221</c:v>
                </c:pt>
                <c:pt idx="2907">
                  <c:v>41220</c:v>
                </c:pt>
                <c:pt idx="2908">
                  <c:v>41219</c:v>
                </c:pt>
                <c:pt idx="2909">
                  <c:v>41218</c:v>
                </c:pt>
                <c:pt idx="2910">
                  <c:v>41215</c:v>
                </c:pt>
                <c:pt idx="2911">
                  <c:v>41214</c:v>
                </c:pt>
                <c:pt idx="2912">
                  <c:v>41213</c:v>
                </c:pt>
                <c:pt idx="2913">
                  <c:v>41212</c:v>
                </c:pt>
                <c:pt idx="2914">
                  <c:v>41211</c:v>
                </c:pt>
                <c:pt idx="2915">
                  <c:v>41208</c:v>
                </c:pt>
                <c:pt idx="2916">
                  <c:v>41207</c:v>
                </c:pt>
                <c:pt idx="2917">
                  <c:v>41206</c:v>
                </c:pt>
                <c:pt idx="2918">
                  <c:v>41205</c:v>
                </c:pt>
                <c:pt idx="2919">
                  <c:v>41204</c:v>
                </c:pt>
                <c:pt idx="2920">
                  <c:v>41201</c:v>
                </c:pt>
                <c:pt idx="2921">
                  <c:v>41200</c:v>
                </c:pt>
                <c:pt idx="2922">
                  <c:v>41199</c:v>
                </c:pt>
                <c:pt idx="2923">
                  <c:v>41198</c:v>
                </c:pt>
                <c:pt idx="2924">
                  <c:v>41197</c:v>
                </c:pt>
                <c:pt idx="2925">
                  <c:v>41194</c:v>
                </c:pt>
                <c:pt idx="2926">
                  <c:v>41193</c:v>
                </c:pt>
                <c:pt idx="2927">
                  <c:v>41192</c:v>
                </c:pt>
                <c:pt idx="2928">
                  <c:v>41191</c:v>
                </c:pt>
                <c:pt idx="2929">
                  <c:v>41190</c:v>
                </c:pt>
                <c:pt idx="2930">
                  <c:v>41187</c:v>
                </c:pt>
                <c:pt idx="2931">
                  <c:v>41186</c:v>
                </c:pt>
                <c:pt idx="2932">
                  <c:v>41185</c:v>
                </c:pt>
                <c:pt idx="2933">
                  <c:v>41184</c:v>
                </c:pt>
                <c:pt idx="2934">
                  <c:v>41183</c:v>
                </c:pt>
                <c:pt idx="2935">
                  <c:v>41180</c:v>
                </c:pt>
                <c:pt idx="2936">
                  <c:v>41179</c:v>
                </c:pt>
                <c:pt idx="2937">
                  <c:v>41178</c:v>
                </c:pt>
                <c:pt idx="2938">
                  <c:v>41177</c:v>
                </c:pt>
                <c:pt idx="2939">
                  <c:v>41176</c:v>
                </c:pt>
                <c:pt idx="2940">
                  <c:v>41173</c:v>
                </c:pt>
                <c:pt idx="2941">
                  <c:v>41172</c:v>
                </c:pt>
                <c:pt idx="2942">
                  <c:v>41171</c:v>
                </c:pt>
                <c:pt idx="2943">
                  <c:v>41170</c:v>
                </c:pt>
                <c:pt idx="2944">
                  <c:v>41169</c:v>
                </c:pt>
                <c:pt idx="2945">
                  <c:v>41166</c:v>
                </c:pt>
                <c:pt idx="2946">
                  <c:v>41165</c:v>
                </c:pt>
                <c:pt idx="2947">
                  <c:v>41164</c:v>
                </c:pt>
                <c:pt idx="2948">
                  <c:v>41163</c:v>
                </c:pt>
                <c:pt idx="2949">
                  <c:v>41162</c:v>
                </c:pt>
                <c:pt idx="2950">
                  <c:v>41159</c:v>
                </c:pt>
                <c:pt idx="2951">
                  <c:v>41158</c:v>
                </c:pt>
                <c:pt idx="2952">
                  <c:v>41157</c:v>
                </c:pt>
                <c:pt idx="2953">
                  <c:v>41156</c:v>
                </c:pt>
                <c:pt idx="2954">
                  <c:v>41155</c:v>
                </c:pt>
                <c:pt idx="2955">
                  <c:v>41152</c:v>
                </c:pt>
                <c:pt idx="2956">
                  <c:v>41151</c:v>
                </c:pt>
                <c:pt idx="2957">
                  <c:v>41150</c:v>
                </c:pt>
                <c:pt idx="2958">
                  <c:v>41149</c:v>
                </c:pt>
                <c:pt idx="2959">
                  <c:v>41148</c:v>
                </c:pt>
                <c:pt idx="2960">
                  <c:v>41145</c:v>
                </c:pt>
                <c:pt idx="2961">
                  <c:v>41144</c:v>
                </c:pt>
                <c:pt idx="2962">
                  <c:v>41143</c:v>
                </c:pt>
                <c:pt idx="2963">
                  <c:v>41142</c:v>
                </c:pt>
                <c:pt idx="2964">
                  <c:v>41141</c:v>
                </c:pt>
                <c:pt idx="2965">
                  <c:v>41138</c:v>
                </c:pt>
                <c:pt idx="2966">
                  <c:v>41137</c:v>
                </c:pt>
                <c:pt idx="2967">
                  <c:v>41136</c:v>
                </c:pt>
                <c:pt idx="2968">
                  <c:v>41135</c:v>
                </c:pt>
                <c:pt idx="2969">
                  <c:v>41134</c:v>
                </c:pt>
                <c:pt idx="2970">
                  <c:v>41131</c:v>
                </c:pt>
                <c:pt idx="2971">
                  <c:v>41130</c:v>
                </c:pt>
                <c:pt idx="2972">
                  <c:v>41129</c:v>
                </c:pt>
                <c:pt idx="2973">
                  <c:v>41128</c:v>
                </c:pt>
                <c:pt idx="2974">
                  <c:v>41127</c:v>
                </c:pt>
                <c:pt idx="2975">
                  <c:v>41124</c:v>
                </c:pt>
                <c:pt idx="2976">
                  <c:v>41123</c:v>
                </c:pt>
                <c:pt idx="2977">
                  <c:v>41122</c:v>
                </c:pt>
                <c:pt idx="2978">
                  <c:v>41121</c:v>
                </c:pt>
                <c:pt idx="2979">
                  <c:v>41120</c:v>
                </c:pt>
                <c:pt idx="2980">
                  <c:v>41117</c:v>
                </c:pt>
                <c:pt idx="2981">
                  <c:v>41116</c:v>
                </c:pt>
                <c:pt idx="2982">
                  <c:v>41115</c:v>
                </c:pt>
                <c:pt idx="2983">
                  <c:v>41114</c:v>
                </c:pt>
                <c:pt idx="2984">
                  <c:v>41113</c:v>
                </c:pt>
                <c:pt idx="2985">
                  <c:v>41110</c:v>
                </c:pt>
                <c:pt idx="2986">
                  <c:v>41109</c:v>
                </c:pt>
                <c:pt idx="2987">
                  <c:v>41108</c:v>
                </c:pt>
                <c:pt idx="2988">
                  <c:v>41107</c:v>
                </c:pt>
                <c:pt idx="2989">
                  <c:v>41106</c:v>
                </c:pt>
                <c:pt idx="2990">
                  <c:v>41103</c:v>
                </c:pt>
                <c:pt idx="2991">
                  <c:v>41102</c:v>
                </c:pt>
                <c:pt idx="2992">
                  <c:v>41101</c:v>
                </c:pt>
                <c:pt idx="2993">
                  <c:v>41100</c:v>
                </c:pt>
                <c:pt idx="2994">
                  <c:v>41099</c:v>
                </c:pt>
                <c:pt idx="2995">
                  <c:v>41096</c:v>
                </c:pt>
                <c:pt idx="2996">
                  <c:v>41095</c:v>
                </c:pt>
                <c:pt idx="2997">
                  <c:v>41094</c:v>
                </c:pt>
                <c:pt idx="2998">
                  <c:v>41093</c:v>
                </c:pt>
                <c:pt idx="2999">
                  <c:v>41092</c:v>
                </c:pt>
                <c:pt idx="3000">
                  <c:v>41089</c:v>
                </c:pt>
                <c:pt idx="3001">
                  <c:v>41088</c:v>
                </c:pt>
                <c:pt idx="3002">
                  <c:v>41087</c:v>
                </c:pt>
                <c:pt idx="3003">
                  <c:v>41086</c:v>
                </c:pt>
                <c:pt idx="3004">
                  <c:v>41085</c:v>
                </c:pt>
                <c:pt idx="3005">
                  <c:v>41082</c:v>
                </c:pt>
                <c:pt idx="3006">
                  <c:v>41081</c:v>
                </c:pt>
                <c:pt idx="3007">
                  <c:v>41080</c:v>
                </c:pt>
                <c:pt idx="3008">
                  <c:v>41079</c:v>
                </c:pt>
                <c:pt idx="3009">
                  <c:v>41078</c:v>
                </c:pt>
                <c:pt idx="3010">
                  <c:v>41075</c:v>
                </c:pt>
                <c:pt idx="3011">
                  <c:v>41074</c:v>
                </c:pt>
                <c:pt idx="3012">
                  <c:v>41073</c:v>
                </c:pt>
                <c:pt idx="3013">
                  <c:v>41072</c:v>
                </c:pt>
                <c:pt idx="3014">
                  <c:v>41071</c:v>
                </c:pt>
                <c:pt idx="3015">
                  <c:v>41068</c:v>
                </c:pt>
                <c:pt idx="3016">
                  <c:v>41067</c:v>
                </c:pt>
                <c:pt idx="3017">
                  <c:v>41066</c:v>
                </c:pt>
                <c:pt idx="3018">
                  <c:v>41065</c:v>
                </c:pt>
                <c:pt idx="3019">
                  <c:v>41064</c:v>
                </c:pt>
                <c:pt idx="3020">
                  <c:v>41061</c:v>
                </c:pt>
                <c:pt idx="3021">
                  <c:v>41060</c:v>
                </c:pt>
                <c:pt idx="3022">
                  <c:v>41059</c:v>
                </c:pt>
                <c:pt idx="3023">
                  <c:v>41058</c:v>
                </c:pt>
                <c:pt idx="3024">
                  <c:v>41057</c:v>
                </c:pt>
                <c:pt idx="3025">
                  <c:v>41054</c:v>
                </c:pt>
                <c:pt idx="3026">
                  <c:v>41053</c:v>
                </c:pt>
                <c:pt idx="3027">
                  <c:v>41052</c:v>
                </c:pt>
                <c:pt idx="3028">
                  <c:v>41051</c:v>
                </c:pt>
                <c:pt idx="3029">
                  <c:v>41050</c:v>
                </c:pt>
                <c:pt idx="3030">
                  <c:v>41047</c:v>
                </c:pt>
                <c:pt idx="3031">
                  <c:v>41046</c:v>
                </c:pt>
                <c:pt idx="3032">
                  <c:v>41045</c:v>
                </c:pt>
                <c:pt idx="3033">
                  <c:v>41044</c:v>
                </c:pt>
                <c:pt idx="3034">
                  <c:v>41043</c:v>
                </c:pt>
                <c:pt idx="3035">
                  <c:v>41040</c:v>
                </c:pt>
                <c:pt idx="3036">
                  <c:v>41039</c:v>
                </c:pt>
                <c:pt idx="3037">
                  <c:v>41038</c:v>
                </c:pt>
                <c:pt idx="3038">
                  <c:v>41037</c:v>
                </c:pt>
                <c:pt idx="3039">
                  <c:v>41036</c:v>
                </c:pt>
                <c:pt idx="3040">
                  <c:v>41033</c:v>
                </c:pt>
                <c:pt idx="3041">
                  <c:v>41032</c:v>
                </c:pt>
                <c:pt idx="3042">
                  <c:v>41031</c:v>
                </c:pt>
                <c:pt idx="3043">
                  <c:v>41030</c:v>
                </c:pt>
                <c:pt idx="3044">
                  <c:v>41029</c:v>
                </c:pt>
                <c:pt idx="3045">
                  <c:v>41026</c:v>
                </c:pt>
                <c:pt idx="3046">
                  <c:v>41025</c:v>
                </c:pt>
                <c:pt idx="3047">
                  <c:v>41024</c:v>
                </c:pt>
                <c:pt idx="3048">
                  <c:v>41023</c:v>
                </c:pt>
                <c:pt idx="3049">
                  <c:v>41022</c:v>
                </c:pt>
                <c:pt idx="3050">
                  <c:v>41019</c:v>
                </c:pt>
                <c:pt idx="3051">
                  <c:v>41018</c:v>
                </c:pt>
                <c:pt idx="3052">
                  <c:v>41017</c:v>
                </c:pt>
                <c:pt idx="3053">
                  <c:v>41016</c:v>
                </c:pt>
                <c:pt idx="3054">
                  <c:v>41015</c:v>
                </c:pt>
                <c:pt idx="3055">
                  <c:v>41012</c:v>
                </c:pt>
                <c:pt idx="3056">
                  <c:v>41011</c:v>
                </c:pt>
                <c:pt idx="3057">
                  <c:v>41010</c:v>
                </c:pt>
                <c:pt idx="3058">
                  <c:v>41009</c:v>
                </c:pt>
                <c:pt idx="3059">
                  <c:v>41008</c:v>
                </c:pt>
                <c:pt idx="3060">
                  <c:v>41005</c:v>
                </c:pt>
                <c:pt idx="3061">
                  <c:v>41004</c:v>
                </c:pt>
                <c:pt idx="3062">
                  <c:v>41003</c:v>
                </c:pt>
                <c:pt idx="3063">
                  <c:v>41002</c:v>
                </c:pt>
                <c:pt idx="3064">
                  <c:v>41001</c:v>
                </c:pt>
                <c:pt idx="3065">
                  <c:v>40998</c:v>
                </c:pt>
                <c:pt idx="3066">
                  <c:v>40997</c:v>
                </c:pt>
                <c:pt idx="3067">
                  <c:v>40996</c:v>
                </c:pt>
                <c:pt idx="3068">
                  <c:v>40995</c:v>
                </c:pt>
                <c:pt idx="3069">
                  <c:v>40994</c:v>
                </c:pt>
                <c:pt idx="3070">
                  <c:v>40991</c:v>
                </c:pt>
                <c:pt idx="3071">
                  <c:v>40990</c:v>
                </c:pt>
                <c:pt idx="3072">
                  <c:v>40989</c:v>
                </c:pt>
                <c:pt idx="3073">
                  <c:v>40988</c:v>
                </c:pt>
                <c:pt idx="3074">
                  <c:v>40987</c:v>
                </c:pt>
                <c:pt idx="3075">
                  <c:v>40984</c:v>
                </c:pt>
                <c:pt idx="3076">
                  <c:v>40983</c:v>
                </c:pt>
                <c:pt idx="3077">
                  <c:v>40982</c:v>
                </c:pt>
                <c:pt idx="3078">
                  <c:v>40981</c:v>
                </c:pt>
                <c:pt idx="3079">
                  <c:v>40980</c:v>
                </c:pt>
                <c:pt idx="3080">
                  <c:v>40977</c:v>
                </c:pt>
                <c:pt idx="3081">
                  <c:v>40976</c:v>
                </c:pt>
                <c:pt idx="3082">
                  <c:v>40975</c:v>
                </c:pt>
                <c:pt idx="3083">
                  <c:v>40974</c:v>
                </c:pt>
                <c:pt idx="3084">
                  <c:v>40973</c:v>
                </c:pt>
                <c:pt idx="3085">
                  <c:v>40970</c:v>
                </c:pt>
                <c:pt idx="3086">
                  <c:v>40969</c:v>
                </c:pt>
                <c:pt idx="3087">
                  <c:v>40968</c:v>
                </c:pt>
                <c:pt idx="3088">
                  <c:v>40967</c:v>
                </c:pt>
                <c:pt idx="3089">
                  <c:v>40966</c:v>
                </c:pt>
                <c:pt idx="3090">
                  <c:v>40963</c:v>
                </c:pt>
                <c:pt idx="3091">
                  <c:v>40962</c:v>
                </c:pt>
                <c:pt idx="3092">
                  <c:v>40961</c:v>
                </c:pt>
                <c:pt idx="3093">
                  <c:v>40960</c:v>
                </c:pt>
                <c:pt idx="3094">
                  <c:v>40959</c:v>
                </c:pt>
                <c:pt idx="3095">
                  <c:v>40956</c:v>
                </c:pt>
                <c:pt idx="3096">
                  <c:v>40955</c:v>
                </c:pt>
                <c:pt idx="3097">
                  <c:v>40954</c:v>
                </c:pt>
                <c:pt idx="3098">
                  <c:v>40953</c:v>
                </c:pt>
                <c:pt idx="3099">
                  <c:v>40952</c:v>
                </c:pt>
                <c:pt idx="3100">
                  <c:v>40949</c:v>
                </c:pt>
                <c:pt idx="3101">
                  <c:v>40948</c:v>
                </c:pt>
                <c:pt idx="3102">
                  <c:v>40947</c:v>
                </c:pt>
                <c:pt idx="3103">
                  <c:v>40946</c:v>
                </c:pt>
                <c:pt idx="3104">
                  <c:v>40945</c:v>
                </c:pt>
                <c:pt idx="3105">
                  <c:v>40942</c:v>
                </c:pt>
                <c:pt idx="3106">
                  <c:v>40941</c:v>
                </c:pt>
                <c:pt idx="3107">
                  <c:v>40940</c:v>
                </c:pt>
                <c:pt idx="3108">
                  <c:v>40939</c:v>
                </c:pt>
                <c:pt idx="3109">
                  <c:v>40938</c:v>
                </c:pt>
                <c:pt idx="3110">
                  <c:v>40935</c:v>
                </c:pt>
                <c:pt idx="3111">
                  <c:v>40934</c:v>
                </c:pt>
                <c:pt idx="3112">
                  <c:v>40933</c:v>
                </c:pt>
                <c:pt idx="3113">
                  <c:v>40932</c:v>
                </c:pt>
                <c:pt idx="3114">
                  <c:v>40931</c:v>
                </c:pt>
                <c:pt idx="3115">
                  <c:v>40928</c:v>
                </c:pt>
                <c:pt idx="3116">
                  <c:v>40927</c:v>
                </c:pt>
                <c:pt idx="3117">
                  <c:v>40926</c:v>
                </c:pt>
                <c:pt idx="3118">
                  <c:v>40925</c:v>
                </c:pt>
                <c:pt idx="3119">
                  <c:v>40924</c:v>
                </c:pt>
                <c:pt idx="3120">
                  <c:v>40921</c:v>
                </c:pt>
                <c:pt idx="3121">
                  <c:v>40920</c:v>
                </c:pt>
                <c:pt idx="3122">
                  <c:v>40919</c:v>
                </c:pt>
                <c:pt idx="3123">
                  <c:v>40918</c:v>
                </c:pt>
                <c:pt idx="3124">
                  <c:v>40917</c:v>
                </c:pt>
                <c:pt idx="3125">
                  <c:v>40914</c:v>
                </c:pt>
                <c:pt idx="3126">
                  <c:v>40913</c:v>
                </c:pt>
                <c:pt idx="3127">
                  <c:v>40912</c:v>
                </c:pt>
                <c:pt idx="3128">
                  <c:v>40911</c:v>
                </c:pt>
                <c:pt idx="3129">
                  <c:v>40910</c:v>
                </c:pt>
                <c:pt idx="3130">
                  <c:v>40907</c:v>
                </c:pt>
                <c:pt idx="3131">
                  <c:v>40906</c:v>
                </c:pt>
                <c:pt idx="3132">
                  <c:v>40905</c:v>
                </c:pt>
                <c:pt idx="3133">
                  <c:v>40904</c:v>
                </c:pt>
                <c:pt idx="3134">
                  <c:v>40903</c:v>
                </c:pt>
                <c:pt idx="3135">
                  <c:v>40900</c:v>
                </c:pt>
                <c:pt idx="3136">
                  <c:v>40899</c:v>
                </c:pt>
                <c:pt idx="3137">
                  <c:v>40898</c:v>
                </c:pt>
                <c:pt idx="3138">
                  <c:v>40897</c:v>
                </c:pt>
                <c:pt idx="3139">
                  <c:v>40896</c:v>
                </c:pt>
                <c:pt idx="3140">
                  <c:v>40893</c:v>
                </c:pt>
                <c:pt idx="3141">
                  <c:v>40892</c:v>
                </c:pt>
                <c:pt idx="3142">
                  <c:v>40891</c:v>
                </c:pt>
                <c:pt idx="3143">
                  <c:v>40890</c:v>
                </c:pt>
                <c:pt idx="3144">
                  <c:v>40889</c:v>
                </c:pt>
                <c:pt idx="3145">
                  <c:v>40886</c:v>
                </c:pt>
                <c:pt idx="3146">
                  <c:v>40885</c:v>
                </c:pt>
                <c:pt idx="3147">
                  <c:v>40884</c:v>
                </c:pt>
                <c:pt idx="3148">
                  <c:v>40883</c:v>
                </c:pt>
                <c:pt idx="3149">
                  <c:v>40882</c:v>
                </c:pt>
                <c:pt idx="3150">
                  <c:v>40879</c:v>
                </c:pt>
                <c:pt idx="3151">
                  <c:v>40878</c:v>
                </c:pt>
                <c:pt idx="3152">
                  <c:v>40877</c:v>
                </c:pt>
                <c:pt idx="3153">
                  <c:v>40876</c:v>
                </c:pt>
                <c:pt idx="3154">
                  <c:v>40875</c:v>
                </c:pt>
                <c:pt idx="3155">
                  <c:v>40872</c:v>
                </c:pt>
                <c:pt idx="3156">
                  <c:v>40871</c:v>
                </c:pt>
                <c:pt idx="3157">
                  <c:v>40870</c:v>
                </c:pt>
                <c:pt idx="3158">
                  <c:v>40869</c:v>
                </c:pt>
                <c:pt idx="3159">
                  <c:v>40868</c:v>
                </c:pt>
                <c:pt idx="3160">
                  <c:v>40865</c:v>
                </c:pt>
                <c:pt idx="3161">
                  <c:v>40864</c:v>
                </c:pt>
                <c:pt idx="3162">
                  <c:v>40863</c:v>
                </c:pt>
                <c:pt idx="3163">
                  <c:v>40862</c:v>
                </c:pt>
                <c:pt idx="3164">
                  <c:v>40861</c:v>
                </c:pt>
                <c:pt idx="3165">
                  <c:v>40858</c:v>
                </c:pt>
                <c:pt idx="3166">
                  <c:v>40857</c:v>
                </c:pt>
                <c:pt idx="3167">
                  <c:v>40856</c:v>
                </c:pt>
                <c:pt idx="3168">
                  <c:v>40855</c:v>
                </c:pt>
                <c:pt idx="3169">
                  <c:v>40854</c:v>
                </c:pt>
                <c:pt idx="3170">
                  <c:v>40851</c:v>
                </c:pt>
                <c:pt idx="3171">
                  <c:v>40850</c:v>
                </c:pt>
                <c:pt idx="3172">
                  <c:v>40849</c:v>
                </c:pt>
                <c:pt idx="3173">
                  <c:v>40848</c:v>
                </c:pt>
                <c:pt idx="3174">
                  <c:v>40847</c:v>
                </c:pt>
                <c:pt idx="3175">
                  <c:v>40844</c:v>
                </c:pt>
                <c:pt idx="3176">
                  <c:v>40843</c:v>
                </c:pt>
                <c:pt idx="3177">
                  <c:v>40842</c:v>
                </c:pt>
                <c:pt idx="3178">
                  <c:v>40841</c:v>
                </c:pt>
                <c:pt idx="3179">
                  <c:v>40840</c:v>
                </c:pt>
                <c:pt idx="3180">
                  <c:v>40837</c:v>
                </c:pt>
                <c:pt idx="3181">
                  <c:v>40836</c:v>
                </c:pt>
                <c:pt idx="3182">
                  <c:v>40835</c:v>
                </c:pt>
                <c:pt idx="3183">
                  <c:v>40834</c:v>
                </c:pt>
                <c:pt idx="3184">
                  <c:v>40833</c:v>
                </c:pt>
                <c:pt idx="3185">
                  <c:v>40830</c:v>
                </c:pt>
                <c:pt idx="3186">
                  <c:v>40829</c:v>
                </c:pt>
                <c:pt idx="3187">
                  <c:v>40828</c:v>
                </c:pt>
                <c:pt idx="3188">
                  <c:v>40827</c:v>
                </c:pt>
                <c:pt idx="3189">
                  <c:v>40826</c:v>
                </c:pt>
                <c:pt idx="3190">
                  <c:v>40823</c:v>
                </c:pt>
                <c:pt idx="3191">
                  <c:v>40822</c:v>
                </c:pt>
                <c:pt idx="3192">
                  <c:v>40821</c:v>
                </c:pt>
                <c:pt idx="3193">
                  <c:v>40820</c:v>
                </c:pt>
                <c:pt idx="3194">
                  <c:v>40819</c:v>
                </c:pt>
                <c:pt idx="3195">
                  <c:v>40816</c:v>
                </c:pt>
                <c:pt idx="3196">
                  <c:v>40815</c:v>
                </c:pt>
                <c:pt idx="3197">
                  <c:v>40814</c:v>
                </c:pt>
                <c:pt idx="3198">
                  <c:v>40813</c:v>
                </c:pt>
                <c:pt idx="3199">
                  <c:v>40812</c:v>
                </c:pt>
                <c:pt idx="3200">
                  <c:v>40809</c:v>
                </c:pt>
                <c:pt idx="3201">
                  <c:v>40808</c:v>
                </c:pt>
                <c:pt idx="3202">
                  <c:v>40807</c:v>
                </c:pt>
                <c:pt idx="3203">
                  <c:v>40806</c:v>
                </c:pt>
                <c:pt idx="3204">
                  <c:v>40805</c:v>
                </c:pt>
                <c:pt idx="3205">
                  <c:v>40802</c:v>
                </c:pt>
                <c:pt idx="3206">
                  <c:v>40801</c:v>
                </c:pt>
                <c:pt idx="3207">
                  <c:v>40800</c:v>
                </c:pt>
                <c:pt idx="3208">
                  <c:v>40799</c:v>
                </c:pt>
                <c:pt idx="3209">
                  <c:v>40798</c:v>
                </c:pt>
                <c:pt idx="3210">
                  <c:v>40795</c:v>
                </c:pt>
                <c:pt idx="3211">
                  <c:v>40794</c:v>
                </c:pt>
                <c:pt idx="3212">
                  <c:v>40793</c:v>
                </c:pt>
                <c:pt idx="3213">
                  <c:v>40792</c:v>
                </c:pt>
                <c:pt idx="3214">
                  <c:v>40791</c:v>
                </c:pt>
                <c:pt idx="3215">
                  <c:v>40788</c:v>
                </c:pt>
                <c:pt idx="3216">
                  <c:v>40787</c:v>
                </c:pt>
                <c:pt idx="3217">
                  <c:v>40786</c:v>
                </c:pt>
                <c:pt idx="3218">
                  <c:v>40785</c:v>
                </c:pt>
                <c:pt idx="3219">
                  <c:v>40784</c:v>
                </c:pt>
                <c:pt idx="3220">
                  <c:v>40781</c:v>
                </c:pt>
                <c:pt idx="3221">
                  <c:v>40780</c:v>
                </c:pt>
                <c:pt idx="3222">
                  <c:v>40779</c:v>
                </c:pt>
                <c:pt idx="3223">
                  <c:v>40778</c:v>
                </c:pt>
                <c:pt idx="3224">
                  <c:v>40777</c:v>
                </c:pt>
                <c:pt idx="3225">
                  <c:v>40774</c:v>
                </c:pt>
                <c:pt idx="3226">
                  <c:v>40773</c:v>
                </c:pt>
                <c:pt idx="3227">
                  <c:v>40772</c:v>
                </c:pt>
                <c:pt idx="3228">
                  <c:v>40771</c:v>
                </c:pt>
                <c:pt idx="3229">
                  <c:v>40770</c:v>
                </c:pt>
                <c:pt idx="3230">
                  <c:v>40767</c:v>
                </c:pt>
                <c:pt idx="3231">
                  <c:v>40766</c:v>
                </c:pt>
                <c:pt idx="3232">
                  <c:v>40765</c:v>
                </c:pt>
                <c:pt idx="3233">
                  <c:v>40764</c:v>
                </c:pt>
                <c:pt idx="3234">
                  <c:v>40763</c:v>
                </c:pt>
                <c:pt idx="3235">
                  <c:v>40760</c:v>
                </c:pt>
                <c:pt idx="3236">
                  <c:v>40759</c:v>
                </c:pt>
                <c:pt idx="3237">
                  <c:v>40758</c:v>
                </c:pt>
                <c:pt idx="3238">
                  <c:v>40757</c:v>
                </c:pt>
                <c:pt idx="3239">
                  <c:v>40756</c:v>
                </c:pt>
                <c:pt idx="3240">
                  <c:v>40753</c:v>
                </c:pt>
                <c:pt idx="3241">
                  <c:v>40752</c:v>
                </c:pt>
                <c:pt idx="3242">
                  <c:v>40751</c:v>
                </c:pt>
                <c:pt idx="3243">
                  <c:v>40750</c:v>
                </c:pt>
                <c:pt idx="3244">
                  <c:v>40749</c:v>
                </c:pt>
                <c:pt idx="3245">
                  <c:v>40746</c:v>
                </c:pt>
                <c:pt idx="3246">
                  <c:v>40745</c:v>
                </c:pt>
                <c:pt idx="3247">
                  <c:v>40744</c:v>
                </c:pt>
                <c:pt idx="3248">
                  <c:v>40743</c:v>
                </c:pt>
                <c:pt idx="3249">
                  <c:v>40742</c:v>
                </c:pt>
                <c:pt idx="3250">
                  <c:v>40739</c:v>
                </c:pt>
                <c:pt idx="3251">
                  <c:v>40738</c:v>
                </c:pt>
                <c:pt idx="3252">
                  <c:v>40737</c:v>
                </c:pt>
                <c:pt idx="3253">
                  <c:v>40736</c:v>
                </c:pt>
                <c:pt idx="3254">
                  <c:v>40735</c:v>
                </c:pt>
                <c:pt idx="3255">
                  <c:v>40732</c:v>
                </c:pt>
                <c:pt idx="3256">
                  <c:v>40731</c:v>
                </c:pt>
                <c:pt idx="3257">
                  <c:v>40730</c:v>
                </c:pt>
                <c:pt idx="3258">
                  <c:v>40729</c:v>
                </c:pt>
                <c:pt idx="3259">
                  <c:v>40728</c:v>
                </c:pt>
                <c:pt idx="3260">
                  <c:v>40725</c:v>
                </c:pt>
                <c:pt idx="3261">
                  <c:v>40724</c:v>
                </c:pt>
                <c:pt idx="3262">
                  <c:v>40723</c:v>
                </c:pt>
                <c:pt idx="3263">
                  <c:v>40722</c:v>
                </c:pt>
                <c:pt idx="3264">
                  <c:v>40721</c:v>
                </c:pt>
                <c:pt idx="3265">
                  <c:v>40718</c:v>
                </c:pt>
                <c:pt idx="3266">
                  <c:v>40717</c:v>
                </c:pt>
                <c:pt idx="3267">
                  <c:v>40716</c:v>
                </c:pt>
                <c:pt idx="3268">
                  <c:v>40715</c:v>
                </c:pt>
                <c:pt idx="3269">
                  <c:v>40714</c:v>
                </c:pt>
                <c:pt idx="3270">
                  <c:v>40711</c:v>
                </c:pt>
                <c:pt idx="3271">
                  <c:v>40710</c:v>
                </c:pt>
                <c:pt idx="3272">
                  <c:v>40709</c:v>
                </c:pt>
                <c:pt idx="3273">
                  <c:v>40708</c:v>
                </c:pt>
                <c:pt idx="3274">
                  <c:v>40707</c:v>
                </c:pt>
                <c:pt idx="3275">
                  <c:v>40704</c:v>
                </c:pt>
                <c:pt idx="3276">
                  <c:v>40703</c:v>
                </c:pt>
                <c:pt idx="3277">
                  <c:v>40702</c:v>
                </c:pt>
                <c:pt idx="3278">
                  <c:v>40701</c:v>
                </c:pt>
                <c:pt idx="3279">
                  <c:v>40700</c:v>
                </c:pt>
                <c:pt idx="3280">
                  <c:v>40697</c:v>
                </c:pt>
                <c:pt idx="3281">
                  <c:v>40696</c:v>
                </c:pt>
                <c:pt idx="3282">
                  <c:v>40695</c:v>
                </c:pt>
                <c:pt idx="3283">
                  <c:v>40694</c:v>
                </c:pt>
                <c:pt idx="3284">
                  <c:v>40693</c:v>
                </c:pt>
                <c:pt idx="3285">
                  <c:v>40690</c:v>
                </c:pt>
                <c:pt idx="3286">
                  <c:v>40689</c:v>
                </c:pt>
                <c:pt idx="3287">
                  <c:v>40688</c:v>
                </c:pt>
                <c:pt idx="3288">
                  <c:v>40687</c:v>
                </c:pt>
                <c:pt idx="3289">
                  <c:v>40686</c:v>
                </c:pt>
                <c:pt idx="3290">
                  <c:v>40683</c:v>
                </c:pt>
                <c:pt idx="3291">
                  <c:v>40682</c:v>
                </c:pt>
                <c:pt idx="3292">
                  <c:v>40681</c:v>
                </c:pt>
                <c:pt idx="3293">
                  <c:v>40680</c:v>
                </c:pt>
                <c:pt idx="3294">
                  <c:v>40679</c:v>
                </c:pt>
                <c:pt idx="3295">
                  <c:v>40676</c:v>
                </c:pt>
                <c:pt idx="3296">
                  <c:v>40675</c:v>
                </c:pt>
                <c:pt idx="3297">
                  <c:v>40674</c:v>
                </c:pt>
                <c:pt idx="3298">
                  <c:v>40673</c:v>
                </c:pt>
                <c:pt idx="3299">
                  <c:v>40672</c:v>
                </c:pt>
                <c:pt idx="3300">
                  <c:v>40669</c:v>
                </c:pt>
                <c:pt idx="3301">
                  <c:v>40668</c:v>
                </c:pt>
                <c:pt idx="3302">
                  <c:v>40667</c:v>
                </c:pt>
                <c:pt idx="3303">
                  <c:v>40666</c:v>
                </c:pt>
                <c:pt idx="3304">
                  <c:v>40665</c:v>
                </c:pt>
                <c:pt idx="3305">
                  <c:v>40662</c:v>
                </c:pt>
                <c:pt idx="3306">
                  <c:v>40661</c:v>
                </c:pt>
                <c:pt idx="3307">
                  <c:v>40660</c:v>
                </c:pt>
                <c:pt idx="3308">
                  <c:v>40659</c:v>
                </c:pt>
                <c:pt idx="3309">
                  <c:v>40658</c:v>
                </c:pt>
                <c:pt idx="3310">
                  <c:v>40655</c:v>
                </c:pt>
                <c:pt idx="3311">
                  <c:v>40654</c:v>
                </c:pt>
                <c:pt idx="3312">
                  <c:v>40653</c:v>
                </c:pt>
                <c:pt idx="3313">
                  <c:v>40652</c:v>
                </c:pt>
                <c:pt idx="3314">
                  <c:v>40651</c:v>
                </c:pt>
                <c:pt idx="3315">
                  <c:v>40648</c:v>
                </c:pt>
                <c:pt idx="3316">
                  <c:v>40647</c:v>
                </c:pt>
                <c:pt idx="3317">
                  <c:v>40646</c:v>
                </c:pt>
                <c:pt idx="3318">
                  <c:v>40645</c:v>
                </c:pt>
                <c:pt idx="3319">
                  <c:v>40644</c:v>
                </c:pt>
                <c:pt idx="3320">
                  <c:v>40641</c:v>
                </c:pt>
                <c:pt idx="3321">
                  <c:v>40640</c:v>
                </c:pt>
                <c:pt idx="3322">
                  <c:v>40639</c:v>
                </c:pt>
                <c:pt idx="3323">
                  <c:v>40638</c:v>
                </c:pt>
                <c:pt idx="3324">
                  <c:v>40637</c:v>
                </c:pt>
                <c:pt idx="3325">
                  <c:v>40634</c:v>
                </c:pt>
                <c:pt idx="3326">
                  <c:v>40633</c:v>
                </c:pt>
                <c:pt idx="3327">
                  <c:v>40632</c:v>
                </c:pt>
                <c:pt idx="3328">
                  <c:v>40631</c:v>
                </c:pt>
                <c:pt idx="3329">
                  <c:v>40630</c:v>
                </c:pt>
                <c:pt idx="3330">
                  <c:v>40627</c:v>
                </c:pt>
                <c:pt idx="3331">
                  <c:v>40626</c:v>
                </c:pt>
                <c:pt idx="3332">
                  <c:v>40625</c:v>
                </c:pt>
                <c:pt idx="3333">
                  <c:v>40624</c:v>
                </c:pt>
                <c:pt idx="3334">
                  <c:v>40623</c:v>
                </c:pt>
                <c:pt idx="3335">
                  <c:v>40620</c:v>
                </c:pt>
                <c:pt idx="3336">
                  <c:v>40619</c:v>
                </c:pt>
                <c:pt idx="3337">
                  <c:v>40618</c:v>
                </c:pt>
                <c:pt idx="3338">
                  <c:v>40617</c:v>
                </c:pt>
                <c:pt idx="3339">
                  <c:v>40616</c:v>
                </c:pt>
                <c:pt idx="3340">
                  <c:v>40613</c:v>
                </c:pt>
                <c:pt idx="3341">
                  <c:v>40612</c:v>
                </c:pt>
                <c:pt idx="3342">
                  <c:v>40611</c:v>
                </c:pt>
                <c:pt idx="3343">
                  <c:v>40610</c:v>
                </c:pt>
                <c:pt idx="3344">
                  <c:v>40609</c:v>
                </c:pt>
                <c:pt idx="3345">
                  <c:v>40606</c:v>
                </c:pt>
                <c:pt idx="3346">
                  <c:v>40605</c:v>
                </c:pt>
                <c:pt idx="3347">
                  <c:v>40604</c:v>
                </c:pt>
                <c:pt idx="3348">
                  <c:v>40603</c:v>
                </c:pt>
                <c:pt idx="3349">
                  <c:v>40602</c:v>
                </c:pt>
                <c:pt idx="3350">
                  <c:v>40599</c:v>
                </c:pt>
                <c:pt idx="3351">
                  <c:v>40598</c:v>
                </c:pt>
                <c:pt idx="3352">
                  <c:v>40597</c:v>
                </c:pt>
                <c:pt idx="3353">
                  <c:v>40596</c:v>
                </c:pt>
                <c:pt idx="3354">
                  <c:v>40595</c:v>
                </c:pt>
                <c:pt idx="3355">
                  <c:v>40592</c:v>
                </c:pt>
                <c:pt idx="3356">
                  <c:v>40591</c:v>
                </c:pt>
                <c:pt idx="3357">
                  <c:v>40590</c:v>
                </c:pt>
                <c:pt idx="3358">
                  <c:v>40589</c:v>
                </c:pt>
                <c:pt idx="3359">
                  <c:v>40588</c:v>
                </c:pt>
                <c:pt idx="3360">
                  <c:v>40585</c:v>
                </c:pt>
                <c:pt idx="3361">
                  <c:v>40584</c:v>
                </c:pt>
                <c:pt idx="3362">
                  <c:v>40583</c:v>
                </c:pt>
                <c:pt idx="3363">
                  <c:v>40582</c:v>
                </c:pt>
                <c:pt idx="3364">
                  <c:v>40581</c:v>
                </c:pt>
                <c:pt idx="3365">
                  <c:v>40578</c:v>
                </c:pt>
                <c:pt idx="3366">
                  <c:v>40577</c:v>
                </c:pt>
                <c:pt idx="3367">
                  <c:v>40576</c:v>
                </c:pt>
                <c:pt idx="3368">
                  <c:v>40575</c:v>
                </c:pt>
                <c:pt idx="3369">
                  <c:v>40574</c:v>
                </c:pt>
                <c:pt idx="3370">
                  <c:v>40571</c:v>
                </c:pt>
                <c:pt idx="3371">
                  <c:v>40570</c:v>
                </c:pt>
                <c:pt idx="3372">
                  <c:v>40569</c:v>
                </c:pt>
                <c:pt idx="3373">
                  <c:v>40568</c:v>
                </c:pt>
                <c:pt idx="3374">
                  <c:v>40567</c:v>
                </c:pt>
                <c:pt idx="3375">
                  <c:v>40564</c:v>
                </c:pt>
                <c:pt idx="3376">
                  <c:v>40563</c:v>
                </c:pt>
                <c:pt idx="3377">
                  <c:v>40562</c:v>
                </c:pt>
                <c:pt idx="3378">
                  <c:v>40561</c:v>
                </c:pt>
                <c:pt idx="3379">
                  <c:v>40560</c:v>
                </c:pt>
                <c:pt idx="3380">
                  <c:v>40557</c:v>
                </c:pt>
                <c:pt idx="3381">
                  <c:v>40556</c:v>
                </c:pt>
                <c:pt idx="3382">
                  <c:v>40555</c:v>
                </c:pt>
                <c:pt idx="3383">
                  <c:v>40554</c:v>
                </c:pt>
                <c:pt idx="3384">
                  <c:v>40553</c:v>
                </c:pt>
                <c:pt idx="3385">
                  <c:v>40550</c:v>
                </c:pt>
                <c:pt idx="3386">
                  <c:v>40549</c:v>
                </c:pt>
                <c:pt idx="3387">
                  <c:v>40548</c:v>
                </c:pt>
                <c:pt idx="3388">
                  <c:v>40547</c:v>
                </c:pt>
                <c:pt idx="3389">
                  <c:v>40546</c:v>
                </c:pt>
                <c:pt idx="3390">
                  <c:v>40543</c:v>
                </c:pt>
                <c:pt idx="3391">
                  <c:v>40542</c:v>
                </c:pt>
                <c:pt idx="3392">
                  <c:v>40541</c:v>
                </c:pt>
                <c:pt idx="3393">
                  <c:v>40540</c:v>
                </c:pt>
                <c:pt idx="3394">
                  <c:v>40539</c:v>
                </c:pt>
                <c:pt idx="3395">
                  <c:v>40536</c:v>
                </c:pt>
                <c:pt idx="3396">
                  <c:v>40535</c:v>
                </c:pt>
                <c:pt idx="3397">
                  <c:v>40534</c:v>
                </c:pt>
                <c:pt idx="3398">
                  <c:v>40533</c:v>
                </c:pt>
                <c:pt idx="3399">
                  <c:v>40532</c:v>
                </c:pt>
                <c:pt idx="3400">
                  <c:v>40529</c:v>
                </c:pt>
                <c:pt idx="3401">
                  <c:v>40528</c:v>
                </c:pt>
                <c:pt idx="3402">
                  <c:v>40527</c:v>
                </c:pt>
                <c:pt idx="3403">
                  <c:v>40526</c:v>
                </c:pt>
                <c:pt idx="3404">
                  <c:v>40525</c:v>
                </c:pt>
                <c:pt idx="3405">
                  <c:v>40522</c:v>
                </c:pt>
                <c:pt idx="3406">
                  <c:v>40521</c:v>
                </c:pt>
                <c:pt idx="3407">
                  <c:v>40520</c:v>
                </c:pt>
                <c:pt idx="3408">
                  <c:v>40519</c:v>
                </c:pt>
                <c:pt idx="3409">
                  <c:v>40518</c:v>
                </c:pt>
                <c:pt idx="3410">
                  <c:v>40515</c:v>
                </c:pt>
                <c:pt idx="3411">
                  <c:v>40514</c:v>
                </c:pt>
                <c:pt idx="3412">
                  <c:v>40513</c:v>
                </c:pt>
                <c:pt idx="3413">
                  <c:v>40512</c:v>
                </c:pt>
                <c:pt idx="3414">
                  <c:v>40511</c:v>
                </c:pt>
                <c:pt idx="3415">
                  <c:v>40508</c:v>
                </c:pt>
                <c:pt idx="3416">
                  <c:v>40507</c:v>
                </c:pt>
                <c:pt idx="3417">
                  <c:v>40506</c:v>
                </c:pt>
                <c:pt idx="3418">
                  <c:v>40505</c:v>
                </c:pt>
                <c:pt idx="3419">
                  <c:v>40504</c:v>
                </c:pt>
                <c:pt idx="3420">
                  <c:v>40501</c:v>
                </c:pt>
                <c:pt idx="3421">
                  <c:v>40500</c:v>
                </c:pt>
                <c:pt idx="3422">
                  <c:v>40499</c:v>
                </c:pt>
                <c:pt idx="3423">
                  <c:v>40498</c:v>
                </c:pt>
                <c:pt idx="3424">
                  <c:v>40497</c:v>
                </c:pt>
                <c:pt idx="3425">
                  <c:v>40494</c:v>
                </c:pt>
                <c:pt idx="3426">
                  <c:v>40493</c:v>
                </c:pt>
                <c:pt idx="3427">
                  <c:v>40492</c:v>
                </c:pt>
                <c:pt idx="3428">
                  <c:v>40491</c:v>
                </c:pt>
                <c:pt idx="3429">
                  <c:v>40490</c:v>
                </c:pt>
                <c:pt idx="3430">
                  <c:v>40487</c:v>
                </c:pt>
                <c:pt idx="3431">
                  <c:v>40486</c:v>
                </c:pt>
                <c:pt idx="3432">
                  <c:v>40485</c:v>
                </c:pt>
                <c:pt idx="3433">
                  <c:v>40484</c:v>
                </c:pt>
                <c:pt idx="3434">
                  <c:v>40483</c:v>
                </c:pt>
                <c:pt idx="3435">
                  <c:v>40480</c:v>
                </c:pt>
                <c:pt idx="3436">
                  <c:v>40479</c:v>
                </c:pt>
                <c:pt idx="3437">
                  <c:v>40478</c:v>
                </c:pt>
                <c:pt idx="3438">
                  <c:v>40477</c:v>
                </c:pt>
                <c:pt idx="3439">
                  <c:v>40476</c:v>
                </c:pt>
                <c:pt idx="3440">
                  <c:v>40473</c:v>
                </c:pt>
                <c:pt idx="3441">
                  <c:v>40472</c:v>
                </c:pt>
                <c:pt idx="3442">
                  <c:v>40471</c:v>
                </c:pt>
                <c:pt idx="3443">
                  <c:v>40470</c:v>
                </c:pt>
                <c:pt idx="3444">
                  <c:v>40469</c:v>
                </c:pt>
                <c:pt idx="3445">
                  <c:v>40466</c:v>
                </c:pt>
                <c:pt idx="3446">
                  <c:v>40465</c:v>
                </c:pt>
                <c:pt idx="3447">
                  <c:v>40464</c:v>
                </c:pt>
                <c:pt idx="3448">
                  <c:v>40463</c:v>
                </c:pt>
                <c:pt idx="3449">
                  <c:v>40462</c:v>
                </c:pt>
                <c:pt idx="3450">
                  <c:v>40459</c:v>
                </c:pt>
                <c:pt idx="3451">
                  <c:v>40458</c:v>
                </c:pt>
                <c:pt idx="3452">
                  <c:v>40457</c:v>
                </c:pt>
                <c:pt idx="3453">
                  <c:v>40456</c:v>
                </c:pt>
                <c:pt idx="3454">
                  <c:v>40455</c:v>
                </c:pt>
                <c:pt idx="3455">
                  <c:v>40452</c:v>
                </c:pt>
                <c:pt idx="3456">
                  <c:v>40451</c:v>
                </c:pt>
                <c:pt idx="3457">
                  <c:v>40450</c:v>
                </c:pt>
                <c:pt idx="3458">
                  <c:v>40449</c:v>
                </c:pt>
                <c:pt idx="3459">
                  <c:v>40448</c:v>
                </c:pt>
                <c:pt idx="3460">
                  <c:v>40445</c:v>
                </c:pt>
                <c:pt idx="3461">
                  <c:v>40444</c:v>
                </c:pt>
                <c:pt idx="3462">
                  <c:v>40443</c:v>
                </c:pt>
                <c:pt idx="3463">
                  <c:v>40442</c:v>
                </c:pt>
                <c:pt idx="3464">
                  <c:v>40441</c:v>
                </c:pt>
                <c:pt idx="3465">
                  <c:v>40438</c:v>
                </c:pt>
                <c:pt idx="3466">
                  <c:v>40437</c:v>
                </c:pt>
                <c:pt idx="3467">
                  <c:v>40436</c:v>
                </c:pt>
                <c:pt idx="3468">
                  <c:v>40435</c:v>
                </c:pt>
                <c:pt idx="3469">
                  <c:v>40434</c:v>
                </c:pt>
                <c:pt idx="3470">
                  <c:v>40431</c:v>
                </c:pt>
                <c:pt idx="3471">
                  <c:v>40430</c:v>
                </c:pt>
                <c:pt idx="3472">
                  <c:v>40429</c:v>
                </c:pt>
                <c:pt idx="3473">
                  <c:v>40428</c:v>
                </c:pt>
                <c:pt idx="3474">
                  <c:v>40427</c:v>
                </c:pt>
                <c:pt idx="3475">
                  <c:v>40424</c:v>
                </c:pt>
                <c:pt idx="3476">
                  <c:v>40423</c:v>
                </c:pt>
                <c:pt idx="3477">
                  <c:v>40422</c:v>
                </c:pt>
                <c:pt idx="3478">
                  <c:v>40421</c:v>
                </c:pt>
                <c:pt idx="3479">
                  <c:v>40420</c:v>
                </c:pt>
                <c:pt idx="3480">
                  <c:v>40417</c:v>
                </c:pt>
                <c:pt idx="3481">
                  <c:v>40416</c:v>
                </c:pt>
                <c:pt idx="3482">
                  <c:v>40415</c:v>
                </c:pt>
                <c:pt idx="3483">
                  <c:v>40414</c:v>
                </c:pt>
                <c:pt idx="3484">
                  <c:v>40413</c:v>
                </c:pt>
                <c:pt idx="3485">
                  <c:v>40410</c:v>
                </c:pt>
                <c:pt idx="3486">
                  <c:v>40409</c:v>
                </c:pt>
                <c:pt idx="3487">
                  <c:v>40408</c:v>
                </c:pt>
                <c:pt idx="3488">
                  <c:v>40407</c:v>
                </c:pt>
                <c:pt idx="3489">
                  <c:v>40406</c:v>
                </c:pt>
                <c:pt idx="3490">
                  <c:v>40403</c:v>
                </c:pt>
                <c:pt idx="3491">
                  <c:v>40402</c:v>
                </c:pt>
                <c:pt idx="3492">
                  <c:v>40401</c:v>
                </c:pt>
                <c:pt idx="3493">
                  <c:v>40400</c:v>
                </c:pt>
                <c:pt idx="3494">
                  <c:v>40399</c:v>
                </c:pt>
                <c:pt idx="3495">
                  <c:v>40396</c:v>
                </c:pt>
                <c:pt idx="3496">
                  <c:v>40395</c:v>
                </c:pt>
                <c:pt idx="3497">
                  <c:v>40394</c:v>
                </c:pt>
                <c:pt idx="3498">
                  <c:v>40393</c:v>
                </c:pt>
                <c:pt idx="3499">
                  <c:v>40392</c:v>
                </c:pt>
                <c:pt idx="3500">
                  <c:v>40389</c:v>
                </c:pt>
                <c:pt idx="3501">
                  <c:v>40388</c:v>
                </c:pt>
                <c:pt idx="3502">
                  <c:v>40387</c:v>
                </c:pt>
                <c:pt idx="3503">
                  <c:v>40386</c:v>
                </c:pt>
                <c:pt idx="3504">
                  <c:v>40385</c:v>
                </c:pt>
                <c:pt idx="3505">
                  <c:v>40382</c:v>
                </c:pt>
                <c:pt idx="3506">
                  <c:v>40381</c:v>
                </c:pt>
                <c:pt idx="3507">
                  <c:v>40380</c:v>
                </c:pt>
                <c:pt idx="3508">
                  <c:v>40379</c:v>
                </c:pt>
                <c:pt idx="3509">
                  <c:v>40378</c:v>
                </c:pt>
                <c:pt idx="3510">
                  <c:v>40375</c:v>
                </c:pt>
                <c:pt idx="3511">
                  <c:v>40374</c:v>
                </c:pt>
                <c:pt idx="3512">
                  <c:v>40373</c:v>
                </c:pt>
                <c:pt idx="3513">
                  <c:v>40372</c:v>
                </c:pt>
                <c:pt idx="3514">
                  <c:v>40371</c:v>
                </c:pt>
                <c:pt idx="3515">
                  <c:v>40368</c:v>
                </c:pt>
                <c:pt idx="3516">
                  <c:v>40367</c:v>
                </c:pt>
                <c:pt idx="3517">
                  <c:v>40366</c:v>
                </c:pt>
                <c:pt idx="3518">
                  <c:v>40365</c:v>
                </c:pt>
                <c:pt idx="3519">
                  <c:v>40364</c:v>
                </c:pt>
                <c:pt idx="3520">
                  <c:v>40361</c:v>
                </c:pt>
                <c:pt idx="3521">
                  <c:v>40360</c:v>
                </c:pt>
                <c:pt idx="3522">
                  <c:v>40359</c:v>
                </c:pt>
                <c:pt idx="3523">
                  <c:v>40358</c:v>
                </c:pt>
                <c:pt idx="3524">
                  <c:v>40357</c:v>
                </c:pt>
                <c:pt idx="3525">
                  <c:v>40354</c:v>
                </c:pt>
                <c:pt idx="3526">
                  <c:v>40353</c:v>
                </c:pt>
                <c:pt idx="3527">
                  <c:v>40352</c:v>
                </c:pt>
                <c:pt idx="3528">
                  <c:v>40351</c:v>
                </c:pt>
                <c:pt idx="3529">
                  <c:v>40350</c:v>
                </c:pt>
                <c:pt idx="3530">
                  <c:v>40347</c:v>
                </c:pt>
                <c:pt idx="3531">
                  <c:v>40346</c:v>
                </c:pt>
                <c:pt idx="3532">
                  <c:v>40345</c:v>
                </c:pt>
                <c:pt idx="3533">
                  <c:v>40344</c:v>
                </c:pt>
                <c:pt idx="3534">
                  <c:v>40343</c:v>
                </c:pt>
                <c:pt idx="3535">
                  <c:v>40340</c:v>
                </c:pt>
                <c:pt idx="3536">
                  <c:v>40339</c:v>
                </c:pt>
                <c:pt idx="3537">
                  <c:v>40338</c:v>
                </c:pt>
                <c:pt idx="3538">
                  <c:v>40337</c:v>
                </c:pt>
                <c:pt idx="3539">
                  <c:v>40336</c:v>
                </c:pt>
                <c:pt idx="3540">
                  <c:v>40333</c:v>
                </c:pt>
                <c:pt idx="3541">
                  <c:v>40332</c:v>
                </c:pt>
                <c:pt idx="3542">
                  <c:v>40331</c:v>
                </c:pt>
                <c:pt idx="3543">
                  <c:v>40330</c:v>
                </c:pt>
                <c:pt idx="3544">
                  <c:v>40329</c:v>
                </c:pt>
                <c:pt idx="3545">
                  <c:v>40326</c:v>
                </c:pt>
                <c:pt idx="3546">
                  <c:v>40325</c:v>
                </c:pt>
                <c:pt idx="3547">
                  <c:v>40324</c:v>
                </c:pt>
                <c:pt idx="3548">
                  <c:v>40323</c:v>
                </c:pt>
                <c:pt idx="3549">
                  <c:v>40322</c:v>
                </c:pt>
                <c:pt idx="3550">
                  <c:v>40319</c:v>
                </c:pt>
                <c:pt idx="3551">
                  <c:v>40318</c:v>
                </c:pt>
                <c:pt idx="3552">
                  <c:v>40317</c:v>
                </c:pt>
                <c:pt idx="3553">
                  <c:v>40316</c:v>
                </c:pt>
                <c:pt idx="3554">
                  <c:v>40315</c:v>
                </c:pt>
                <c:pt idx="3555">
                  <c:v>40312</c:v>
                </c:pt>
                <c:pt idx="3556">
                  <c:v>40311</c:v>
                </c:pt>
                <c:pt idx="3557">
                  <c:v>40310</c:v>
                </c:pt>
                <c:pt idx="3558">
                  <c:v>40309</c:v>
                </c:pt>
                <c:pt idx="3559">
                  <c:v>40308</c:v>
                </c:pt>
                <c:pt idx="3560">
                  <c:v>40305</c:v>
                </c:pt>
                <c:pt idx="3561">
                  <c:v>40304</c:v>
                </c:pt>
                <c:pt idx="3562">
                  <c:v>40303</c:v>
                </c:pt>
                <c:pt idx="3563">
                  <c:v>40302</c:v>
                </c:pt>
                <c:pt idx="3564">
                  <c:v>40301</c:v>
                </c:pt>
                <c:pt idx="3565">
                  <c:v>40298</c:v>
                </c:pt>
                <c:pt idx="3566">
                  <c:v>40297</c:v>
                </c:pt>
                <c:pt idx="3567">
                  <c:v>40296</c:v>
                </c:pt>
                <c:pt idx="3568">
                  <c:v>40295</c:v>
                </c:pt>
                <c:pt idx="3569">
                  <c:v>40294</c:v>
                </c:pt>
                <c:pt idx="3570">
                  <c:v>40291</c:v>
                </c:pt>
                <c:pt idx="3571">
                  <c:v>40290</c:v>
                </c:pt>
                <c:pt idx="3572">
                  <c:v>40289</c:v>
                </c:pt>
                <c:pt idx="3573">
                  <c:v>40288</c:v>
                </c:pt>
                <c:pt idx="3574">
                  <c:v>40287</c:v>
                </c:pt>
                <c:pt idx="3575">
                  <c:v>40284</c:v>
                </c:pt>
                <c:pt idx="3576">
                  <c:v>40283</c:v>
                </c:pt>
                <c:pt idx="3577">
                  <c:v>40282</c:v>
                </c:pt>
                <c:pt idx="3578">
                  <c:v>40281</c:v>
                </c:pt>
                <c:pt idx="3579">
                  <c:v>40280</c:v>
                </c:pt>
                <c:pt idx="3580">
                  <c:v>40277</c:v>
                </c:pt>
                <c:pt idx="3581">
                  <c:v>40276</c:v>
                </c:pt>
                <c:pt idx="3582">
                  <c:v>40275</c:v>
                </c:pt>
                <c:pt idx="3583">
                  <c:v>40274</c:v>
                </c:pt>
                <c:pt idx="3584">
                  <c:v>40273</c:v>
                </c:pt>
                <c:pt idx="3585">
                  <c:v>40270</c:v>
                </c:pt>
                <c:pt idx="3586">
                  <c:v>40269</c:v>
                </c:pt>
                <c:pt idx="3587">
                  <c:v>40268</c:v>
                </c:pt>
                <c:pt idx="3588">
                  <c:v>40267</c:v>
                </c:pt>
                <c:pt idx="3589">
                  <c:v>40266</c:v>
                </c:pt>
                <c:pt idx="3590">
                  <c:v>40263</c:v>
                </c:pt>
                <c:pt idx="3591">
                  <c:v>40262</c:v>
                </c:pt>
                <c:pt idx="3592">
                  <c:v>40261</c:v>
                </c:pt>
                <c:pt idx="3593">
                  <c:v>40260</c:v>
                </c:pt>
                <c:pt idx="3594">
                  <c:v>40259</c:v>
                </c:pt>
                <c:pt idx="3595">
                  <c:v>40256</c:v>
                </c:pt>
                <c:pt idx="3596">
                  <c:v>40255</c:v>
                </c:pt>
                <c:pt idx="3597">
                  <c:v>40254</c:v>
                </c:pt>
                <c:pt idx="3598">
                  <c:v>40253</c:v>
                </c:pt>
                <c:pt idx="3599">
                  <c:v>40252</c:v>
                </c:pt>
                <c:pt idx="3600">
                  <c:v>40249</c:v>
                </c:pt>
                <c:pt idx="3601">
                  <c:v>40248</c:v>
                </c:pt>
                <c:pt idx="3602">
                  <c:v>40247</c:v>
                </c:pt>
                <c:pt idx="3603">
                  <c:v>40246</c:v>
                </c:pt>
                <c:pt idx="3604">
                  <c:v>40245</c:v>
                </c:pt>
                <c:pt idx="3605">
                  <c:v>40242</c:v>
                </c:pt>
                <c:pt idx="3606">
                  <c:v>40241</c:v>
                </c:pt>
                <c:pt idx="3607">
                  <c:v>40240</c:v>
                </c:pt>
                <c:pt idx="3608">
                  <c:v>40239</c:v>
                </c:pt>
                <c:pt idx="3609">
                  <c:v>40238</c:v>
                </c:pt>
                <c:pt idx="3610">
                  <c:v>40235</c:v>
                </c:pt>
                <c:pt idx="3611">
                  <c:v>40234</c:v>
                </c:pt>
                <c:pt idx="3612">
                  <c:v>40233</c:v>
                </c:pt>
                <c:pt idx="3613">
                  <c:v>40232</c:v>
                </c:pt>
                <c:pt idx="3614">
                  <c:v>40231</c:v>
                </c:pt>
                <c:pt idx="3615">
                  <c:v>40228</c:v>
                </c:pt>
                <c:pt idx="3616">
                  <c:v>40227</c:v>
                </c:pt>
                <c:pt idx="3617">
                  <c:v>40226</c:v>
                </c:pt>
                <c:pt idx="3618">
                  <c:v>40225</c:v>
                </c:pt>
                <c:pt idx="3619">
                  <c:v>40224</c:v>
                </c:pt>
                <c:pt idx="3620">
                  <c:v>40221</c:v>
                </c:pt>
                <c:pt idx="3621">
                  <c:v>40220</c:v>
                </c:pt>
                <c:pt idx="3622">
                  <c:v>40219</c:v>
                </c:pt>
                <c:pt idx="3623">
                  <c:v>40218</c:v>
                </c:pt>
                <c:pt idx="3624">
                  <c:v>40217</c:v>
                </c:pt>
                <c:pt idx="3625">
                  <c:v>40214</c:v>
                </c:pt>
                <c:pt idx="3626">
                  <c:v>40213</c:v>
                </c:pt>
                <c:pt idx="3627">
                  <c:v>40212</c:v>
                </c:pt>
                <c:pt idx="3628">
                  <c:v>40211</c:v>
                </c:pt>
                <c:pt idx="3629">
                  <c:v>40210</c:v>
                </c:pt>
                <c:pt idx="3630">
                  <c:v>40207</c:v>
                </c:pt>
                <c:pt idx="3631">
                  <c:v>40206</c:v>
                </c:pt>
                <c:pt idx="3632">
                  <c:v>40205</c:v>
                </c:pt>
                <c:pt idx="3633">
                  <c:v>40204</c:v>
                </c:pt>
                <c:pt idx="3634">
                  <c:v>40203</c:v>
                </c:pt>
                <c:pt idx="3635">
                  <c:v>40200</c:v>
                </c:pt>
                <c:pt idx="3636">
                  <c:v>40199</c:v>
                </c:pt>
                <c:pt idx="3637">
                  <c:v>40198</c:v>
                </c:pt>
                <c:pt idx="3638">
                  <c:v>40197</c:v>
                </c:pt>
                <c:pt idx="3639">
                  <c:v>40196</c:v>
                </c:pt>
                <c:pt idx="3640">
                  <c:v>40193</c:v>
                </c:pt>
                <c:pt idx="3641">
                  <c:v>40192</c:v>
                </c:pt>
                <c:pt idx="3642">
                  <c:v>40191</c:v>
                </c:pt>
                <c:pt idx="3643">
                  <c:v>40190</c:v>
                </c:pt>
                <c:pt idx="3644">
                  <c:v>40189</c:v>
                </c:pt>
                <c:pt idx="3645">
                  <c:v>40186</c:v>
                </c:pt>
                <c:pt idx="3646">
                  <c:v>40185</c:v>
                </c:pt>
                <c:pt idx="3647">
                  <c:v>40184</c:v>
                </c:pt>
                <c:pt idx="3648">
                  <c:v>40183</c:v>
                </c:pt>
                <c:pt idx="3649">
                  <c:v>40182</c:v>
                </c:pt>
                <c:pt idx="3650">
                  <c:v>40179</c:v>
                </c:pt>
              </c:numCache>
            </c:numRef>
          </c:cat>
          <c:val>
            <c:numRef>
              <c:f>Hárok1!$B$2:$B$3652</c:f>
              <c:numCache>
                <c:formatCode>0.00</c:formatCode>
                <c:ptCount val="3651"/>
                <c:pt idx="0">
                  <c:v>3.0369999999999999</c:v>
                </c:pt>
                <c:pt idx="1">
                  <c:v>2.9990000000000001</c:v>
                </c:pt>
                <c:pt idx="2">
                  <c:v>3.141</c:v>
                </c:pt>
                <c:pt idx="3">
                  <c:v>3.1989999999999998</c:v>
                </c:pt>
                <c:pt idx="4">
                  <c:v>3.1989999999999998</c:v>
                </c:pt>
                <c:pt idx="5">
                  <c:v>3.1989999999999998</c:v>
                </c:pt>
                <c:pt idx="6">
                  <c:v>3.077</c:v>
                </c:pt>
                <c:pt idx="7">
                  <c:v>3.0859999999999999</c:v>
                </c:pt>
                <c:pt idx="8">
                  <c:v>3.157</c:v>
                </c:pt>
                <c:pt idx="9">
                  <c:v>3.1970000000000001</c:v>
                </c:pt>
                <c:pt idx="10">
                  <c:v>3.145</c:v>
                </c:pt>
                <c:pt idx="11">
                  <c:v>3.2839999999999998</c:v>
                </c:pt>
                <c:pt idx="12">
                  <c:v>3.2480000000000002</c:v>
                </c:pt>
                <c:pt idx="13">
                  <c:v>3.3069999999999999</c:v>
                </c:pt>
                <c:pt idx="14">
                  <c:v>3.3180000000000001</c:v>
                </c:pt>
                <c:pt idx="15">
                  <c:v>3.3109999999999999</c:v>
                </c:pt>
                <c:pt idx="16">
                  <c:v>3.2210000000000001</c:v>
                </c:pt>
                <c:pt idx="17">
                  <c:v>3.2040000000000002</c:v>
                </c:pt>
                <c:pt idx="18">
                  <c:v>3.2130000000000001</c:v>
                </c:pt>
                <c:pt idx="19">
                  <c:v>3.278</c:v>
                </c:pt>
                <c:pt idx="20">
                  <c:v>3.266</c:v>
                </c:pt>
                <c:pt idx="21">
                  <c:v>3.3660000000000001</c:v>
                </c:pt>
                <c:pt idx="22">
                  <c:v>3.4060000000000001</c:v>
                </c:pt>
                <c:pt idx="23">
                  <c:v>3.4510000000000001</c:v>
                </c:pt>
                <c:pt idx="24">
                  <c:v>3.452</c:v>
                </c:pt>
                <c:pt idx="25">
                  <c:v>3.5489999999999999</c:v>
                </c:pt>
                <c:pt idx="26">
                  <c:v>3.556</c:v>
                </c:pt>
                <c:pt idx="27">
                  <c:v>3.593</c:v>
                </c:pt>
                <c:pt idx="28">
                  <c:v>3.605</c:v>
                </c:pt>
                <c:pt idx="29">
                  <c:v>3.5339999999999998</c:v>
                </c:pt>
                <c:pt idx="30">
                  <c:v>3.532</c:v>
                </c:pt>
                <c:pt idx="31">
                  <c:v>3.4990000000000001</c:v>
                </c:pt>
                <c:pt idx="32">
                  <c:v>3.53</c:v>
                </c:pt>
                <c:pt idx="33">
                  <c:v>3.496</c:v>
                </c:pt>
                <c:pt idx="34">
                  <c:v>3.601</c:v>
                </c:pt>
                <c:pt idx="35">
                  <c:v>3.7130000000000001</c:v>
                </c:pt>
                <c:pt idx="36">
                  <c:v>3.7549999999999999</c:v>
                </c:pt>
                <c:pt idx="37">
                  <c:v>3.6160000000000001</c:v>
                </c:pt>
                <c:pt idx="38">
                  <c:v>3.613</c:v>
                </c:pt>
                <c:pt idx="39">
                  <c:v>3.64</c:v>
                </c:pt>
                <c:pt idx="40">
                  <c:v>3.593</c:v>
                </c:pt>
                <c:pt idx="41">
                  <c:v>3.6240000000000001</c:v>
                </c:pt>
                <c:pt idx="42">
                  <c:v>3.6179999999999999</c:v>
                </c:pt>
                <c:pt idx="43">
                  <c:v>3.673</c:v>
                </c:pt>
                <c:pt idx="44">
                  <c:v>3.6429999999999998</c:v>
                </c:pt>
                <c:pt idx="45">
                  <c:v>3.7029999999999998</c:v>
                </c:pt>
                <c:pt idx="46">
                  <c:v>3.7210000000000001</c:v>
                </c:pt>
                <c:pt idx="47">
                  <c:v>3.6920000000000002</c:v>
                </c:pt>
                <c:pt idx="48">
                  <c:v>3.7469999999999999</c:v>
                </c:pt>
                <c:pt idx="49">
                  <c:v>3.7869999999999999</c:v>
                </c:pt>
                <c:pt idx="50">
                  <c:v>3.72</c:v>
                </c:pt>
                <c:pt idx="51">
                  <c:v>3.7679999999999998</c:v>
                </c:pt>
                <c:pt idx="52">
                  <c:v>3.794</c:v>
                </c:pt>
                <c:pt idx="53">
                  <c:v>3.8029999999999999</c:v>
                </c:pt>
                <c:pt idx="54">
                  <c:v>3.7269999999999999</c:v>
                </c:pt>
                <c:pt idx="55">
                  <c:v>3.7149999999999999</c:v>
                </c:pt>
                <c:pt idx="56">
                  <c:v>3.7530000000000001</c:v>
                </c:pt>
                <c:pt idx="57">
                  <c:v>3.706</c:v>
                </c:pt>
                <c:pt idx="58">
                  <c:v>3.6259999999999999</c:v>
                </c:pt>
                <c:pt idx="59">
                  <c:v>3.653</c:v>
                </c:pt>
                <c:pt idx="60">
                  <c:v>3.6859999999999999</c:v>
                </c:pt>
                <c:pt idx="61">
                  <c:v>3.7360000000000002</c:v>
                </c:pt>
                <c:pt idx="62">
                  <c:v>3.7</c:v>
                </c:pt>
                <c:pt idx="63">
                  <c:v>3.7759999999999998</c:v>
                </c:pt>
                <c:pt idx="64">
                  <c:v>3.7320000000000002</c:v>
                </c:pt>
                <c:pt idx="65">
                  <c:v>3.7120000000000002</c:v>
                </c:pt>
                <c:pt idx="66">
                  <c:v>3.7639999999999998</c:v>
                </c:pt>
                <c:pt idx="67">
                  <c:v>3.7930000000000001</c:v>
                </c:pt>
                <c:pt idx="68">
                  <c:v>3.7429999999999999</c:v>
                </c:pt>
                <c:pt idx="69">
                  <c:v>3.66</c:v>
                </c:pt>
                <c:pt idx="70">
                  <c:v>3.7290000000000001</c:v>
                </c:pt>
                <c:pt idx="71">
                  <c:v>3.7490000000000001</c:v>
                </c:pt>
                <c:pt idx="72">
                  <c:v>3.7530000000000001</c:v>
                </c:pt>
                <c:pt idx="73">
                  <c:v>3.778</c:v>
                </c:pt>
                <c:pt idx="74">
                  <c:v>3.754</c:v>
                </c:pt>
                <c:pt idx="75">
                  <c:v>3.6669999999999998</c:v>
                </c:pt>
                <c:pt idx="76">
                  <c:v>3.617</c:v>
                </c:pt>
                <c:pt idx="77">
                  <c:v>3.6669999999999998</c:v>
                </c:pt>
                <c:pt idx="78">
                  <c:v>3.6030000000000002</c:v>
                </c:pt>
                <c:pt idx="79">
                  <c:v>3.589</c:v>
                </c:pt>
                <c:pt idx="80">
                  <c:v>3.5539999999999998</c:v>
                </c:pt>
                <c:pt idx="81">
                  <c:v>3.5550000000000002</c:v>
                </c:pt>
                <c:pt idx="82">
                  <c:v>3.5790000000000002</c:v>
                </c:pt>
                <c:pt idx="83">
                  <c:v>3.5550000000000002</c:v>
                </c:pt>
                <c:pt idx="84">
                  <c:v>3.524</c:v>
                </c:pt>
                <c:pt idx="85">
                  <c:v>3.456</c:v>
                </c:pt>
                <c:pt idx="86">
                  <c:v>3.4119999999999999</c:v>
                </c:pt>
                <c:pt idx="87">
                  <c:v>3.4870000000000001</c:v>
                </c:pt>
                <c:pt idx="88">
                  <c:v>3.464</c:v>
                </c:pt>
                <c:pt idx="89">
                  <c:v>3.4660000000000002</c:v>
                </c:pt>
                <c:pt idx="90">
                  <c:v>3.4390000000000001</c:v>
                </c:pt>
                <c:pt idx="91">
                  <c:v>3.4</c:v>
                </c:pt>
                <c:pt idx="92">
                  <c:v>3.3809999999999998</c:v>
                </c:pt>
                <c:pt idx="93">
                  <c:v>3.4780000000000002</c:v>
                </c:pt>
                <c:pt idx="94">
                  <c:v>3.5139999999999998</c:v>
                </c:pt>
                <c:pt idx="95">
                  <c:v>3.4630000000000001</c:v>
                </c:pt>
                <c:pt idx="96">
                  <c:v>3.508</c:v>
                </c:pt>
                <c:pt idx="97">
                  <c:v>3.4940000000000002</c:v>
                </c:pt>
                <c:pt idx="98">
                  <c:v>3.5129999999999999</c:v>
                </c:pt>
                <c:pt idx="99">
                  <c:v>3.484</c:v>
                </c:pt>
                <c:pt idx="100">
                  <c:v>3.456</c:v>
                </c:pt>
                <c:pt idx="101">
                  <c:v>3.4180000000000001</c:v>
                </c:pt>
                <c:pt idx="102">
                  <c:v>3.419</c:v>
                </c:pt>
                <c:pt idx="103">
                  <c:v>3.3759999999999999</c:v>
                </c:pt>
                <c:pt idx="104">
                  <c:v>3.464</c:v>
                </c:pt>
                <c:pt idx="105">
                  <c:v>3.4950000000000001</c:v>
                </c:pt>
                <c:pt idx="106">
                  <c:v>3.47</c:v>
                </c:pt>
                <c:pt idx="107">
                  <c:v>3.4950000000000001</c:v>
                </c:pt>
                <c:pt idx="108">
                  <c:v>3.4950000000000001</c:v>
                </c:pt>
                <c:pt idx="109">
                  <c:v>3.4729999999999999</c:v>
                </c:pt>
                <c:pt idx="110">
                  <c:v>3.4820000000000002</c:v>
                </c:pt>
                <c:pt idx="111">
                  <c:v>3.5030000000000001</c:v>
                </c:pt>
                <c:pt idx="112">
                  <c:v>3.5859999999999999</c:v>
                </c:pt>
                <c:pt idx="113">
                  <c:v>3.54</c:v>
                </c:pt>
                <c:pt idx="114">
                  <c:v>3.5350000000000001</c:v>
                </c:pt>
                <c:pt idx="115">
                  <c:v>3.5609999999999999</c:v>
                </c:pt>
                <c:pt idx="116">
                  <c:v>3.5910000000000002</c:v>
                </c:pt>
                <c:pt idx="117">
                  <c:v>3.5579999999999998</c:v>
                </c:pt>
                <c:pt idx="118">
                  <c:v>3.5169999999999999</c:v>
                </c:pt>
                <c:pt idx="119">
                  <c:v>3.5779999999999998</c:v>
                </c:pt>
                <c:pt idx="120">
                  <c:v>3.5960000000000001</c:v>
                </c:pt>
                <c:pt idx="121">
                  <c:v>3.5739999999999998</c:v>
                </c:pt>
                <c:pt idx="122">
                  <c:v>3.6419999999999999</c:v>
                </c:pt>
                <c:pt idx="123">
                  <c:v>3.718</c:v>
                </c:pt>
                <c:pt idx="124">
                  <c:v>3.7040000000000002</c:v>
                </c:pt>
                <c:pt idx="125">
                  <c:v>3.665</c:v>
                </c:pt>
                <c:pt idx="126">
                  <c:v>3.7240000000000002</c:v>
                </c:pt>
                <c:pt idx="127">
                  <c:v>3.6320000000000001</c:v>
                </c:pt>
                <c:pt idx="128">
                  <c:v>3.6309999999999998</c:v>
                </c:pt>
                <c:pt idx="129">
                  <c:v>3.6589999999999998</c:v>
                </c:pt>
                <c:pt idx="130">
                  <c:v>3.6139999999999999</c:v>
                </c:pt>
                <c:pt idx="131">
                  <c:v>3.5910000000000002</c:v>
                </c:pt>
                <c:pt idx="132">
                  <c:v>3.5059999999999998</c:v>
                </c:pt>
                <c:pt idx="133">
                  <c:v>3.5430000000000001</c:v>
                </c:pt>
                <c:pt idx="134">
                  <c:v>3.484</c:v>
                </c:pt>
                <c:pt idx="135">
                  <c:v>3.5009999999999999</c:v>
                </c:pt>
                <c:pt idx="136">
                  <c:v>3.5979999999999999</c:v>
                </c:pt>
                <c:pt idx="137">
                  <c:v>3.5259999999999998</c:v>
                </c:pt>
                <c:pt idx="138">
                  <c:v>3.4870000000000001</c:v>
                </c:pt>
                <c:pt idx="139">
                  <c:v>3.5310000000000001</c:v>
                </c:pt>
                <c:pt idx="140">
                  <c:v>3.4820000000000002</c:v>
                </c:pt>
                <c:pt idx="141">
                  <c:v>3.5249999999999999</c:v>
                </c:pt>
                <c:pt idx="142">
                  <c:v>3.42</c:v>
                </c:pt>
                <c:pt idx="143">
                  <c:v>3.3919999999999999</c:v>
                </c:pt>
                <c:pt idx="144">
                  <c:v>3.3319999999999999</c:v>
                </c:pt>
                <c:pt idx="145">
                  <c:v>3.31</c:v>
                </c:pt>
                <c:pt idx="146">
                  <c:v>3.319</c:v>
                </c:pt>
                <c:pt idx="147">
                  <c:v>3.3660000000000001</c:v>
                </c:pt>
                <c:pt idx="148">
                  <c:v>3.2610000000000001</c:v>
                </c:pt>
                <c:pt idx="149">
                  <c:v>3.33</c:v>
                </c:pt>
                <c:pt idx="150">
                  <c:v>3.2280000000000002</c:v>
                </c:pt>
                <c:pt idx="151">
                  <c:v>3.12</c:v>
                </c:pt>
                <c:pt idx="152">
                  <c:v>3.1419999999999999</c:v>
                </c:pt>
                <c:pt idx="153">
                  <c:v>3.2080000000000002</c:v>
                </c:pt>
                <c:pt idx="154">
                  <c:v>3.3170000000000002</c:v>
                </c:pt>
                <c:pt idx="155">
                  <c:v>3.3820000000000001</c:v>
                </c:pt>
                <c:pt idx="156">
                  <c:v>3.3460000000000001</c:v>
                </c:pt>
                <c:pt idx="157">
                  <c:v>3.3010000000000002</c:v>
                </c:pt>
                <c:pt idx="158">
                  <c:v>3.2679999999999998</c:v>
                </c:pt>
                <c:pt idx="159">
                  <c:v>3.2570000000000001</c:v>
                </c:pt>
                <c:pt idx="160">
                  <c:v>3.2080000000000002</c:v>
                </c:pt>
                <c:pt idx="161">
                  <c:v>3.2109999999999999</c:v>
                </c:pt>
                <c:pt idx="162">
                  <c:v>3.1520000000000001</c:v>
                </c:pt>
                <c:pt idx="163">
                  <c:v>3.11</c:v>
                </c:pt>
                <c:pt idx="164">
                  <c:v>3.0550000000000002</c:v>
                </c:pt>
                <c:pt idx="165">
                  <c:v>3.0470000000000002</c:v>
                </c:pt>
                <c:pt idx="166">
                  <c:v>3.0070000000000001</c:v>
                </c:pt>
                <c:pt idx="167">
                  <c:v>3.0270000000000001</c:v>
                </c:pt>
                <c:pt idx="168">
                  <c:v>3.089</c:v>
                </c:pt>
                <c:pt idx="169">
                  <c:v>3.0640000000000001</c:v>
                </c:pt>
                <c:pt idx="170">
                  <c:v>3.036</c:v>
                </c:pt>
                <c:pt idx="171">
                  <c:v>2.94</c:v>
                </c:pt>
                <c:pt idx="172">
                  <c:v>3.0939999999999999</c:v>
                </c:pt>
                <c:pt idx="173">
                  <c:v>3.0910000000000002</c:v>
                </c:pt>
                <c:pt idx="174">
                  <c:v>3.173</c:v>
                </c:pt>
                <c:pt idx="175">
                  <c:v>3.173</c:v>
                </c:pt>
                <c:pt idx="176">
                  <c:v>3.294</c:v>
                </c:pt>
                <c:pt idx="177">
                  <c:v>3.2440000000000002</c:v>
                </c:pt>
                <c:pt idx="178">
                  <c:v>3.3079999999999998</c:v>
                </c:pt>
                <c:pt idx="179">
                  <c:v>3.4550000000000001</c:v>
                </c:pt>
                <c:pt idx="180">
                  <c:v>3.415</c:v>
                </c:pt>
                <c:pt idx="181">
                  <c:v>3.3650000000000002</c:v>
                </c:pt>
                <c:pt idx="182">
                  <c:v>3.4510000000000001</c:v>
                </c:pt>
                <c:pt idx="183">
                  <c:v>3.387</c:v>
                </c:pt>
                <c:pt idx="184">
                  <c:v>3.3730000000000002</c:v>
                </c:pt>
                <c:pt idx="185">
                  <c:v>3.3650000000000002</c:v>
                </c:pt>
                <c:pt idx="186">
                  <c:v>3.2549999999999999</c:v>
                </c:pt>
                <c:pt idx="187">
                  <c:v>3.2709999999999999</c:v>
                </c:pt>
                <c:pt idx="188">
                  <c:v>3.1859999999999999</c:v>
                </c:pt>
                <c:pt idx="189">
                  <c:v>3.0339999999999998</c:v>
                </c:pt>
                <c:pt idx="190">
                  <c:v>3.0339999999999998</c:v>
                </c:pt>
                <c:pt idx="191">
                  <c:v>3.0339999999999998</c:v>
                </c:pt>
                <c:pt idx="192">
                  <c:v>3.0070000000000001</c:v>
                </c:pt>
                <c:pt idx="193">
                  <c:v>3.0840000000000001</c:v>
                </c:pt>
                <c:pt idx="194">
                  <c:v>3.1469999999999998</c:v>
                </c:pt>
                <c:pt idx="195">
                  <c:v>3.1579999999999999</c:v>
                </c:pt>
                <c:pt idx="196">
                  <c:v>3.2229999999999999</c:v>
                </c:pt>
                <c:pt idx="197">
                  <c:v>3.1139999999999999</c:v>
                </c:pt>
                <c:pt idx="198">
                  <c:v>3.073</c:v>
                </c:pt>
                <c:pt idx="199">
                  <c:v>3.0110000000000001</c:v>
                </c:pt>
                <c:pt idx="200">
                  <c:v>2.9129999999999998</c:v>
                </c:pt>
                <c:pt idx="201">
                  <c:v>3.03</c:v>
                </c:pt>
                <c:pt idx="202">
                  <c:v>3.2109999999999999</c:v>
                </c:pt>
                <c:pt idx="203">
                  <c:v>3.1</c:v>
                </c:pt>
                <c:pt idx="204">
                  <c:v>2.859</c:v>
                </c:pt>
                <c:pt idx="205">
                  <c:v>2.8690000000000002</c:v>
                </c:pt>
                <c:pt idx="206">
                  <c:v>3.0529999999999999</c:v>
                </c:pt>
                <c:pt idx="207">
                  <c:v>2.8940000000000001</c:v>
                </c:pt>
                <c:pt idx="208">
                  <c:v>3.331</c:v>
                </c:pt>
                <c:pt idx="209">
                  <c:v>3.1549999999999998</c:v>
                </c:pt>
                <c:pt idx="210">
                  <c:v>3.577</c:v>
                </c:pt>
                <c:pt idx="211">
                  <c:v>3.7280000000000002</c:v>
                </c:pt>
                <c:pt idx="212">
                  <c:v>3.738</c:v>
                </c:pt>
                <c:pt idx="213">
                  <c:v>3.7280000000000002</c:v>
                </c:pt>
                <c:pt idx="214">
                  <c:v>3.7290000000000001</c:v>
                </c:pt>
                <c:pt idx="215">
                  <c:v>3.6469999999999998</c:v>
                </c:pt>
                <c:pt idx="216">
                  <c:v>3.6459999999999999</c:v>
                </c:pt>
                <c:pt idx="217">
                  <c:v>3.6240000000000001</c:v>
                </c:pt>
                <c:pt idx="218">
                  <c:v>3.56</c:v>
                </c:pt>
                <c:pt idx="219">
                  <c:v>3.51</c:v>
                </c:pt>
                <c:pt idx="220">
                  <c:v>3.46</c:v>
                </c:pt>
                <c:pt idx="221">
                  <c:v>3.3370000000000002</c:v>
                </c:pt>
                <c:pt idx="222">
                  <c:v>3.3620000000000001</c:v>
                </c:pt>
                <c:pt idx="223">
                  <c:v>3.3889999999999998</c:v>
                </c:pt>
                <c:pt idx="224">
                  <c:v>3.3490000000000002</c:v>
                </c:pt>
                <c:pt idx="225">
                  <c:v>3.2930000000000001</c:v>
                </c:pt>
                <c:pt idx="226">
                  <c:v>3.2959999999999998</c:v>
                </c:pt>
                <c:pt idx="227">
                  <c:v>3.286</c:v>
                </c:pt>
                <c:pt idx="228">
                  <c:v>3.2509999999999999</c:v>
                </c:pt>
                <c:pt idx="229">
                  <c:v>3.1909999999999998</c:v>
                </c:pt>
                <c:pt idx="230">
                  <c:v>3.17</c:v>
                </c:pt>
                <c:pt idx="231">
                  <c:v>3.1309999999999998</c:v>
                </c:pt>
                <c:pt idx="232">
                  <c:v>3.141</c:v>
                </c:pt>
                <c:pt idx="233">
                  <c:v>3.1440000000000001</c:v>
                </c:pt>
                <c:pt idx="234">
                  <c:v>3.0819999999999999</c:v>
                </c:pt>
                <c:pt idx="235">
                  <c:v>2.9969999999999999</c:v>
                </c:pt>
                <c:pt idx="236">
                  <c:v>2.8980000000000001</c:v>
                </c:pt>
                <c:pt idx="237">
                  <c:v>3.1040000000000001</c:v>
                </c:pt>
                <c:pt idx="238">
                  <c:v>3.0939999999999999</c:v>
                </c:pt>
                <c:pt idx="239">
                  <c:v>3.1520000000000001</c:v>
                </c:pt>
                <c:pt idx="240">
                  <c:v>3.016</c:v>
                </c:pt>
                <c:pt idx="241">
                  <c:v>3.008</c:v>
                </c:pt>
                <c:pt idx="242">
                  <c:v>2.948</c:v>
                </c:pt>
                <c:pt idx="243">
                  <c:v>2.9580000000000002</c:v>
                </c:pt>
                <c:pt idx="244">
                  <c:v>3</c:v>
                </c:pt>
                <c:pt idx="245">
                  <c:v>2.984</c:v>
                </c:pt>
                <c:pt idx="246">
                  <c:v>2.7469999999999999</c:v>
                </c:pt>
                <c:pt idx="247">
                  <c:v>2.6869999999999998</c:v>
                </c:pt>
                <c:pt idx="248">
                  <c:v>2.7229999999999999</c:v>
                </c:pt>
                <c:pt idx="249">
                  <c:v>2.8</c:v>
                </c:pt>
                <c:pt idx="250">
                  <c:v>2.806</c:v>
                </c:pt>
                <c:pt idx="251">
                  <c:v>2.7850000000000001</c:v>
                </c:pt>
                <c:pt idx="252">
                  <c:v>2.8540000000000001</c:v>
                </c:pt>
                <c:pt idx="253">
                  <c:v>2.8860000000000001</c:v>
                </c:pt>
                <c:pt idx="254">
                  <c:v>2.8759999999999999</c:v>
                </c:pt>
                <c:pt idx="255">
                  <c:v>2.8290000000000002</c:v>
                </c:pt>
                <c:pt idx="256">
                  <c:v>2.8439999999999999</c:v>
                </c:pt>
                <c:pt idx="257">
                  <c:v>2.8279999999999998</c:v>
                </c:pt>
                <c:pt idx="258">
                  <c:v>2.93</c:v>
                </c:pt>
                <c:pt idx="259">
                  <c:v>2.9740000000000002</c:v>
                </c:pt>
                <c:pt idx="260">
                  <c:v>2.9780000000000002</c:v>
                </c:pt>
                <c:pt idx="261">
                  <c:v>2.8940000000000001</c:v>
                </c:pt>
                <c:pt idx="262">
                  <c:v>2.8780000000000001</c:v>
                </c:pt>
                <c:pt idx="263">
                  <c:v>3.0030000000000001</c:v>
                </c:pt>
                <c:pt idx="264">
                  <c:v>2.996</c:v>
                </c:pt>
                <c:pt idx="265">
                  <c:v>2.9950000000000001</c:v>
                </c:pt>
                <c:pt idx="266">
                  <c:v>2.8029999999999999</c:v>
                </c:pt>
                <c:pt idx="267">
                  <c:v>2.8090000000000002</c:v>
                </c:pt>
                <c:pt idx="268">
                  <c:v>2.7759999999999998</c:v>
                </c:pt>
                <c:pt idx="269">
                  <c:v>2.7530000000000001</c:v>
                </c:pt>
                <c:pt idx="270">
                  <c:v>2.75</c:v>
                </c:pt>
                <c:pt idx="271">
                  <c:v>2.6659999999999999</c:v>
                </c:pt>
                <c:pt idx="272">
                  <c:v>2.488</c:v>
                </c:pt>
                <c:pt idx="273">
                  <c:v>2.5539999999999998</c:v>
                </c:pt>
                <c:pt idx="274">
                  <c:v>2.5190000000000001</c:v>
                </c:pt>
                <c:pt idx="275">
                  <c:v>2.488</c:v>
                </c:pt>
                <c:pt idx="276">
                  <c:v>2.4580000000000002</c:v>
                </c:pt>
                <c:pt idx="277">
                  <c:v>2.581</c:v>
                </c:pt>
                <c:pt idx="278">
                  <c:v>2.6269999999999998</c:v>
                </c:pt>
                <c:pt idx="279">
                  <c:v>2.7130000000000001</c:v>
                </c:pt>
                <c:pt idx="280">
                  <c:v>2.681</c:v>
                </c:pt>
                <c:pt idx="281">
                  <c:v>2.754</c:v>
                </c:pt>
                <c:pt idx="282">
                  <c:v>2.8410000000000002</c:v>
                </c:pt>
                <c:pt idx="283">
                  <c:v>2.8330000000000002</c:v>
                </c:pt>
                <c:pt idx="284">
                  <c:v>2.7850000000000001</c:v>
                </c:pt>
                <c:pt idx="285">
                  <c:v>2.7010000000000001</c:v>
                </c:pt>
                <c:pt idx="286">
                  <c:v>2.72</c:v>
                </c:pt>
                <c:pt idx="287">
                  <c:v>2.7709999999999999</c:v>
                </c:pt>
                <c:pt idx="288">
                  <c:v>2.7789999999999999</c:v>
                </c:pt>
                <c:pt idx="289">
                  <c:v>2.7570000000000001</c:v>
                </c:pt>
                <c:pt idx="290">
                  <c:v>2.8370000000000002</c:v>
                </c:pt>
                <c:pt idx="291">
                  <c:v>2.8889999999999998</c:v>
                </c:pt>
                <c:pt idx="292">
                  <c:v>2.879</c:v>
                </c:pt>
                <c:pt idx="293">
                  <c:v>2.8690000000000002</c:v>
                </c:pt>
                <c:pt idx="294">
                  <c:v>2.8919999999999999</c:v>
                </c:pt>
                <c:pt idx="295">
                  <c:v>2.9609999999999999</c:v>
                </c:pt>
                <c:pt idx="296">
                  <c:v>2.8119999999999998</c:v>
                </c:pt>
                <c:pt idx="297">
                  <c:v>2.9060000000000001</c:v>
                </c:pt>
                <c:pt idx="298">
                  <c:v>3.0030000000000001</c:v>
                </c:pt>
                <c:pt idx="299">
                  <c:v>2.9289999999999998</c:v>
                </c:pt>
                <c:pt idx="300">
                  <c:v>2.8719999999999999</c:v>
                </c:pt>
                <c:pt idx="301">
                  <c:v>2.8119999999999998</c:v>
                </c:pt>
                <c:pt idx="302">
                  <c:v>2.7360000000000002</c:v>
                </c:pt>
                <c:pt idx="303">
                  <c:v>2.694</c:v>
                </c:pt>
                <c:pt idx="304">
                  <c:v>2.6779999999999999</c:v>
                </c:pt>
                <c:pt idx="305">
                  <c:v>2.6419999999999999</c:v>
                </c:pt>
                <c:pt idx="306">
                  <c:v>2.5169999999999999</c:v>
                </c:pt>
                <c:pt idx="307">
                  <c:v>2.7160000000000002</c:v>
                </c:pt>
                <c:pt idx="308">
                  <c:v>2.681</c:v>
                </c:pt>
                <c:pt idx="309">
                  <c:v>2.73</c:v>
                </c:pt>
                <c:pt idx="310">
                  <c:v>2.7629999999999999</c:v>
                </c:pt>
                <c:pt idx="311">
                  <c:v>2.8</c:v>
                </c:pt>
                <c:pt idx="312">
                  <c:v>2.7730000000000001</c:v>
                </c:pt>
                <c:pt idx="313">
                  <c:v>2.7170000000000001</c:v>
                </c:pt>
                <c:pt idx="314">
                  <c:v>2.6739999999999999</c:v>
                </c:pt>
                <c:pt idx="315">
                  <c:v>2.702</c:v>
                </c:pt>
                <c:pt idx="316">
                  <c:v>2.6509999999999998</c:v>
                </c:pt>
                <c:pt idx="317">
                  <c:v>2.6309999999999998</c:v>
                </c:pt>
                <c:pt idx="318">
                  <c:v>2.5659999999999998</c:v>
                </c:pt>
                <c:pt idx="319">
                  <c:v>2.5609999999999999</c:v>
                </c:pt>
                <c:pt idx="320">
                  <c:v>2.5619999999999998</c:v>
                </c:pt>
                <c:pt idx="321">
                  <c:v>2.411</c:v>
                </c:pt>
                <c:pt idx="322">
                  <c:v>2.2829999999999999</c:v>
                </c:pt>
                <c:pt idx="323">
                  <c:v>2.181</c:v>
                </c:pt>
                <c:pt idx="324">
                  <c:v>2.2280000000000002</c:v>
                </c:pt>
                <c:pt idx="325">
                  <c:v>2.3879999999999999</c:v>
                </c:pt>
                <c:pt idx="326">
                  <c:v>2.423</c:v>
                </c:pt>
                <c:pt idx="327">
                  <c:v>2.4409999999999998</c:v>
                </c:pt>
                <c:pt idx="328">
                  <c:v>2.5379999999999998</c:v>
                </c:pt>
                <c:pt idx="329">
                  <c:v>2.4889999999999999</c:v>
                </c:pt>
                <c:pt idx="330">
                  <c:v>2.4340000000000002</c:v>
                </c:pt>
                <c:pt idx="331">
                  <c:v>2.4220000000000002</c:v>
                </c:pt>
                <c:pt idx="332">
                  <c:v>2.2810000000000001</c:v>
                </c:pt>
                <c:pt idx="333">
                  <c:v>2.2480000000000002</c:v>
                </c:pt>
                <c:pt idx="334">
                  <c:v>2.1659999999999999</c:v>
                </c:pt>
                <c:pt idx="335">
                  <c:v>2.1320000000000001</c:v>
                </c:pt>
                <c:pt idx="336">
                  <c:v>2.085</c:v>
                </c:pt>
                <c:pt idx="337">
                  <c:v>2.0110000000000001</c:v>
                </c:pt>
                <c:pt idx="338">
                  <c:v>1.968</c:v>
                </c:pt>
                <c:pt idx="339">
                  <c:v>1.8959999999999999</c:v>
                </c:pt>
                <c:pt idx="340">
                  <c:v>1.8779999999999999</c:v>
                </c:pt>
                <c:pt idx="341">
                  <c:v>1.8</c:v>
                </c:pt>
                <c:pt idx="342">
                  <c:v>1.5589999999999999</c:v>
                </c:pt>
                <c:pt idx="343">
                  <c:v>1.5960000000000001</c:v>
                </c:pt>
                <c:pt idx="344">
                  <c:v>1.5389999999999999</c:v>
                </c:pt>
                <c:pt idx="345">
                  <c:v>1.4490000000000001</c:v>
                </c:pt>
                <c:pt idx="346">
                  <c:v>1.544</c:v>
                </c:pt>
                <c:pt idx="347">
                  <c:v>1.4339999999999999</c:v>
                </c:pt>
                <c:pt idx="348">
                  <c:v>1.3819999999999999</c:v>
                </c:pt>
                <c:pt idx="349">
                  <c:v>1.421</c:v>
                </c:pt>
                <c:pt idx="350">
                  <c:v>1.2450000000000001</c:v>
                </c:pt>
                <c:pt idx="351">
                  <c:v>1.2050000000000001</c:v>
                </c:pt>
                <c:pt idx="352">
                  <c:v>1.1930000000000001</c:v>
                </c:pt>
                <c:pt idx="353">
                  <c:v>1.157</c:v>
                </c:pt>
                <c:pt idx="354">
                  <c:v>1.2</c:v>
                </c:pt>
                <c:pt idx="355">
                  <c:v>1.173</c:v>
                </c:pt>
                <c:pt idx="356">
                  <c:v>1.056</c:v>
                </c:pt>
                <c:pt idx="357">
                  <c:v>1.032</c:v>
                </c:pt>
                <c:pt idx="358">
                  <c:v>0.91300000000000003</c:v>
                </c:pt>
                <c:pt idx="359">
                  <c:v>0.89100000000000001</c:v>
                </c:pt>
                <c:pt idx="360">
                  <c:v>0.95899999999999996</c:v>
                </c:pt>
                <c:pt idx="361">
                  <c:v>0.95199999999999996</c:v>
                </c:pt>
                <c:pt idx="362">
                  <c:v>0.89400000000000002</c:v>
                </c:pt>
                <c:pt idx="363">
                  <c:v>0.92600000000000005</c:v>
                </c:pt>
                <c:pt idx="364">
                  <c:v>0.89100000000000001</c:v>
                </c:pt>
                <c:pt idx="365">
                  <c:v>0.93100000000000005</c:v>
                </c:pt>
                <c:pt idx="366">
                  <c:v>0.79100000000000004</c:v>
                </c:pt>
                <c:pt idx="367">
                  <c:v>0.85499999999999998</c:v>
                </c:pt>
                <c:pt idx="368">
                  <c:v>0.8</c:v>
                </c:pt>
                <c:pt idx="369">
                  <c:v>0.73299999999999998</c:v>
                </c:pt>
                <c:pt idx="370">
                  <c:v>0.76500000000000001</c:v>
                </c:pt>
                <c:pt idx="371">
                  <c:v>0.76900000000000002</c:v>
                </c:pt>
                <c:pt idx="372">
                  <c:v>0.91300000000000003</c:v>
                </c:pt>
                <c:pt idx="373">
                  <c:v>0.83099999999999996</c:v>
                </c:pt>
                <c:pt idx="374">
                  <c:v>0.91400000000000003</c:v>
                </c:pt>
                <c:pt idx="375">
                  <c:v>0.93200000000000005</c:v>
                </c:pt>
                <c:pt idx="376">
                  <c:v>1.1100000000000001</c:v>
                </c:pt>
                <c:pt idx="377">
                  <c:v>1.071</c:v>
                </c:pt>
                <c:pt idx="378">
                  <c:v>1.0640000000000001</c:v>
                </c:pt>
                <c:pt idx="379">
                  <c:v>1.0009999999999999</c:v>
                </c:pt>
                <c:pt idx="380">
                  <c:v>0.96099999999999997</c:v>
                </c:pt>
                <c:pt idx="381">
                  <c:v>0.96199999999999997</c:v>
                </c:pt>
                <c:pt idx="382">
                  <c:v>0.94199999999999995</c:v>
                </c:pt>
                <c:pt idx="383">
                  <c:v>0.88</c:v>
                </c:pt>
                <c:pt idx="384">
                  <c:v>0.93300000000000005</c:v>
                </c:pt>
                <c:pt idx="385">
                  <c:v>1.018</c:v>
                </c:pt>
                <c:pt idx="386">
                  <c:v>0.99299999999999999</c:v>
                </c:pt>
                <c:pt idx="387">
                  <c:v>0.92400000000000004</c:v>
                </c:pt>
                <c:pt idx="388">
                  <c:v>0.97299999999999998</c:v>
                </c:pt>
                <c:pt idx="389">
                  <c:v>1.089</c:v>
                </c:pt>
                <c:pt idx="390">
                  <c:v>0.97699999999999998</c:v>
                </c:pt>
                <c:pt idx="391">
                  <c:v>1.109</c:v>
                </c:pt>
                <c:pt idx="392">
                  <c:v>1.258</c:v>
                </c:pt>
                <c:pt idx="393">
                  <c:v>1.3420000000000001</c:v>
                </c:pt>
                <c:pt idx="394">
                  <c:v>1.2909999999999999</c:v>
                </c:pt>
                <c:pt idx="395">
                  <c:v>1.206</c:v>
                </c:pt>
                <c:pt idx="396">
                  <c:v>1.2150000000000001</c:v>
                </c:pt>
                <c:pt idx="397">
                  <c:v>1.4039999999999999</c:v>
                </c:pt>
                <c:pt idx="398">
                  <c:v>1.492</c:v>
                </c:pt>
                <c:pt idx="399">
                  <c:v>1.4850000000000001</c:v>
                </c:pt>
                <c:pt idx="400">
                  <c:v>1.421</c:v>
                </c:pt>
                <c:pt idx="401">
                  <c:v>1.486</c:v>
                </c:pt>
                <c:pt idx="402">
                  <c:v>1.359</c:v>
                </c:pt>
                <c:pt idx="403">
                  <c:v>1.498</c:v>
                </c:pt>
                <c:pt idx="404">
                  <c:v>1.3169999999999999</c:v>
                </c:pt>
                <c:pt idx="405">
                  <c:v>1.0980000000000001</c:v>
                </c:pt>
                <c:pt idx="406">
                  <c:v>0.97699999999999998</c:v>
                </c:pt>
                <c:pt idx="407">
                  <c:v>0.84199999999999997</c:v>
                </c:pt>
                <c:pt idx="408">
                  <c:v>0.81</c:v>
                </c:pt>
                <c:pt idx="409">
                  <c:v>0.80600000000000005</c:v>
                </c:pt>
                <c:pt idx="410">
                  <c:v>0.81</c:v>
                </c:pt>
                <c:pt idx="411">
                  <c:v>0.76300000000000001</c:v>
                </c:pt>
                <c:pt idx="412">
                  <c:v>0.69299999999999995</c:v>
                </c:pt>
                <c:pt idx="413">
                  <c:v>0.65300000000000002</c:v>
                </c:pt>
                <c:pt idx="414">
                  <c:v>0.59499999999999997</c:v>
                </c:pt>
                <c:pt idx="415">
                  <c:v>0.52500000000000002</c:v>
                </c:pt>
                <c:pt idx="416">
                  <c:v>0.52600000000000002</c:v>
                </c:pt>
                <c:pt idx="417">
                  <c:v>0.53400000000000003</c:v>
                </c:pt>
                <c:pt idx="418">
                  <c:v>0.55900000000000005</c:v>
                </c:pt>
                <c:pt idx="419">
                  <c:v>0.6</c:v>
                </c:pt>
                <c:pt idx="420">
                  <c:v>0.55100000000000005</c:v>
                </c:pt>
                <c:pt idx="421">
                  <c:v>0.56799999999999995</c:v>
                </c:pt>
                <c:pt idx="422">
                  <c:v>0.57299999999999995</c:v>
                </c:pt>
                <c:pt idx="423">
                  <c:v>0.54900000000000004</c:v>
                </c:pt>
                <c:pt idx="424">
                  <c:v>0.44</c:v>
                </c:pt>
                <c:pt idx="425">
                  <c:v>0.40400000000000003</c:v>
                </c:pt>
                <c:pt idx="426">
                  <c:v>0.38</c:v>
                </c:pt>
                <c:pt idx="427">
                  <c:v>0.47499999999999998</c:v>
                </c:pt>
                <c:pt idx="428">
                  <c:v>0.5</c:v>
                </c:pt>
                <c:pt idx="429">
                  <c:v>0.55400000000000005</c:v>
                </c:pt>
                <c:pt idx="430">
                  <c:v>0.61699999999999999</c:v>
                </c:pt>
                <c:pt idx="431">
                  <c:v>0.56699999999999995</c:v>
                </c:pt>
                <c:pt idx="432">
                  <c:v>0.54100000000000004</c:v>
                </c:pt>
                <c:pt idx="433">
                  <c:v>0.52800000000000002</c:v>
                </c:pt>
                <c:pt idx="434">
                  <c:v>0.49399999999999999</c:v>
                </c:pt>
                <c:pt idx="435">
                  <c:v>0.497</c:v>
                </c:pt>
                <c:pt idx="436">
                  <c:v>0.46899999999999997</c:v>
                </c:pt>
                <c:pt idx="437">
                  <c:v>0.35799999999999998</c:v>
                </c:pt>
                <c:pt idx="438">
                  <c:v>0.39700000000000002</c:v>
                </c:pt>
                <c:pt idx="439">
                  <c:v>0.39400000000000002</c:v>
                </c:pt>
                <c:pt idx="440">
                  <c:v>0.47399999999999998</c:v>
                </c:pt>
                <c:pt idx="441">
                  <c:v>0.40600000000000003</c:v>
                </c:pt>
                <c:pt idx="442">
                  <c:v>0.34100000000000003</c:v>
                </c:pt>
                <c:pt idx="443">
                  <c:v>0.33300000000000002</c:v>
                </c:pt>
                <c:pt idx="444">
                  <c:v>0.373</c:v>
                </c:pt>
                <c:pt idx="445">
                  <c:v>0.373</c:v>
                </c:pt>
                <c:pt idx="446">
                  <c:v>0.373</c:v>
                </c:pt>
                <c:pt idx="447">
                  <c:v>0.36199999999999999</c:v>
                </c:pt>
                <c:pt idx="448">
                  <c:v>0.373</c:v>
                </c:pt>
                <c:pt idx="449">
                  <c:v>0.40799999999999997</c:v>
                </c:pt>
                <c:pt idx="450">
                  <c:v>0.36299999999999999</c:v>
                </c:pt>
                <c:pt idx="451">
                  <c:v>0.29299999999999998</c:v>
                </c:pt>
                <c:pt idx="452">
                  <c:v>0.28599999999999998</c:v>
                </c:pt>
                <c:pt idx="453">
                  <c:v>0.28199999999999997</c:v>
                </c:pt>
                <c:pt idx="454">
                  <c:v>0.23699999999999999</c:v>
                </c:pt>
                <c:pt idx="455">
                  <c:v>0.223</c:v>
                </c:pt>
                <c:pt idx="456">
                  <c:v>0.19400000000000001</c:v>
                </c:pt>
                <c:pt idx="457">
                  <c:v>0.27300000000000002</c:v>
                </c:pt>
                <c:pt idx="458">
                  <c:v>0.20799999999999999</c:v>
                </c:pt>
                <c:pt idx="459">
                  <c:v>0.17699999999999999</c:v>
                </c:pt>
                <c:pt idx="460">
                  <c:v>0.121</c:v>
                </c:pt>
                <c:pt idx="461">
                  <c:v>9.2999999999999999E-2</c:v>
                </c:pt>
                <c:pt idx="462">
                  <c:v>5.5E-2</c:v>
                </c:pt>
                <c:pt idx="463">
                  <c:v>6.4000000000000001E-2</c:v>
                </c:pt>
                <c:pt idx="464">
                  <c:v>-3.3000000000000002E-2</c:v>
                </c:pt>
                <c:pt idx="465">
                  <c:v>-8.7999999999999995E-2</c:v>
                </c:pt>
                <c:pt idx="466">
                  <c:v>-0.127</c:v>
                </c:pt>
                <c:pt idx="467">
                  <c:v>-9.7000000000000003E-2</c:v>
                </c:pt>
                <c:pt idx="468">
                  <c:v>-0.247</c:v>
                </c:pt>
                <c:pt idx="469">
                  <c:v>-0.214</c:v>
                </c:pt>
                <c:pt idx="470">
                  <c:v>-0.24299999999999999</c:v>
                </c:pt>
                <c:pt idx="471">
                  <c:v>-0.26400000000000001</c:v>
                </c:pt>
                <c:pt idx="472">
                  <c:v>-0.372</c:v>
                </c:pt>
                <c:pt idx="473">
                  <c:v>-0.45200000000000001</c:v>
                </c:pt>
                <c:pt idx="474">
                  <c:v>-0.49</c:v>
                </c:pt>
                <c:pt idx="475">
                  <c:v>-0.505</c:v>
                </c:pt>
                <c:pt idx="476">
                  <c:v>-0.45800000000000002</c:v>
                </c:pt>
                <c:pt idx="477">
                  <c:v>-0.45900000000000002</c:v>
                </c:pt>
                <c:pt idx="478">
                  <c:v>-0.6</c:v>
                </c:pt>
                <c:pt idx="479">
                  <c:v>-0.4</c:v>
                </c:pt>
                <c:pt idx="480">
                  <c:v>-0.27600000000000002</c:v>
                </c:pt>
                <c:pt idx="481">
                  <c:v>-0.307</c:v>
                </c:pt>
                <c:pt idx="482">
                  <c:v>-0.26500000000000001</c:v>
                </c:pt>
                <c:pt idx="483">
                  <c:v>-0.28299999999999997</c:v>
                </c:pt>
                <c:pt idx="484">
                  <c:v>-0.31900000000000001</c:v>
                </c:pt>
                <c:pt idx="485">
                  <c:v>-0.35099999999999998</c:v>
                </c:pt>
                <c:pt idx="486">
                  <c:v>-0.32500000000000001</c:v>
                </c:pt>
                <c:pt idx="487">
                  <c:v>-0.27200000000000002</c:v>
                </c:pt>
                <c:pt idx="488">
                  <c:v>-0.25600000000000001</c:v>
                </c:pt>
                <c:pt idx="489">
                  <c:v>-0.26200000000000001</c:v>
                </c:pt>
                <c:pt idx="490">
                  <c:v>-0.22700000000000001</c:v>
                </c:pt>
                <c:pt idx="491">
                  <c:v>-0.255</c:v>
                </c:pt>
                <c:pt idx="492">
                  <c:v>-0.33700000000000002</c:v>
                </c:pt>
                <c:pt idx="493">
                  <c:v>-0.25900000000000001</c:v>
                </c:pt>
                <c:pt idx="494">
                  <c:v>-0.27900000000000003</c:v>
                </c:pt>
                <c:pt idx="495">
                  <c:v>-0.28899999999999998</c:v>
                </c:pt>
                <c:pt idx="496">
                  <c:v>-0.38100000000000001</c:v>
                </c:pt>
                <c:pt idx="497">
                  <c:v>-0.48399999999999999</c:v>
                </c:pt>
                <c:pt idx="498">
                  <c:v>-0.498</c:v>
                </c:pt>
                <c:pt idx="499">
                  <c:v>-0.52900000000000003</c:v>
                </c:pt>
                <c:pt idx="500">
                  <c:v>-0.57699999999999996</c:v>
                </c:pt>
                <c:pt idx="501">
                  <c:v>-0.59199999999999997</c:v>
                </c:pt>
                <c:pt idx="502">
                  <c:v>-0.61699999999999999</c:v>
                </c:pt>
                <c:pt idx="503">
                  <c:v>-0.622</c:v>
                </c:pt>
                <c:pt idx="504">
                  <c:v>-0.61399999999999999</c:v>
                </c:pt>
                <c:pt idx="505">
                  <c:v>-0.61</c:v>
                </c:pt>
                <c:pt idx="506">
                  <c:v>-0.58699999999999997</c:v>
                </c:pt>
                <c:pt idx="507">
                  <c:v>-0.58199999999999996</c:v>
                </c:pt>
                <c:pt idx="508">
                  <c:v>-0.57399999999999995</c:v>
                </c:pt>
                <c:pt idx="509">
                  <c:v>-0.56799999999999995</c:v>
                </c:pt>
                <c:pt idx="510">
                  <c:v>-0.59799999999999998</c:v>
                </c:pt>
                <c:pt idx="511">
                  <c:v>-0.60499999999999998</c:v>
                </c:pt>
                <c:pt idx="512">
                  <c:v>-0.59499999999999997</c:v>
                </c:pt>
                <c:pt idx="513">
                  <c:v>-0.57999999999999996</c:v>
                </c:pt>
                <c:pt idx="514">
                  <c:v>-0.59399999999999997</c:v>
                </c:pt>
                <c:pt idx="515">
                  <c:v>-0.59499999999999997</c:v>
                </c:pt>
                <c:pt idx="516">
                  <c:v>-0.629</c:v>
                </c:pt>
                <c:pt idx="517">
                  <c:v>-0.63700000000000001</c:v>
                </c:pt>
                <c:pt idx="518">
                  <c:v>-0.628</c:v>
                </c:pt>
                <c:pt idx="519">
                  <c:v>-0.61299999999999999</c:v>
                </c:pt>
                <c:pt idx="520">
                  <c:v>-0.64600000000000002</c:v>
                </c:pt>
                <c:pt idx="521">
                  <c:v>-0.64500000000000002</c:v>
                </c:pt>
                <c:pt idx="522">
                  <c:v>-0.63100000000000001</c:v>
                </c:pt>
                <c:pt idx="523">
                  <c:v>-0.64900000000000002</c:v>
                </c:pt>
                <c:pt idx="524">
                  <c:v>-0.64900000000000002</c:v>
                </c:pt>
                <c:pt idx="525">
                  <c:v>-0.66600000000000004</c:v>
                </c:pt>
                <c:pt idx="526">
                  <c:v>-0.66500000000000004</c:v>
                </c:pt>
                <c:pt idx="527">
                  <c:v>-0.69299999999999995</c:v>
                </c:pt>
                <c:pt idx="528">
                  <c:v>-0.70099999999999996</c:v>
                </c:pt>
                <c:pt idx="529">
                  <c:v>-0.72499999999999998</c:v>
                </c:pt>
                <c:pt idx="530">
                  <c:v>-0.71799999999999997</c:v>
                </c:pt>
                <c:pt idx="531">
                  <c:v>-0.69299999999999995</c:v>
                </c:pt>
                <c:pt idx="532">
                  <c:v>-0.69499999999999995</c:v>
                </c:pt>
                <c:pt idx="533">
                  <c:v>-0.71699999999999997</c:v>
                </c:pt>
                <c:pt idx="534">
                  <c:v>-0.72899999999999998</c:v>
                </c:pt>
                <c:pt idx="535">
                  <c:v>-0.71199999999999997</c:v>
                </c:pt>
                <c:pt idx="536">
                  <c:v>-0.71699999999999997</c:v>
                </c:pt>
                <c:pt idx="537">
                  <c:v>-0.69</c:v>
                </c:pt>
                <c:pt idx="538">
                  <c:v>-0.71699999999999997</c:v>
                </c:pt>
                <c:pt idx="539">
                  <c:v>-0.73299999999999998</c:v>
                </c:pt>
                <c:pt idx="540">
                  <c:v>-0.72899999999999998</c:v>
                </c:pt>
                <c:pt idx="541">
                  <c:v>-0.72599999999999998</c:v>
                </c:pt>
                <c:pt idx="542">
                  <c:v>-1.321</c:v>
                </c:pt>
                <c:pt idx="543">
                  <c:v>-1.2170000000000001</c:v>
                </c:pt>
                <c:pt idx="544">
                  <c:v>-1.3160000000000001</c:v>
                </c:pt>
                <c:pt idx="545">
                  <c:v>-0.98199999999999998</c:v>
                </c:pt>
                <c:pt idx="546">
                  <c:v>-0.96699999999999997</c:v>
                </c:pt>
                <c:pt idx="547">
                  <c:v>-1.238</c:v>
                </c:pt>
                <c:pt idx="548">
                  <c:v>-1.2809999999999999</c:v>
                </c:pt>
                <c:pt idx="549">
                  <c:v>-0.90300000000000002</c:v>
                </c:pt>
                <c:pt idx="550">
                  <c:v>-0.878</c:v>
                </c:pt>
                <c:pt idx="551">
                  <c:v>-0.878</c:v>
                </c:pt>
                <c:pt idx="552">
                  <c:v>-1.248</c:v>
                </c:pt>
                <c:pt idx="553">
                  <c:v>-1.2509999999999999</c:v>
                </c:pt>
                <c:pt idx="554">
                  <c:v>-1.1459999999999999</c:v>
                </c:pt>
                <c:pt idx="555">
                  <c:v>-1.2230000000000001</c:v>
                </c:pt>
                <c:pt idx="556">
                  <c:v>-1.2090000000000001</c:v>
                </c:pt>
                <c:pt idx="557">
                  <c:v>-1.19</c:v>
                </c:pt>
                <c:pt idx="558">
                  <c:v>-0.86399999999999999</c:v>
                </c:pt>
                <c:pt idx="559">
                  <c:v>-1.175</c:v>
                </c:pt>
                <c:pt idx="560">
                  <c:v>-0.84899999999999998</c:v>
                </c:pt>
                <c:pt idx="561">
                  <c:v>-0.83899999999999997</c:v>
                </c:pt>
                <c:pt idx="562">
                  <c:v>-0.84799999999999998</c:v>
                </c:pt>
                <c:pt idx="563">
                  <c:v>-0.79700000000000004</c:v>
                </c:pt>
                <c:pt idx="564">
                  <c:v>-1.1000000000000001</c:v>
                </c:pt>
                <c:pt idx="565">
                  <c:v>-0.73699999999999999</c:v>
                </c:pt>
                <c:pt idx="566">
                  <c:v>-1.006</c:v>
                </c:pt>
                <c:pt idx="567">
                  <c:v>-1.0820000000000001</c:v>
                </c:pt>
                <c:pt idx="568">
                  <c:v>-1.077</c:v>
                </c:pt>
                <c:pt idx="569">
                  <c:v>-1.0740000000000001</c:v>
                </c:pt>
                <c:pt idx="570">
                  <c:v>-1.0629999999999999</c:v>
                </c:pt>
                <c:pt idx="571">
                  <c:v>-1.0589999999999999</c:v>
                </c:pt>
                <c:pt idx="572">
                  <c:v>-0.98499999999999999</c:v>
                </c:pt>
                <c:pt idx="573">
                  <c:v>-0.95099999999999996</c:v>
                </c:pt>
                <c:pt idx="574">
                  <c:v>-1.028</c:v>
                </c:pt>
                <c:pt idx="575">
                  <c:v>-0.97599999999999998</c:v>
                </c:pt>
                <c:pt idx="576">
                  <c:v>-0.97399999999999998</c:v>
                </c:pt>
                <c:pt idx="577">
                  <c:v>-0.90800000000000003</c:v>
                </c:pt>
                <c:pt idx="578">
                  <c:v>-0.94599999999999995</c:v>
                </c:pt>
                <c:pt idx="579">
                  <c:v>-0.93100000000000005</c:v>
                </c:pt>
                <c:pt idx="580">
                  <c:v>-0.99399999999999999</c:v>
                </c:pt>
                <c:pt idx="581">
                  <c:v>-0.92600000000000005</c:v>
                </c:pt>
                <c:pt idx="582">
                  <c:v>-0.995</c:v>
                </c:pt>
                <c:pt idx="583">
                  <c:v>-0.90400000000000003</c:v>
                </c:pt>
                <c:pt idx="584">
                  <c:v>-0.91200000000000003</c:v>
                </c:pt>
                <c:pt idx="585">
                  <c:v>-0.88600000000000001</c:v>
                </c:pt>
                <c:pt idx="586">
                  <c:v>-0.89900000000000002</c:v>
                </c:pt>
                <c:pt idx="587">
                  <c:v>-0.90500000000000003</c:v>
                </c:pt>
                <c:pt idx="588">
                  <c:v>-0.877</c:v>
                </c:pt>
                <c:pt idx="589">
                  <c:v>-0.88500000000000001</c:v>
                </c:pt>
                <c:pt idx="590">
                  <c:v>-0.876</c:v>
                </c:pt>
                <c:pt idx="591">
                  <c:v>-0.92500000000000004</c:v>
                </c:pt>
                <c:pt idx="592">
                  <c:v>-0.93700000000000006</c:v>
                </c:pt>
                <c:pt idx="593">
                  <c:v>-0.91600000000000004</c:v>
                </c:pt>
                <c:pt idx="594">
                  <c:v>-0.89900000000000002</c:v>
                </c:pt>
                <c:pt idx="595">
                  <c:v>-0.92</c:v>
                </c:pt>
                <c:pt idx="596">
                  <c:v>-0.91700000000000004</c:v>
                </c:pt>
                <c:pt idx="597">
                  <c:v>-0.90100000000000002</c:v>
                </c:pt>
                <c:pt idx="598">
                  <c:v>-0.90400000000000003</c:v>
                </c:pt>
                <c:pt idx="599">
                  <c:v>-0.89800000000000002</c:v>
                </c:pt>
                <c:pt idx="600">
                  <c:v>-0.872</c:v>
                </c:pt>
                <c:pt idx="601">
                  <c:v>-0.86799999999999999</c:v>
                </c:pt>
                <c:pt idx="602">
                  <c:v>-0.86299999999999999</c:v>
                </c:pt>
                <c:pt idx="603">
                  <c:v>-0.86799999999999999</c:v>
                </c:pt>
                <c:pt idx="604">
                  <c:v>-0.85899999999999999</c:v>
                </c:pt>
                <c:pt idx="605">
                  <c:v>-0.89800000000000002</c:v>
                </c:pt>
                <c:pt idx="606">
                  <c:v>-0.95699999999999996</c:v>
                </c:pt>
                <c:pt idx="607">
                  <c:v>-0.92600000000000005</c:v>
                </c:pt>
                <c:pt idx="608">
                  <c:v>-0.91300000000000003</c:v>
                </c:pt>
                <c:pt idx="609">
                  <c:v>-0.95399999999999996</c:v>
                </c:pt>
                <c:pt idx="610">
                  <c:v>-0.95399999999999996</c:v>
                </c:pt>
                <c:pt idx="611">
                  <c:v>-0.95</c:v>
                </c:pt>
                <c:pt idx="612">
                  <c:v>-0.93700000000000006</c:v>
                </c:pt>
                <c:pt idx="613">
                  <c:v>-0.93500000000000005</c:v>
                </c:pt>
                <c:pt idx="614">
                  <c:v>-0.95699999999999996</c:v>
                </c:pt>
                <c:pt idx="615">
                  <c:v>-0.95199999999999996</c:v>
                </c:pt>
                <c:pt idx="616">
                  <c:v>-0.94599999999999995</c:v>
                </c:pt>
                <c:pt idx="617">
                  <c:v>-0.93</c:v>
                </c:pt>
                <c:pt idx="618">
                  <c:v>-0.92200000000000004</c:v>
                </c:pt>
                <c:pt idx="619">
                  <c:v>-0.93799999999999994</c:v>
                </c:pt>
                <c:pt idx="620">
                  <c:v>-0.88900000000000001</c:v>
                </c:pt>
                <c:pt idx="621">
                  <c:v>-0.878</c:v>
                </c:pt>
                <c:pt idx="622">
                  <c:v>-0.876</c:v>
                </c:pt>
                <c:pt idx="623">
                  <c:v>-0.86099999999999999</c:v>
                </c:pt>
                <c:pt idx="624">
                  <c:v>-0.85699999999999998</c:v>
                </c:pt>
                <c:pt idx="625">
                  <c:v>-0.85699999999999998</c:v>
                </c:pt>
                <c:pt idx="626">
                  <c:v>-0.878</c:v>
                </c:pt>
                <c:pt idx="627">
                  <c:v>-0.86899999999999999</c:v>
                </c:pt>
                <c:pt idx="628">
                  <c:v>-0.85</c:v>
                </c:pt>
                <c:pt idx="629">
                  <c:v>-0.86099999999999999</c:v>
                </c:pt>
                <c:pt idx="630">
                  <c:v>-0.85399999999999998</c:v>
                </c:pt>
                <c:pt idx="631">
                  <c:v>-0.85</c:v>
                </c:pt>
                <c:pt idx="632">
                  <c:v>-1.1599999999999999</c:v>
                </c:pt>
                <c:pt idx="633">
                  <c:v>-1.0620000000000001</c:v>
                </c:pt>
                <c:pt idx="634">
                  <c:v>-1.145</c:v>
                </c:pt>
                <c:pt idx="635">
                  <c:v>-1.139</c:v>
                </c:pt>
                <c:pt idx="636">
                  <c:v>-0.89300000000000002</c:v>
                </c:pt>
                <c:pt idx="637">
                  <c:v>-1.1180000000000001</c:v>
                </c:pt>
                <c:pt idx="638">
                  <c:v>-1.1140000000000001</c:v>
                </c:pt>
                <c:pt idx="639">
                  <c:v>-0.84299999999999997</c:v>
                </c:pt>
                <c:pt idx="640">
                  <c:v>-1.097</c:v>
                </c:pt>
                <c:pt idx="641">
                  <c:v>-0.82299999999999995</c:v>
                </c:pt>
                <c:pt idx="642">
                  <c:v>-0.98799999999999999</c:v>
                </c:pt>
                <c:pt idx="643">
                  <c:v>-0.76100000000000001</c:v>
                </c:pt>
                <c:pt idx="644">
                  <c:v>-0.98</c:v>
                </c:pt>
                <c:pt idx="645">
                  <c:v>-1.034</c:v>
                </c:pt>
                <c:pt idx="646">
                  <c:v>-0.95799999999999996</c:v>
                </c:pt>
                <c:pt idx="647">
                  <c:v>-0.94799999999999995</c:v>
                </c:pt>
                <c:pt idx="648">
                  <c:v>-1.0069999999999999</c:v>
                </c:pt>
                <c:pt idx="649">
                  <c:v>-0.96</c:v>
                </c:pt>
                <c:pt idx="650">
                  <c:v>-0.998</c:v>
                </c:pt>
                <c:pt idx="651">
                  <c:v>-0.91900000000000004</c:v>
                </c:pt>
                <c:pt idx="652">
                  <c:v>-0.91700000000000004</c:v>
                </c:pt>
                <c:pt idx="653">
                  <c:v>-0.89100000000000001</c:v>
                </c:pt>
                <c:pt idx="654">
                  <c:v>-0.88800000000000001</c:v>
                </c:pt>
                <c:pt idx="655">
                  <c:v>-0.89300000000000002</c:v>
                </c:pt>
                <c:pt idx="656">
                  <c:v>-0.877</c:v>
                </c:pt>
                <c:pt idx="657">
                  <c:v>-0.88900000000000001</c:v>
                </c:pt>
                <c:pt idx="658">
                  <c:v>-0.88400000000000001</c:v>
                </c:pt>
                <c:pt idx="659">
                  <c:v>-0.92100000000000004</c:v>
                </c:pt>
                <c:pt idx="660">
                  <c:v>-0.92</c:v>
                </c:pt>
                <c:pt idx="661">
                  <c:v>-0.86299999999999999</c:v>
                </c:pt>
                <c:pt idx="662">
                  <c:v>-0.85699999999999998</c:v>
                </c:pt>
                <c:pt idx="663">
                  <c:v>-0.85799999999999998</c:v>
                </c:pt>
                <c:pt idx="664">
                  <c:v>-0.85199999999999998</c:v>
                </c:pt>
                <c:pt idx="665">
                  <c:v>-0.85299999999999998</c:v>
                </c:pt>
                <c:pt idx="666">
                  <c:v>-0.69</c:v>
                </c:pt>
                <c:pt idx="667">
                  <c:v>-0.871</c:v>
                </c:pt>
                <c:pt idx="668">
                  <c:v>-0.79600000000000004</c:v>
                </c:pt>
                <c:pt idx="669">
                  <c:v>-0.85399999999999998</c:v>
                </c:pt>
                <c:pt idx="670">
                  <c:v>-0.80600000000000005</c:v>
                </c:pt>
                <c:pt idx="671">
                  <c:v>-0.77200000000000002</c:v>
                </c:pt>
                <c:pt idx="672">
                  <c:v>-0.82399999999999995</c:v>
                </c:pt>
                <c:pt idx="673">
                  <c:v>-0.745</c:v>
                </c:pt>
                <c:pt idx="674">
                  <c:v>-0.57499999999999996</c:v>
                </c:pt>
                <c:pt idx="675">
                  <c:v>-0.81</c:v>
                </c:pt>
                <c:pt idx="676">
                  <c:v>-0.748</c:v>
                </c:pt>
                <c:pt idx="677">
                  <c:v>-0.80400000000000005</c:v>
                </c:pt>
                <c:pt idx="678">
                  <c:v>-0.72799999999999998</c:v>
                </c:pt>
                <c:pt idx="679">
                  <c:v>-0.73499999999999999</c:v>
                </c:pt>
                <c:pt idx="680">
                  <c:v>-0.72699999999999998</c:v>
                </c:pt>
                <c:pt idx="681">
                  <c:v>-0.77500000000000002</c:v>
                </c:pt>
                <c:pt idx="682">
                  <c:v>-0.70799999999999996</c:v>
                </c:pt>
                <c:pt idx="683">
                  <c:v>-0.754</c:v>
                </c:pt>
                <c:pt idx="684">
                  <c:v>-0.64400000000000002</c:v>
                </c:pt>
                <c:pt idx="685">
                  <c:v>-0.75</c:v>
                </c:pt>
                <c:pt idx="686">
                  <c:v>-0.67600000000000005</c:v>
                </c:pt>
                <c:pt idx="687">
                  <c:v>-0.66500000000000004</c:v>
                </c:pt>
                <c:pt idx="688">
                  <c:v>-0.67100000000000004</c:v>
                </c:pt>
                <c:pt idx="689">
                  <c:v>-0.69799999999999995</c:v>
                </c:pt>
                <c:pt idx="690">
                  <c:v>-0.69499999999999995</c:v>
                </c:pt>
                <c:pt idx="691">
                  <c:v>-0.67900000000000005</c:v>
                </c:pt>
                <c:pt idx="692">
                  <c:v>-0.65300000000000002</c:v>
                </c:pt>
                <c:pt idx="693">
                  <c:v>-0.67700000000000005</c:v>
                </c:pt>
                <c:pt idx="694">
                  <c:v>-0.58299999999999996</c:v>
                </c:pt>
                <c:pt idx="695">
                  <c:v>-0.67200000000000004</c:v>
                </c:pt>
                <c:pt idx="696">
                  <c:v>-0.67400000000000004</c:v>
                </c:pt>
                <c:pt idx="697">
                  <c:v>-0.66900000000000004</c:v>
                </c:pt>
                <c:pt idx="698">
                  <c:v>-0.66700000000000004</c:v>
                </c:pt>
                <c:pt idx="699">
                  <c:v>-0.65400000000000003</c:v>
                </c:pt>
                <c:pt idx="700">
                  <c:v>-0.65400000000000003</c:v>
                </c:pt>
                <c:pt idx="701">
                  <c:v>-0.61199999999999999</c:v>
                </c:pt>
                <c:pt idx="702">
                  <c:v>-0.64600000000000002</c:v>
                </c:pt>
                <c:pt idx="703">
                  <c:v>-0.61799999999999999</c:v>
                </c:pt>
                <c:pt idx="704">
                  <c:v>-0.60099999999999998</c:v>
                </c:pt>
                <c:pt idx="705">
                  <c:v>-0.63900000000000001</c:v>
                </c:pt>
                <c:pt idx="706">
                  <c:v>-0.63800000000000001</c:v>
                </c:pt>
                <c:pt idx="707">
                  <c:v>-0.625</c:v>
                </c:pt>
                <c:pt idx="708">
                  <c:v>-0.624</c:v>
                </c:pt>
                <c:pt idx="709">
                  <c:v>-0.621</c:v>
                </c:pt>
                <c:pt idx="710">
                  <c:v>-0.623</c:v>
                </c:pt>
                <c:pt idx="711">
                  <c:v>-0.628</c:v>
                </c:pt>
                <c:pt idx="712">
                  <c:v>-0.61599999999999999</c:v>
                </c:pt>
                <c:pt idx="713">
                  <c:v>-0.60399999999999998</c:v>
                </c:pt>
                <c:pt idx="714">
                  <c:v>-0.61199999999999999</c:v>
                </c:pt>
                <c:pt idx="715">
                  <c:v>-0.61199999999999999</c:v>
                </c:pt>
                <c:pt idx="716">
                  <c:v>-0.61199999999999999</c:v>
                </c:pt>
                <c:pt idx="717">
                  <c:v>-0.625</c:v>
                </c:pt>
                <c:pt idx="718">
                  <c:v>-0.625</c:v>
                </c:pt>
                <c:pt idx="719">
                  <c:v>-0.60899999999999999</c:v>
                </c:pt>
                <c:pt idx="720">
                  <c:v>-0.627</c:v>
                </c:pt>
                <c:pt idx="721">
                  <c:v>-0.623</c:v>
                </c:pt>
                <c:pt idx="722">
                  <c:v>-0.61399999999999999</c:v>
                </c:pt>
                <c:pt idx="723">
                  <c:v>-0.621</c:v>
                </c:pt>
                <c:pt idx="724">
                  <c:v>-0.61099999999999999</c:v>
                </c:pt>
                <c:pt idx="725">
                  <c:v>-0.61399999999999999</c:v>
                </c:pt>
                <c:pt idx="726">
                  <c:v>-0.59</c:v>
                </c:pt>
                <c:pt idx="727">
                  <c:v>-0.58499999999999996</c:v>
                </c:pt>
                <c:pt idx="728">
                  <c:v>-0.58299999999999996</c:v>
                </c:pt>
                <c:pt idx="729">
                  <c:v>-0.59499999999999997</c:v>
                </c:pt>
                <c:pt idx="730">
                  <c:v>-0.57999999999999996</c:v>
                </c:pt>
                <c:pt idx="731">
                  <c:v>-0.57999999999999996</c:v>
                </c:pt>
                <c:pt idx="732">
                  <c:v>-0.56799999999999995</c:v>
                </c:pt>
                <c:pt idx="733">
                  <c:v>-0.56299999999999994</c:v>
                </c:pt>
                <c:pt idx="734">
                  <c:v>-0.56200000000000006</c:v>
                </c:pt>
                <c:pt idx="735">
                  <c:v>-0.56499999999999995</c:v>
                </c:pt>
                <c:pt idx="736">
                  <c:v>-0.60099999999999998</c:v>
                </c:pt>
                <c:pt idx="737">
                  <c:v>-0.58799999999999997</c:v>
                </c:pt>
                <c:pt idx="738">
                  <c:v>-0.60899999999999999</c:v>
                </c:pt>
                <c:pt idx="739">
                  <c:v>-0.58299999999999996</c:v>
                </c:pt>
                <c:pt idx="740">
                  <c:v>-0.58899999999999997</c:v>
                </c:pt>
                <c:pt idx="741">
                  <c:v>-0.55600000000000005</c:v>
                </c:pt>
                <c:pt idx="742">
                  <c:v>-0.58399999999999996</c:v>
                </c:pt>
                <c:pt idx="743">
                  <c:v>-0.59</c:v>
                </c:pt>
                <c:pt idx="744">
                  <c:v>-0.58499999999999996</c:v>
                </c:pt>
                <c:pt idx="745">
                  <c:v>-0.57899999999999996</c:v>
                </c:pt>
                <c:pt idx="746">
                  <c:v>-0.66600000000000004</c:v>
                </c:pt>
                <c:pt idx="747">
                  <c:v>-0.64800000000000002</c:v>
                </c:pt>
                <c:pt idx="748">
                  <c:v>-0.66100000000000003</c:v>
                </c:pt>
                <c:pt idx="749">
                  <c:v>-0.69099999999999995</c:v>
                </c:pt>
                <c:pt idx="750">
                  <c:v>-0.68500000000000005</c:v>
                </c:pt>
                <c:pt idx="751">
                  <c:v>-0.67700000000000005</c:v>
                </c:pt>
                <c:pt idx="752">
                  <c:v>-0.68100000000000005</c:v>
                </c:pt>
                <c:pt idx="753">
                  <c:v>-0.69</c:v>
                </c:pt>
                <c:pt idx="754">
                  <c:v>-0.68700000000000006</c:v>
                </c:pt>
                <c:pt idx="755">
                  <c:v>-0.68400000000000005</c:v>
                </c:pt>
                <c:pt idx="756">
                  <c:v>-0.65200000000000002</c:v>
                </c:pt>
                <c:pt idx="757">
                  <c:v>-0.67400000000000004</c:v>
                </c:pt>
                <c:pt idx="758">
                  <c:v>-0.65100000000000002</c:v>
                </c:pt>
                <c:pt idx="759">
                  <c:v>-0.67400000000000004</c:v>
                </c:pt>
                <c:pt idx="760">
                  <c:v>-0.67600000000000005</c:v>
                </c:pt>
                <c:pt idx="761">
                  <c:v>-0.68</c:v>
                </c:pt>
                <c:pt idx="762">
                  <c:v>-0.67</c:v>
                </c:pt>
                <c:pt idx="763">
                  <c:v>-0.64900000000000002</c:v>
                </c:pt>
                <c:pt idx="764">
                  <c:v>-0.65900000000000003</c:v>
                </c:pt>
                <c:pt idx="765">
                  <c:v>-0.64300000000000002</c:v>
                </c:pt>
                <c:pt idx="766">
                  <c:v>-0.64500000000000002</c:v>
                </c:pt>
                <c:pt idx="767">
                  <c:v>-0.64200000000000002</c:v>
                </c:pt>
                <c:pt idx="768">
                  <c:v>-0.622</c:v>
                </c:pt>
                <c:pt idx="769">
                  <c:v>-0.64200000000000002</c:v>
                </c:pt>
                <c:pt idx="770">
                  <c:v>-0.63800000000000001</c:v>
                </c:pt>
                <c:pt idx="771">
                  <c:v>-0.64100000000000001</c:v>
                </c:pt>
                <c:pt idx="772">
                  <c:v>-0.622</c:v>
                </c:pt>
                <c:pt idx="773">
                  <c:v>-0.61699999999999999</c:v>
                </c:pt>
                <c:pt idx="774">
                  <c:v>-0.61699999999999999</c:v>
                </c:pt>
                <c:pt idx="775">
                  <c:v>-0.61899999999999999</c:v>
                </c:pt>
                <c:pt idx="776">
                  <c:v>-0.61699999999999999</c:v>
                </c:pt>
                <c:pt idx="777">
                  <c:v>-0.60899999999999999</c:v>
                </c:pt>
                <c:pt idx="778">
                  <c:v>-0.61399999999999999</c:v>
                </c:pt>
                <c:pt idx="779">
                  <c:v>-0.61</c:v>
                </c:pt>
                <c:pt idx="780">
                  <c:v>-0.626</c:v>
                </c:pt>
                <c:pt idx="781">
                  <c:v>-0.626</c:v>
                </c:pt>
                <c:pt idx="782">
                  <c:v>-0.621</c:v>
                </c:pt>
                <c:pt idx="783">
                  <c:v>-0.62</c:v>
                </c:pt>
                <c:pt idx="784">
                  <c:v>-0.60599999999999998</c:v>
                </c:pt>
                <c:pt idx="785">
                  <c:v>-0.61299999999999999</c:v>
                </c:pt>
                <c:pt idx="786">
                  <c:v>-0.61299999999999999</c:v>
                </c:pt>
                <c:pt idx="787">
                  <c:v>-0.61299999999999999</c:v>
                </c:pt>
                <c:pt idx="788">
                  <c:v>-0.623</c:v>
                </c:pt>
                <c:pt idx="789">
                  <c:v>-0.60099999999999998</c:v>
                </c:pt>
                <c:pt idx="790">
                  <c:v>-0.6</c:v>
                </c:pt>
                <c:pt idx="791">
                  <c:v>-0.60599999999999998</c:v>
                </c:pt>
                <c:pt idx="792">
                  <c:v>-0.60299999999999998</c:v>
                </c:pt>
                <c:pt idx="793">
                  <c:v>-0.86599999999999999</c:v>
                </c:pt>
                <c:pt idx="794">
                  <c:v>-0.86799999999999999</c:v>
                </c:pt>
                <c:pt idx="795">
                  <c:v>-0.81200000000000006</c:v>
                </c:pt>
                <c:pt idx="796">
                  <c:v>-0.77800000000000002</c:v>
                </c:pt>
                <c:pt idx="797">
                  <c:v>-0.628</c:v>
                </c:pt>
                <c:pt idx="798">
                  <c:v>-0.88800000000000001</c:v>
                </c:pt>
                <c:pt idx="799">
                  <c:v>-0.86899999999999999</c:v>
                </c:pt>
                <c:pt idx="800">
                  <c:v>-0.86599999999999999</c:v>
                </c:pt>
                <c:pt idx="801">
                  <c:v>-0.86099999999999999</c:v>
                </c:pt>
                <c:pt idx="802">
                  <c:v>-0.82</c:v>
                </c:pt>
                <c:pt idx="803">
                  <c:v>-0.78</c:v>
                </c:pt>
                <c:pt idx="804">
                  <c:v>-0.85099999999999998</c:v>
                </c:pt>
                <c:pt idx="805">
                  <c:v>-0.85099999999999998</c:v>
                </c:pt>
                <c:pt idx="806">
                  <c:v>-0.84699999999999998</c:v>
                </c:pt>
                <c:pt idx="807">
                  <c:v>-0.81599999999999995</c:v>
                </c:pt>
                <c:pt idx="808">
                  <c:v>-0.625</c:v>
                </c:pt>
                <c:pt idx="809">
                  <c:v>-0.82499999999999996</c:v>
                </c:pt>
                <c:pt idx="810">
                  <c:v>-0.74299999999999999</c:v>
                </c:pt>
                <c:pt idx="811">
                  <c:v>-0.754</c:v>
                </c:pt>
                <c:pt idx="812">
                  <c:v>-0.73599999999999999</c:v>
                </c:pt>
                <c:pt idx="813">
                  <c:v>-0.80900000000000005</c:v>
                </c:pt>
                <c:pt idx="814">
                  <c:v>-0.75600000000000001</c:v>
                </c:pt>
                <c:pt idx="815">
                  <c:v>-0.79700000000000004</c:v>
                </c:pt>
                <c:pt idx="816">
                  <c:v>-0.74199999999999999</c:v>
                </c:pt>
                <c:pt idx="817">
                  <c:v>-0.76800000000000002</c:v>
                </c:pt>
                <c:pt idx="818">
                  <c:v>-0.76700000000000002</c:v>
                </c:pt>
                <c:pt idx="819">
                  <c:v>-0.76300000000000001</c:v>
                </c:pt>
                <c:pt idx="820">
                  <c:v>-0.80100000000000005</c:v>
                </c:pt>
                <c:pt idx="821">
                  <c:v>-0.80600000000000005</c:v>
                </c:pt>
                <c:pt idx="822">
                  <c:v>-0.80400000000000005</c:v>
                </c:pt>
                <c:pt idx="823">
                  <c:v>-0.76500000000000001</c:v>
                </c:pt>
                <c:pt idx="824">
                  <c:v>-0.79800000000000004</c:v>
                </c:pt>
                <c:pt idx="825">
                  <c:v>-0.74</c:v>
                </c:pt>
                <c:pt idx="826">
                  <c:v>-0.80900000000000005</c:v>
                </c:pt>
                <c:pt idx="827">
                  <c:v>-0.753</c:v>
                </c:pt>
                <c:pt idx="828">
                  <c:v>-0.752</c:v>
                </c:pt>
                <c:pt idx="829">
                  <c:v>-0.76</c:v>
                </c:pt>
                <c:pt idx="830">
                  <c:v>-0.78100000000000003</c:v>
                </c:pt>
                <c:pt idx="831">
                  <c:v>-0.77900000000000003</c:v>
                </c:pt>
                <c:pt idx="832">
                  <c:v>-0.76900000000000002</c:v>
                </c:pt>
                <c:pt idx="833">
                  <c:v>-0.73099999999999998</c:v>
                </c:pt>
                <c:pt idx="834">
                  <c:v>-0.749</c:v>
                </c:pt>
                <c:pt idx="835">
                  <c:v>-0.751</c:v>
                </c:pt>
                <c:pt idx="836">
                  <c:v>-0.746</c:v>
                </c:pt>
                <c:pt idx="837">
                  <c:v>-0.76</c:v>
                </c:pt>
                <c:pt idx="838">
                  <c:v>-0.72699999999999998</c:v>
                </c:pt>
                <c:pt idx="839">
                  <c:v>-0.68899999999999995</c:v>
                </c:pt>
                <c:pt idx="840">
                  <c:v>-0.74299999999999999</c:v>
                </c:pt>
                <c:pt idx="841">
                  <c:v>-0.72199999999999998</c:v>
                </c:pt>
                <c:pt idx="842">
                  <c:v>-0.69299999999999995</c:v>
                </c:pt>
                <c:pt idx="843">
                  <c:v>-0.71199999999999997</c:v>
                </c:pt>
                <c:pt idx="844">
                  <c:v>-0.73099999999999998</c:v>
                </c:pt>
                <c:pt idx="845">
                  <c:v>-0.70799999999999996</c:v>
                </c:pt>
                <c:pt idx="846">
                  <c:v>-0.72599999999999998</c:v>
                </c:pt>
                <c:pt idx="847">
                  <c:v>-0.65100000000000002</c:v>
                </c:pt>
                <c:pt idx="848">
                  <c:v>-0.68799999999999994</c:v>
                </c:pt>
                <c:pt idx="849">
                  <c:v>-0.63400000000000001</c:v>
                </c:pt>
                <c:pt idx="850">
                  <c:v>-0.63400000000000001</c:v>
                </c:pt>
                <c:pt idx="851">
                  <c:v>-0.63400000000000001</c:v>
                </c:pt>
                <c:pt idx="852">
                  <c:v>-0.63400000000000001</c:v>
                </c:pt>
                <c:pt idx="853">
                  <c:v>-0.63400000000000001</c:v>
                </c:pt>
                <c:pt idx="854">
                  <c:v>-0.63400000000000001</c:v>
                </c:pt>
                <c:pt idx="855">
                  <c:v>-0.63400000000000001</c:v>
                </c:pt>
                <c:pt idx="856">
                  <c:v>-0.63400000000000001</c:v>
                </c:pt>
                <c:pt idx="857">
                  <c:v>-0.63400000000000001</c:v>
                </c:pt>
                <c:pt idx="858">
                  <c:v>-0.63400000000000001</c:v>
                </c:pt>
                <c:pt idx="859">
                  <c:v>-0.63400000000000001</c:v>
                </c:pt>
                <c:pt idx="860">
                  <c:v>-0.63400000000000001</c:v>
                </c:pt>
                <c:pt idx="861">
                  <c:v>-0.63400000000000001</c:v>
                </c:pt>
                <c:pt idx="862">
                  <c:v>-0.63400000000000001</c:v>
                </c:pt>
                <c:pt idx="863">
                  <c:v>-0.63400000000000001</c:v>
                </c:pt>
                <c:pt idx="864">
                  <c:v>-0.63400000000000001</c:v>
                </c:pt>
                <c:pt idx="865">
                  <c:v>-0.63400000000000001</c:v>
                </c:pt>
                <c:pt idx="866">
                  <c:v>-0.63400000000000001</c:v>
                </c:pt>
                <c:pt idx="867">
                  <c:v>-0.63400000000000001</c:v>
                </c:pt>
                <c:pt idx="868">
                  <c:v>-0.63400000000000001</c:v>
                </c:pt>
                <c:pt idx="869">
                  <c:v>-0.63400000000000001</c:v>
                </c:pt>
                <c:pt idx="870">
                  <c:v>-0.63400000000000001</c:v>
                </c:pt>
                <c:pt idx="871">
                  <c:v>-0.63400000000000001</c:v>
                </c:pt>
                <c:pt idx="872">
                  <c:v>-0.63400000000000001</c:v>
                </c:pt>
                <c:pt idx="873">
                  <c:v>-0.63400000000000001</c:v>
                </c:pt>
                <c:pt idx="874">
                  <c:v>-0.63400000000000001</c:v>
                </c:pt>
                <c:pt idx="875">
                  <c:v>-0.63400000000000001</c:v>
                </c:pt>
                <c:pt idx="876">
                  <c:v>-0.63400000000000001</c:v>
                </c:pt>
                <c:pt idx="877">
                  <c:v>-0.63400000000000001</c:v>
                </c:pt>
                <c:pt idx="878">
                  <c:v>-0.63400000000000001</c:v>
                </c:pt>
                <c:pt idx="879">
                  <c:v>-0.63400000000000001</c:v>
                </c:pt>
                <c:pt idx="880">
                  <c:v>-0.63400000000000001</c:v>
                </c:pt>
                <c:pt idx="881">
                  <c:v>-0.63400000000000001</c:v>
                </c:pt>
                <c:pt idx="882">
                  <c:v>-0.63400000000000001</c:v>
                </c:pt>
                <c:pt idx="883">
                  <c:v>-0.63400000000000001</c:v>
                </c:pt>
                <c:pt idx="884">
                  <c:v>-0.63400000000000001</c:v>
                </c:pt>
                <c:pt idx="885">
                  <c:v>-0.63400000000000001</c:v>
                </c:pt>
                <c:pt idx="886">
                  <c:v>-0.63400000000000001</c:v>
                </c:pt>
                <c:pt idx="887">
                  <c:v>-0.63400000000000001</c:v>
                </c:pt>
                <c:pt idx="888">
                  <c:v>-0.63400000000000001</c:v>
                </c:pt>
                <c:pt idx="889">
                  <c:v>-0.63400000000000001</c:v>
                </c:pt>
                <c:pt idx="890">
                  <c:v>-0.63400000000000001</c:v>
                </c:pt>
                <c:pt idx="891">
                  <c:v>-0.63400000000000001</c:v>
                </c:pt>
                <c:pt idx="892">
                  <c:v>-0.63400000000000001</c:v>
                </c:pt>
                <c:pt idx="893">
                  <c:v>-0.63400000000000001</c:v>
                </c:pt>
                <c:pt idx="894">
                  <c:v>-0.63400000000000001</c:v>
                </c:pt>
                <c:pt idx="895">
                  <c:v>-0.63400000000000001</c:v>
                </c:pt>
                <c:pt idx="896">
                  <c:v>-0.63400000000000001</c:v>
                </c:pt>
                <c:pt idx="897">
                  <c:v>-0.63400000000000001</c:v>
                </c:pt>
                <c:pt idx="898">
                  <c:v>-0.63400000000000001</c:v>
                </c:pt>
                <c:pt idx="899">
                  <c:v>-0.63400000000000001</c:v>
                </c:pt>
                <c:pt idx="900">
                  <c:v>-0.63400000000000001</c:v>
                </c:pt>
                <c:pt idx="901">
                  <c:v>-0.63400000000000001</c:v>
                </c:pt>
                <c:pt idx="902">
                  <c:v>-0.63400000000000001</c:v>
                </c:pt>
                <c:pt idx="903">
                  <c:v>-0.63400000000000001</c:v>
                </c:pt>
                <c:pt idx="904">
                  <c:v>-0.63400000000000001</c:v>
                </c:pt>
                <c:pt idx="905">
                  <c:v>-0.63400000000000001</c:v>
                </c:pt>
                <c:pt idx="906">
                  <c:v>-0.63400000000000001</c:v>
                </c:pt>
                <c:pt idx="907">
                  <c:v>-0.63400000000000001</c:v>
                </c:pt>
                <c:pt idx="908">
                  <c:v>-0.63400000000000001</c:v>
                </c:pt>
                <c:pt idx="909">
                  <c:v>-0.63400000000000001</c:v>
                </c:pt>
                <c:pt idx="910">
                  <c:v>-0.63400000000000001</c:v>
                </c:pt>
                <c:pt idx="911">
                  <c:v>-0.63400000000000001</c:v>
                </c:pt>
                <c:pt idx="912">
                  <c:v>-0.63400000000000001</c:v>
                </c:pt>
                <c:pt idx="913">
                  <c:v>-0.63400000000000001</c:v>
                </c:pt>
                <c:pt idx="914">
                  <c:v>-0.63400000000000001</c:v>
                </c:pt>
                <c:pt idx="915">
                  <c:v>-0.63400000000000001</c:v>
                </c:pt>
                <c:pt idx="916">
                  <c:v>-0.63400000000000001</c:v>
                </c:pt>
                <c:pt idx="917">
                  <c:v>-0.63400000000000001</c:v>
                </c:pt>
                <c:pt idx="918">
                  <c:v>-0.63400000000000001</c:v>
                </c:pt>
                <c:pt idx="919">
                  <c:v>-0.63400000000000001</c:v>
                </c:pt>
                <c:pt idx="920">
                  <c:v>-0.63400000000000001</c:v>
                </c:pt>
                <c:pt idx="921">
                  <c:v>-0.63400000000000001</c:v>
                </c:pt>
                <c:pt idx="922">
                  <c:v>-0.63400000000000001</c:v>
                </c:pt>
                <c:pt idx="923">
                  <c:v>-0.63400000000000001</c:v>
                </c:pt>
                <c:pt idx="924">
                  <c:v>-0.63400000000000001</c:v>
                </c:pt>
                <c:pt idx="925">
                  <c:v>-0.63400000000000001</c:v>
                </c:pt>
                <c:pt idx="926">
                  <c:v>-0.63400000000000001</c:v>
                </c:pt>
                <c:pt idx="927">
                  <c:v>-0.63400000000000001</c:v>
                </c:pt>
                <c:pt idx="928">
                  <c:v>-0.63400000000000001</c:v>
                </c:pt>
                <c:pt idx="929">
                  <c:v>-0.63400000000000001</c:v>
                </c:pt>
                <c:pt idx="930">
                  <c:v>-0.63400000000000001</c:v>
                </c:pt>
                <c:pt idx="931">
                  <c:v>-0.63400000000000001</c:v>
                </c:pt>
                <c:pt idx="932">
                  <c:v>-0.63400000000000001</c:v>
                </c:pt>
                <c:pt idx="933">
                  <c:v>-0.63400000000000001</c:v>
                </c:pt>
                <c:pt idx="934">
                  <c:v>-0.63400000000000001</c:v>
                </c:pt>
                <c:pt idx="935">
                  <c:v>-0.63400000000000001</c:v>
                </c:pt>
                <c:pt idx="936">
                  <c:v>-0.63400000000000001</c:v>
                </c:pt>
                <c:pt idx="937">
                  <c:v>-0.63400000000000001</c:v>
                </c:pt>
                <c:pt idx="938">
                  <c:v>-0.63400000000000001</c:v>
                </c:pt>
                <c:pt idx="939">
                  <c:v>-0.63400000000000001</c:v>
                </c:pt>
                <c:pt idx="940">
                  <c:v>-0.63400000000000001</c:v>
                </c:pt>
                <c:pt idx="941">
                  <c:v>-0.63400000000000001</c:v>
                </c:pt>
                <c:pt idx="942">
                  <c:v>-0.63400000000000001</c:v>
                </c:pt>
                <c:pt idx="943">
                  <c:v>-0.63400000000000001</c:v>
                </c:pt>
                <c:pt idx="944">
                  <c:v>-0.63400000000000001</c:v>
                </c:pt>
                <c:pt idx="945">
                  <c:v>-0.63400000000000001</c:v>
                </c:pt>
                <c:pt idx="946">
                  <c:v>-0.63400000000000001</c:v>
                </c:pt>
                <c:pt idx="947">
                  <c:v>-0.63400000000000001</c:v>
                </c:pt>
                <c:pt idx="948">
                  <c:v>-0.63400000000000001</c:v>
                </c:pt>
                <c:pt idx="949">
                  <c:v>-0.63400000000000001</c:v>
                </c:pt>
                <c:pt idx="950">
                  <c:v>-0.63400000000000001</c:v>
                </c:pt>
                <c:pt idx="951">
                  <c:v>-0.63400000000000001</c:v>
                </c:pt>
                <c:pt idx="952">
                  <c:v>-0.63400000000000001</c:v>
                </c:pt>
                <c:pt idx="953">
                  <c:v>-0.63400000000000001</c:v>
                </c:pt>
                <c:pt idx="954">
                  <c:v>-0.63400000000000001</c:v>
                </c:pt>
                <c:pt idx="955">
                  <c:v>-0.63400000000000001</c:v>
                </c:pt>
                <c:pt idx="956">
                  <c:v>-0.63400000000000001</c:v>
                </c:pt>
                <c:pt idx="957">
                  <c:v>-0.63400000000000001</c:v>
                </c:pt>
                <c:pt idx="958">
                  <c:v>-0.63400000000000001</c:v>
                </c:pt>
                <c:pt idx="959">
                  <c:v>-0.63400000000000001</c:v>
                </c:pt>
                <c:pt idx="960">
                  <c:v>-0.63400000000000001</c:v>
                </c:pt>
                <c:pt idx="961">
                  <c:v>-0.63400000000000001</c:v>
                </c:pt>
                <c:pt idx="962">
                  <c:v>-0.63400000000000001</c:v>
                </c:pt>
                <c:pt idx="963">
                  <c:v>-0.63400000000000001</c:v>
                </c:pt>
                <c:pt idx="964">
                  <c:v>-0.63400000000000001</c:v>
                </c:pt>
                <c:pt idx="965">
                  <c:v>-0.63400000000000001</c:v>
                </c:pt>
                <c:pt idx="966">
                  <c:v>-0.63400000000000001</c:v>
                </c:pt>
                <c:pt idx="967">
                  <c:v>-0.63400000000000001</c:v>
                </c:pt>
                <c:pt idx="968">
                  <c:v>-0.63400000000000001</c:v>
                </c:pt>
                <c:pt idx="969">
                  <c:v>-0.63400000000000001</c:v>
                </c:pt>
                <c:pt idx="970">
                  <c:v>-0.63400000000000001</c:v>
                </c:pt>
                <c:pt idx="971">
                  <c:v>-0.63400000000000001</c:v>
                </c:pt>
                <c:pt idx="972">
                  <c:v>-0.63400000000000001</c:v>
                </c:pt>
                <c:pt idx="973">
                  <c:v>-0.63400000000000001</c:v>
                </c:pt>
                <c:pt idx="974">
                  <c:v>-0.63400000000000001</c:v>
                </c:pt>
                <c:pt idx="975">
                  <c:v>-0.63400000000000001</c:v>
                </c:pt>
                <c:pt idx="976">
                  <c:v>-0.63400000000000001</c:v>
                </c:pt>
                <c:pt idx="977">
                  <c:v>-0.63400000000000001</c:v>
                </c:pt>
                <c:pt idx="978">
                  <c:v>-0.63400000000000001</c:v>
                </c:pt>
                <c:pt idx="979">
                  <c:v>-0.63400000000000001</c:v>
                </c:pt>
                <c:pt idx="980">
                  <c:v>-0.63400000000000001</c:v>
                </c:pt>
                <c:pt idx="981">
                  <c:v>-0.63400000000000001</c:v>
                </c:pt>
                <c:pt idx="982">
                  <c:v>-0.63400000000000001</c:v>
                </c:pt>
                <c:pt idx="983">
                  <c:v>-0.63400000000000001</c:v>
                </c:pt>
                <c:pt idx="984">
                  <c:v>-0.63400000000000001</c:v>
                </c:pt>
                <c:pt idx="985">
                  <c:v>-0.63400000000000001</c:v>
                </c:pt>
                <c:pt idx="986">
                  <c:v>-0.63400000000000001</c:v>
                </c:pt>
                <c:pt idx="987">
                  <c:v>-0.63400000000000001</c:v>
                </c:pt>
                <c:pt idx="988">
                  <c:v>-0.63400000000000001</c:v>
                </c:pt>
                <c:pt idx="989">
                  <c:v>-0.63400000000000001</c:v>
                </c:pt>
                <c:pt idx="990">
                  <c:v>-0.63400000000000001</c:v>
                </c:pt>
                <c:pt idx="991">
                  <c:v>-0.63400000000000001</c:v>
                </c:pt>
                <c:pt idx="992">
                  <c:v>-0.63400000000000001</c:v>
                </c:pt>
                <c:pt idx="993">
                  <c:v>-0.63400000000000001</c:v>
                </c:pt>
                <c:pt idx="994">
                  <c:v>-0.63400000000000001</c:v>
                </c:pt>
                <c:pt idx="995">
                  <c:v>-0.63400000000000001</c:v>
                </c:pt>
                <c:pt idx="996">
                  <c:v>-0.63400000000000001</c:v>
                </c:pt>
                <c:pt idx="997">
                  <c:v>-0.63400000000000001</c:v>
                </c:pt>
                <c:pt idx="998">
                  <c:v>-0.63400000000000001</c:v>
                </c:pt>
                <c:pt idx="999">
                  <c:v>-0.63400000000000001</c:v>
                </c:pt>
                <c:pt idx="1000">
                  <c:v>-0.63400000000000001</c:v>
                </c:pt>
                <c:pt idx="1001">
                  <c:v>-0.63400000000000001</c:v>
                </c:pt>
                <c:pt idx="1002">
                  <c:v>-0.63400000000000001</c:v>
                </c:pt>
                <c:pt idx="1003">
                  <c:v>-0.63400000000000001</c:v>
                </c:pt>
                <c:pt idx="1004">
                  <c:v>-0.63400000000000001</c:v>
                </c:pt>
                <c:pt idx="1005">
                  <c:v>-0.63400000000000001</c:v>
                </c:pt>
                <c:pt idx="1006">
                  <c:v>-0.63400000000000001</c:v>
                </c:pt>
                <c:pt idx="1007">
                  <c:v>-0.63400000000000001</c:v>
                </c:pt>
                <c:pt idx="1008">
                  <c:v>-0.63400000000000001</c:v>
                </c:pt>
                <c:pt idx="1009">
                  <c:v>-0.63400000000000001</c:v>
                </c:pt>
                <c:pt idx="1010">
                  <c:v>-0.63400000000000001</c:v>
                </c:pt>
                <c:pt idx="1011">
                  <c:v>-0.63400000000000001</c:v>
                </c:pt>
                <c:pt idx="1012">
                  <c:v>-0.63400000000000001</c:v>
                </c:pt>
                <c:pt idx="1013">
                  <c:v>-0.63400000000000001</c:v>
                </c:pt>
                <c:pt idx="1014">
                  <c:v>-0.63400000000000001</c:v>
                </c:pt>
                <c:pt idx="1015">
                  <c:v>-0.63400000000000001</c:v>
                </c:pt>
                <c:pt idx="1016">
                  <c:v>-0.63400000000000001</c:v>
                </c:pt>
                <c:pt idx="1017">
                  <c:v>-0.63400000000000001</c:v>
                </c:pt>
                <c:pt idx="1018">
                  <c:v>-0.63400000000000001</c:v>
                </c:pt>
                <c:pt idx="1019">
                  <c:v>-0.63400000000000001</c:v>
                </c:pt>
                <c:pt idx="1020">
                  <c:v>-0.63400000000000001</c:v>
                </c:pt>
                <c:pt idx="1021">
                  <c:v>-0.63400000000000001</c:v>
                </c:pt>
                <c:pt idx="1022">
                  <c:v>-0.63400000000000001</c:v>
                </c:pt>
                <c:pt idx="1023">
                  <c:v>-0.63400000000000001</c:v>
                </c:pt>
                <c:pt idx="1024">
                  <c:v>-0.63400000000000001</c:v>
                </c:pt>
                <c:pt idx="1025">
                  <c:v>-0.63400000000000001</c:v>
                </c:pt>
                <c:pt idx="1026">
                  <c:v>-0.63400000000000001</c:v>
                </c:pt>
                <c:pt idx="1027">
                  <c:v>-0.63400000000000001</c:v>
                </c:pt>
                <c:pt idx="1028">
                  <c:v>-0.63400000000000001</c:v>
                </c:pt>
                <c:pt idx="1029">
                  <c:v>-0.63400000000000001</c:v>
                </c:pt>
                <c:pt idx="1030">
                  <c:v>-0.63400000000000001</c:v>
                </c:pt>
                <c:pt idx="1031">
                  <c:v>-0.63400000000000001</c:v>
                </c:pt>
                <c:pt idx="1032">
                  <c:v>-0.63400000000000001</c:v>
                </c:pt>
                <c:pt idx="1033">
                  <c:v>-0.63400000000000001</c:v>
                </c:pt>
                <c:pt idx="1034">
                  <c:v>-0.63400000000000001</c:v>
                </c:pt>
                <c:pt idx="1035">
                  <c:v>-0.63400000000000001</c:v>
                </c:pt>
                <c:pt idx="1036">
                  <c:v>-0.63400000000000001</c:v>
                </c:pt>
                <c:pt idx="1037">
                  <c:v>-0.63400000000000001</c:v>
                </c:pt>
                <c:pt idx="1038">
                  <c:v>-0.63400000000000001</c:v>
                </c:pt>
                <c:pt idx="1039">
                  <c:v>-0.63400000000000001</c:v>
                </c:pt>
                <c:pt idx="1040">
                  <c:v>-0.63400000000000001</c:v>
                </c:pt>
                <c:pt idx="1041">
                  <c:v>-0.63400000000000001</c:v>
                </c:pt>
                <c:pt idx="1042">
                  <c:v>-0.63400000000000001</c:v>
                </c:pt>
                <c:pt idx="1043">
                  <c:v>-0.63400000000000001</c:v>
                </c:pt>
                <c:pt idx="1044">
                  <c:v>-0.63400000000000001</c:v>
                </c:pt>
                <c:pt idx="1045">
                  <c:v>-0.63400000000000001</c:v>
                </c:pt>
                <c:pt idx="1046">
                  <c:v>-0.63400000000000001</c:v>
                </c:pt>
                <c:pt idx="1047">
                  <c:v>-0.63400000000000001</c:v>
                </c:pt>
                <c:pt idx="1048">
                  <c:v>-0.63400000000000001</c:v>
                </c:pt>
                <c:pt idx="1049">
                  <c:v>-0.63400000000000001</c:v>
                </c:pt>
                <c:pt idx="1050">
                  <c:v>-0.63400000000000001</c:v>
                </c:pt>
                <c:pt idx="1051">
                  <c:v>-0.63400000000000001</c:v>
                </c:pt>
                <c:pt idx="1052">
                  <c:v>-0.63400000000000001</c:v>
                </c:pt>
                <c:pt idx="1053">
                  <c:v>-0.63400000000000001</c:v>
                </c:pt>
                <c:pt idx="1054">
                  <c:v>-0.63400000000000001</c:v>
                </c:pt>
                <c:pt idx="1055">
                  <c:v>-0.63400000000000001</c:v>
                </c:pt>
                <c:pt idx="1056">
                  <c:v>-0.63400000000000001</c:v>
                </c:pt>
                <c:pt idx="1057">
                  <c:v>-0.63400000000000001</c:v>
                </c:pt>
                <c:pt idx="1058">
                  <c:v>-0.63400000000000001</c:v>
                </c:pt>
                <c:pt idx="1059">
                  <c:v>-0.63400000000000001</c:v>
                </c:pt>
                <c:pt idx="1060">
                  <c:v>-0.63400000000000001</c:v>
                </c:pt>
                <c:pt idx="1061">
                  <c:v>-0.63400000000000001</c:v>
                </c:pt>
                <c:pt idx="1062">
                  <c:v>-0.63400000000000001</c:v>
                </c:pt>
                <c:pt idx="1063">
                  <c:v>-0.63400000000000001</c:v>
                </c:pt>
                <c:pt idx="1064">
                  <c:v>-0.63400000000000001</c:v>
                </c:pt>
                <c:pt idx="1065">
                  <c:v>-0.63400000000000001</c:v>
                </c:pt>
                <c:pt idx="1066">
                  <c:v>-0.63400000000000001</c:v>
                </c:pt>
                <c:pt idx="1067">
                  <c:v>-0.63400000000000001</c:v>
                </c:pt>
                <c:pt idx="1068">
                  <c:v>-0.63400000000000001</c:v>
                </c:pt>
                <c:pt idx="1069">
                  <c:v>-0.63400000000000001</c:v>
                </c:pt>
                <c:pt idx="1070">
                  <c:v>-0.63400000000000001</c:v>
                </c:pt>
                <c:pt idx="1071">
                  <c:v>-0.63400000000000001</c:v>
                </c:pt>
                <c:pt idx="1072">
                  <c:v>-0.63400000000000001</c:v>
                </c:pt>
                <c:pt idx="1073">
                  <c:v>-0.63400000000000001</c:v>
                </c:pt>
                <c:pt idx="1074">
                  <c:v>-0.63400000000000001</c:v>
                </c:pt>
                <c:pt idx="1075">
                  <c:v>-0.63400000000000001</c:v>
                </c:pt>
                <c:pt idx="1076">
                  <c:v>-0.63400000000000001</c:v>
                </c:pt>
                <c:pt idx="1077">
                  <c:v>-0.63400000000000001</c:v>
                </c:pt>
                <c:pt idx="1078">
                  <c:v>-0.63400000000000001</c:v>
                </c:pt>
                <c:pt idx="1079">
                  <c:v>-0.63400000000000001</c:v>
                </c:pt>
                <c:pt idx="1080">
                  <c:v>-0.63400000000000001</c:v>
                </c:pt>
                <c:pt idx="1081">
                  <c:v>-0.63400000000000001</c:v>
                </c:pt>
                <c:pt idx="1082">
                  <c:v>-0.63400000000000001</c:v>
                </c:pt>
                <c:pt idx="1083">
                  <c:v>-0.63400000000000001</c:v>
                </c:pt>
                <c:pt idx="1084">
                  <c:v>-0.63400000000000001</c:v>
                </c:pt>
                <c:pt idx="1085">
                  <c:v>-0.63400000000000001</c:v>
                </c:pt>
                <c:pt idx="1086">
                  <c:v>-0.63400000000000001</c:v>
                </c:pt>
                <c:pt idx="1087">
                  <c:v>-0.63400000000000001</c:v>
                </c:pt>
                <c:pt idx="1088">
                  <c:v>-0.63400000000000001</c:v>
                </c:pt>
                <c:pt idx="1089">
                  <c:v>-0.63400000000000001</c:v>
                </c:pt>
                <c:pt idx="1090">
                  <c:v>-0.63400000000000001</c:v>
                </c:pt>
                <c:pt idx="1091">
                  <c:v>-0.63400000000000001</c:v>
                </c:pt>
                <c:pt idx="1092">
                  <c:v>-0.63400000000000001</c:v>
                </c:pt>
                <c:pt idx="1093">
                  <c:v>-0.63400000000000001</c:v>
                </c:pt>
                <c:pt idx="1094">
                  <c:v>-0.63400000000000001</c:v>
                </c:pt>
                <c:pt idx="1095">
                  <c:v>-0.63400000000000001</c:v>
                </c:pt>
                <c:pt idx="1096">
                  <c:v>-0.63400000000000001</c:v>
                </c:pt>
                <c:pt idx="1097">
                  <c:v>-0.63400000000000001</c:v>
                </c:pt>
                <c:pt idx="1098">
                  <c:v>-0.63400000000000001</c:v>
                </c:pt>
                <c:pt idx="1099">
                  <c:v>-0.63400000000000001</c:v>
                </c:pt>
                <c:pt idx="1100">
                  <c:v>-0.63400000000000001</c:v>
                </c:pt>
                <c:pt idx="1101">
                  <c:v>-0.63400000000000001</c:v>
                </c:pt>
                <c:pt idx="1102">
                  <c:v>-0.63400000000000001</c:v>
                </c:pt>
                <c:pt idx="1103">
                  <c:v>-0.64200000000000002</c:v>
                </c:pt>
                <c:pt idx="1104">
                  <c:v>-0.625</c:v>
                </c:pt>
                <c:pt idx="1105">
                  <c:v>-0.64300000000000002</c:v>
                </c:pt>
                <c:pt idx="1106">
                  <c:v>-0.622</c:v>
                </c:pt>
                <c:pt idx="1107">
                  <c:v>-0.59299999999999997</c:v>
                </c:pt>
                <c:pt idx="1108">
                  <c:v>-0.58899999999999997</c:v>
                </c:pt>
                <c:pt idx="1109">
                  <c:v>-0.55900000000000005</c:v>
                </c:pt>
                <c:pt idx="1110">
                  <c:v>-0.57799999999999996</c:v>
                </c:pt>
                <c:pt idx="1111">
                  <c:v>-0.57599999999999996</c:v>
                </c:pt>
                <c:pt idx="1112">
                  <c:v>-0.60399999999999998</c:v>
                </c:pt>
                <c:pt idx="1113">
                  <c:v>-0.59799999999999998</c:v>
                </c:pt>
                <c:pt idx="1114">
                  <c:v>-0.56200000000000006</c:v>
                </c:pt>
                <c:pt idx="1115">
                  <c:v>-0.59599999999999997</c:v>
                </c:pt>
                <c:pt idx="1116">
                  <c:v>-0.58099999999999996</c:v>
                </c:pt>
                <c:pt idx="1117">
                  <c:v>-0.58799999999999997</c:v>
                </c:pt>
                <c:pt idx="1118">
                  <c:v>-0.57999999999999996</c:v>
                </c:pt>
                <c:pt idx="1119">
                  <c:v>-0.65200000000000002</c:v>
                </c:pt>
                <c:pt idx="1120">
                  <c:v>-0.83199999999999996</c:v>
                </c:pt>
                <c:pt idx="1121">
                  <c:v>-0.78</c:v>
                </c:pt>
                <c:pt idx="1122">
                  <c:v>-0.79300000000000004</c:v>
                </c:pt>
                <c:pt idx="1123">
                  <c:v>-0.78800000000000003</c:v>
                </c:pt>
                <c:pt idx="1124">
                  <c:v>-0.78600000000000003</c:v>
                </c:pt>
                <c:pt idx="1125">
                  <c:v>-0.76600000000000001</c:v>
                </c:pt>
                <c:pt idx="1126">
                  <c:v>-0.77900000000000003</c:v>
                </c:pt>
                <c:pt idx="1127">
                  <c:v>-0.77</c:v>
                </c:pt>
                <c:pt idx="1128">
                  <c:v>-0.77100000000000002</c:v>
                </c:pt>
                <c:pt idx="1129">
                  <c:v>-0.79900000000000004</c:v>
                </c:pt>
                <c:pt idx="1130">
                  <c:v>-0.72499999999999998</c:v>
                </c:pt>
                <c:pt idx="1131">
                  <c:v>-0.76500000000000001</c:v>
                </c:pt>
                <c:pt idx="1132">
                  <c:v>-0.748</c:v>
                </c:pt>
                <c:pt idx="1133">
                  <c:v>-0.74299999999999999</c:v>
                </c:pt>
                <c:pt idx="1134">
                  <c:v>-0.66400000000000003</c:v>
                </c:pt>
                <c:pt idx="1135">
                  <c:v>-0.73</c:v>
                </c:pt>
                <c:pt idx="1136">
                  <c:v>-0.72499999999999998</c:v>
                </c:pt>
                <c:pt idx="1137">
                  <c:v>-0.69099999999999995</c:v>
                </c:pt>
                <c:pt idx="1138">
                  <c:v>-0.70099999999999996</c:v>
                </c:pt>
                <c:pt idx="1139">
                  <c:v>-0.69599999999999995</c:v>
                </c:pt>
                <c:pt idx="1140">
                  <c:v>-0.71299999999999997</c:v>
                </c:pt>
                <c:pt idx="1141">
                  <c:v>-0.71099999999999997</c:v>
                </c:pt>
                <c:pt idx="1142">
                  <c:v>-0.67700000000000005</c:v>
                </c:pt>
                <c:pt idx="1143">
                  <c:v>-0.68400000000000005</c:v>
                </c:pt>
                <c:pt idx="1144">
                  <c:v>-0.67500000000000004</c:v>
                </c:pt>
                <c:pt idx="1145">
                  <c:v>-0.67</c:v>
                </c:pt>
                <c:pt idx="1146">
                  <c:v>-0.66300000000000003</c:v>
                </c:pt>
                <c:pt idx="1147">
                  <c:v>-0.64900000000000002</c:v>
                </c:pt>
                <c:pt idx="1148">
                  <c:v>-0.63600000000000001</c:v>
                </c:pt>
                <c:pt idx="1149">
                  <c:v>-0.629</c:v>
                </c:pt>
                <c:pt idx="1150">
                  <c:v>-0.59899999999999998</c:v>
                </c:pt>
                <c:pt idx="1151">
                  <c:v>-0.58899999999999997</c:v>
                </c:pt>
                <c:pt idx="1152">
                  <c:v>-0.56499999999999995</c:v>
                </c:pt>
                <c:pt idx="1153">
                  <c:v>-0.56000000000000005</c:v>
                </c:pt>
                <c:pt idx="1154">
                  <c:v>-0.55900000000000005</c:v>
                </c:pt>
                <c:pt idx="1155">
                  <c:v>-0.55500000000000005</c:v>
                </c:pt>
                <c:pt idx="1156">
                  <c:v>-0.55000000000000004</c:v>
                </c:pt>
                <c:pt idx="1157">
                  <c:v>-0.55700000000000005</c:v>
                </c:pt>
                <c:pt idx="1158">
                  <c:v>-0.55300000000000005</c:v>
                </c:pt>
                <c:pt idx="1159">
                  <c:v>-0.55100000000000005</c:v>
                </c:pt>
                <c:pt idx="1160">
                  <c:v>-0.54700000000000004</c:v>
                </c:pt>
                <c:pt idx="1161">
                  <c:v>-0.54300000000000004</c:v>
                </c:pt>
                <c:pt idx="1162">
                  <c:v>-0.53</c:v>
                </c:pt>
                <c:pt idx="1163">
                  <c:v>-0.52600000000000002</c:v>
                </c:pt>
                <c:pt idx="1164">
                  <c:v>-0.50600000000000001</c:v>
                </c:pt>
                <c:pt idx="1165">
                  <c:v>-0.52100000000000002</c:v>
                </c:pt>
                <c:pt idx="1166">
                  <c:v>-0.51700000000000002</c:v>
                </c:pt>
                <c:pt idx="1167">
                  <c:v>-0.58099999999999996</c:v>
                </c:pt>
                <c:pt idx="1168">
                  <c:v>-0.53600000000000003</c:v>
                </c:pt>
                <c:pt idx="1169">
                  <c:v>-0.53500000000000003</c:v>
                </c:pt>
                <c:pt idx="1170">
                  <c:v>-0.64300000000000002</c:v>
                </c:pt>
                <c:pt idx="1171">
                  <c:v>-0.56200000000000006</c:v>
                </c:pt>
                <c:pt idx="1172">
                  <c:v>-0.56799999999999995</c:v>
                </c:pt>
                <c:pt idx="1173">
                  <c:v>-0.56399999999999995</c:v>
                </c:pt>
                <c:pt idx="1174">
                  <c:v>-0.56000000000000005</c:v>
                </c:pt>
                <c:pt idx="1175">
                  <c:v>-0.58299999999999996</c:v>
                </c:pt>
                <c:pt idx="1176">
                  <c:v>-0.61899999999999999</c:v>
                </c:pt>
                <c:pt idx="1177">
                  <c:v>-0.54</c:v>
                </c:pt>
                <c:pt idx="1178">
                  <c:v>-0.53600000000000003</c:v>
                </c:pt>
                <c:pt idx="1179">
                  <c:v>-0.59799999999999998</c:v>
                </c:pt>
                <c:pt idx="1180">
                  <c:v>-0.59199999999999997</c:v>
                </c:pt>
                <c:pt idx="1181">
                  <c:v>-0.55400000000000005</c:v>
                </c:pt>
                <c:pt idx="1182">
                  <c:v>-0.54200000000000004</c:v>
                </c:pt>
                <c:pt idx="1183">
                  <c:v>-0.59</c:v>
                </c:pt>
                <c:pt idx="1184">
                  <c:v>-0.59299999999999997</c:v>
                </c:pt>
                <c:pt idx="1185">
                  <c:v>-0.53200000000000003</c:v>
                </c:pt>
                <c:pt idx="1186">
                  <c:v>-0.52800000000000002</c:v>
                </c:pt>
                <c:pt idx="1187">
                  <c:v>-0.56299999999999994</c:v>
                </c:pt>
                <c:pt idx="1188">
                  <c:v>-0.51200000000000001</c:v>
                </c:pt>
                <c:pt idx="1189">
                  <c:v>-0.50800000000000001</c:v>
                </c:pt>
                <c:pt idx="1190">
                  <c:v>-0.64700000000000002</c:v>
                </c:pt>
                <c:pt idx="1191">
                  <c:v>-0.76100000000000001</c:v>
                </c:pt>
                <c:pt idx="1192">
                  <c:v>-0.61699999999999999</c:v>
                </c:pt>
                <c:pt idx="1193">
                  <c:v>-0.629</c:v>
                </c:pt>
                <c:pt idx="1194">
                  <c:v>-0.628</c:v>
                </c:pt>
                <c:pt idx="1195">
                  <c:v>-0.58799999999999997</c:v>
                </c:pt>
                <c:pt idx="1196">
                  <c:v>-0.58499999999999996</c:v>
                </c:pt>
                <c:pt idx="1197">
                  <c:v>-0.57499999999999996</c:v>
                </c:pt>
                <c:pt idx="1198">
                  <c:v>-0.877</c:v>
                </c:pt>
                <c:pt idx="1199">
                  <c:v>-0.63100000000000001</c:v>
                </c:pt>
                <c:pt idx="1200">
                  <c:v>-0.56799999999999995</c:v>
                </c:pt>
                <c:pt idx="1201">
                  <c:v>-0.56299999999999994</c:v>
                </c:pt>
                <c:pt idx="1202">
                  <c:v>-0.55500000000000005</c:v>
                </c:pt>
                <c:pt idx="1203">
                  <c:v>-0.60099999999999998</c:v>
                </c:pt>
                <c:pt idx="1204">
                  <c:v>-0.54900000000000004</c:v>
                </c:pt>
                <c:pt idx="1205">
                  <c:v>-0.54400000000000004</c:v>
                </c:pt>
                <c:pt idx="1206">
                  <c:v>-0.54300000000000004</c:v>
                </c:pt>
                <c:pt idx="1207">
                  <c:v>-0.57099999999999995</c:v>
                </c:pt>
                <c:pt idx="1208">
                  <c:v>-0.53</c:v>
                </c:pt>
                <c:pt idx="1209">
                  <c:v>-0.52500000000000002</c:v>
                </c:pt>
                <c:pt idx="1210">
                  <c:v>-0.76900000000000002</c:v>
                </c:pt>
                <c:pt idx="1211">
                  <c:v>-0.76200000000000001</c:v>
                </c:pt>
                <c:pt idx="1212">
                  <c:v>-0.74299999999999999</c:v>
                </c:pt>
                <c:pt idx="1213">
                  <c:v>-0.66200000000000003</c:v>
                </c:pt>
                <c:pt idx="1214">
                  <c:v>-0.52500000000000002</c:v>
                </c:pt>
                <c:pt idx="1215">
                  <c:v>-0.72299999999999998</c:v>
                </c:pt>
                <c:pt idx="1216">
                  <c:v>-0.71699999999999997</c:v>
                </c:pt>
                <c:pt idx="1217">
                  <c:v>-0.69799999999999995</c:v>
                </c:pt>
                <c:pt idx="1218">
                  <c:v>-0.69799999999999995</c:v>
                </c:pt>
                <c:pt idx="1219">
                  <c:v>-0.69099999999999995</c:v>
                </c:pt>
                <c:pt idx="1220">
                  <c:v>-0.67900000000000005</c:v>
                </c:pt>
                <c:pt idx="1221">
                  <c:v>-0.67200000000000004</c:v>
                </c:pt>
                <c:pt idx="1222">
                  <c:v>-0.61499999999999999</c:v>
                </c:pt>
                <c:pt idx="1223">
                  <c:v>-0.64700000000000002</c:v>
                </c:pt>
                <c:pt idx="1224">
                  <c:v>-0.77700000000000002</c:v>
                </c:pt>
                <c:pt idx="1225">
                  <c:v>-0.77700000000000002</c:v>
                </c:pt>
                <c:pt idx="1226">
                  <c:v>-0.77700000000000002</c:v>
                </c:pt>
                <c:pt idx="1227">
                  <c:v>-0.63500000000000001</c:v>
                </c:pt>
                <c:pt idx="1228">
                  <c:v>-0.60399999999999998</c:v>
                </c:pt>
                <c:pt idx="1229">
                  <c:v>-0.77</c:v>
                </c:pt>
                <c:pt idx="1230">
                  <c:v>-0.59199999999999997</c:v>
                </c:pt>
                <c:pt idx="1231">
                  <c:v>-0.73099999999999998</c:v>
                </c:pt>
                <c:pt idx="1232">
                  <c:v>-0.60099999999999998</c:v>
                </c:pt>
                <c:pt idx="1233">
                  <c:v>-0.59499999999999997</c:v>
                </c:pt>
                <c:pt idx="1234">
                  <c:v>-0.59099999999999997</c:v>
                </c:pt>
                <c:pt idx="1235">
                  <c:v>-0.623</c:v>
                </c:pt>
                <c:pt idx="1236">
                  <c:v>-0.59399999999999997</c:v>
                </c:pt>
                <c:pt idx="1237">
                  <c:v>-0.56200000000000006</c:v>
                </c:pt>
                <c:pt idx="1238">
                  <c:v>-0.57699999999999996</c:v>
                </c:pt>
                <c:pt idx="1239">
                  <c:v>-0.55200000000000005</c:v>
                </c:pt>
                <c:pt idx="1240">
                  <c:v>-0.54900000000000004</c:v>
                </c:pt>
                <c:pt idx="1241">
                  <c:v>-0.54500000000000004</c:v>
                </c:pt>
                <c:pt idx="1242">
                  <c:v>-0.53200000000000003</c:v>
                </c:pt>
                <c:pt idx="1243">
                  <c:v>-0.52900000000000003</c:v>
                </c:pt>
                <c:pt idx="1244">
                  <c:v>-0.52700000000000002</c:v>
                </c:pt>
                <c:pt idx="1245">
                  <c:v>-0.53800000000000003</c:v>
                </c:pt>
                <c:pt idx="1246">
                  <c:v>-0.57099999999999995</c:v>
                </c:pt>
                <c:pt idx="1247">
                  <c:v>-0.55400000000000005</c:v>
                </c:pt>
                <c:pt idx="1248">
                  <c:v>-0.55000000000000004</c:v>
                </c:pt>
                <c:pt idx="1249">
                  <c:v>-0.54900000000000004</c:v>
                </c:pt>
                <c:pt idx="1250">
                  <c:v>-0.54600000000000004</c:v>
                </c:pt>
                <c:pt idx="1251">
                  <c:v>-0.54</c:v>
                </c:pt>
                <c:pt idx="1252">
                  <c:v>-0.52700000000000002</c:v>
                </c:pt>
                <c:pt idx="1253">
                  <c:v>-0.52300000000000002</c:v>
                </c:pt>
                <c:pt idx="1254">
                  <c:v>-0.51800000000000002</c:v>
                </c:pt>
                <c:pt idx="1255">
                  <c:v>-0.51400000000000001</c:v>
                </c:pt>
                <c:pt idx="1256">
                  <c:v>-0.51100000000000001</c:v>
                </c:pt>
                <c:pt idx="1257">
                  <c:v>-0.48699999999999999</c:v>
                </c:pt>
                <c:pt idx="1258">
                  <c:v>-0.504</c:v>
                </c:pt>
                <c:pt idx="1259">
                  <c:v>-0.49399999999999999</c:v>
                </c:pt>
                <c:pt idx="1260">
                  <c:v>-0.49299999999999999</c:v>
                </c:pt>
                <c:pt idx="1261">
                  <c:v>-0.48899999999999999</c:v>
                </c:pt>
                <c:pt idx="1262">
                  <c:v>-0.48199999999999998</c:v>
                </c:pt>
                <c:pt idx="1263">
                  <c:v>-0.52500000000000002</c:v>
                </c:pt>
                <c:pt idx="1264">
                  <c:v>-0.52400000000000002</c:v>
                </c:pt>
                <c:pt idx="1265">
                  <c:v>-0.52100000000000002</c:v>
                </c:pt>
                <c:pt idx="1266">
                  <c:v>-0.51700000000000002</c:v>
                </c:pt>
                <c:pt idx="1267">
                  <c:v>-0.50900000000000001</c:v>
                </c:pt>
                <c:pt idx="1268">
                  <c:v>-0.50600000000000001</c:v>
                </c:pt>
                <c:pt idx="1269">
                  <c:v>-0.55700000000000005</c:v>
                </c:pt>
                <c:pt idx="1270">
                  <c:v>-0.53</c:v>
                </c:pt>
                <c:pt idx="1271">
                  <c:v>-0.50700000000000001</c:v>
                </c:pt>
                <c:pt idx="1272">
                  <c:v>-0.49099999999999999</c:v>
                </c:pt>
                <c:pt idx="1273">
                  <c:v>-0.51800000000000002</c:v>
                </c:pt>
                <c:pt idx="1274">
                  <c:v>-0.504</c:v>
                </c:pt>
                <c:pt idx="1275">
                  <c:v>-0.5</c:v>
                </c:pt>
                <c:pt idx="1276">
                  <c:v>-0.497</c:v>
                </c:pt>
                <c:pt idx="1277">
                  <c:v>-0.53500000000000003</c:v>
                </c:pt>
                <c:pt idx="1278">
                  <c:v>-0.52600000000000002</c:v>
                </c:pt>
                <c:pt idx="1279">
                  <c:v>-0.54300000000000004</c:v>
                </c:pt>
                <c:pt idx="1280">
                  <c:v>-0.54100000000000004</c:v>
                </c:pt>
                <c:pt idx="1281">
                  <c:v>-0.54700000000000004</c:v>
                </c:pt>
                <c:pt idx="1282">
                  <c:v>-0.53900000000000003</c:v>
                </c:pt>
                <c:pt idx="1283">
                  <c:v>-0.59</c:v>
                </c:pt>
                <c:pt idx="1284">
                  <c:v>-0.60199999999999998</c:v>
                </c:pt>
                <c:pt idx="1285">
                  <c:v>-0.623</c:v>
                </c:pt>
                <c:pt idx="1286">
                  <c:v>-0.60199999999999998</c:v>
                </c:pt>
                <c:pt idx="1287">
                  <c:v>-0.59599999999999997</c:v>
                </c:pt>
                <c:pt idx="1288">
                  <c:v>-0.60199999999999998</c:v>
                </c:pt>
                <c:pt idx="1289">
                  <c:v>-0.60099999999999998</c:v>
                </c:pt>
                <c:pt idx="1290">
                  <c:v>-0.6</c:v>
                </c:pt>
                <c:pt idx="1291">
                  <c:v>-0.59299999999999997</c:v>
                </c:pt>
                <c:pt idx="1292">
                  <c:v>-0.61299999999999999</c:v>
                </c:pt>
                <c:pt idx="1293">
                  <c:v>-0.61699999999999999</c:v>
                </c:pt>
                <c:pt idx="1294">
                  <c:v>-0.624</c:v>
                </c:pt>
                <c:pt idx="1295">
                  <c:v>-0.63600000000000001</c:v>
                </c:pt>
                <c:pt idx="1296">
                  <c:v>-0.59599999999999997</c:v>
                </c:pt>
                <c:pt idx="1297">
                  <c:v>-0.64700000000000002</c:v>
                </c:pt>
                <c:pt idx="1298">
                  <c:v>-0.622</c:v>
                </c:pt>
                <c:pt idx="1299">
                  <c:v>-0.64900000000000002</c:v>
                </c:pt>
                <c:pt idx="1300">
                  <c:v>-0.65700000000000003</c:v>
                </c:pt>
                <c:pt idx="1301">
                  <c:v>-0.63800000000000001</c:v>
                </c:pt>
                <c:pt idx="1302">
                  <c:v>-0.65100000000000002</c:v>
                </c:pt>
                <c:pt idx="1303">
                  <c:v>-0.67700000000000005</c:v>
                </c:pt>
                <c:pt idx="1304">
                  <c:v>-0.67700000000000005</c:v>
                </c:pt>
                <c:pt idx="1305">
                  <c:v>-0.66800000000000004</c:v>
                </c:pt>
                <c:pt idx="1306">
                  <c:v>-0.67100000000000004</c:v>
                </c:pt>
                <c:pt idx="1307">
                  <c:v>-0.79400000000000004</c:v>
                </c:pt>
                <c:pt idx="1308">
                  <c:v>-0.79400000000000004</c:v>
                </c:pt>
                <c:pt idx="1309">
                  <c:v>-0.79400000000000004</c:v>
                </c:pt>
                <c:pt idx="1310">
                  <c:v>-0.79400000000000004</c:v>
                </c:pt>
                <c:pt idx="1311">
                  <c:v>-0.67900000000000005</c:v>
                </c:pt>
                <c:pt idx="1312">
                  <c:v>-0.67300000000000004</c:v>
                </c:pt>
                <c:pt idx="1313">
                  <c:v>-0.67800000000000005</c:v>
                </c:pt>
                <c:pt idx="1314">
                  <c:v>-0.70399999999999996</c:v>
                </c:pt>
                <c:pt idx="1315">
                  <c:v>-0.71899999999999997</c:v>
                </c:pt>
                <c:pt idx="1316">
                  <c:v>-0.70399999999999996</c:v>
                </c:pt>
                <c:pt idx="1317">
                  <c:v>-0.68500000000000005</c:v>
                </c:pt>
                <c:pt idx="1318">
                  <c:v>-0.69799999999999995</c:v>
                </c:pt>
                <c:pt idx="1319">
                  <c:v>-0.68300000000000005</c:v>
                </c:pt>
                <c:pt idx="1320">
                  <c:v>-0.68300000000000005</c:v>
                </c:pt>
                <c:pt idx="1321">
                  <c:v>-0.68200000000000005</c:v>
                </c:pt>
                <c:pt idx="1322">
                  <c:v>-0.69799999999999995</c:v>
                </c:pt>
                <c:pt idx="1323">
                  <c:v>-0.7</c:v>
                </c:pt>
                <c:pt idx="1324">
                  <c:v>-0.7</c:v>
                </c:pt>
                <c:pt idx="1325">
                  <c:v>-0.70899999999999996</c:v>
                </c:pt>
                <c:pt idx="1326">
                  <c:v>-0.71299999999999997</c:v>
                </c:pt>
                <c:pt idx="1327">
                  <c:v>-0.69499999999999995</c:v>
                </c:pt>
                <c:pt idx="1328">
                  <c:v>-0.70899999999999996</c:v>
                </c:pt>
                <c:pt idx="1329">
                  <c:v>-0.68400000000000005</c:v>
                </c:pt>
                <c:pt idx="1330">
                  <c:v>-0.69</c:v>
                </c:pt>
                <c:pt idx="1331">
                  <c:v>-0.70799999999999996</c:v>
                </c:pt>
                <c:pt idx="1332">
                  <c:v>-0.71499999999999997</c:v>
                </c:pt>
                <c:pt idx="1333">
                  <c:v>-0.68799999999999994</c:v>
                </c:pt>
                <c:pt idx="1334">
                  <c:v>-0.69299999999999995</c:v>
                </c:pt>
                <c:pt idx="1335">
                  <c:v>-0.71799999999999997</c:v>
                </c:pt>
                <c:pt idx="1336">
                  <c:v>-0.67700000000000005</c:v>
                </c:pt>
                <c:pt idx="1337">
                  <c:v>-0.68600000000000005</c:v>
                </c:pt>
                <c:pt idx="1338">
                  <c:v>-0.63200000000000001</c:v>
                </c:pt>
                <c:pt idx="1339">
                  <c:v>-0.621</c:v>
                </c:pt>
                <c:pt idx="1340">
                  <c:v>-0.63900000000000001</c:v>
                </c:pt>
                <c:pt idx="1341">
                  <c:v>-0.63500000000000001</c:v>
                </c:pt>
                <c:pt idx="1342">
                  <c:v>-0.64200000000000002</c:v>
                </c:pt>
                <c:pt idx="1343">
                  <c:v>-0.65300000000000002</c:v>
                </c:pt>
                <c:pt idx="1344">
                  <c:v>-0.61899999999999999</c:v>
                </c:pt>
                <c:pt idx="1345">
                  <c:v>-0.626</c:v>
                </c:pt>
                <c:pt idx="1346">
                  <c:v>-0.61099999999999999</c:v>
                </c:pt>
                <c:pt idx="1347">
                  <c:v>-0.64600000000000002</c:v>
                </c:pt>
                <c:pt idx="1348">
                  <c:v>-0.64400000000000002</c:v>
                </c:pt>
                <c:pt idx="1349">
                  <c:v>-0.63300000000000001</c:v>
                </c:pt>
                <c:pt idx="1350">
                  <c:v>-0.64600000000000002</c:v>
                </c:pt>
                <c:pt idx="1351">
                  <c:v>-0.65100000000000002</c:v>
                </c:pt>
                <c:pt idx="1352">
                  <c:v>-0.64300000000000002</c:v>
                </c:pt>
                <c:pt idx="1353">
                  <c:v>-0.64100000000000001</c:v>
                </c:pt>
                <c:pt idx="1354">
                  <c:v>-0.63</c:v>
                </c:pt>
                <c:pt idx="1355">
                  <c:v>-0.63</c:v>
                </c:pt>
                <c:pt idx="1356">
                  <c:v>-0.63</c:v>
                </c:pt>
                <c:pt idx="1357">
                  <c:v>-0.58899999999999997</c:v>
                </c:pt>
                <c:pt idx="1358">
                  <c:v>-0.59699999999999998</c:v>
                </c:pt>
                <c:pt idx="1359">
                  <c:v>-0.6</c:v>
                </c:pt>
                <c:pt idx="1360">
                  <c:v>-0.58899999999999997</c:v>
                </c:pt>
                <c:pt idx="1361">
                  <c:v>-0.57599999999999996</c:v>
                </c:pt>
                <c:pt idx="1362">
                  <c:v>-0.57399999999999995</c:v>
                </c:pt>
                <c:pt idx="1363">
                  <c:v>-0.57299999999999995</c:v>
                </c:pt>
                <c:pt idx="1364">
                  <c:v>-0.57899999999999996</c:v>
                </c:pt>
                <c:pt idx="1365">
                  <c:v>-0.55500000000000005</c:v>
                </c:pt>
                <c:pt idx="1366">
                  <c:v>-0.56599999999999995</c:v>
                </c:pt>
                <c:pt idx="1367">
                  <c:v>-0.58599999999999997</c:v>
                </c:pt>
                <c:pt idx="1368">
                  <c:v>-0.59399999999999997</c:v>
                </c:pt>
                <c:pt idx="1369">
                  <c:v>-0.57699999999999996</c:v>
                </c:pt>
                <c:pt idx="1370">
                  <c:v>-0.56799999999999995</c:v>
                </c:pt>
                <c:pt idx="1371">
                  <c:v>-0.57299999999999995</c:v>
                </c:pt>
                <c:pt idx="1372">
                  <c:v>-0.56000000000000005</c:v>
                </c:pt>
                <c:pt idx="1373">
                  <c:v>-0.56799999999999995</c:v>
                </c:pt>
                <c:pt idx="1374">
                  <c:v>-0.56699999999999995</c:v>
                </c:pt>
                <c:pt idx="1375">
                  <c:v>-0.6</c:v>
                </c:pt>
                <c:pt idx="1376">
                  <c:v>-0.56999999999999995</c:v>
                </c:pt>
                <c:pt idx="1377">
                  <c:v>-0.56799999999999995</c:v>
                </c:pt>
                <c:pt idx="1378">
                  <c:v>-0.54900000000000004</c:v>
                </c:pt>
                <c:pt idx="1379">
                  <c:v>-0.58399999999999996</c:v>
                </c:pt>
                <c:pt idx="1380">
                  <c:v>-0.68200000000000005</c:v>
                </c:pt>
                <c:pt idx="1381">
                  <c:v>-0.69</c:v>
                </c:pt>
                <c:pt idx="1382">
                  <c:v>-0.65600000000000003</c:v>
                </c:pt>
                <c:pt idx="1383">
                  <c:v>-0.65100000000000002</c:v>
                </c:pt>
                <c:pt idx="1384">
                  <c:v>-0.63900000000000001</c:v>
                </c:pt>
                <c:pt idx="1385">
                  <c:v>-0.64</c:v>
                </c:pt>
                <c:pt idx="1386">
                  <c:v>-0.65100000000000002</c:v>
                </c:pt>
                <c:pt idx="1387">
                  <c:v>-0.62</c:v>
                </c:pt>
                <c:pt idx="1388">
                  <c:v>-0.64500000000000002</c:v>
                </c:pt>
                <c:pt idx="1389">
                  <c:v>-0.64100000000000001</c:v>
                </c:pt>
                <c:pt idx="1390">
                  <c:v>-0.63400000000000001</c:v>
                </c:pt>
                <c:pt idx="1391">
                  <c:v>-0.64</c:v>
                </c:pt>
                <c:pt idx="1392">
                  <c:v>-0.61599999999999999</c:v>
                </c:pt>
                <c:pt idx="1393">
                  <c:v>-0.628</c:v>
                </c:pt>
                <c:pt idx="1394">
                  <c:v>-0.66100000000000003</c:v>
                </c:pt>
                <c:pt idx="1395">
                  <c:v>-0.64</c:v>
                </c:pt>
                <c:pt idx="1396">
                  <c:v>-0.63800000000000001</c:v>
                </c:pt>
                <c:pt idx="1397">
                  <c:v>-0.60899999999999999</c:v>
                </c:pt>
                <c:pt idx="1398">
                  <c:v>-0.61799999999999999</c:v>
                </c:pt>
                <c:pt idx="1399">
                  <c:v>-0.61699999999999999</c:v>
                </c:pt>
                <c:pt idx="1400">
                  <c:v>-0.65800000000000003</c:v>
                </c:pt>
                <c:pt idx="1401">
                  <c:v>-0.57399999999999995</c:v>
                </c:pt>
                <c:pt idx="1402">
                  <c:v>-0.58499999999999996</c:v>
                </c:pt>
                <c:pt idx="1403">
                  <c:v>-0.57599999999999996</c:v>
                </c:pt>
                <c:pt idx="1404">
                  <c:v>-0.60099999999999998</c:v>
                </c:pt>
                <c:pt idx="1405">
                  <c:v>-0.57499999999999996</c:v>
                </c:pt>
                <c:pt idx="1406">
                  <c:v>-0.56799999999999995</c:v>
                </c:pt>
                <c:pt idx="1407">
                  <c:v>-0.56100000000000005</c:v>
                </c:pt>
                <c:pt idx="1408">
                  <c:v>-0.55400000000000005</c:v>
                </c:pt>
                <c:pt idx="1409">
                  <c:v>-0.56899999999999995</c:v>
                </c:pt>
                <c:pt idx="1410">
                  <c:v>-0.54200000000000004</c:v>
                </c:pt>
                <c:pt idx="1411">
                  <c:v>-0.54900000000000004</c:v>
                </c:pt>
                <c:pt idx="1412">
                  <c:v>-0.54200000000000004</c:v>
                </c:pt>
                <c:pt idx="1413">
                  <c:v>-0.54700000000000004</c:v>
                </c:pt>
                <c:pt idx="1414">
                  <c:v>-0.56999999999999995</c:v>
                </c:pt>
                <c:pt idx="1415">
                  <c:v>-0.57499999999999996</c:v>
                </c:pt>
                <c:pt idx="1416">
                  <c:v>-0.55300000000000005</c:v>
                </c:pt>
                <c:pt idx="1417">
                  <c:v>-0.55800000000000005</c:v>
                </c:pt>
                <c:pt idx="1418">
                  <c:v>-0.55600000000000005</c:v>
                </c:pt>
                <c:pt idx="1419">
                  <c:v>-0.57299999999999995</c:v>
                </c:pt>
                <c:pt idx="1420">
                  <c:v>-0.56999999999999995</c:v>
                </c:pt>
                <c:pt idx="1421">
                  <c:v>-0.57499999999999996</c:v>
                </c:pt>
                <c:pt idx="1422">
                  <c:v>-0.57299999999999995</c:v>
                </c:pt>
                <c:pt idx="1423">
                  <c:v>-0.6</c:v>
                </c:pt>
                <c:pt idx="1424">
                  <c:v>-0.59099999999999997</c:v>
                </c:pt>
                <c:pt idx="1425">
                  <c:v>-0.58799999999999997</c:v>
                </c:pt>
                <c:pt idx="1426">
                  <c:v>-0.57699999999999996</c:v>
                </c:pt>
                <c:pt idx="1427">
                  <c:v>-0.58299999999999996</c:v>
                </c:pt>
                <c:pt idx="1428">
                  <c:v>-0.57999999999999996</c:v>
                </c:pt>
                <c:pt idx="1429">
                  <c:v>-0.57699999999999996</c:v>
                </c:pt>
                <c:pt idx="1430">
                  <c:v>-0.59</c:v>
                </c:pt>
                <c:pt idx="1431">
                  <c:v>-0.58399999999999996</c:v>
                </c:pt>
                <c:pt idx="1432">
                  <c:v>-0.58599999999999997</c:v>
                </c:pt>
                <c:pt idx="1433">
                  <c:v>-0.58399999999999996</c:v>
                </c:pt>
                <c:pt idx="1434">
                  <c:v>-0.58199999999999996</c:v>
                </c:pt>
                <c:pt idx="1435">
                  <c:v>-0.56499999999999995</c:v>
                </c:pt>
                <c:pt idx="1436">
                  <c:v>-0.56699999999999995</c:v>
                </c:pt>
                <c:pt idx="1437">
                  <c:v>-0.56100000000000005</c:v>
                </c:pt>
                <c:pt idx="1438">
                  <c:v>-0.55600000000000005</c:v>
                </c:pt>
                <c:pt idx="1439">
                  <c:v>-0.56799999999999995</c:v>
                </c:pt>
                <c:pt idx="1440">
                  <c:v>-0.56599999999999995</c:v>
                </c:pt>
                <c:pt idx="1441">
                  <c:v>-0.56399999999999995</c:v>
                </c:pt>
                <c:pt idx="1442">
                  <c:v>-0.55200000000000005</c:v>
                </c:pt>
                <c:pt idx="1443">
                  <c:v>-0.54100000000000004</c:v>
                </c:pt>
                <c:pt idx="1444">
                  <c:v>-0.52700000000000002</c:v>
                </c:pt>
                <c:pt idx="1445">
                  <c:v>-0.52400000000000002</c:v>
                </c:pt>
                <c:pt idx="1446">
                  <c:v>-0.53400000000000003</c:v>
                </c:pt>
                <c:pt idx="1447">
                  <c:v>-0.50800000000000001</c:v>
                </c:pt>
                <c:pt idx="1448">
                  <c:v>-0.5</c:v>
                </c:pt>
                <c:pt idx="1449">
                  <c:v>-0.52600000000000002</c:v>
                </c:pt>
                <c:pt idx="1450">
                  <c:v>-0.54200000000000004</c:v>
                </c:pt>
                <c:pt idx="1451">
                  <c:v>-0.52300000000000002</c:v>
                </c:pt>
                <c:pt idx="1452">
                  <c:v>-0.51300000000000001</c:v>
                </c:pt>
                <c:pt idx="1453">
                  <c:v>-0.53900000000000003</c:v>
                </c:pt>
                <c:pt idx="1454">
                  <c:v>-0.52900000000000003</c:v>
                </c:pt>
                <c:pt idx="1455">
                  <c:v>-0.52800000000000002</c:v>
                </c:pt>
                <c:pt idx="1456">
                  <c:v>-0.54800000000000004</c:v>
                </c:pt>
                <c:pt idx="1457">
                  <c:v>-0.52200000000000002</c:v>
                </c:pt>
                <c:pt idx="1458">
                  <c:v>-0.55100000000000005</c:v>
                </c:pt>
                <c:pt idx="1459">
                  <c:v>-0.57399999999999995</c:v>
                </c:pt>
                <c:pt idx="1460">
                  <c:v>-0.53100000000000003</c:v>
                </c:pt>
                <c:pt idx="1461">
                  <c:v>-0.52900000000000003</c:v>
                </c:pt>
                <c:pt idx="1462">
                  <c:v>-0.51600000000000001</c:v>
                </c:pt>
                <c:pt idx="1463">
                  <c:v>-0.47399999999999998</c:v>
                </c:pt>
                <c:pt idx="1464">
                  <c:v>-0.48799999999999999</c:v>
                </c:pt>
                <c:pt idx="1465">
                  <c:v>-0.47099999999999997</c:v>
                </c:pt>
                <c:pt idx="1466">
                  <c:v>-0.46700000000000003</c:v>
                </c:pt>
                <c:pt idx="1467">
                  <c:v>-0.47799999999999998</c:v>
                </c:pt>
                <c:pt idx="1468">
                  <c:v>-0.46800000000000003</c:v>
                </c:pt>
                <c:pt idx="1469">
                  <c:v>-0.48399999999999999</c:v>
                </c:pt>
                <c:pt idx="1470">
                  <c:v>-0.503</c:v>
                </c:pt>
                <c:pt idx="1471">
                  <c:v>-0.48499999999999999</c:v>
                </c:pt>
                <c:pt idx="1472">
                  <c:v>-0.49399999999999999</c:v>
                </c:pt>
                <c:pt idx="1473">
                  <c:v>-0.48099999999999998</c:v>
                </c:pt>
                <c:pt idx="1474">
                  <c:v>-0.51700000000000002</c:v>
                </c:pt>
                <c:pt idx="1475">
                  <c:v>-0.48099999999999998</c:v>
                </c:pt>
                <c:pt idx="1476">
                  <c:v>-0.50800000000000001</c:v>
                </c:pt>
                <c:pt idx="1477">
                  <c:v>-0.51300000000000001</c:v>
                </c:pt>
                <c:pt idx="1478">
                  <c:v>-0.51400000000000001</c:v>
                </c:pt>
                <c:pt idx="1479">
                  <c:v>-0.51400000000000001</c:v>
                </c:pt>
                <c:pt idx="1480">
                  <c:v>-0.50600000000000001</c:v>
                </c:pt>
                <c:pt idx="1481">
                  <c:v>-0.5</c:v>
                </c:pt>
                <c:pt idx="1482">
                  <c:v>-0.47899999999999998</c:v>
                </c:pt>
                <c:pt idx="1483">
                  <c:v>-0.48299999999999998</c:v>
                </c:pt>
                <c:pt idx="1484">
                  <c:v>-0.47799999999999998</c:v>
                </c:pt>
                <c:pt idx="1485">
                  <c:v>-0.48899999999999999</c:v>
                </c:pt>
                <c:pt idx="1486">
                  <c:v>-0.48499999999999999</c:v>
                </c:pt>
                <c:pt idx="1487">
                  <c:v>-0.5</c:v>
                </c:pt>
                <c:pt idx="1488">
                  <c:v>-0.5</c:v>
                </c:pt>
                <c:pt idx="1489">
                  <c:v>-0.496</c:v>
                </c:pt>
                <c:pt idx="1490">
                  <c:v>-0.504</c:v>
                </c:pt>
                <c:pt idx="1491">
                  <c:v>-0.495</c:v>
                </c:pt>
                <c:pt idx="1492">
                  <c:v>-0.48699999999999999</c:v>
                </c:pt>
                <c:pt idx="1493">
                  <c:v>-0.48499999999999999</c:v>
                </c:pt>
                <c:pt idx="1494">
                  <c:v>-0.5</c:v>
                </c:pt>
                <c:pt idx="1495">
                  <c:v>-0.498</c:v>
                </c:pt>
                <c:pt idx="1496">
                  <c:v>-0.48699999999999999</c:v>
                </c:pt>
                <c:pt idx="1497">
                  <c:v>-0.52800000000000002</c:v>
                </c:pt>
                <c:pt idx="1498">
                  <c:v>-0.51700000000000002</c:v>
                </c:pt>
                <c:pt idx="1499">
                  <c:v>-0.51400000000000001</c:v>
                </c:pt>
                <c:pt idx="1500">
                  <c:v>-0.51400000000000001</c:v>
                </c:pt>
                <c:pt idx="1501">
                  <c:v>-0.51400000000000001</c:v>
                </c:pt>
                <c:pt idx="1502">
                  <c:v>-0.50600000000000001</c:v>
                </c:pt>
                <c:pt idx="1503">
                  <c:v>-0.46400000000000002</c:v>
                </c:pt>
                <c:pt idx="1504">
                  <c:v>-0.45200000000000001</c:v>
                </c:pt>
                <c:pt idx="1505">
                  <c:v>-0.42399999999999999</c:v>
                </c:pt>
                <c:pt idx="1506">
                  <c:v>-0.44500000000000001</c:v>
                </c:pt>
                <c:pt idx="1507">
                  <c:v>-0.44700000000000001</c:v>
                </c:pt>
                <c:pt idx="1508">
                  <c:v>-0.437</c:v>
                </c:pt>
                <c:pt idx="1509">
                  <c:v>-0.44</c:v>
                </c:pt>
                <c:pt idx="1510">
                  <c:v>-0.44600000000000001</c:v>
                </c:pt>
                <c:pt idx="1511">
                  <c:v>-0.44500000000000001</c:v>
                </c:pt>
                <c:pt idx="1512">
                  <c:v>-0.45</c:v>
                </c:pt>
                <c:pt idx="1513">
                  <c:v>-0.436</c:v>
                </c:pt>
                <c:pt idx="1514">
                  <c:v>-0.438</c:v>
                </c:pt>
                <c:pt idx="1515">
                  <c:v>-0.46700000000000003</c:v>
                </c:pt>
                <c:pt idx="1516">
                  <c:v>-0.44600000000000001</c:v>
                </c:pt>
                <c:pt idx="1517">
                  <c:v>-0.44500000000000001</c:v>
                </c:pt>
                <c:pt idx="1518">
                  <c:v>-0.442</c:v>
                </c:pt>
                <c:pt idx="1519">
                  <c:v>-0.43</c:v>
                </c:pt>
                <c:pt idx="1520">
                  <c:v>-0.42299999999999999</c:v>
                </c:pt>
                <c:pt idx="1521">
                  <c:v>-0.42899999999999999</c:v>
                </c:pt>
                <c:pt idx="1522">
                  <c:v>-0.41699999999999998</c:v>
                </c:pt>
                <c:pt idx="1523">
                  <c:v>-0.42</c:v>
                </c:pt>
                <c:pt idx="1524">
                  <c:v>-0.41899999999999998</c:v>
                </c:pt>
                <c:pt idx="1525">
                  <c:v>-0.41</c:v>
                </c:pt>
                <c:pt idx="1526">
                  <c:v>-0.40699999999999997</c:v>
                </c:pt>
                <c:pt idx="1527">
                  <c:v>-0.42099999999999999</c:v>
                </c:pt>
                <c:pt idx="1528">
                  <c:v>-0.42599999999999999</c:v>
                </c:pt>
                <c:pt idx="1529">
                  <c:v>-0.436</c:v>
                </c:pt>
                <c:pt idx="1530">
                  <c:v>-0.435</c:v>
                </c:pt>
                <c:pt idx="1531">
                  <c:v>-0.438</c:v>
                </c:pt>
                <c:pt idx="1532">
                  <c:v>-0.45</c:v>
                </c:pt>
                <c:pt idx="1533">
                  <c:v>-0.45100000000000001</c:v>
                </c:pt>
                <c:pt idx="1534">
                  <c:v>-0.45</c:v>
                </c:pt>
                <c:pt idx="1535">
                  <c:v>-0.443</c:v>
                </c:pt>
                <c:pt idx="1536">
                  <c:v>-0.435</c:v>
                </c:pt>
                <c:pt idx="1537">
                  <c:v>-0.437</c:v>
                </c:pt>
                <c:pt idx="1538">
                  <c:v>-0.432</c:v>
                </c:pt>
                <c:pt idx="1539">
                  <c:v>-0.439</c:v>
                </c:pt>
                <c:pt idx="1540">
                  <c:v>-0.436</c:v>
                </c:pt>
                <c:pt idx="1541">
                  <c:v>-0.42</c:v>
                </c:pt>
                <c:pt idx="1542">
                  <c:v>-0.44900000000000001</c:v>
                </c:pt>
                <c:pt idx="1543">
                  <c:v>-0.44900000000000001</c:v>
                </c:pt>
                <c:pt idx="1544">
                  <c:v>-0.45800000000000002</c:v>
                </c:pt>
                <c:pt idx="1545">
                  <c:v>-0.45300000000000001</c:v>
                </c:pt>
                <c:pt idx="1546">
                  <c:v>-0.44800000000000001</c:v>
                </c:pt>
                <c:pt idx="1547">
                  <c:v>-0.46600000000000003</c:v>
                </c:pt>
                <c:pt idx="1548">
                  <c:v>-0.46100000000000002</c:v>
                </c:pt>
                <c:pt idx="1549">
                  <c:v>-0.45900000000000002</c:v>
                </c:pt>
                <c:pt idx="1550">
                  <c:v>-0.45800000000000002</c:v>
                </c:pt>
                <c:pt idx="1551">
                  <c:v>-0.45300000000000001</c:v>
                </c:pt>
                <c:pt idx="1552">
                  <c:v>-0.44700000000000001</c:v>
                </c:pt>
                <c:pt idx="1553">
                  <c:v>-0.44700000000000001</c:v>
                </c:pt>
                <c:pt idx="1554">
                  <c:v>-0.45600000000000002</c:v>
                </c:pt>
                <c:pt idx="1555">
                  <c:v>-0.41399999999999998</c:v>
                </c:pt>
                <c:pt idx="1556">
                  <c:v>-0.44400000000000001</c:v>
                </c:pt>
                <c:pt idx="1557">
                  <c:v>-0.46</c:v>
                </c:pt>
                <c:pt idx="1558">
                  <c:v>-0.44400000000000001</c:v>
                </c:pt>
                <c:pt idx="1559">
                  <c:v>-0.44700000000000001</c:v>
                </c:pt>
                <c:pt idx="1560">
                  <c:v>-0.44500000000000001</c:v>
                </c:pt>
                <c:pt idx="1561">
                  <c:v>-0.433</c:v>
                </c:pt>
                <c:pt idx="1562">
                  <c:v>-0.44</c:v>
                </c:pt>
                <c:pt idx="1563">
                  <c:v>-0.44</c:v>
                </c:pt>
                <c:pt idx="1564">
                  <c:v>-0.434</c:v>
                </c:pt>
                <c:pt idx="1565">
                  <c:v>-0.434</c:v>
                </c:pt>
                <c:pt idx="1566">
                  <c:v>-0.443</c:v>
                </c:pt>
                <c:pt idx="1567">
                  <c:v>-0.439</c:v>
                </c:pt>
                <c:pt idx="1568">
                  <c:v>-0.44400000000000001</c:v>
                </c:pt>
                <c:pt idx="1569">
                  <c:v>-0.44400000000000001</c:v>
                </c:pt>
                <c:pt idx="1570">
                  <c:v>-0.44400000000000001</c:v>
                </c:pt>
                <c:pt idx="1571">
                  <c:v>-0.44</c:v>
                </c:pt>
                <c:pt idx="1572">
                  <c:v>-0.435</c:v>
                </c:pt>
                <c:pt idx="1573">
                  <c:v>-0.45</c:v>
                </c:pt>
                <c:pt idx="1574">
                  <c:v>-0.44500000000000001</c:v>
                </c:pt>
                <c:pt idx="1575">
                  <c:v>-0.44800000000000001</c:v>
                </c:pt>
                <c:pt idx="1576">
                  <c:v>-0.45100000000000001</c:v>
                </c:pt>
                <c:pt idx="1577">
                  <c:v>-0.45400000000000001</c:v>
                </c:pt>
                <c:pt idx="1578">
                  <c:v>-0.45300000000000001</c:v>
                </c:pt>
                <c:pt idx="1579">
                  <c:v>-0.45100000000000001</c:v>
                </c:pt>
                <c:pt idx="1580">
                  <c:v>-0.47199999999999998</c:v>
                </c:pt>
                <c:pt idx="1581">
                  <c:v>-0.47699999999999998</c:v>
                </c:pt>
                <c:pt idx="1582">
                  <c:v>-0.46800000000000003</c:v>
                </c:pt>
                <c:pt idx="1583">
                  <c:v>-0.53500000000000003</c:v>
                </c:pt>
                <c:pt idx="1584">
                  <c:v>-0.52400000000000002</c:v>
                </c:pt>
                <c:pt idx="1585">
                  <c:v>-0.52400000000000002</c:v>
                </c:pt>
                <c:pt idx="1586">
                  <c:v>-0.51300000000000001</c:v>
                </c:pt>
                <c:pt idx="1587">
                  <c:v>-0.505</c:v>
                </c:pt>
                <c:pt idx="1588">
                  <c:v>-0.48199999999999998</c:v>
                </c:pt>
                <c:pt idx="1589">
                  <c:v>-0.47499999999999998</c:v>
                </c:pt>
                <c:pt idx="1590">
                  <c:v>-0.48</c:v>
                </c:pt>
                <c:pt idx="1591">
                  <c:v>-0.46</c:v>
                </c:pt>
                <c:pt idx="1592">
                  <c:v>-0.48299999999999998</c:v>
                </c:pt>
                <c:pt idx="1593">
                  <c:v>-0.51500000000000001</c:v>
                </c:pt>
                <c:pt idx="1594">
                  <c:v>-0.495</c:v>
                </c:pt>
                <c:pt idx="1595">
                  <c:v>-0.51800000000000002</c:v>
                </c:pt>
                <c:pt idx="1596">
                  <c:v>-0.51400000000000001</c:v>
                </c:pt>
                <c:pt idx="1597">
                  <c:v>-0.51400000000000001</c:v>
                </c:pt>
                <c:pt idx="1598">
                  <c:v>-0.49</c:v>
                </c:pt>
                <c:pt idx="1599">
                  <c:v>-0.5</c:v>
                </c:pt>
                <c:pt idx="1600">
                  <c:v>-0.505</c:v>
                </c:pt>
                <c:pt idx="1601">
                  <c:v>-0.48699999999999999</c:v>
                </c:pt>
                <c:pt idx="1602">
                  <c:v>-0.52400000000000002</c:v>
                </c:pt>
                <c:pt idx="1603">
                  <c:v>-0.52900000000000003</c:v>
                </c:pt>
                <c:pt idx="1604">
                  <c:v>-0.496</c:v>
                </c:pt>
                <c:pt idx="1605">
                  <c:v>-0.495</c:v>
                </c:pt>
                <c:pt idx="1606">
                  <c:v>-0.48899999999999999</c:v>
                </c:pt>
                <c:pt idx="1607">
                  <c:v>-0.495</c:v>
                </c:pt>
                <c:pt idx="1608">
                  <c:v>-0.51900000000000002</c:v>
                </c:pt>
                <c:pt idx="1609">
                  <c:v>-0.504</c:v>
                </c:pt>
                <c:pt idx="1610">
                  <c:v>-0.51300000000000001</c:v>
                </c:pt>
                <c:pt idx="1611">
                  <c:v>-0.501</c:v>
                </c:pt>
                <c:pt idx="1612">
                  <c:v>-0.505</c:v>
                </c:pt>
                <c:pt idx="1613">
                  <c:v>-0.50600000000000001</c:v>
                </c:pt>
                <c:pt idx="1614">
                  <c:v>-0.42599999999999999</c:v>
                </c:pt>
                <c:pt idx="1615">
                  <c:v>-0.432</c:v>
                </c:pt>
                <c:pt idx="1616">
                  <c:v>-0.41899999999999998</c:v>
                </c:pt>
                <c:pt idx="1617">
                  <c:v>-0.40699999999999997</c:v>
                </c:pt>
                <c:pt idx="1618">
                  <c:v>-0.40699999999999997</c:v>
                </c:pt>
                <c:pt idx="1619">
                  <c:v>-0.42099999999999999</c:v>
                </c:pt>
                <c:pt idx="1620">
                  <c:v>-0.41899999999999998</c:v>
                </c:pt>
                <c:pt idx="1621">
                  <c:v>-0.41899999999999998</c:v>
                </c:pt>
                <c:pt idx="1622">
                  <c:v>-0.41799999999999998</c:v>
                </c:pt>
                <c:pt idx="1623">
                  <c:v>-0.41799999999999998</c:v>
                </c:pt>
                <c:pt idx="1624">
                  <c:v>-0.41499999999999998</c:v>
                </c:pt>
                <c:pt idx="1625">
                  <c:v>-0.41499999999999998</c:v>
                </c:pt>
                <c:pt idx="1626">
                  <c:v>-0.41</c:v>
                </c:pt>
                <c:pt idx="1627">
                  <c:v>-0.41399999999999998</c:v>
                </c:pt>
                <c:pt idx="1628">
                  <c:v>-0.39600000000000002</c:v>
                </c:pt>
                <c:pt idx="1629">
                  <c:v>-0.435</c:v>
                </c:pt>
                <c:pt idx="1630">
                  <c:v>-0.434</c:v>
                </c:pt>
                <c:pt idx="1631">
                  <c:v>-0.434</c:v>
                </c:pt>
                <c:pt idx="1632">
                  <c:v>-0.433</c:v>
                </c:pt>
                <c:pt idx="1633">
                  <c:v>-0.433</c:v>
                </c:pt>
                <c:pt idx="1634">
                  <c:v>-0.435</c:v>
                </c:pt>
                <c:pt idx="1635">
                  <c:v>-0.432</c:v>
                </c:pt>
                <c:pt idx="1636">
                  <c:v>-0.434</c:v>
                </c:pt>
                <c:pt idx="1637">
                  <c:v>-0.433</c:v>
                </c:pt>
                <c:pt idx="1638">
                  <c:v>-0.435</c:v>
                </c:pt>
                <c:pt idx="1639">
                  <c:v>-0.435</c:v>
                </c:pt>
                <c:pt idx="1640">
                  <c:v>-0.43</c:v>
                </c:pt>
                <c:pt idx="1641">
                  <c:v>-0.432</c:v>
                </c:pt>
                <c:pt idx="1642">
                  <c:v>-0.46500000000000002</c:v>
                </c:pt>
                <c:pt idx="1643">
                  <c:v>-0.433</c:v>
                </c:pt>
                <c:pt idx="1644">
                  <c:v>-0.437</c:v>
                </c:pt>
                <c:pt idx="1645">
                  <c:v>-0.434</c:v>
                </c:pt>
                <c:pt idx="1646">
                  <c:v>-0.434</c:v>
                </c:pt>
                <c:pt idx="1647">
                  <c:v>-0.43099999999999999</c:v>
                </c:pt>
                <c:pt idx="1648">
                  <c:v>-0.43099999999999999</c:v>
                </c:pt>
                <c:pt idx="1649">
                  <c:v>-0.43099999999999999</c:v>
                </c:pt>
                <c:pt idx="1650">
                  <c:v>-0.47</c:v>
                </c:pt>
                <c:pt idx="1651">
                  <c:v>-0.36699999999999999</c:v>
                </c:pt>
                <c:pt idx="1652">
                  <c:v>-0.371</c:v>
                </c:pt>
                <c:pt idx="1653">
                  <c:v>-0.4</c:v>
                </c:pt>
                <c:pt idx="1654">
                  <c:v>-0.40899999999999997</c:v>
                </c:pt>
                <c:pt idx="1655">
                  <c:v>-0.40100000000000002</c:v>
                </c:pt>
                <c:pt idx="1656">
                  <c:v>-0.37</c:v>
                </c:pt>
                <c:pt idx="1657">
                  <c:v>-0.38</c:v>
                </c:pt>
                <c:pt idx="1658">
                  <c:v>-0.33700000000000002</c:v>
                </c:pt>
                <c:pt idx="1659">
                  <c:v>-0.38300000000000001</c:v>
                </c:pt>
                <c:pt idx="1660">
                  <c:v>-0.377</c:v>
                </c:pt>
                <c:pt idx="1661">
                  <c:v>-0.377</c:v>
                </c:pt>
                <c:pt idx="1662">
                  <c:v>-0.372</c:v>
                </c:pt>
                <c:pt idx="1663">
                  <c:v>-0.36799999999999999</c:v>
                </c:pt>
                <c:pt idx="1664">
                  <c:v>-0.373</c:v>
                </c:pt>
                <c:pt idx="1665">
                  <c:v>-0.373</c:v>
                </c:pt>
                <c:pt idx="1666">
                  <c:v>-0.36399999999999999</c:v>
                </c:pt>
                <c:pt idx="1667">
                  <c:v>-0.379</c:v>
                </c:pt>
                <c:pt idx="1668">
                  <c:v>-0.35599999999999998</c:v>
                </c:pt>
                <c:pt idx="1669">
                  <c:v>-0.35599999999999998</c:v>
                </c:pt>
                <c:pt idx="1670">
                  <c:v>-0.39700000000000002</c:v>
                </c:pt>
                <c:pt idx="1671">
                  <c:v>-0.38800000000000001</c:v>
                </c:pt>
                <c:pt idx="1672">
                  <c:v>-0.38200000000000001</c:v>
                </c:pt>
                <c:pt idx="1673">
                  <c:v>-0.38</c:v>
                </c:pt>
                <c:pt idx="1674">
                  <c:v>-0.378</c:v>
                </c:pt>
                <c:pt idx="1675">
                  <c:v>-0.378</c:v>
                </c:pt>
                <c:pt idx="1676">
                  <c:v>-0.375</c:v>
                </c:pt>
                <c:pt idx="1677">
                  <c:v>-0.37</c:v>
                </c:pt>
                <c:pt idx="1678">
                  <c:v>-0.36699999999999999</c:v>
                </c:pt>
                <c:pt idx="1679">
                  <c:v>-0.36699999999999999</c:v>
                </c:pt>
                <c:pt idx="1680">
                  <c:v>-0.36299999999999999</c:v>
                </c:pt>
                <c:pt idx="1681">
                  <c:v>-0.36299999999999999</c:v>
                </c:pt>
                <c:pt idx="1682">
                  <c:v>-0.35499999999999998</c:v>
                </c:pt>
                <c:pt idx="1683">
                  <c:v>-0.371</c:v>
                </c:pt>
                <c:pt idx="1684">
                  <c:v>-0.35199999999999998</c:v>
                </c:pt>
                <c:pt idx="1685">
                  <c:v>-0.35099999999999998</c:v>
                </c:pt>
                <c:pt idx="1686">
                  <c:v>-0.34799999999999998</c:v>
                </c:pt>
                <c:pt idx="1687">
                  <c:v>-0.34899999999999998</c:v>
                </c:pt>
                <c:pt idx="1688">
                  <c:v>-0.38600000000000001</c:v>
                </c:pt>
                <c:pt idx="1689">
                  <c:v>-0.38600000000000001</c:v>
                </c:pt>
                <c:pt idx="1690">
                  <c:v>-0.377</c:v>
                </c:pt>
                <c:pt idx="1691">
                  <c:v>-0.38100000000000001</c:v>
                </c:pt>
                <c:pt idx="1692">
                  <c:v>-0.39600000000000002</c:v>
                </c:pt>
                <c:pt idx="1693">
                  <c:v>-0.39200000000000002</c:v>
                </c:pt>
                <c:pt idx="1694">
                  <c:v>-0.39200000000000002</c:v>
                </c:pt>
                <c:pt idx="1695">
                  <c:v>-0.38900000000000001</c:v>
                </c:pt>
                <c:pt idx="1696">
                  <c:v>-0.38700000000000001</c:v>
                </c:pt>
                <c:pt idx="1697">
                  <c:v>-0.38600000000000001</c:v>
                </c:pt>
                <c:pt idx="1698">
                  <c:v>-0.38600000000000001</c:v>
                </c:pt>
                <c:pt idx="1699">
                  <c:v>-0.39800000000000002</c:v>
                </c:pt>
                <c:pt idx="1700">
                  <c:v>-0.39400000000000002</c:v>
                </c:pt>
                <c:pt idx="1701">
                  <c:v>-0.39600000000000002</c:v>
                </c:pt>
                <c:pt idx="1702">
                  <c:v>-0.39500000000000002</c:v>
                </c:pt>
                <c:pt idx="1703">
                  <c:v>-0.38200000000000001</c:v>
                </c:pt>
                <c:pt idx="1704">
                  <c:v>-0.38200000000000001</c:v>
                </c:pt>
                <c:pt idx="1705">
                  <c:v>-0.375</c:v>
                </c:pt>
                <c:pt idx="1706">
                  <c:v>-0.40500000000000003</c:v>
                </c:pt>
                <c:pt idx="1707">
                  <c:v>-0.38100000000000001</c:v>
                </c:pt>
                <c:pt idx="1708">
                  <c:v>-0.38100000000000001</c:v>
                </c:pt>
                <c:pt idx="1709">
                  <c:v>-0.377</c:v>
                </c:pt>
                <c:pt idx="1710">
                  <c:v>-0.377</c:v>
                </c:pt>
                <c:pt idx="1711">
                  <c:v>-0.374</c:v>
                </c:pt>
                <c:pt idx="1712">
                  <c:v>-0.37</c:v>
                </c:pt>
                <c:pt idx="1713">
                  <c:v>-0.37</c:v>
                </c:pt>
                <c:pt idx="1714">
                  <c:v>-0.36499999999999999</c:v>
                </c:pt>
                <c:pt idx="1715">
                  <c:v>-0.36599999999999999</c:v>
                </c:pt>
                <c:pt idx="1716">
                  <c:v>-0.373</c:v>
                </c:pt>
                <c:pt idx="1717">
                  <c:v>-0.36599999999999999</c:v>
                </c:pt>
                <c:pt idx="1718">
                  <c:v>-0.36499999999999999</c:v>
                </c:pt>
                <c:pt idx="1719">
                  <c:v>-0.33800000000000002</c:v>
                </c:pt>
                <c:pt idx="1720">
                  <c:v>-0.35099999999999998</c:v>
                </c:pt>
                <c:pt idx="1721">
                  <c:v>-0.34799999999999998</c:v>
                </c:pt>
                <c:pt idx="1722">
                  <c:v>-0.35599999999999998</c:v>
                </c:pt>
                <c:pt idx="1723">
                  <c:v>-0.35099999999999998</c:v>
                </c:pt>
                <c:pt idx="1724">
                  <c:v>-0.35399999999999998</c:v>
                </c:pt>
                <c:pt idx="1725">
                  <c:v>-0.35399999999999998</c:v>
                </c:pt>
                <c:pt idx="1726">
                  <c:v>-0.35899999999999999</c:v>
                </c:pt>
                <c:pt idx="1727">
                  <c:v>-0.36</c:v>
                </c:pt>
                <c:pt idx="1728">
                  <c:v>-0.35699999999999998</c:v>
                </c:pt>
                <c:pt idx="1729">
                  <c:v>-0.36499999999999999</c:v>
                </c:pt>
                <c:pt idx="1730">
                  <c:v>-0.33100000000000002</c:v>
                </c:pt>
                <c:pt idx="1731">
                  <c:v>-0.36</c:v>
                </c:pt>
                <c:pt idx="1732">
                  <c:v>-0.35799999999999998</c:v>
                </c:pt>
                <c:pt idx="1733">
                  <c:v>-0.35299999999999998</c:v>
                </c:pt>
                <c:pt idx="1734">
                  <c:v>-0.36699999999999999</c:v>
                </c:pt>
                <c:pt idx="1735">
                  <c:v>-0.36699999999999999</c:v>
                </c:pt>
                <c:pt idx="1736">
                  <c:v>-0.379</c:v>
                </c:pt>
                <c:pt idx="1737">
                  <c:v>-0.379</c:v>
                </c:pt>
                <c:pt idx="1738">
                  <c:v>-0.374</c:v>
                </c:pt>
                <c:pt idx="1739">
                  <c:v>-0.374</c:v>
                </c:pt>
                <c:pt idx="1740">
                  <c:v>-0.374</c:v>
                </c:pt>
                <c:pt idx="1741">
                  <c:v>-0.374</c:v>
                </c:pt>
                <c:pt idx="1742">
                  <c:v>-0.36599999999999999</c:v>
                </c:pt>
                <c:pt idx="1743">
                  <c:v>-0.371</c:v>
                </c:pt>
                <c:pt idx="1744">
                  <c:v>-0.375</c:v>
                </c:pt>
                <c:pt idx="1745">
                  <c:v>-0.373</c:v>
                </c:pt>
                <c:pt idx="1746">
                  <c:v>-0.38100000000000001</c:v>
                </c:pt>
                <c:pt idx="1747">
                  <c:v>-0.38400000000000001</c:v>
                </c:pt>
                <c:pt idx="1748">
                  <c:v>-0.38800000000000001</c:v>
                </c:pt>
                <c:pt idx="1749">
                  <c:v>-0.38500000000000001</c:v>
                </c:pt>
                <c:pt idx="1750">
                  <c:v>-0.38500000000000001</c:v>
                </c:pt>
                <c:pt idx="1751">
                  <c:v>-0.38500000000000001</c:v>
                </c:pt>
                <c:pt idx="1752">
                  <c:v>-0.38300000000000001</c:v>
                </c:pt>
                <c:pt idx="1753">
                  <c:v>-0.39</c:v>
                </c:pt>
                <c:pt idx="1754">
                  <c:v>-0.38800000000000001</c:v>
                </c:pt>
                <c:pt idx="1755">
                  <c:v>-0.38700000000000001</c:v>
                </c:pt>
                <c:pt idx="1756">
                  <c:v>-0.38200000000000001</c:v>
                </c:pt>
                <c:pt idx="1757">
                  <c:v>-0.38600000000000001</c:v>
                </c:pt>
                <c:pt idx="1758">
                  <c:v>-0.38800000000000001</c:v>
                </c:pt>
                <c:pt idx="1759">
                  <c:v>-0.38600000000000001</c:v>
                </c:pt>
                <c:pt idx="1760">
                  <c:v>-0.377</c:v>
                </c:pt>
                <c:pt idx="1761">
                  <c:v>-0.38</c:v>
                </c:pt>
                <c:pt idx="1762">
                  <c:v>-0.374</c:v>
                </c:pt>
                <c:pt idx="1763">
                  <c:v>-0.372</c:v>
                </c:pt>
                <c:pt idx="1764">
                  <c:v>-0.38100000000000001</c:v>
                </c:pt>
                <c:pt idx="1765">
                  <c:v>-0.376</c:v>
                </c:pt>
                <c:pt idx="1766">
                  <c:v>-0.375</c:v>
                </c:pt>
                <c:pt idx="1767">
                  <c:v>-0.4</c:v>
                </c:pt>
                <c:pt idx="1768">
                  <c:v>-0.39200000000000002</c:v>
                </c:pt>
                <c:pt idx="1769">
                  <c:v>-0.39400000000000002</c:v>
                </c:pt>
                <c:pt idx="1770">
                  <c:v>-0.39600000000000002</c:v>
                </c:pt>
                <c:pt idx="1771">
                  <c:v>-0.4</c:v>
                </c:pt>
                <c:pt idx="1772">
                  <c:v>-0.39400000000000002</c:v>
                </c:pt>
                <c:pt idx="1773">
                  <c:v>-0.39400000000000002</c:v>
                </c:pt>
                <c:pt idx="1774">
                  <c:v>-0.376</c:v>
                </c:pt>
                <c:pt idx="1775">
                  <c:v>-0.374</c:v>
                </c:pt>
                <c:pt idx="1776">
                  <c:v>-0.371</c:v>
                </c:pt>
                <c:pt idx="1777">
                  <c:v>-0.37</c:v>
                </c:pt>
                <c:pt idx="1778">
                  <c:v>-0.373</c:v>
                </c:pt>
                <c:pt idx="1779">
                  <c:v>-0.37</c:v>
                </c:pt>
                <c:pt idx="1780">
                  <c:v>-0.373</c:v>
                </c:pt>
                <c:pt idx="1781">
                  <c:v>-0.38400000000000001</c:v>
                </c:pt>
                <c:pt idx="1782">
                  <c:v>-0.38900000000000001</c:v>
                </c:pt>
                <c:pt idx="1783">
                  <c:v>-0.38900000000000001</c:v>
                </c:pt>
                <c:pt idx="1784">
                  <c:v>-0.38600000000000001</c:v>
                </c:pt>
                <c:pt idx="1785">
                  <c:v>-0.38600000000000001</c:v>
                </c:pt>
                <c:pt idx="1786">
                  <c:v>-0.38600000000000001</c:v>
                </c:pt>
                <c:pt idx="1787">
                  <c:v>-0.372</c:v>
                </c:pt>
                <c:pt idx="1788">
                  <c:v>-0.377</c:v>
                </c:pt>
                <c:pt idx="1789">
                  <c:v>-0.374</c:v>
                </c:pt>
                <c:pt idx="1790">
                  <c:v>-0.374</c:v>
                </c:pt>
                <c:pt idx="1791">
                  <c:v>-0.371</c:v>
                </c:pt>
                <c:pt idx="1792">
                  <c:v>-0.36799999999999999</c:v>
                </c:pt>
                <c:pt idx="1793">
                  <c:v>-0.36599999999999999</c:v>
                </c:pt>
                <c:pt idx="1794">
                  <c:v>-0.36599999999999999</c:v>
                </c:pt>
                <c:pt idx="1795">
                  <c:v>-0.371</c:v>
                </c:pt>
                <c:pt idx="1796">
                  <c:v>-0.36799999999999999</c:v>
                </c:pt>
                <c:pt idx="1797">
                  <c:v>-0.376</c:v>
                </c:pt>
                <c:pt idx="1798">
                  <c:v>-0.373</c:v>
                </c:pt>
                <c:pt idx="1799">
                  <c:v>-0.38</c:v>
                </c:pt>
                <c:pt idx="1800">
                  <c:v>-0.38400000000000001</c:v>
                </c:pt>
                <c:pt idx="1801">
                  <c:v>-0.378</c:v>
                </c:pt>
                <c:pt idx="1802">
                  <c:v>-0.373</c:v>
                </c:pt>
                <c:pt idx="1803">
                  <c:v>-0.378</c:v>
                </c:pt>
                <c:pt idx="1804">
                  <c:v>-0.38</c:v>
                </c:pt>
                <c:pt idx="1805">
                  <c:v>-0.38300000000000001</c:v>
                </c:pt>
                <c:pt idx="1806">
                  <c:v>-0.38300000000000001</c:v>
                </c:pt>
                <c:pt idx="1807">
                  <c:v>-0.39</c:v>
                </c:pt>
                <c:pt idx="1808">
                  <c:v>-0.39300000000000002</c:v>
                </c:pt>
                <c:pt idx="1809">
                  <c:v>-0.39700000000000002</c:v>
                </c:pt>
                <c:pt idx="1810">
                  <c:v>-0.35799999999999998</c:v>
                </c:pt>
                <c:pt idx="1811">
                  <c:v>-0.36</c:v>
                </c:pt>
                <c:pt idx="1812">
                  <c:v>-0.35899999999999999</c:v>
                </c:pt>
                <c:pt idx="1813">
                  <c:v>-0.36099999999999999</c:v>
                </c:pt>
                <c:pt idx="1814">
                  <c:v>-0.35799999999999998</c:v>
                </c:pt>
                <c:pt idx="1815">
                  <c:v>-0.33900000000000002</c:v>
                </c:pt>
                <c:pt idx="1816">
                  <c:v>-0.379</c:v>
                </c:pt>
                <c:pt idx="1817">
                  <c:v>-0.376</c:v>
                </c:pt>
                <c:pt idx="1818">
                  <c:v>-0.32400000000000001</c:v>
                </c:pt>
                <c:pt idx="1819">
                  <c:v>-0.311</c:v>
                </c:pt>
                <c:pt idx="1820">
                  <c:v>-0.311</c:v>
                </c:pt>
                <c:pt idx="1821">
                  <c:v>-0.30099999999999999</c:v>
                </c:pt>
                <c:pt idx="1822">
                  <c:v>-0.30599999999999999</c:v>
                </c:pt>
                <c:pt idx="1823">
                  <c:v>-0.3</c:v>
                </c:pt>
                <c:pt idx="1824">
                  <c:v>-0.30499999999999999</c:v>
                </c:pt>
                <c:pt idx="1825">
                  <c:v>-0.30599999999999999</c:v>
                </c:pt>
                <c:pt idx="1826">
                  <c:v>-0.30599999999999999</c:v>
                </c:pt>
                <c:pt idx="1827">
                  <c:v>-0.28100000000000003</c:v>
                </c:pt>
                <c:pt idx="1828">
                  <c:v>-0.249</c:v>
                </c:pt>
                <c:pt idx="1829">
                  <c:v>-0.31</c:v>
                </c:pt>
                <c:pt idx="1830">
                  <c:v>-0.31</c:v>
                </c:pt>
                <c:pt idx="1831">
                  <c:v>-0.28000000000000003</c:v>
                </c:pt>
                <c:pt idx="1832">
                  <c:v>-0.249</c:v>
                </c:pt>
                <c:pt idx="1833">
                  <c:v>-0.28999999999999998</c:v>
                </c:pt>
                <c:pt idx="1834">
                  <c:v>-0.29099999999999998</c:v>
                </c:pt>
                <c:pt idx="1835">
                  <c:v>-0.28999999999999998</c:v>
                </c:pt>
                <c:pt idx="1836">
                  <c:v>-0.28100000000000003</c:v>
                </c:pt>
                <c:pt idx="1837">
                  <c:v>-0.30499999999999999</c:v>
                </c:pt>
                <c:pt idx="1838">
                  <c:v>-0.28799999999999998</c:v>
                </c:pt>
                <c:pt idx="1839">
                  <c:v>-0.28000000000000003</c:v>
                </c:pt>
                <c:pt idx="1840">
                  <c:v>-0.252</c:v>
                </c:pt>
                <c:pt idx="1841">
                  <c:v>-0.248</c:v>
                </c:pt>
                <c:pt idx="1842">
                  <c:v>-0.24</c:v>
                </c:pt>
                <c:pt idx="1843">
                  <c:v>-0.24399999999999999</c:v>
                </c:pt>
                <c:pt idx="1844">
                  <c:v>-0.24399999999999999</c:v>
                </c:pt>
                <c:pt idx="1845">
                  <c:v>-0.249</c:v>
                </c:pt>
                <c:pt idx="1846">
                  <c:v>-0.23400000000000001</c:v>
                </c:pt>
                <c:pt idx="1847">
                  <c:v>-0.249</c:v>
                </c:pt>
                <c:pt idx="1848">
                  <c:v>-0.253</c:v>
                </c:pt>
                <c:pt idx="1849">
                  <c:v>-0.247</c:v>
                </c:pt>
                <c:pt idx="1850">
                  <c:v>-0.23499999999999999</c:v>
                </c:pt>
                <c:pt idx="1851">
                  <c:v>-0.24</c:v>
                </c:pt>
                <c:pt idx="1852">
                  <c:v>-0.23499999999999999</c:v>
                </c:pt>
                <c:pt idx="1853">
                  <c:v>-0.23499999999999999</c:v>
                </c:pt>
                <c:pt idx="1854">
                  <c:v>-0.22600000000000001</c:v>
                </c:pt>
                <c:pt idx="1855">
                  <c:v>-0.23300000000000001</c:v>
                </c:pt>
                <c:pt idx="1856">
                  <c:v>-0.249</c:v>
                </c:pt>
                <c:pt idx="1857">
                  <c:v>-0.24399999999999999</c:v>
                </c:pt>
                <c:pt idx="1858">
                  <c:v>-0.24</c:v>
                </c:pt>
                <c:pt idx="1859">
                  <c:v>-0.249</c:v>
                </c:pt>
                <c:pt idx="1860">
                  <c:v>-0.25900000000000001</c:v>
                </c:pt>
                <c:pt idx="1861">
                  <c:v>-0.27300000000000002</c:v>
                </c:pt>
                <c:pt idx="1862">
                  <c:v>-0.28100000000000003</c:v>
                </c:pt>
                <c:pt idx="1863">
                  <c:v>-0.28299999999999997</c:v>
                </c:pt>
                <c:pt idx="1864">
                  <c:v>-0.28599999999999998</c:v>
                </c:pt>
                <c:pt idx="1865">
                  <c:v>-0.28599999999999998</c:v>
                </c:pt>
                <c:pt idx="1866">
                  <c:v>-0.28599999999999998</c:v>
                </c:pt>
                <c:pt idx="1867">
                  <c:v>-0.27900000000000003</c:v>
                </c:pt>
                <c:pt idx="1868">
                  <c:v>-0.28799999999999998</c:v>
                </c:pt>
                <c:pt idx="1869">
                  <c:v>-0.28999999999999998</c:v>
                </c:pt>
                <c:pt idx="1870">
                  <c:v>-0.28999999999999998</c:v>
                </c:pt>
                <c:pt idx="1871">
                  <c:v>-0.32500000000000001</c:v>
                </c:pt>
                <c:pt idx="1872">
                  <c:v>-0.32500000000000001</c:v>
                </c:pt>
                <c:pt idx="1873">
                  <c:v>-0.32100000000000001</c:v>
                </c:pt>
                <c:pt idx="1874">
                  <c:v>-0.33500000000000002</c:v>
                </c:pt>
                <c:pt idx="1875">
                  <c:v>-0.33500000000000002</c:v>
                </c:pt>
                <c:pt idx="1876">
                  <c:v>-0.33500000000000002</c:v>
                </c:pt>
                <c:pt idx="1877">
                  <c:v>-0.33200000000000002</c:v>
                </c:pt>
                <c:pt idx="1878">
                  <c:v>-0.33</c:v>
                </c:pt>
                <c:pt idx="1879">
                  <c:v>-0.33</c:v>
                </c:pt>
                <c:pt idx="1880">
                  <c:v>-0.32800000000000001</c:v>
                </c:pt>
                <c:pt idx="1881">
                  <c:v>-0.33400000000000002</c:v>
                </c:pt>
                <c:pt idx="1882">
                  <c:v>-0.34599999999999997</c:v>
                </c:pt>
                <c:pt idx="1883">
                  <c:v>-0.34300000000000003</c:v>
                </c:pt>
                <c:pt idx="1884">
                  <c:v>-0.34200000000000003</c:v>
                </c:pt>
                <c:pt idx="1885">
                  <c:v>-0.34200000000000003</c:v>
                </c:pt>
                <c:pt idx="1886">
                  <c:v>-0.317</c:v>
                </c:pt>
                <c:pt idx="1887">
                  <c:v>-0.33800000000000002</c:v>
                </c:pt>
                <c:pt idx="1888">
                  <c:v>-0.30499999999999999</c:v>
                </c:pt>
                <c:pt idx="1889">
                  <c:v>-0.34300000000000003</c:v>
                </c:pt>
                <c:pt idx="1890">
                  <c:v>-0.34200000000000003</c:v>
                </c:pt>
                <c:pt idx="1891">
                  <c:v>-0.33200000000000002</c:v>
                </c:pt>
                <c:pt idx="1892">
                  <c:v>-0.35699999999999998</c:v>
                </c:pt>
                <c:pt idx="1893">
                  <c:v>-0.35499999999999998</c:v>
                </c:pt>
                <c:pt idx="1894">
                  <c:v>-0.33700000000000002</c:v>
                </c:pt>
                <c:pt idx="1895">
                  <c:v>-0.313</c:v>
                </c:pt>
                <c:pt idx="1896">
                  <c:v>-0.29899999999999999</c:v>
                </c:pt>
                <c:pt idx="1897">
                  <c:v>-0.32</c:v>
                </c:pt>
                <c:pt idx="1898">
                  <c:v>-0.27200000000000002</c:v>
                </c:pt>
                <c:pt idx="1899">
                  <c:v>-0.26500000000000001</c:v>
                </c:pt>
                <c:pt idx="1900">
                  <c:v>-0.26700000000000002</c:v>
                </c:pt>
                <c:pt idx="1901">
                  <c:v>-0.27400000000000002</c:v>
                </c:pt>
                <c:pt idx="1902">
                  <c:v>-0.27200000000000002</c:v>
                </c:pt>
                <c:pt idx="1903">
                  <c:v>-0.26800000000000002</c:v>
                </c:pt>
                <c:pt idx="1904">
                  <c:v>-0.26500000000000001</c:v>
                </c:pt>
                <c:pt idx="1905">
                  <c:v>-0.28000000000000003</c:v>
                </c:pt>
                <c:pt idx="1906">
                  <c:v>-0.29599999999999999</c:v>
                </c:pt>
                <c:pt idx="1907">
                  <c:v>-0.29399999999999998</c:v>
                </c:pt>
                <c:pt idx="1908">
                  <c:v>-0.28399999999999997</c:v>
                </c:pt>
                <c:pt idx="1909">
                  <c:v>-0.28799999999999998</c:v>
                </c:pt>
                <c:pt idx="1910">
                  <c:v>-0.308</c:v>
                </c:pt>
                <c:pt idx="1911">
                  <c:v>-0.33300000000000002</c:v>
                </c:pt>
                <c:pt idx="1912">
                  <c:v>-0.32700000000000001</c:v>
                </c:pt>
                <c:pt idx="1913">
                  <c:v>-0.32700000000000001</c:v>
                </c:pt>
                <c:pt idx="1914">
                  <c:v>-0.32800000000000001</c:v>
                </c:pt>
                <c:pt idx="1915">
                  <c:v>-0.32</c:v>
                </c:pt>
                <c:pt idx="1916">
                  <c:v>-0.31900000000000001</c:v>
                </c:pt>
                <c:pt idx="1917">
                  <c:v>-0.32500000000000001</c:v>
                </c:pt>
                <c:pt idx="1918">
                  <c:v>-0.32700000000000001</c:v>
                </c:pt>
                <c:pt idx="1919">
                  <c:v>-0.33800000000000002</c:v>
                </c:pt>
                <c:pt idx="1920">
                  <c:v>-0.33</c:v>
                </c:pt>
                <c:pt idx="1921">
                  <c:v>-0.33200000000000002</c:v>
                </c:pt>
                <c:pt idx="1922">
                  <c:v>-0.33600000000000002</c:v>
                </c:pt>
                <c:pt idx="1923">
                  <c:v>-0.33</c:v>
                </c:pt>
                <c:pt idx="1924">
                  <c:v>-0.33800000000000002</c:v>
                </c:pt>
                <c:pt idx="1925">
                  <c:v>-0.33700000000000002</c:v>
                </c:pt>
                <c:pt idx="1926">
                  <c:v>-0.33400000000000002</c:v>
                </c:pt>
                <c:pt idx="1927">
                  <c:v>-0.34300000000000003</c:v>
                </c:pt>
                <c:pt idx="1928">
                  <c:v>-0.33800000000000002</c:v>
                </c:pt>
                <c:pt idx="1929">
                  <c:v>-0.31</c:v>
                </c:pt>
                <c:pt idx="1930">
                  <c:v>-0.309</c:v>
                </c:pt>
                <c:pt idx="1931">
                  <c:v>-0.32800000000000001</c:v>
                </c:pt>
                <c:pt idx="1932">
                  <c:v>-0.32500000000000001</c:v>
                </c:pt>
                <c:pt idx="1933">
                  <c:v>-0.312</c:v>
                </c:pt>
                <c:pt idx="1934">
                  <c:v>-0.32300000000000001</c:v>
                </c:pt>
                <c:pt idx="1935">
                  <c:v>-0.32</c:v>
                </c:pt>
                <c:pt idx="1936">
                  <c:v>-0.30499999999999999</c:v>
                </c:pt>
                <c:pt idx="1937">
                  <c:v>-0.29899999999999999</c:v>
                </c:pt>
                <c:pt idx="1938">
                  <c:v>-0.28899999999999998</c:v>
                </c:pt>
                <c:pt idx="1939">
                  <c:v>-0.27100000000000002</c:v>
                </c:pt>
                <c:pt idx="1940">
                  <c:v>-0.25</c:v>
                </c:pt>
                <c:pt idx="1941">
                  <c:v>-0.223</c:v>
                </c:pt>
                <c:pt idx="1942">
                  <c:v>-0.25800000000000001</c:v>
                </c:pt>
                <c:pt idx="1943">
                  <c:v>-0.25600000000000001</c:v>
                </c:pt>
                <c:pt idx="1944">
                  <c:v>-0.255</c:v>
                </c:pt>
                <c:pt idx="1945">
                  <c:v>-0.26200000000000001</c:v>
                </c:pt>
                <c:pt idx="1946">
                  <c:v>-0.24199999999999999</c:v>
                </c:pt>
                <c:pt idx="1947">
                  <c:v>-0.26500000000000001</c:v>
                </c:pt>
                <c:pt idx="1948">
                  <c:v>-0.25900000000000001</c:v>
                </c:pt>
                <c:pt idx="1949">
                  <c:v>-0.26500000000000001</c:v>
                </c:pt>
                <c:pt idx="1950">
                  <c:v>-0.26400000000000001</c:v>
                </c:pt>
                <c:pt idx="1951">
                  <c:v>-0.26600000000000001</c:v>
                </c:pt>
                <c:pt idx="1952">
                  <c:v>-0.26200000000000001</c:v>
                </c:pt>
                <c:pt idx="1953">
                  <c:v>-0.248</c:v>
                </c:pt>
                <c:pt idx="1954">
                  <c:v>-0.25</c:v>
                </c:pt>
                <c:pt idx="1955">
                  <c:v>-0.24</c:v>
                </c:pt>
                <c:pt idx="1956">
                  <c:v>-0.23799999999999999</c:v>
                </c:pt>
                <c:pt idx="1957">
                  <c:v>-0.23</c:v>
                </c:pt>
                <c:pt idx="1958">
                  <c:v>-0.23100000000000001</c:v>
                </c:pt>
                <c:pt idx="1959">
                  <c:v>-0.22700000000000001</c:v>
                </c:pt>
                <c:pt idx="1960">
                  <c:v>-0.249</c:v>
                </c:pt>
                <c:pt idx="1961">
                  <c:v>-0.245</c:v>
                </c:pt>
                <c:pt idx="1962">
                  <c:v>-0.252</c:v>
                </c:pt>
                <c:pt idx="1963">
                  <c:v>-0.25600000000000001</c:v>
                </c:pt>
                <c:pt idx="1964">
                  <c:v>-0.254</c:v>
                </c:pt>
                <c:pt idx="1965">
                  <c:v>-0.25900000000000001</c:v>
                </c:pt>
                <c:pt idx="1966">
                  <c:v>-0.26400000000000001</c:v>
                </c:pt>
                <c:pt idx="1967">
                  <c:v>-0.249</c:v>
                </c:pt>
                <c:pt idx="1968">
                  <c:v>-0.25900000000000001</c:v>
                </c:pt>
                <c:pt idx="1969">
                  <c:v>-0.251</c:v>
                </c:pt>
                <c:pt idx="1970">
                  <c:v>-0.25900000000000001</c:v>
                </c:pt>
                <c:pt idx="1971">
                  <c:v>-0.247</c:v>
                </c:pt>
                <c:pt idx="1972">
                  <c:v>-0.24299999999999999</c:v>
                </c:pt>
                <c:pt idx="1973">
                  <c:v>-0.249</c:v>
                </c:pt>
                <c:pt idx="1974">
                  <c:v>-0.23599999999999999</c:v>
                </c:pt>
                <c:pt idx="1975">
                  <c:v>-0.23</c:v>
                </c:pt>
                <c:pt idx="1976">
                  <c:v>-0.22</c:v>
                </c:pt>
                <c:pt idx="1977">
                  <c:v>-0.219</c:v>
                </c:pt>
                <c:pt idx="1978">
                  <c:v>-0.221</c:v>
                </c:pt>
                <c:pt idx="1979">
                  <c:v>-0.19600000000000001</c:v>
                </c:pt>
                <c:pt idx="1980">
                  <c:v>-0.21299999999999999</c:v>
                </c:pt>
                <c:pt idx="1981">
                  <c:v>-0.21099999999999999</c:v>
                </c:pt>
                <c:pt idx="1982">
                  <c:v>-0.20599999999999999</c:v>
                </c:pt>
                <c:pt idx="1983">
                  <c:v>-0.20399999999999999</c:v>
                </c:pt>
                <c:pt idx="1984">
                  <c:v>-0.22</c:v>
                </c:pt>
                <c:pt idx="1985">
                  <c:v>-0.28899999999999998</c:v>
                </c:pt>
                <c:pt idx="1986">
                  <c:v>-0.28399999999999997</c:v>
                </c:pt>
                <c:pt idx="1987">
                  <c:v>-0.28799999999999998</c:v>
                </c:pt>
                <c:pt idx="1988">
                  <c:v>-0.28699999999999998</c:v>
                </c:pt>
                <c:pt idx="1989">
                  <c:v>-0.34699999999999998</c:v>
                </c:pt>
                <c:pt idx="1990">
                  <c:v>-0.28899999999999998</c:v>
                </c:pt>
                <c:pt idx="1991">
                  <c:v>-0.28899999999999998</c:v>
                </c:pt>
                <c:pt idx="1992">
                  <c:v>-0.28799999999999998</c:v>
                </c:pt>
                <c:pt idx="1993">
                  <c:v>-0.29199999999999998</c:v>
                </c:pt>
                <c:pt idx="1994">
                  <c:v>-0.29399999999999998</c:v>
                </c:pt>
                <c:pt idx="1995">
                  <c:v>-0.34599999999999997</c:v>
                </c:pt>
                <c:pt idx="1996">
                  <c:v>-0.34499999999999997</c:v>
                </c:pt>
                <c:pt idx="1997">
                  <c:v>-0.28799999999999998</c:v>
                </c:pt>
                <c:pt idx="1998">
                  <c:v>-0.27400000000000002</c:v>
                </c:pt>
                <c:pt idx="1999">
                  <c:v>-0.21199999999999999</c:v>
                </c:pt>
                <c:pt idx="2000">
                  <c:v>-0.28000000000000003</c:v>
                </c:pt>
                <c:pt idx="2001">
                  <c:v>-0.29599999999999999</c:v>
                </c:pt>
                <c:pt idx="2002">
                  <c:v>-0.29799999999999999</c:v>
                </c:pt>
                <c:pt idx="2003">
                  <c:v>-0.29499999999999998</c:v>
                </c:pt>
                <c:pt idx="2004">
                  <c:v>-0.28999999999999998</c:v>
                </c:pt>
                <c:pt idx="2005">
                  <c:v>-0.29399999999999998</c:v>
                </c:pt>
                <c:pt idx="2006">
                  <c:v>-0.29199999999999998</c:v>
                </c:pt>
                <c:pt idx="2007">
                  <c:v>-0.28899999999999998</c:v>
                </c:pt>
                <c:pt idx="2008">
                  <c:v>-0.29099999999999998</c:v>
                </c:pt>
                <c:pt idx="2009">
                  <c:v>-0.313</c:v>
                </c:pt>
                <c:pt idx="2010">
                  <c:v>-0.27500000000000002</c:v>
                </c:pt>
                <c:pt idx="2011">
                  <c:v>-0.27300000000000002</c:v>
                </c:pt>
                <c:pt idx="2012">
                  <c:v>-0.27400000000000002</c:v>
                </c:pt>
                <c:pt idx="2013">
                  <c:v>-0.27400000000000002</c:v>
                </c:pt>
                <c:pt idx="2014">
                  <c:v>-0.33900000000000002</c:v>
                </c:pt>
                <c:pt idx="2015">
                  <c:v>-0.27100000000000002</c:v>
                </c:pt>
                <c:pt idx="2016">
                  <c:v>-0.27100000000000002</c:v>
                </c:pt>
                <c:pt idx="2017">
                  <c:v>-0.27400000000000002</c:v>
                </c:pt>
                <c:pt idx="2018">
                  <c:v>-0.26800000000000002</c:v>
                </c:pt>
                <c:pt idx="2019">
                  <c:v>-0.33400000000000002</c:v>
                </c:pt>
                <c:pt idx="2020">
                  <c:v>-0.33800000000000002</c:v>
                </c:pt>
                <c:pt idx="2021">
                  <c:v>-0.27400000000000002</c:v>
                </c:pt>
                <c:pt idx="2022">
                  <c:v>-0.33400000000000002</c:v>
                </c:pt>
                <c:pt idx="2023">
                  <c:v>-0.33600000000000002</c:v>
                </c:pt>
                <c:pt idx="2024">
                  <c:v>-0.28299999999999997</c:v>
                </c:pt>
                <c:pt idx="2025">
                  <c:v>-0.28299999999999997</c:v>
                </c:pt>
                <c:pt idx="2026">
                  <c:v>-0.28299999999999997</c:v>
                </c:pt>
                <c:pt idx="2027">
                  <c:v>-0.28499999999999998</c:v>
                </c:pt>
                <c:pt idx="2028">
                  <c:v>-0.33100000000000002</c:v>
                </c:pt>
                <c:pt idx="2029">
                  <c:v>-0.33100000000000002</c:v>
                </c:pt>
                <c:pt idx="2030">
                  <c:v>-0.33</c:v>
                </c:pt>
                <c:pt idx="2031">
                  <c:v>-0.33200000000000002</c:v>
                </c:pt>
                <c:pt idx="2032">
                  <c:v>-0.27200000000000002</c:v>
                </c:pt>
                <c:pt idx="2033">
                  <c:v>-0.38800000000000001</c:v>
                </c:pt>
                <c:pt idx="2034">
                  <c:v>-0.38100000000000001</c:v>
                </c:pt>
                <c:pt idx="2035">
                  <c:v>-0.28899999999999998</c:v>
                </c:pt>
                <c:pt idx="2036">
                  <c:v>-0.14299999999999999</c:v>
                </c:pt>
                <c:pt idx="2037">
                  <c:v>-0.13900000000000001</c:v>
                </c:pt>
                <c:pt idx="2038">
                  <c:v>-0.111</c:v>
                </c:pt>
                <c:pt idx="2039">
                  <c:v>-0.109</c:v>
                </c:pt>
                <c:pt idx="2040">
                  <c:v>-0.156</c:v>
                </c:pt>
                <c:pt idx="2041">
                  <c:v>-0.124</c:v>
                </c:pt>
                <c:pt idx="2042">
                  <c:v>-0.16200000000000001</c:v>
                </c:pt>
                <c:pt idx="2043">
                  <c:v>-0.113</c:v>
                </c:pt>
                <c:pt idx="2044">
                  <c:v>-0.17199999999999999</c:v>
                </c:pt>
                <c:pt idx="2045">
                  <c:v>-0.113</c:v>
                </c:pt>
                <c:pt idx="2046">
                  <c:v>-0.10100000000000001</c:v>
                </c:pt>
                <c:pt idx="2047">
                  <c:v>-0.14299999999999999</c:v>
                </c:pt>
                <c:pt idx="2048">
                  <c:v>-0.14699999999999999</c:v>
                </c:pt>
                <c:pt idx="2049">
                  <c:v>-0.14899999999999999</c:v>
                </c:pt>
                <c:pt idx="2050">
                  <c:v>-6.2E-2</c:v>
                </c:pt>
                <c:pt idx="2051">
                  <c:v>-5.8000000000000003E-2</c:v>
                </c:pt>
                <c:pt idx="2052">
                  <c:v>-7.5999999999999998E-2</c:v>
                </c:pt>
                <c:pt idx="2053">
                  <c:v>-0.05</c:v>
                </c:pt>
                <c:pt idx="2054">
                  <c:v>-5.1999999999999998E-2</c:v>
                </c:pt>
                <c:pt idx="2055">
                  <c:v>-4.1000000000000002E-2</c:v>
                </c:pt>
                <c:pt idx="2056">
                  <c:v>-8.3000000000000004E-2</c:v>
                </c:pt>
                <c:pt idx="2057">
                  <c:v>-5.2999999999999999E-2</c:v>
                </c:pt>
                <c:pt idx="2058">
                  <c:v>-8.7999999999999995E-2</c:v>
                </c:pt>
                <c:pt idx="2059">
                  <c:v>-8.2000000000000003E-2</c:v>
                </c:pt>
                <c:pt idx="2060">
                  <c:v>-7.0999999999999994E-2</c:v>
                </c:pt>
                <c:pt idx="2061">
                  <c:v>-4.2999999999999997E-2</c:v>
                </c:pt>
                <c:pt idx="2062">
                  <c:v>-4.5999999999999999E-2</c:v>
                </c:pt>
                <c:pt idx="2063">
                  <c:v>-4.4999999999999998E-2</c:v>
                </c:pt>
                <c:pt idx="2064">
                  <c:v>-0.06</c:v>
                </c:pt>
                <c:pt idx="2065">
                  <c:v>-5.5E-2</c:v>
                </c:pt>
                <c:pt idx="2066">
                  <c:v>-4.7E-2</c:v>
                </c:pt>
                <c:pt idx="2067">
                  <c:v>-9.4E-2</c:v>
                </c:pt>
                <c:pt idx="2068">
                  <c:v>-2.5000000000000001E-2</c:v>
                </c:pt>
                <c:pt idx="2069">
                  <c:v>-3.5999999999999997E-2</c:v>
                </c:pt>
                <c:pt idx="2070">
                  <c:v>-3.1E-2</c:v>
                </c:pt>
                <c:pt idx="2071">
                  <c:v>-3.9E-2</c:v>
                </c:pt>
                <c:pt idx="2072">
                  <c:v>-1.7999999999999999E-2</c:v>
                </c:pt>
                <c:pt idx="2073">
                  <c:v>-1.2999999999999999E-2</c:v>
                </c:pt>
                <c:pt idx="2074">
                  <c:v>-1.4999999999999999E-2</c:v>
                </c:pt>
                <c:pt idx="2075">
                  <c:v>-4.5999999999999999E-2</c:v>
                </c:pt>
                <c:pt idx="2076">
                  <c:v>-0.01</c:v>
                </c:pt>
                <c:pt idx="2077">
                  <c:v>-1.0999999999999999E-2</c:v>
                </c:pt>
                <c:pt idx="2078">
                  <c:v>-8.0000000000000002E-3</c:v>
                </c:pt>
                <c:pt idx="2079">
                  <c:v>-2.1000000000000001E-2</c:v>
                </c:pt>
                <c:pt idx="2080">
                  <c:v>-4.1000000000000002E-2</c:v>
                </c:pt>
                <c:pt idx="2081">
                  <c:v>-6.3E-2</c:v>
                </c:pt>
                <c:pt idx="2082">
                  <c:v>-6.3E-2</c:v>
                </c:pt>
                <c:pt idx="2083">
                  <c:v>-7.5999999999999998E-2</c:v>
                </c:pt>
                <c:pt idx="2084">
                  <c:v>-7.0000000000000007E-2</c:v>
                </c:pt>
                <c:pt idx="2085">
                  <c:v>-1.9E-2</c:v>
                </c:pt>
                <c:pt idx="2086">
                  <c:v>-1.9E-2</c:v>
                </c:pt>
                <c:pt idx="2087">
                  <c:v>-1.9E-2</c:v>
                </c:pt>
                <c:pt idx="2088">
                  <c:v>-0.02</c:v>
                </c:pt>
                <c:pt idx="2089">
                  <c:v>-1.4999999999999999E-2</c:v>
                </c:pt>
                <c:pt idx="2090">
                  <c:v>-7.0000000000000001E-3</c:v>
                </c:pt>
                <c:pt idx="2091">
                  <c:v>-7.0000000000000001E-3</c:v>
                </c:pt>
                <c:pt idx="2092">
                  <c:v>-7.0000000000000001E-3</c:v>
                </c:pt>
                <c:pt idx="2093">
                  <c:v>8.0000000000000002E-3</c:v>
                </c:pt>
                <c:pt idx="2094">
                  <c:v>8.0000000000000002E-3</c:v>
                </c:pt>
                <c:pt idx="2095">
                  <c:v>2E-3</c:v>
                </c:pt>
                <c:pt idx="2096">
                  <c:v>7.0000000000000001E-3</c:v>
                </c:pt>
                <c:pt idx="2097">
                  <c:v>1.9E-2</c:v>
                </c:pt>
                <c:pt idx="2098">
                  <c:v>-3.0000000000000001E-3</c:v>
                </c:pt>
                <c:pt idx="2099">
                  <c:v>1.2E-2</c:v>
                </c:pt>
                <c:pt idx="2100">
                  <c:v>3.2000000000000001E-2</c:v>
                </c:pt>
                <c:pt idx="2101">
                  <c:v>1.2999999999999999E-2</c:v>
                </c:pt>
                <c:pt idx="2102">
                  <c:v>1.4999999999999999E-2</c:v>
                </c:pt>
                <c:pt idx="2103">
                  <c:v>-0.217</c:v>
                </c:pt>
                <c:pt idx="2104">
                  <c:v>-0.21</c:v>
                </c:pt>
                <c:pt idx="2105">
                  <c:v>7.0000000000000001E-3</c:v>
                </c:pt>
                <c:pt idx="2106">
                  <c:v>5.3999999999999999E-2</c:v>
                </c:pt>
                <c:pt idx="2107">
                  <c:v>-0.154</c:v>
                </c:pt>
                <c:pt idx="2108">
                  <c:v>-7.0000000000000007E-2</c:v>
                </c:pt>
                <c:pt idx="2109">
                  <c:v>-7.5999999999999998E-2</c:v>
                </c:pt>
                <c:pt idx="2110">
                  <c:v>-7.0000000000000001E-3</c:v>
                </c:pt>
                <c:pt idx="2111">
                  <c:v>-7.0000000000000001E-3</c:v>
                </c:pt>
                <c:pt idx="2112">
                  <c:v>-7.0000000000000001E-3</c:v>
                </c:pt>
                <c:pt idx="2113">
                  <c:v>8.9999999999999993E-3</c:v>
                </c:pt>
                <c:pt idx="2114">
                  <c:v>-6.5000000000000002E-2</c:v>
                </c:pt>
                <c:pt idx="2115">
                  <c:v>-2.1999999999999999E-2</c:v>
                </c:pt>
                <c:pt idx="2116">
                  <c:v>-8.0000000000000002E-3</c:v>
                </c:pt>
                <c:pt idx="2117">
                  <c:v>-1.2E-2</c:v>
                </c:pt>
                <c:pt idx="2118">
                  <c:v>-8.0000000000000002E-3</c:v>
                </c:pt>
                <c:pt idx="2119">
                  <c:v>-2E-3</c:v>
                </c:pt>
                <c:pt idx="2120">
                  <c:v>-2E-3</c:v>
                </c:pt>
                <c:pt idx="2121">
                  <c:v>1E-3</c:v>
                </c:pt>
                <c:pt idx="2122">
                  <c:v>6.0000000000000001E-3</c:v>
                </c:pt>
                <c:pt idx="2123">
                  <c:v>-2E-3</c:v>
                </c:pt>
                <c:pt idx="2124">
                  <c:v>7.0000000000000001E-3</c:v>
                </c:pt>
                <c:pt idx="2125">
                  <c:v>2.5000000000000001E-2</c:v>
                </c:pt>
                <c:pt idx="2126">
                  <c:v>2.5000000000000001E-2</c:v>
                </c:pt>
                <c:pt idx="2127">
                  <c:v>0</c:v>
                </c:pt>
                <c:pt idx="2128">
                  <c:v>-6.0000000000000001E-3</c:v>
                </c:pt>
                <c:pt idx="2129">
                  <c:v>-0.121</c:v>
                </c:pt>
                <c:pt idx="2130">
                  <c:v>-3.5000000000000003E-2</c:v>
                </c:pt>
                <c:pt idx="2131">
                  <c:v>-2.7E-2</c:v>
                </c:pt>
                <c:pt idx="2132">
                  <c:v>-2.8000000000000001E-2</c:v>
                </c:pt>
                <c:pt idx="2133">
                  <c:v>-0.193</c:v>
                </c:pt>
                <c:pt idx="2134">
                  <c:v>-0.188</c:v>
                </c:pt>
                <c:pt idx="2135">
                  <c:v>-0.18099999999999999</c:v>
                </c:pt>
                <c:pt idx="2136">
                  <c:v>-0.14899999999999999</c:v>
                </c:pt>
                <c:pt idx="2137">
                  <c:v>-0.36</c:v>
                </c:pt>
                <c:pt idx="2138">
                  <c:v>-0.11899999999999999</c:v>
                </c:pt>
                <c:pt idx="2139">
                  <c:v>-9.8000000000000004E-2</c:v>
                </c:pt>
                <c:pt idx="2140">
                  <c:v>-0.14299999999999999</c:v>
                </c:pt>
                <c:pt idx="2141">
                  <c:v>-0.13600000000000001</c:v>
                </c:pt>
                <c:pt idx="2142">
                  <c:v>-8.1000000000000003E-2</c:v>
                </c:pt>
                <c:pt idx="2143">
                  <c:v>-0.19700000000000001</c:v>
                </c:pt>
                <c:pt idx="2144">
                  <c:v>-0.216</c:v>
                </c:pt>
                <c:pt idx="2145">
                  <c:v>-0.20899999999999999</c:v>
                </c:pt>
                <c:pt idx="2146">
                  <c:v>-0.247</c:v>
                </c:pt>
                <c:pt idx="2147">
                  <c:v>-0.22500000000000001</c:v>
                </c:pt>
                <c:pt idx="2148">
                  <c:v>-0.17199999999999999</c:v>
                </c:pt>
                <c:pt idx="2149">
                  <c:v>-0.21</c:v>
                </c:pt>
                <c:pt idx="2150">
                  <c:v>-0.17</c:v>
                </c:pt>
                <c:pt idx="2151">
                  <c:v>-0.16600000000000001</c:v>
                </c:pt>
                <c:pt idx="2152">
                  <c:v>-0.192</c:v>
                </c:pt>
                <c:pt idx="2153">
                  <c:v>-0.16600000000000001</c:v>
                </c:pt>
                <c:pt idx="2154">
                  <c:v>-0.159</c:v>
                </c:pt>
                <c:pt idx="2155">
                  <c:v>-0.217</c:v>
                </c:pt>
                <c:pt idx="2156">
                  <c:v>-0.14499999999999999</c:v>
                </c:pt>
                <c:pt idx="2157">
                  <c:v>-0.126</c:v>
                </c:pt>
                <c:pt idx="2158">
                  <c:v>-0.122</c:v>
                </c:pt>
                <c:pt idx="2159">
                  <c:v>-0.14799999999999999</c:v>
                </c:pt>
                <c:pt idx="2160">
                  <c:v>-0.14699999999999999</c:v>
                </c:pt>
                <c:pt idx="2161">
                  <c:v>-9.8000000000000004E-2</c:v>
                </c:pt>
                <c:pt idx="2162">
                  <c:v>-0.08</c:v>
                </c:pt>
                <c:pt idx="2163">
                  <c:v>-0.09</c:v>
                </c:pt>
                <c:pt idx="2164">
                  <c:v>-9.6000000000000002E-2</c:v>
                </c:pt>
                <c:pt idx="2165">
                  <c:v>-8.8999999999999996E-2</c:v>
                </c:pt>
                <c:pt idx="2166">
                  <c:v>-8.7999999999999995E-2</c:v>
                </c:pt>
                <c:pt idx="2167">
                  <c:v>-7.5999999999999998E-2</c:v>
                </c:pt>
                <c:pt idx="2168">
                  <c:v>-0.1</c:v>
                </c:pt>
                <c:pt idx="2169">
                  <c:v>-9.0999999999999998E-2</c:v>
                </c:pt>
                <c:pt idx="2170">
                  <c:v>-8.5999999999999993E-2</c:v>
                </c:pt>
                <c:pt idx="2171">
                  <c:v>-6.5000000000000002E-2</c:v>
                </c:pt>
                <c:pt idx="2172">
                  <c:v>-0.03</c:v>
                </c:pt>
                <c:pt idx="2173">
                  <c:v>-1E-3</c:v>
                </c:pt>
                <c:pt idx="2174">
                  <c:v>-4.3999999999999997E-2</c:v>
                </c:pt>
                <c:pt idx="2175">
                  <c:v>-2.4E-2</c:v>
                </c:pt>
                <c:pt idx="2176">
                  <c:v>-2.3E-2</c:v>
                </c:pt>
                <c:pt idx="2177">
                  <c:v>-0.02</c:v>
                </c:pt>
                <c:pt idx="2178">
                  <c:v>-2E-3</c:v>
                </c:pt>
                <c:pt idx="2179">
                  <c:v>-0.02</c:v>
                </c:pt>
                <c:pt idx="2180">
                  <c:v>1E-3</c:v>
                </c:pt>
                <c:pt idx="2181">
                  <c:v>-2.5000000000000001E-2</c:v>
                </c:pt>
                <c:pt idx="2182">
                  <c:v>-2.1000000000000001E-2</c:v>
                </c:pt>
                <c:pt idx="2183">
                  <c:v>-1.9E-2</c:v>
                </c:pt>
                <c:pt idx="2184">
                  <c:v>-1.7000000000000001E-2</c:v>
                </c:pt>
                <c:pt idx="2185">
                  <c:v>-1.6E-2</c:v>
                </c:pt>
                <c:pt idx="2186">
                  <c:v>-0.02</c:v>
                </c:pt>
                <c:pt idx="2187">
                  <c:v>-1.7999999999999999E-2</c:v>
                </c:pt>
                <c:pt idx="2188">
                  <c:v>-2.1000000000000001E-2</c:v>
                </c:pt>
                <c:pt idx="2189">
                  <c:v>3.0000000000000001E-3</c:v>
                </c:pt>
                <c:pt idx="2190">
                  <c:v>-4.2000000000000003E-2</c:v>
                </c:pt>
                <c:pt idx="2191">
                  <c:v>8.0000000000000002E-3</c:v>
                </c:pt>
                <c:pt idx="2192">
                  <c:v>0.01</c:v>
                </c:pt>
                <c:pt idx="2193">
                  <c:v>1.4999999999999999E-2</c:v>
                </c:pt>
                <c:pt idx="2194">
                  <c:v>0.02</c:v>
                </c:pt>
                <c:pt idx="2195">
                  <c:v>2.1999999999999999E-2</c:v>
                </c:pt>
                <c:pt idx="2196">
                  <c:v>2.4E-2</c:v>
                </c:pt>
                <c:pt idx="2197">
                  <c:v>2.5000000000000001E-2</c:v>
                </c:pt>
                <c:pt idx="2198">
                  <c:v>0.03</c:v>
                </c:pt>
                <c:pt idx="2199">
                  <c:v>3.2000000000000001E-2</c:v>
                </c:pt>
                <c:pt idx="2200">
                  <c:v>3.4000000000000002E-2</c:v>
                </c:pt>
                <c:pt idx="2201">
                  <c:v>3.2000000000000001E-2</c:v>
                </c:pt>
                <c:pt idx="2202">
                  <c:v>0.04</c:v>
                </c:pt>
                <c:pt idx="2203">
                  <c:v>2.7E-2</c:v>
                </c:pt>
                <c:pt idx="2204">
                  <c:v>2.7E-2</c:v>
                </c:pt>
                <c:pt idx="2205">
                  <c:v>2.8000000000000001E-2</c:v>
                </c:pt>
                <c:pt idx="2206">
                  <c:v>3.1E-2</c:v>
                </c:pt>
                <c:pt idx="2207">
                  <c:v>3.2000000000000001E-2</c:v>
                </c:pt>
                <c:pt idx="2208">
                  <c:v>7.0999999999999994E-2</c:v>
                </c:pt>
                <c:pt idx="2209">
                  <c:v>9.9000000000000005E-2</c:v>
                </c:pt>
                <c:pt idx="2210">
                  <c:v>0.11</c:v>
                </c:pt>
                <c:pt idx="2211">
                  <c:v>0.109</c:v>
                </c:pt>
                <c:pt idx="2212">
                  <c:v>0.11</c:v>
                </c:pt>
                <c:pt idx="2213">
                  <c:v>0.11600000000000001</c:v>
                </c:pt>
                <c:pt idx="2214">
                  <c:v>0.11899999999999999</c:v>
                </c:pt>
                <c:pt idx="2215">
                  <c:v>0.114</c:v>
                </c:pt>
                <c:pt idx="2216">
                  <c:v>0.11700000000000001</c:v>
                </c:pt>
                <c:pt idx="2217">
                  <c:v>0.121</c:v>
                </c:pt>
                <c:pt idx="2218">
                  <c:v>0.126</c:v>
                </c:pt>
                <c:pt idx="2219">
                  <c:v>5.0999999999999997E-2</c:v>
                </c:pt>
                <c:pt idx="2220">
                  <c:v>0.11</c:v>
                </c:pt>
                <c:pt idx="2221">
                  <c:v>0.107</c:v>
                </c:pt>
                <c:pt idx="2222">
                  <c:v>0.113</c:v>
                </c:pt>
                <c:pt idx="2223">
                  <c:v>0.11600000000000001</c:v>
                </c:pt>
                <c:pt idx="2224">
                  <c:v>0.11</c:v>
                </c:pt>
                <c:pt idx="2225">
                  <c:v>0.105</c:v>
                </c:pt>
                <c:pt idx="2226">
                  <c:v>0.11600000000000001</c:v>
                </c:pt>
                <c:pt idx="2227">
                  <c:v>0.127</c:v>
                </c:pt>
                <c:pt idx="2228">
                  <c:v>0.112</c:v>
                </c:pt>
                <c:pt idx="2229">
                  <c:v>0.124</c:v>
                </c:pt>
                <c:pt idx="2230">
                  <c:v>6.5000000000000002E-2</c:v>
                </c:pt>
                <c:pt idx="2231">
                  <c:v>8.1000000000000003E-2</c:v>
                </c:pt>
                <c:pt idx="2232">
                  <c:v>0.1</c:v>
                </c:pt>
                <c:pt idx="2233">
                  <c:v>0.11700000000000001</c:v>
                </c:pt>
                <c:pt idx="2234">
                  <c:v>9.8000000000000004E-2</c:v>
                </c:pt>
                <c:pt idx="2235">
                  <c:v>9.7000000000000003E-2</c:v>
                </c:pt>
                <c:pt idx="2236">
                  <c:v>8.6999999999999994E-2</c:v>
                </c:pt>
                <c:pt idx="2237">
                  <c:v>9.0999999999999998E-2</c:v>
                </c:pt>
                <c:pt idx="2238">
                  <c:v>7.5999999999999998E-2</c:v>
                </c:pt>
                <c:pt idx="2239">
                  <c:v>0.05</c:v>
                </c:pt>
                <c:pt idx="2240">
                  <c:v>3.5999999999999997E-2</c:v>
                </c:pt>
                <c:pt idx="2241">
                  <c:v>4.9000000000000002E-2</c:v>
                </c:pt>
                <c:pt idx="2242">
                  <c:v>6.4000000000000001E-2</c:v>
                </c:pt>
                <c:pt idx="2243">
                  <c:v>4.9000000000000002E-2</c:v>
                </c:pt>
                <c:pt idx="2244">
                  <c:v>1.6E-2</c:v>
                </c:pt>
                <c:pt idx="2245">
                  <c:v>5.3999999999999999E-2</c:v>
                </c:pt>
                <c:pt idx="2246">
                  <c:v>4.7E-2</c:v>
                </c:pt>
                <c:pt idx="2247">
                  <c:v>4.9000000000000002E-2</c:v>
                </c:pt>
                <c:pt idx="2248">
                  <c:v>0.05</c:v>
                </c:pt>
                <c:pt idx="2249">
                  <c:v>5.7000000000000002E-2</c:v>
                </c:pt>
                <c:pt idx="2250">
                  <c:v>6.2E-2</c:v>
                </c:pt>
                <c:pt idx="2251">
                  <c:v>2.4E-2</c:v>
                </c:pt>
                <c:pt idx="2252">
                  <c:v>7.0999999999999994E-2</c:v>
                </c:pt>
                <c:pt idx="2253">
                  <c:v>5.8999999999999997E-2</c:v>
                </c:pt>
                <c:pt idx="2254">
                  <c:v>5.1999999999999998E-2</c:v>
                </c:pt>
                <c:pt idx="2255">
                  <c:v>3.7999999999999999E-2</c:v>
                </c:pt>
                <c:pt idx="2256">
                  <c:v>0.05</c:v>
                </c:pt>
                <c:pt idx="2257">
                  <c:v>4.3999999999999997E-2</c:v>
                </c:pt>
                <c:pt idx="2258">
                  <c:v>3.7999999999999999E-2</c:v>
                </c:pt>
                <c:pt idx="2259">
                  <c:v>3.7999999999999999E-2</c:v>
                </c:pt>
                <c:pt idx="2260">
                  <c:v>-2.9000000000000001E-2</c:v>
                </c:pt>
                <c:pt idx="2261">
                  <c:v>6.7000000000000004E-2</c:v>
                </c:pt>
                <c:pt idx="2262">
                  <c:v>4.2000000000000003E-2</c:v>
                </c:pt>
                <c:pt idx="2263">
                  <c:v>-1E-3</c:v>
                </c:pt>
                <c:pt idx="2264">
                  <c:v>7.0000000000000001E-3</c:v>
                </c:pt>
                <c:pt idx="2265">
                  <c:v>1.0999999999999999E-2</c:v>
                </c:pt>
                <c:pt idx="2266">
                  <c:v>0</c:v>
                </c:pt>
                <c:pt idx="2267">
                  <c:v>2.1999999999999999E-2</c:v>
                </c:pt>
                <c:pt idx="2268">
                  <c:v>1.4E-2</c:v>
                </c:pt>
                <c:pt idx="2269">
                  <c:v>1.6E-2</c:v>
                </c:pt>
                <c:pt idx="2270">
                  <c:v>-1.2E-2</c:v>
                </c:pt>
                <c:pt idx="2271">
                  <c:v>0</c:v>
                </c:pt>
                <c:pt idx="2272">
                  <c:v>-5.0000000000000001E-3</c:v>
                </c:pt>
                <c:pt idx="2273">
                  <c:v>-4.0000000000000001E-3</c:v>
                </c:pt>
                <c:pt idx="2274">
                  <c:v>3.0000000000000001E-3</c:v>
                </c:pt>
                <c:pt idx="2275">
                  <c:v>0</c:v>
                </c:pt>
                <c:pt idx="2276">
                  <c:v>6.0000000000000001E-3</c:v>
                </c:pt>
                <c:pt idx="2277">
                  <c:v>-2E-3</c:v>
                </c:pt>
                <c:pt idx="2278">
                  <c:v>2.1999999999999999E-2</c:v>
                </c:pt>
                <c:pt idx="2279">
                  <c:v>2.5999999999999999E-2</c:v>
                </c:pt>
                <c:pt idx="2280">
                  <c:v>2.5999999999999999E-2</c:v>
                </c:pt>
                <c:pt idx="2281">
                  <c:v>2.5999999999999999E-2</c:v>
                </c:pt>
                <c:pt idx="2282">
                  <c:v>1.4999999999999999E-2</c:v>
                </c:pt>
                <c:pt idx="2283">
                  <c:v>2.1000000000000001E-2</c:v>
                </c:pt>
                <c:pt idx="2284">
                  <c:v>2.5000000000000001E-2</c:v>
                </c:pt>
                <c:pt idx="2285">
                  <c:v>2.5999999999999999E-2</c:v>
                </c:pt>
                <c:pt idx="2286">
                  <c:v>1.4E-2</c:v>
                </c:pt>
                <c:pt idx="2287">
                  <c:v>4.5999999999999999E-2</c:v>
                </c:pt>
                <c:pt idx="2288">
                  <c:v>5.7000000000000002E-2</c:v>
                </c:pt>
                <c:pt idx="2289">
                  <c:v>3.7999999999999999E-2</c:v>
                </c:pt>
                <c:pt idx="2290">
                  <c:v>4.2000000000000003E-2</c:v>
                </c:pt>
                <c:pt idx="2291">
                  <c:v>-3.6999999999999998E-2</c:v>
                </c:pt>
                <c:pt idx="2292">
                  <c:v>0</c:v>
                </c:pt>
                <c:pt idx="2293">
                  <c:v>4.5999999999999999E-2</c:v>
                </c:pt>
                <c:pt idx="2294">
                  <c:v>3.7999999999999999E-2</c:v>
                </c:pt>
                <c:pt idx="2295">
                  <c:v>1.4E-2</c:v>
                </c:pt>
                <c:pt idx="2296">
                  <c:v>1.4999999999999999E-2</c:v>
                </c:pt>
                <c:pt idx="2297">
                  <c:v>2.3E-2</c:v>
                </c:pt>
                <c:pt idx="2298">
                  <c:v>2.8000000000000001E-2</c:v>
                </c:pt>
                <c:pt idx="2299">
                  <c:v>4.4999999999999998E-2</c:v>
                </c:pt>
                <c:pt idx="2300">
                  <c:v>2.1999999999999999E-2</c:v>
                </c:pt>
                <c:pt idx="2301">
                  <c:v>4.4999999999999998E-2</c:v>
                </c:pt>
                <c:pt idx="2302">
                  <c:v>7.3999999999999996E-2</c:v>
                </c:pt>
                <c:pt idx="2303">
                  <c:v>0.05</c:v>
                </c:pt>
                <c:pt idx="2304">
                  <c:v>4.9000000000000002E-2</c:v>
                </c:pt>
                <c:pt idx="2305">
                  <c:v>4.7E-2</c:v>
                </c:pt>
                <c:pt idx="2306">
                  <c:v>3.9E-2</c:v>
                </c:pt>
                <c:pt idx="2307">
                  <c:v>0.04</c:v>
                </c:pt>
                <c:pt idx="2308">
                  <c:v>5.2999999999999999E-2</c:v>
                </c:pt>
                <c:pt idx="2309">
                  <c:v>2.7E-2</c:v>
                </c:pt>
                <c:pt idx="2310">
                  <c:v>2.1000000000000001E-2</c:v>
                </c:pt>
                <c:pt idx="2311">
                  <c:v>6.0999999999999999E-2</c:v>
                </c:pt>
                <c:pt idx="2312">
                  <c:v>5.6000000000000001E-2</c:v>
                </c:pt>
                <c:pt idx="2313">
                  <c:v>6.7000000000000004E-2</c:v>
                </c:pt>
                <c:pt idx="2314">
                  <c:v>4.9000000000000002E-2</c:v>
                </c:pt>
                <c:pt idx="2315">
                  <c:v>4.4999999999999998E-2</c:v>
                </c:pt>
                <c:pt idx="2316">
                  <c:v>3.7999999999999999E-2</c:v>
                </c:pt>
                <c:pt idx="2317">
                  <c:v>7.6999999999999999E-2</c:v>
                </c:pt>
                <c:pt idx="2318">
                  <c:v>8.5000000000000006E-2</c:v>
                </c:pt>
                <c:pt idx="2319">
                  <c:v>4.2999999999999997E-2</c:v>
                </c:pt>
                <c:pt idx="2320">
                  <c:v>3.6999999999999998E-2</c:v>
                </c:pt>
                <c:pt idx="2321">
                  <c:v>4.2999999999999997E-2</c:v>
                </c:pt>
                <c:pt idx="2322">
                  <c:v>5.2999999999999999E-2</c:v>
                </c:pt>
                <c:pt idx="2323">
                  <c:v>1.4999999999999999E-2</c:v>
                </c:pt>
                <c:pt idx="2324">
                  <c:v>3.5999999999999997E-2</c:v>
                </c:pt>
                <c:pt idx="2325">
                  <c:v>1.4E-2</c:v>
                </c:pt>
                <c:pt idx="2326">
                  <c:v>1.7999999999999999E-2</c:v>
                </c:pt>
                <c:pt idx="2327">
                  <c:v>-4.7E-2</c:v>
                </c:pt>
                <c:pt idx="2328">
                  <c:v>0.04</c:v>
                </c:pt>
                <c:pt idx="2329">
                  <c:v>4.3999999999999997E-2</c:v>
                </c:pt>
                <c:pt idx="2330">
                  <c:v>2.8000000000000001E-2</c:v>
                </c:pt>
                <c:pt idx="2331">
                  <c:v>1.7000000000000001E-2</c:v>
                </c:pt>
                <c:pt idx="2332">
                  <c:v>0.02</c:v>
                </c:pt>
                <c:pt idx="2333">
                  <c:v>3.6999999999999998E-2</c:v>
                </c:pt>
                <c:pt idx="2334">
                  <c:v>4.2999999999999997E-2</c:v>
                </c:pt>
                <c:pt idx="2335">
                  <c:v>4.9000000000000002E-2</c:v>
                </c:pt>
                <c:pt idx="2336">
                  <c:v>6.4000000000000001E-2</c:v>
                </c:pt>
                <c:pt idx="2337">
                  <c:v>8.2000000000000003E-2</c:v>
                </c:pt>
                <c:pt idx="2338">
                  <c:v>0.125</c:v>
                </c:pt>
                <c:pt idx="2339">
                  <c:v>0.124</c:v>
                </c:pt>
                <c:pt idx="2340">
                  <c:v>5.7000000000000002E-2</c:v>
                </c:pt>
                <c:pt idx="2341">
                  <c:v>0.127</c:v>
                </c:pt>
                <c:pt idx="2342">
                  <c:v>3.5999999999999997E-2</c:v>
                </c:pt>
                <c:pt idx="2343">
                  <c:v>0.11799999999999999</c:v>
                </c:pt>
                <c:pt idx="2344">
                  <c:v>9.6000000000000002E-2</c:v>
                </c:pt>
                <c:pt idx="2345">
                  <c:v>5.8999999999999997E-2</c:v>
                </c:pt>
                <c:pt idx="2346">
                  <c:v>6.7000000000000004E-2</c:v>
                </c:pt>
                <c:pt idx="2347">
                  <c:v>6.7000000000000004E-2</c:v>
                </c:pt>
                <c:pt idx="2348">
                  <c:v>0.13500000000000001</c:v>
                </c:pt>
                <c:pt idx="2349">
                  <c:v>0.13600000000000001</c:v>
                </c:pt>
                <c:pt idx="2350">
                  <c:v>0.114</c:v>
                </c:pt>
                <c:pt idx="2351">
                  <c:v>0.114</c:v>
                </c:pt>
                <c:pt idx="2352">
                  <c:v>0.114</c:v>
                </c:pt>
                <c:pt idx="2353">
                  <c:v>8.1000000000000003E-2</c:v>
                </c:pt>
                <c:pt idx="2354">
                  <c:v>0.11700000000000001</c:v>
                </c:pt>
                <c:pt idx="2355">
                  <c:v>0.12</c:v>
                </c:pt>
                <c:pt idx="2356">
                  <c:v>0.11</c:v>
                </c:pt>
                <c:pt idx="2357">
                  <c:v>0.112</c:v>
                </c:pt>
                <c:pt idx="2358">
                  <c:v>0.12</c:v>
                </c:pt>
                <c:pt idx="2359">
                  <c:v>0.111</c:v>
                </c:pt>
                <c:pt idx="2360">
                  <c:v>0.114</c:v>
                </c:pt>
                <c:pt idx="2361">
                  <c:v>0.13</c:v>
                </c:pt>
                <c:pt idx="2362">
                  <c:v>0.14399999999999999</c:v>
                </c:pt>
                <c:pt idx="2363">
                  <c:v>0.155</c:v>
                </c:pt>
                <c:pt idx="2364">
                  <c:v>0.155</c:v>
                </c:pt>
                <c:pt idx="2365">
                  <c:v>0.17599999999999999</c:v>
                </c:pt>
                <c:pt idx="2366">
                  <c:v>0.14899999999999999</c:v>
                </c:pt>
                <c:pt idx="2367">
                  <c:v>0.14499999999999999</c:v>
                </c:pt>
                <c:pt idx="2368">
                  <c:v>0.15</c:v>
                </c:pt>
                <c:pt idx="2369">
                  <c:v>0.15</c:v>
                </c:pt>
                <c:pt idx="2370">
                  <c:v>0.13400000000000001</c:v>
                </c:pt>
                <c:pt idx="2371">
                  <c:v>0.14799999999999999</c:v>
                </c:pt>
                <c:pt idx="2372">
                  <c:v>0.15</c:v>
                </c:pt>
                <c:pt idx="2373">
                  <c:v>0.15</c:v>
                </c:pt>
                <c:pt idx="2374">
                  <c:v>0.14699999999999999</c:v>
                </c:pt>
                <c:pt idx="2375">
                  <c:v>0.14799999999999999</c:v>
                </c:pt>
                <c:pt idx="2376">
                  <c:v>0.16300000000000001</c:v>
                </c:pt>
                <c:pt idx="2377">
                  <c:v>0.17199999999999999</c:v>
                </c:pt>
                <c:pt idx="2378">
                  <c:v>0.156</c:v>
                </c:pt>
                <c:pt idx="2379">
                  <c:v>0.158</c:v>
                </c:pt>
                <c:pt idx="2380">
                  <c:v>0.14399999999999999</c:v>
                </c:pt>
                <c:pt idx="2381">
                  <c:v>0.155</c:v>
                </c:pt>
                <c:pt idx="2382">
                  <c:v>0.13800000000000001</c:v>
                </c:pt>
                <c:pt idx="2383">
                  <c:v>0.16300000000000001</c:v>
                </c:pt>
                <c:pt idx="2384">
                  <c:v>0.14399999999999999</c:v>
                </c:pt>
                <c:pt idx="2385">
                  <c:v>6.3E-2</c:v>
                </c:pt>
                <c:pt idx="2386">
                  <c:v>0.154</c:v>
                </c:pt>
                <c:pt idx="2387">
                  <c:v>0.154</c:v>
                </c:pt>
                <c:pt idx="2388">
                  <c:v>0.111</c:v>
                </c:pt>
                <c:pt idx="2389">
                  <c:v>0.13200000000000001</c:v>
                </c:pt>
                <c:pt idx="2390">
                  <c:v>0.13500000000000001</c:v>
                </c:pt>
                <c:pt idx="2391">
                  <c:v>0.13500000000000001</c:v>
                </c:pt>
                <c:pt idx="2392">
                  <c:v>9.8000000000000004E-2</c:v>
                </c:pt>
                <c:pt idx="2393">
                  <c:v>9.8000000000000004E-2</c:v>
                </c:pt>
                <c:pt idx="2394">
                  <c:v>9.5000000000000001E-2</c:v>
                </c:pt>
                <c:pt idx="2395">
                  <c:v>9.9000000000000005E-2</c:v>
                </c:pt>
                <c:pt idx="2396">
                  <c:v>9.8000000000000004E-2</c:v>
                </c:pt>
                <c:pt idx="2397">
                  <c:v>0.10199999999999999</c:v>
                </c:pt>
                <c:pt idx="2398">
                  <c:v>9.8000000000000004E-2</c:v>
                </c:pt>
                <c:pt idx="2399">
                  <c:v>8.1000000000000003E-2</c:v>
                </c:pt>
                <c:pt idx="2400">
                  <c:v>8.1000000000000003E-2</c:v>
                </c:pt>
                <c:pt idx="2401">
                  <c:v>8.6999999999999994E-2</c:v>
                </c:pt>
                <c:pt idx="2402">
                  <c:v>9.0999999999999998E-2</c:v>
                </c:pt>
                <c:pt idx="2403">
                  <c:v>9.0999999999999998E-2</c:v>
                </c:pt>
                <c:pt idx="2404">
                  <c:v>9.4E-2</c:v>
                </c:pt>
                <c:pt idx="2405">
                  <c:v>8.7999999999999995E-2</c:v>
                </c:pt>
                <c:pt idx="2406">
                  <c:v>6.5000000000000002E-2</c:v>
                </c:pt>
                <c:pt idx="2407">
                  <c:v>7.3999999999999996E-2</c:v>
                </c:pt>
                <c:pt idx="2408">
                  <c:v>7.3999999999999996E-2</c:v>
                </c:pt>
                <c:pt idx="2409">
                  <c:v>7.0000000000000007E-2</c:v>
                </c:pt>
                <c:pt idx="2410">
                  <c:v>9.4E-2</c:v>
                </c:pt>
                <c:pt idx="2411">
                  <c:v>7.8E-2</c:v>
                </c:pt>
                <c:pt idx="2412">
                  <c:v>8.5999999999999993E-2</c:v>
                </c:pt>
                <c:pt idx="2413">
                  <c:v>8.7999999999999995E-2</c:v>
                </c:pt>
                <c:pt idx="2414">
                  <c:v>9.0999999999999998E-2</c:v>
                </c:pt>
                <c:pt idx="2415">
                  <c:v>8.2000000000000003E-2</c:v>
                </c:pt>
                <c:pt idx="2416">
                  <c:v>8.6999999999999994E-2</c:v>
                </c:pt>
                <c:pt idx="2417">
                  <c:v>3.4000000000000002E-2</c:v>
                </c:pt>
                <c:pt idx="2418">
                  <c:v>9.1999999999999998E-2</c:v>
                </c:pt>
                <c:pt idx="2419">
                  <c:v>6.4000000000000001E-2</c:v>
                </c:pt>
                <c:pt idx="2420">
                  <c:v>6.0999999999999999E-2</c:v>
                </c:pt>
                <c:pt idx="2421">
                  <c:v>0.104</c:v>
                </c:pt>
                <c:pt idx="2422">
                  <c:v>9.7000000000000003E-2</c:v>
                </c:pt>
                <c:pt idx="2423">
                  <c:v>9.1999999999999998E-2</c:v>
                </c:pt>
                <c:pt idx="2424">
                  <c:v>8.7999999999999995E-2</c:v>
                </c:pt>
                <c:pt idx="2425">
                  <c:v>4.8000000000000001E-2</c:v>
                </c:pt>
                <c:pt idx="2426">
                  <c:v>4.1000000000000002E-2</c:v>
                </c:pt>
                <c:pt idx="2427">
                  <c:v>7.4999999999999997E-2</c:v>
                </c:pt>
                <c:pt idx="2428">
                  <c:v>7.6999999999999999E-2</c:v>
                </c:pt>
                <c:pt idx="2429">
                  <c:v>8.7999999999999995E-2</c:v>
                </c:pt>
                <c:pt idx="2430">
                  <c:v>0.13100000000000001</c:v>
                </c:pt>
                <c:pt idx="2431">
                  <c:v>0.185</c:v>
                </c:pt>
                <c:pt idx="2432">
                  <c:v>0.19400000000000001</c:v>
                </c:pt>
                <c:pt idx="2433">
                  <c:v>0.109</c:v>
                </c:pt>
                <c:pt idx="2434">
                  <c:v>0.193</c:v>
                </c:pt>
                <c:pt idx="2435">
                  <c:v>0.19900000000000001</c:v>
                </c:pt>
                <c:pt idx="2436">
                  <c:v>0.20599999999999999</c:v>
                </c:pt>
                <c:pt idx="2437">
                  <c:v>0.20699999999999999</c:v>
                </c:pt>
                <c:pt idx="2438">
                  <c:v>0.21299999999999999</c:v>
                </c:pt>
                <c:pt idx="2439">
                  <c:v>0.21199999999999999</c:v>
                </c:pt>
                <c:pt idx="2440">
                  <c:v>0.23400000000000001</c:v>
                </c:pt>
                <c:pt idx="2441">
                  <c:v>0.23499999999999999</c:v>
                </c:pt>
                <c:pt idx="2442">
                  <c:v>0.23499999999999999</c:v>
                </c:pt>
                <c:pt idx="2443">
                  <c:v>0.245</c:v>
                </c:pt>
                <c:pt idx="2444">
                  <c:v>0.246</c:v>
                </c:pt>
                <c:pt idx="2445">
                  <c:v>0.23899999999999999</c:v>
                </c:pt>
                <c:pt idx="2446">
                  <c:v>0.253</c:v>
                </c:pt>
                <c:pt idx="2447">
                  <c:v>0.253</c:v>
                </c:pt>
                <c:pt idx="2448">
                  <c:v>0.254</c:v>
                </c:pt>
                <c:pt idx="2449">
                  <c:v>0.254</c:v>
                </c:pt>
                <c:pt idx="2450">
                  <c:v>0.23300000000000001</c:v>
                </c:pt>
                <c:pt idx="2451">
                  <c:v>0.25800000000000001</c:v>
                </c:pt>
                <c:pt idx="2452">
                  <c:v>0.23699999999999999</c:v>
                </c:pt>
                <c:pt idx="2453">
                  <c:v>0.26200000000000001</c:v>
                </c:pt>
                <c:pt idx="2454">
                  <c:v>0.249</c:v>
                </c:pt>
                <c:pt idx="2455">
                  <c:v>0.254</c:v>
                </c:pt>
                <c:pt idx="2456">
                  <c:v>0.24299999999999999</c:v>
                </c:pt>
                <c:pt idx="2457">
                  <c:v>0.21</c:v>
                </c:pt>
                <c:pt idx="2458">
                  <c:v>0.24299999999999999</c:v>
                </c:pt>
                <c:pt idx="2459">
                  <c:v>0.245</c:v>
                </c:pt>
                <c:pt idx="2460">
                  <c:v>0.248</c:v>
                </c:pt>
                <c:pt idx="2461">
                  <c:v>0.247</c:v>
                </c:pt>
                <c:pt idx="2462">
                  <c:v>0.25</c:v>
                </c:pt>
                <c:pt idx="2463">
                  <c:v>0.24399999999999999</c:v>
                </c:pt>
                <c:pt idx="2464">
                  <c:v>0.19800000000000001</c:v>
                </c:pt>
                <c:pt idx="2465">
                  <c:v>0.23400000000000001</c:v>
                </c:pt>
                <c:pt idx="2466">
                  <c:v>0.23</c:v>
                </c:pt>
                <c:pt idx="2467">
                  <c:v>0.20399999999999999</c:v>
                </c:pt>
                <c:pt idx="2468">
                  <c:v>0.25900000000000001</c:v>
                </c:pt>
                <c:pt idx="2469">
                  <c:v>0.25800000000000001</c:v>
                </c:pt>
                <c:pt idx="2470">
                  <c:v>0.25800000000000001</c:v>
                </c:pt>
                <c:pt idx="2471">
                  <c:v>0.254</c:v>
                </c:pt>
                <c:pt idx="2472">
                  <c:v>0.192</c:v>
                </c:pt>
                <c:pt idx="2473">
                  <c:v>0.248</c:v>
                </c:pt>
                <c:pt idx="2474">
                  <c:v>0.25600000000000001</c:v>
                </c:pt>
                <c:pt idx="2475">
                  <c:v>0.23100000000000001</c:v>
                </c:pt>
                <c:pt idx="2476">
                  <c:v>0.20499999999999999</c:v>
                </c:pt>
                <c:pt idx="2477">
                  <c:v>0.249</c:v>
                </c:pt>
                <c:pt idx="2478">
                  <c:v>0.254</c:v>
                </c:pt>
                <c:pt idx="2479">
                  <c:v>0.253</c:v>
                </c:pt>
                <c:pt idx="2480">
                  <c:v>0.247</c:v>
                </c:pt>
                <c:pt idx="2481">
                  <c:v>0.25800000000000001</c:v>
                </c:pt>
                <c:pt idx="2482">
                  <c:v>0.25800000000000001</c:v>
                </c:pt>
                <c:pt idx="2483">
                  <c:v>0.26400000000000001</c:v>
                </c:pt>
                <c:pt idx="2484">
                  <c:v>0.26600000000000001</c:v>
                </c:pt>
                <c:pt idx="2485">
                  <c:v>0.26100000000000001</c:v>
                </c:pt>
                <c:pt idx="2486">
                  <c:v>0.27600000000000002</c:v>
                </c:pt>
                <c:pt idx="2487">
                  <c:v>0.26400000000000001</c:v>
                </c:pt>
                <c:pt idx="2488">
                  <c:v>0.26500000000000001</c:v>
                </c:pt>
                <c:pt idx="2489">
                  <c:v>0.307</c:v>
                </c:pt>
                <c:pt idx="2490">
                  <c:v>0.28899999999999998</c:v>
                </c:pt>
                <c:pt idx="2491">
                  <c:v>0.30199999999999999</c:v>
                </c:pt>
                <c:pt idx="2492">
                  <c:v>0.32</c:v>
                </c:pt>
                <c:pt idx="2493">
                  <c:v>0.33100000000000002</c:v>
                </c:pt>
                <c:pt idx="2494">
                  <c:v>0.34499999999999997</c:v>
                </c:pt>
                <c:pt idx="2495">
                  <c:v>0.31900000000000001</c:v>
                </c:pt>
                <c:pt idx="2496">
                  <c:v>0.34100000000000003</c:v>
                </c:pt>
                <c:pt idx="2497">
                  <c:v>0.36099999999999999</c:v>
                </c:pt>
                <c:pt idx="2498">
                  <c:v>0.35899999999999999</c:v>
                </c:pt>
                <c:pt idx="2499">
                  <c:v>0.34100000000000003</c:v>
                </c:pt>
                <c:pt idx="2500">
                  <c:v>0.375</c:v>
                </c:pt>
                <c:pt idx="2501">
                  <c:v>0.40200000000000002</c:v>
                </c:pt>
                <c:pt idx="2502">
                  <c:v>0.34300000000000003</c:v>
                </c:pt>
                <c:pt idx="2503">
                  <c:v>0.40400000000000003</c:v>
                </c:pt>
                <c:pt idx="2504">
                  <c:v>0.30099999999999999</c:v>
                </c:pt>
                <c:pt idx="2505">
                  <c:v>0.40200000000000002</c:v>
                </c:pt>
                <c:pt idx="2506">
                  <c:v>0.39200000000000002</c:v>
                </c:pt>
                <c:pt idx="2507">
                  <c:v>0.38700000000000001</c:v>
                </c:pt>
                <c:pt idx="2508">
                  <c:v>0.30299999999999999</c:v>
                </c:pt>
                <c:pt idx="2509">
                  <c:v>0.33600000000000002</c:v>
                </c:pt>
                <c:pt idx="2510">
                  <c:v>0.36699999999999999</c:v>
                </c:pt>
                <c:pt idx="2511">
                  <c:v>0.371</c:v>
                </c:pt>
                <c:pt idx="2512">
                  <c:v>0.377</c:v>
                </c:pt>
                <c:pt idx="2513">
                  <c:v>0.41499999999999998</c:v>
                </c:pt>
                <c:pt idx="2514">
                  <c:v>0.41599999999999998</c:v>
                </c:pt>
                <c:pt idx="2515">
                  <c:v>0.41299999999999998</c:v>
                </c:pt>
                <c:pt idx="2516">
                  <c:v>0.38300000000000001</c:v>
                </c:pt>
                <c:pt idx="2517">
                  <c:v>0.41299999999999998</c:v>
                </c:pt>
                <c:pt idx="2518">
                  <c:v>0.38</c:v>
                </c:pt>
                <c:pt idx="2519">
                  <c:v>0.36599999999999999</c:v>
                </c:pt>
                <c:pt idx="2520">
                  <c:v>0.41299999999999998</c:v>
                </c:pt>
                <c:pt idx="2521">
                  <c:v>0.41299999999999998</c:v>
                </c:pt>
                <c:pt idx="2522">
                  <c:v>0.41299999999999998</c:v>
                </c:pt>
                <c:pt idx="2523">
                  <c:v>0.41399999999999998</c:v>
                </c:pt>
                <c:pt idx="2524">
                  <c:v>0.39300000000000002</c:v>
                </c:pt>
                <c:pt idx="2525">
                  <c:v>0.38900000000000001</c:v>
                </c:pt>
                <c:pt idx="2526">
                  <c:v>0.40300000000000002</c:v>
                </c:pt>
                <c:pt idx="2527">
                  <c:v>0.43</c:v>
                </c:pt>
                <c:pt idx="2528">
                  <c:v>0.39200000000000002</c:v>
                </c:pt>
                <c:pt idx="2529">
                  <c:v>0.33</c:v>
                </c:pt>
                <c:pt idx="2530">
                  <c:v>0.33</c:v>
                </c:pt>
                <c:pt idx="2531">
                  <c:v>0.33</c:v>
                </c:pt>
                <c:pt idx="2532">
                  <c:v>0.35899999999999999</c:v>
                </c:pt>
                <c:pt idx="2533">
                  <c:v>0.33900000000000002</c:v>
                </c:pt>
                <c:pt idx="2534">
                  <c:v>0.36099999999999999</c:v>
                </c:pt>
                <c:pt idx="2535">
                  <c:v>0.41699999999999998</c:v>
                </c:pt>
                <c:pt idx="2536">
                  <c:v>0.40100000000000002</c:v>
                </c:pt>
                <c:pt idx="2537">
                  <c:v>0.43099999999999999</c:v>
                </c:pt>
                <c:pt idx="2538">
                  <c:v>0.38800000000000001</c:v>
                </c:pt>
                <c:pt idx="2539">
                  <c:v>0.41</c:v>
                </c:pt>
                <c:pt idx="2540">
                  <c:v>0.42899999999999999</c:v>
                </c:pt>
                <c:pt idx="2541">
                  <c:v>0.43099999999999999</c:v>
                </c:pt>
                <c:pt idx="2542">
                  <c:v>0.42899999999999999</c:v>
                </c:pt>
                <c:pt idx="2543">
                  <c:v>0.57799999999999996</c:v>
                </c:pt>
                <c:pt idx="2544">
                  <c:v>0.57799999999999996</c:v>
                </c:pt>
                <c:pt idx="2545">
                  <c:v>0.57799999999999996</c:v>
                </c:pt>
                <c:pt idx="2546">
                  <c:v>0.57799999999999996</c:v>
                </c:pt>
                <c:pt idx="2547">
                  <c:v>0.57799999999999996</c:v>
                </c:pt>
                <c:pt idx="2548">
                  <c:v>0.57799999999999996</c:v>
                </c:pt>
                <c:pt idx="2549">
                  <c:v>0.57799999999999996</c:v>
                </c:pt>
                <c:pt idx="2550">
                  <c:v>0.57799999999999996</c:v>
                </c:pt>
                <c:pt idx="2551">
                  <c:v>0.57799999999999996</c:v>
                </c:pt>
                <c:pt idx="2552">
                  <c:v>0.57799999999999996</c:v>
                </c:pt>
                <c:pt idx="2553">
                  <c:v>0.57799999999999996</c:v>
                </c:pt>
                <c:pt idx="2554">
                  <c:v>0.57799999999999996</c:v>
                </c:pt>
                <c:pt idx="2555">
                  <c:v>0.57799999999999996</c:v>
                </c:pt>
                <c:pt idx="2556">
                  <c:v>0.57799999999999996</c:v>
                </c:pt>
                <c:pt idx="2557">
                  <c:v>0.57799999999999996</c:v>
                </c:pt>
                <c:pt idx="2558">
                  <c:v>0.57799999999999996</c:v>
                </c:pt>
                <c:pt idx="2559">
                  <c:v>0.57799999999999996</c:v>
                </c:pt>
                <c:pt idx="2560">
                  <c:v>0.57799999999999996</c:v>
                </c:pt>
                <c:pt idx="2561">
                  <c:v>0.57799999999999996</c:v>
                </c:pt>
                <c:pt idx="2562">
                  <c:v>0.57799999999999996</c:v>
                </c:pt>
                <c:pt idx="2563">
                  <c:v>0.57799999999999996</c:v>
                </c:pt>
                <c:pt idx="2564">
                  <c:v>0.57799999999999996</c:v>
                </c:pt>
                <c:pt idx="2565">
                  <c:v>0.57799999999999996</c:v>
                </c:pt>
                <c:pt idx="2566">
                  <c:v>0.57799999999999996</c:v>
                </c:pt>
                <c:pt idx="2567">
                  <c:v>0.57799999999999996</c:v>
                </c:pt>
                <c:pt idx="2568">
                  <c:v>0.57799999999999996</c:v>
                </c:pt>
                <c:pt idx="2569">
                  <c:v>0.57799999999999996</c:v>
                </c:pt>
                <c:pt idx="2570">
                  <c:v>0.57799999999999996</c:v>
                </c:pt>
                <c:pt idx="2571">
                  <c:v>0.57799999999999996</c:v>
                </c:pt>
                <c:pt idx="2572">
                  <c:v>0.57799999999999996</c:v>
                </c:pt>
                <c:pt idx="2573">
                  <c:v>0.57799999999999996</c:v>
                </c:pt>
                <c:pt idx="2574">
                  <c:v>0.57799999999999996</c:v>
                </c:pt>
                <c:pt idx="2575">
                  <c:v>0.57799999999999996</c:v>
                </c:pt>
                <c:pt idx="2576">
                  <c:v>0.57799999999999996</c:v>
                </c:pt>
                <c:pt idx="2577">
                  <c:v>0.57799999999999996</c:v>
                </c:pt>
                <c:pt idx="2578">
                  <c:v>0.57799999999999996</c:v>
                </c:pt>
                <c:pt idx="2579">
                  <c:v>0.57799999999999996</c:v>
                </c:pt>
                <c:pt idx="2580">
                  <c:v>0.57799999999999996</c:v>
                </c:pt>
                <c:pt idx="2581">
                  <c:v>0.57799999999999996</c:v>
                </c:pt>
                <c:pt idx="2582">
                  <c:v>0.57799999999999996</c:v>
                </c:pt>
                <c:pt idx="2583">
                  <c:v>0.57799999999999996</c:v>
                </c:pt>
                <c:pt idx="2584">
                  <c:v>0.57799999999999996</c:v>
                </c:pt>
                <c:pt idx="2585">
                  <c:v>0.57799999999999996</c:v>
                </c:pt>
                <c:pt idx="2586">
                  <c:v>0.57799999999999996</c:v>
                </c:pt>
                <c:pt idx="2587">
                  <c:v>0.57799999999999996</c:v>
                </c:pt>
                <c:pt idx="2588">
                  <c:v>0.57799999999999996</c:v>
                </c:pt>
                <c:pt idx="2589">
                  <c:v>0.57799999999999996</c:v>
                </c:pt>
                <c:pt idx="2590">
                  <c:v>0.57799999999999996</c:v>
                </c:pt>
                <c:pt idx="2591">
                  <c:v>0.57799999999999996</c:v>
                </c:pt>
                <c:pt idx="2592">
                  <c:v>0.57799999999999996</c:v>
                </c:pt>
                <c:pt idx="2593">
                  <c:v>0.57799999999999996</c:v>
                </c:pt>
                <c:pt idx="2594">
                  <c:v>0.57799999999999996</c:v>
                </c:pt>
                <c:pt idx="2595">
                  <c:v>0.57799999999999996</c:v>
                </c:pt>
                <c:pt idx="2596">
                  <c:v>0.57799999999999996</c:v>
                </c:pt>
                <c:pt idx="2597">
                  <c:v>0.57799999999999996</c:v>
                </c:pt>
                <c:pt idx="2598">
                  <c:v>0.57799999999999996</c:v>
                </c:pt>
                <c:pt idx="2599">
                  <c:v>0.57799999999999996</c:v>
                </c:pt>
                <c:pt idx="2600">
                  <c:v>0.57799999999999996</c:v>
                </c:pt>
                <c:pt idx="2601">
                  <c:v>0.57799999999999996</c:v>
                </c:pt>
                <c:pt idx="2602">
                  <c:v>0.57799999999999996</c:v>
                </c:pt>
                <c:pt idx="2603">
                  <c:v>0.57799999999999996</c:v>
                </c:pt>
                <c:pt idx="2604">
                  <c:v>0.57799999999999996</c:v>
                </c:pt>
                <c:pt idx="2605">
                  <c:v>0.57799999999999996</c:v>
                </c:pt>
                <c:pt idx="2606">
                  <c:v>0.57799999999999996</c:v>
                </c:pt>
                <c:pt idx="2607">
                  <c:v>0.57799999999999996</c:v>
                </c:pt>
                <c:pt idx="2608">
                  <c:v>0.57799999999999996</c:v>
                </c:pt>
                <c:pt idx="2609">
                  <c:v>0.57799999999999996</c:v>
                </c:pt>
                <c:pt idx="2610">
                  <c:v>0.57799999999999996</c:v>
                </c:pt>
                <c:pt idx="2611">
                  <c:v>0.57799999999999996</c:v>
                </c:pt>
                <c:pt idx="2612">
                  <c:v>0.57799999999999996</c:v>
                </c:pt>
                <c:pt idx="2613">
                  <c:v>0.57799999999999996</c:v>
                </c:pt>
                <c:pt idx="2614">
                  <c:v>0.57799999999999996</c:v>
                </c:pt>
                <c:pt idx="2615">
                  <c:v>0.57799999999999996</c:v>
                </c:pt>
                <c:pt idx="2616">
                  <c:v>0.57799999999999996</c:v>
                </c:pt>
                <c:pt idx="2617">
                  <c:v>0.57799999999999996</c:v>
                </c:pt>
                <c:pt idx="2618">
                  <c:v>0.57799999999999996</c:v>
                </c:pt>
                <c:pt idx="2619">
                  <c:v>0.57799999999999996</c:v>
                </c:pt>
                <c:pt idx="2620">
                  <c:v>0.57799999999999996</c:v>
                </c:pt>
                <c:pt idx="2621">
                  <c:v>0.57799999999999996</c:v>
                </c:pt>
                <c:pt idx="2622">
                  <c:v>0.57799999999999996</c:v>
                </c:pt>
                <c:pt idx="2623">
                  <c:v>0.57799999999999996</c:v>
                </c:pt>
                <c:pt idx="2624">
                  <c:v>0.57799999999999996</c:v>
                </c:pt>
                <c:pt idx="2625">
                  <c:v>0.57799999999999996</c:v>
                </c:pt>
                <c:pt idx="2626">
                  <c:v>0.57799999999999996</c:v>
                </c:pt>
                <c:pt idx="2627">
                  <c:v>0.57799999999999996</c:v>
                </c:pt>
                <c:pt idx="2628">
                  <c:v>0.57799999999999996</c:v>
                </c:pt>
                <c:pt idx="2629">
                  <c:v>0.57799999999999996</c:v>
                </c:pt>
                <c:pt idx="2630">
                  <c:v>0.57799999999999996</c:v>
                </c:pt>
                <c:pt idx="2631">
                  <c:v>0.57799999999999996</c:v>
                </c:pt>
                <c:pt idx="2632">
                  <c:v>0.57799999999999996</c:v>
                </c:pt>
                <c:pt idx="2633">
                  <c:v>0.57799999999999996</c:v>
                </c:pt>
                <c:pt idx="2634">
                  <c:v>0.57799999999999996</c:v>
                </c:pt>
                <c:pt idx="2635">
                  <c:v>0.57799999999999996</c:v>
                </c:pt>
                <c:pt idx="2636">
                  <c:v>0.57799999999999996</c:v>
                </c:pt>
                <c:pt idx="2637">
                  <c:v>0.57799999999999996</c:v>
                </c:pt>
                <c:pt idx="2638">
                  <c:v>0.57799999999999996</c:v>
                </c:pt>
                <c:pt idx="2639">
                  <c:v>0.57799999999999996</c:v>
                </c:pt>
                <c:pt idx="2640">
                  <c:v>0.57799999999999996</c:v>
                </c:pt>
                <c:pt idx="2641">
                  <c:v>0.57799999999999996</c:v>
                </c:pt>
                <c:pt idx="2642">
                  <c:v>0.57799999999999996</c:v>
                </c:pt>
                <c:pt idx="2643">
                  <c:v>0.57799999999999996</c:v>
                </c:pt>
                <c:pt idx="2644">
                  <c:v>0.57799999999999996</c:v>
                </c:pt>
                <c:pt idx="2645">
                  <c:v>0.57799999999999996</c:v>
                </c:pt>
                <c:pt idx="2646">
                  <c:v>0.57799999999999996</c:v>
                </c:pt>
                <c:pt idx="2647">
                  <c:v>0.57799999999999996</c:v>
                </c:pt>
                <c:pt idx="2648">
                  <c:v>0.57799999999999996</c:v>
                </c:pt>
                <c:pt idx="2649">
                  <c:v>0.57799999999999996</c:v>
                </c:pt>
                <c:pt idx="2650">
                  <c:v>0.57799999999999996</c:v>
                </c:pt>
                <c:pt idx="2651">
                  <c:v>0.57799999999999996</c:v>
                </c:pt>
                <c:pt idx="2652">
                  <c:v>0.57799999999999996</c:v>
                </c:pt>
                <c:pt idx="2653">
                  <c:v>0.57799999999999996</c:v>
                </c:pt>
                <c:pt idx="2654">
                  <c:v>0.57799999999999996</c:v>
                </c:pt>
                <c:pt idx="2655">
                  <c:v>0.57799999999999996</c:v>
                </c:pt>
                <c:pt idx="2656">
                  <c:v>0.57799999999999996</c:v>
                </c:pt>
                <c:pt idx="2657">
                  <c:v>0.57799999999999996</c:v>
                </c:pt>
                <c:pt idx="2658">
                  <c:v>0.57799999999999996</c:v>
                </c:pt>
                <c:pt idx="2659">
                  <c:v>0.57799999999999996</c:v>
                </c:pt>
                <c:pt idx="2660">
                  <c:v>0.57799999999999996</c:v>
                </c:pt>
                <c:pt idx="2661">
                  <c:v>0.57799999999999996</c:v>
                </c:pt>
                <c:pt idx="2662">
                  <c:v>0.57799999999999996</c:v>
                </c:pt>
                <c:pt idx="2663">
                  <c:v>0.57799999999999996</c:v>
                </c:pt>
                <c:pt idx="2664">
                  <c:v>0.57799999999999996</c:v>
                </c:pt>
                <c:pt idx="2665">
                  <c:v>0.57799999999999996</c:v>
                </c:pt>
                <c:pt idx="2666">
                  <c:v>0.57799999999999996</c:v>
                </c:pt>
                <c:pt idx="2667">
                  <c:v>0.57799999999999996</c:v>
                </c:pt>
                <c:pt idx="2668">
                  <c:v>0.57799999999999996</c:v>
                </c:pt>
                <c:pt idx="2669">
                  <c:v>0.57799999999999996</c:v>
                </c:pt>
                <c:pt idx="2670">
                  <c:v>0.57799999999999996</c:v>
                </c:pt>
                <c:pt idx="2671">
                  <c:v>0.57799999999999996</c:v>
                </c:pt>
                <c:pt idx="2672">
                  <c:v>0.57799999999999996</c:v>
                </c:pt>
                <c:pt idx="2673">
                  <c:v>0.57799999999999996</c:v>
                </c:pt>
                <c:pt idx="2674">
                  <c:v>0.57799999999999996</c:v>
                </c:pt>
                <c:pt idx="2675">
                  <c:v>0.57799999999999996</c:v>
                </c:pt>
                <c:pt idx="2676">
                  <c:v>0.57799999999999996</c:v>
                </c:pt>
                <c:pt idx="2677">
                  <c:v>0.57799999999999996</c:v>
                </c:pt>
                <c:pt idx="2678">
                  <c:v>0.57799999999999996</c:v>
                </c:pt>
                <c:pt idx="2679">
                  <c:v>0.57799999999999996</c:v>
                </c:pt>
                <c:pt idx="2680">
                  <c:v>0.57799999999999996</c:v>
                </c:pt>
                <c:pt idx="2681">
                  <c:v>0.57799999999999996</c:v>
                </c:pt>
                <c:pt idx="2682">
                  <c:v>0.57799999999999996</c:v>
                </c:pt>
                <c:pt idx="2683">
                  <c:v>0.57799999999999996</c:v>
                </c:pt>
                <c:pt idx="2684">
                  <c:v>0.57799999999999996</c:v>
                </c:pt>
                <c:pt idx="2685">
                  <c:v>0.57799999999999996</c:v>
                </c:pt>
                <c:pt idx="2686">
                  <c:v>0.57799999999999996</c:v>
                </c:pt>
                <c:pt idx="2687">
                  <c:v>0.57799999999999996</c:v>
                </c:pt>
                <c:pt idx="2688">
                  <c:v>0.57799999999999996</c:v>
                </c:pt>
                <c:pt idx="2689">
                  <c:v>0.57799999999999996</c:v>
                </c:pt>
                <c:pt idx="2690">
                  <c:v>0.57799999999999996</c:v>
                </c:pt>
                <c:pt idx="2691">
                  <c:v>0.57799999999999996</c:v>
                </c:pt>
                <c:pt idx="2692">
                  <c:v>0.57799999999999996</c:v>
                </c:pt>
                <c:pt idx="2693">
                  <c:v>0.57799999999999996</c:v>
                </c:pt>
                <c:pt idx="2694">
                  <c:v>0.57799999999999996</c:v>
                </c:pt>
                <c:pt idx="2695">
                  <c:v>0.57799999999999996</c:v>
                </c:pt>
                <c:pt idx="2696">
                  <c:v>0.57799999999999996</c:v>
                </c:pt>
                <c:pt idx="2697">
                  <c:v>0.57799999999999996</c:v>
                </c:pt>
                <c:pt idx="2698">
                  <c:v>0.57799999999999996</c:v>
                </c:pt>
                <c:pt idx="2699">
                  <c:v>0.57799999999999996</c:v>
                </c:pt>
                <c:pt idx="2700">
                  <c:v>0.57799999999999996</c:v>
                </c:pt>
                <c:pt idx="2701">
                  <c:v>0.57799999999999996</c:v>
                </c:pt>
                <c:pt idx="2702">
                  <c:v>0.57799999999999996</c:v>
                </c:pt>
                <c:pt idx="2703">
                  <c:v>0.57799999999999996</c:v>
                </c:pt>
                <c:pt idx="2704">
                  <c:v>0.57799999999999996</c:v>
                </c:pt>
                <c:pt idx="2705">
                  <c:v>0.57799999999999996</c:v>
                </c:pt>
                <c:pt idx="2706">
                  <c:v>0.57799999999999996</c:v>
                </c:pt>
                <c:pt idx="2707">
                  <c:v>0.57799999999999996</c:v>
                </c:pt>
                <c:pt idx="2708">
                  <c:v>0.57799999999999996</c:v>
                </c:pt>
                <c:pt idx="2709">
                  <c:v>0.57799999999999996</c:v>
                </c:pt>
                <c:pt idx="2710">
                  <c:v>0.57799999999999996</c:v>
                </c:pt>
                <c:pt idx="2711">
                  <c:v>0.57799999999999996</c:v>
                </c:pt>
                <c:pt idx="2712">
                  <c:v>0.57799999999999996</c:v>
                </c:pt>
                <c:pt idx="2713">
                  <c:v>0.57799999999999996</c:v>
                </c:pt>
                <c:pt idx="2714">
                  <c:v>0.57799999999999996</c:v>
                </c:pt>
                <c:pt idx="2715">
                  <c:v>0.57799999999999996</c:v>
                </c:pt>
                <c:pt idx="2716">
                  <c:v>0.57799999999999996</c:v>
                </c:pt>
                <c:pt idx="2717">
                  <c:v>0.57799999999999996</c:v>
                </c:pt>
                <c:pt idx="2718">
                  <c:v>0.57799999999999996</c:v>
                </c:pt>
                <c:pt idx="2719">
                  <c:v>0.57799999999999996</c:v>
                </c:pt>
                <c:pt idx="2720">
                  <c:v>0.57799999999999996</c:v>
                </c:pt>
                <c:pt idx="2721">
                  <c:v>0.57799999999999996</c:v>
                </c:pt>
                <c:pt idx="2722">
                  <c:v>0.57799999999999996</c:v>
                </c:pt>
                <c:pt idx="2723">
                  <c:v>0.57799999999999996</c:v>
                </c:pt>
                <c:pt idx="2724">
                  <c:v>0.57799999999999996</c:v>
                </c:pt>
                <c:pt idx="2725">
                  <c:v>0.57799999999999996</c:v>
                </c:pt>
                <c:pt idx="2726">
                  <c:v>0.57799999999999996</c:v>
                </c:pt>
                <c:pt idx="2727">
                  <c:v>0.57799999999999996</c:v>
                </c:pt>
                <c:pt idx="2728">
                  <c:v>0.57799999999999996</c:v>
                </c:pt>
                <c:pt idx="2729">
                  <c:v>0.57799999999999996</c:v>
                </c:pt>
                <c:pt idx="2730">
                  <c:v>0.57799999999999996</c:v>
                </c:pt>
                <c:pt idx="2731">
                  <c:v>0.57799999999999996</c:v>
                </c:pt>
                <c:pt idx="2732">
                  <c:v>0.57799999999999996</c:v>
                </c:pt>
                <c:pt idx="2733">
                  <c:v>0.57799999999999996</c:v>
                </c:pt>
                <c:pt idx="2734">
                  <c:v>0.57799999999999996</c:v>
                </c:pt>
                <c:pt idx="2735">
                  <c:v>0.57799999999999996</c:v>
                </c:pt>
                <c:pt idx="2736">
                  <c:v>0.57799999999999996</c:v>
                </c:pt>
                <c:pt idx="2737">
                  <c:v>0.57799999999999996</c:v>
                </c:pt>
                <c:pt idx="2738">
                  <c:v>0.57799999999999996</c:v>
                </c:pt>
                <c:pt idx="2739">
                  <c:v>0.57799999999999996</c:v>
                </c:pt>
                <c:pt idx="2740">
                  <c:v>0.57799999999999996</c:v>
                </c:pt>
                <c:pt idx="2741">
                  <c:v>0.57799999999999996</c:v>
                </c:pt>
                <c:pt idx="2742">
                  <c:v>0.57799999999999996</c:v>
                </c:pt>
                <c:pt idx="2743">
                  <c:v>0.57799999999999996</c:v>
                </c:pt>
                <c:pt idx="2744">
                  <c:v>0.57799999999999996</c:v>
                </c:pt>
                <c:pt idx="2745">
                  <c:v>0.57799999999999996</c:v>
                </c:pt>
                <c:pt idx="2746">
                  <c:v>0.57799999999999996</c:v>
                </c:pt>
                <c:pt idx="2747">
                  <c:v>0.57799999999999996</c:v>
                </c:pt>
                <c:pt idx="2748">
                  <c:v>0.57799999999999996</c:v>
                </c:pt>
                <c:pt idx="2749">
                  <c:v>0.57799999999999996</c:v>
                </c:pt>
                <c:pt idx="2750">
                  <c:v>0.57799999999999996</c:v>
                </c:pt>
                <c:pt idx="2751">
                  <c:v>0.57799999999999996</c:v>
                </c:pt>
                <c:pt idx="2752">
                  <c:v>0.57799999999999996</c:v>
                </c:pt>
                <c:pt idx="2753">
                  <c:v>0.57799999999999996</c:v>
                </c:pt>
                <c:pt idx="2754">
                  <c:v>0.57799999999999996</c:v>
                </c:pt>
                <c:pt idx="2755">
                  <c:v>0.57799999999999996</c:v>
                </c:pt>
                <c:pt idx="2756">
                  <c:v>0.57799999999999996</c:v>
                </c:pt>
                <c:pt idx="2757">
                  <c:v>0.57799999999999996</c:v>
                </c:pt>
                <c:pt idx="2758">
                  <c:v>0.57799999999999996</c:v>
                </c:pt>
                <c:pt idx="2759">
                  <c:v>0.57799999999999996</c:v>
                </c:pt>
                <c:pt idx="2760">
                  <c:v>0.57799999999999996</c:v>
                </c:pt>
                <c:pt idx="2761">
                  <c:v>0.57799999999999996</c:v>
                </c:pt>
                <c:pt idx="2762">
                  <c:v>0.57799999999999996</c:v>
                </c:pt>
                <c:pt idx="2763">
                  <c:v>0.57799999999999996</c:v>
                </c:pt>
                <c:pt idx="2764">
                  <c:v>0.57799999999999996</c:v>
                </c:pt>
                <c:pt idx="2765">
                  <c:v>0.57799999999999996</c:v>
                </c:pt>
                <c:pt idx="2766">
                  <c:v>0.57799999999999996</c:v>
                </c:pt>
                <c:pt idx="2767">
                  <c:v>0.57799999999999996</c:v>
                </c:pt>
                <c:pt idx="2768">
                  <c:v>0.57799999999999996</c:v>
                </c:pt>
                <c:pt idx="2769">
                  <c:v>0.57799999999999996</c:v>
                </c:pt>
                <c:pt idx="2770">
                  <c:v>0.57799999999999996</c:v>
                </c:pt>
                <c:pt idx="2771">
                  <c:v>0.57799999999999996</c:v>
                </c:pt>
                <c:pt idx="2772">
                  <c:v>0.57799999999999996</c:v>
                </c:pt>
                <c:pt idx="2773">
                  <c:v>0.57799999999999996</c:v>
                </c:pt>
                <c:pt idx="2774">
                  <c:v>0.57799999999999996</c:v>
                </c:pt>
                <c:pt idx="2775">
                  <c:v>0.57799999999999996</c:v>
                </c:pt>
                <c:pt idx="2776">
                  <c:v>0.57799999999999996</c:v>
                </c:pt>
                <c:pt idx="2777">
                  <c:v>0.57799999999999996</c:v>
                </c:pt>
                <c:pt idx="2778">
                  <c:v>0.57799999999999996</c:v>
                </c:pt>
                <c:pt idx="2779">
                  <c:v>0.57799999999999996</c:v>
                </c:pt>
                <c:pt idx="2780">
                  <c:v>0.57799999999999996</c:v>
                </c:pt>
                <c:pt idx="2781">
                  <c:v>0.57799999999999996</c:v>
                </c:pt>
                <c:pt idx="2782">
                  <c:v>0.57799999999999996</c:v>
                </c:pt>
                <c:pt idx="2783">
                  <c:v>0.57799999999999996</c:v>
                </c:pt>
                <c:pt idx="2784">
                  <c:v>0.57799999999999996</c:v>
                </c:pt>
                <c:pt idx="2785">
                  <c:v>0.57799999999999996</c:v>
                </c:pt>
                <c:pt idx="2786">
                  <c:v>0.57799999999999996</c:v>
                </c:pt>
                <c:pt idx="2787">
                  <c:v>0.57799999999999996</c:v>
                </c:pt>
                <c:pt idx="2788">
                  <c:v>0.57799999999999996</c:v>
                </c:pt>
                <c:pt idx="2789">
                  <c:v>0.57799999999999996</c:v>
                </c:pt>
                <c:pt idx="2790">
                  <c:v>0.57799999999999996</c:v>
                </c:pt>
                <c:pt idx="2791">
                  <c:v>0.57799999999999996</c:v>
                </c:pt>
                <c:pt idx="2792">
                  <c:v>0.57799999999999996</c:v>
                </c:pt>
                <c:pt idx="2793">
                  <c:v>0.57799999999999996</c:v>
                </c:pt>
                <c:pt idx="2794">
                  <c:v>0.57799999999999996</c:v>
                </c:pt>
                <c:pt idx="2795">
                  <c:v>0.57799999999999996</c:v>
                </c:pt>
                <c:pt idx="2796">
                  <c:v>0.57799999999999996</c:v>
                </c:pt>
                <c:pt idx="2797">
                  <c:v>0.57799999999999996</c:v>
                </c:pt>
                <c:pt idx="2798">
                  <c:v>0.57799999999999996</c:v>
                </c:pt>
                <c:pt idx="2799">
                  <c:v>0.57799999999999996</c:v>
                </c:pt>
                <c:pt idx="2800">
                  <c:v>0.57799999999999996</c:v>
                </c:pt>
                <c:pt idx="2801">
                  <c:v>0.57799999999999996</c:v>
                </c:pt>
                <c:pt idx="2802">
                  <c:v>0.57799999999999996</c:v>
                </c:pt>
                <c:pt idx="2803">
                  <c:v>0.57799999999999996</c:v>
                </c:pt>
                <c:pt idx="2804">
                  <c:v>0.57799999999999996</c:v>
                </c:pt>
                <c:pt idx="2805">
                  <c:v>0.57799999999999996</c:v>
                </c:pt>
                <c:pt idx="2806">
                  <c:v>0.57799999999999996</c:v>
                </c:pt>
                <c:pt idx="2807">
                  <c:v>0.57799999999999996</c:v>
                </c:pt>
                <c:pt idx="2808">
                  <c:v>0.57799999999999996</c:v>
                </c:pt>
                <c:pt idx="2809">
                  <c:v>0.57799999999999996</c:v>
                </c:pt>
                <c:pt idx="2810">
                  <c:v>0.57799999999999996</c:v>
                </c:pt>
                <c:pt idx="2811">
                  <c:v>0.42199999999999999</c:v>
                </c:pt>
                <c:pt idx="2812">
                  <c:v>0.496</c:v>
                </c:pt>
                <c:pt idx="2813">
                  <c:v>0.432</c:v>
                </c:pt>
                <c:pt idx="2814">
                  <c:v>0.41899999999999998</c:v>
                </c:pt>
                <c:pt idx="2815">
                  <c:v>0.47199999999999998</c:v>
                </c:pt>
                <c:pt idx="2816">
                  <c:v>0.42899999999999999</c:v>
                </c:pt>
                <c:pt idx="2817">
                  <c:v>0.41899999999999998</c:v>
                </c:pt>
                <c:pt idx="2818">
                  <c:v>0.48899999999999999</c:v>
                </c:pt>
                <c:pt idx="2819">
                  <c:v>0.40600000000000003</c:v>
                </c:pt>
                <c:pt idx="2820">
                  <c:v>0.42</c:v>
                </c:pt>
                <c:pt idx="2821">
                  <c:v>0.442</c:v>
                </c:pt>
                <c:pt idx="2822">
                  <c:v>0.45200000000000001</c:v>
                </c:pt>
                <c:pt idx="2823">
                  <c:v>0.45100000000000001</c:v>
                </c:pt>
                <c:pt idx="2824">
                  <c:v>0.52600000000000002</c:v>
                </c:pt>
                <c:pt idx="2825">
                  <c:v>0.49299999999999999</c:v>
                </c:pt>
                <c:pt idx="2826">
                  <c:v>0.58899999999999997</c:v>
                </c:pt>
                <c:pt idx="2827">
                  <c:v>0.51700000000000002</c:v>
                </c:pt>
                <c:pt idx="2828">
                  <c:v>0.46600000000000003</c:v>
                </c:pt>
                <c:pt idx="2829">
                  <c:v>0.44700000000000001</c:v>
                </c:pt>
                <c:pt idx="2830">
                  <c:v>0.47599999999999998</c:v>
                </c:pt>
                <c:pt idx="2831">
                  <c:v>0.504</c:v>
                </c:pt>
                <c:pt idx="2832">
                  <c:v>0.48599999999999999</c:v>
                </c:pt>
                <c:pt idx="2833">
                  <c:v>0.46899999999999997</c:v>
                </c:pt>
                <c:pt idx="2834">
                  <c:v>0.47099999999999997</c:v>
                </c:pt>
                <c:pt idx="2835">
                  <c:v>0.46700000000000003</c:v>
                </c:pt>
                <c:pt idx="2836">
                  <c:v>0.46100000000000002</c:v>
                </c:pt>
                <c:pt idx="2837">
                  <c:v>0.47899999999999998</c:v>
                </c:pt>
                <c:pt idx="2838">
                  <c:v>0.46200000000000002</c:v>
                </c:pt>
                <c:pt idx="2839">
                  <c:v>0.45600000000000002</c:v>
                </c:pt>
                <c:pt idx="2840">
                  <c:v>0.45900000000000002</c:v>
                </c:pt>
                <c:pt idx="2841">
                  <c:v>0.45900000000000002</c:v>
                </c:pt>
                <c:pt idx="2842">
                  <c:v>0.48699999999999999</c:v>
                </c:pt>
                <c:pt idx="2843">
                  <c:v>0.47499999999999998</c:v>
                </c:pt>
                <c:pt idx="2844">
                  <c:v>0.40699999999999997</c:v>
                </c:pt>
                <c:pt idx="2845">
                  <c:v>0.44600000000000001</c:v>
                </c:pt>
                <c:pt idx="2846">
                  <c:v>0.45500000000000002</c:v>
                </c:pt>
                <c:pt idx="2847">
                  <c:v>0.42099999999999999</c:v>
                </c:pt>
                <c:pt idx="2848">
                  <c:v>0.39600000000000002</c:v>
                </c:pt>
                <c:pt idx="2849">
                  <c:v>0.31</c:v>
                </c:pt>
                <c:pt idx="2850">
                  <c:v>0.33900000000000002</c:v>
                </c:pt>
                <c:pt idx="2851">
                  <c:v>0.313</c:v>
                </c:pt>
                <c:pt idx="2852">
                  <c:v>0.27400000000000002</c:v>
                </c:pt>
                <c:pt idx="2853">
                  <c:v>0.318</c:v>
                </c:pt>
                <c:pt idx="2854">
                  <c:v>0.32100000000000001</c:v>
                </c:pt>
                <c:pt idx="2855">
                  <c:v>0.318</c:v>
                </c:pt>
                <c:pt idx="2856">
                  <c:v>0.34</c:v>
                </c:pt>
                <c:pt idx="2857">
                  <c:v>0.34100000000000003</c:v>
                </c:pt>
                <c:pt idx="2858">
                  <c:v>0.32600000000000001</c:v>
                </c:pt>
                <c:pt idx="2859">
                  <c:v>0.33900000000000002</c:v>
                </c:pt>
                <c:pt idx="2860">
                  <c:v>0.31</c:v>
                </c:pt>
                <c:pt idx="2861">
                  <c:v>0.30399999999999999</c:v>
                </c:pt>
                <c:pt idx="2862">
                  <c:v>0.27600000000000002</c:v>
                </c:pt>
                <c:pt idx="2863">
                  <c:v>0.29699999999999999</c:v>
                </c:pt>
                <c:pt idx="2864">
                  <c:v>0.29299999999999998</c:v>
                </c:pt>
                <c:pt idx="2865">
                  <c:v>0.28699999999999998</c:v>
                </c:pt>
                <c:pt idx="2866">
                  <c:v>0.30199999999999999</c:v>
                </c:pt>
                <c:pt idx="2867">
                  <c:v>0.315</c:v>
                </c:pt>
                <c:pt idx="2868">
                  <c:v>0.30299999999999999</c:v>
                </c:pt>
                <c:pt idx="2869">
                  <c:v>0.30299999999999999</c:v>
                </c:pt>
                <c:pt idx="2870">
                  <c:v>0.34100000000000003</c:v>
                </c:pt>
                <c:pt idx="2871">
                  <c:v>0.35299999999999998</c:v>
                </c:pt>
                <c:pt idx="2872">
                  <c:v>0.33700000000000002</c:v>
                </c:pt>
                <c:pt idx="2873">
                  <c:v>0.33700000000000002</c:v>
                </c:pt>
                <c:pt idx="2874">
                  <c:v>0.33700000000000002</c:v>
                </c:pt>
                <c:pt idx="2875">
                  <c:v>0.33700000000000002</c:v>
                </c:pt>
                <c:pt idx="2876">
                  <c:v>0.33</c:v>
                </c:pt>
                <c:pt idx="2877">
                  <c:v>0.36399999999999999</c:v>
                </c:pt>
                <c:pt idx="2878">
                  <c:v>0.35599999999999998</c:v>
                </c:pt>
                <c:pt idx="2879">
                  <c:v>0.32900000000000001</c:v>
                </c:pt>
                <c:pt idx="2880">
                  <c:v>0.41599999999999998</c:v>
                </c:pt>
                <c:pt idx="2881">
                  <c:v>0.28999999999999998</c:v>
                </c:pt>
                <c:pt idx="2882">
                  <c:v>0.313</c:v>
                </c:pt>
                <c:pt idx="2883">
                  <c:v>0.32700000000000001</c:v>
                </c:pt>
                <c:pt idx="2884">
                  <c:v>0.32700000000000001</c:v>
                </c:pt>
                <c:pt idx="2885">
                  <c:v>0.26200000000000001</c:v>
                </c:pt>
                <c:pt idx="2886">
                  <c:v>0.26500000000000001</c:v>
                </c:pt>
                <c:pt idx="2887">
                  <c:v>0.32800000000000001</c:v>
                </c:pt>
                <c:pt idx="2888">
                  <c:v>0.34300000000000003</c:v>
                </c:pt>
                <c:pt idx="2889">
                  <c:v>0.34699999999999998</c:v>
                </c:pt>
                <c:pt idx="2890">
                  <c:v>0.34699999999999998</c:v>
                </c:pt>
                <c:pt idx="2891">
                  <c:v>0.34</c:v>
                </c:pt>
                <c:pt idx="2892">
                  <c:v>0.32400000000000001</c:v>
                </c:pt>
                <c:pt idx="2893">
                  <c:v>0.41299999999999998</c:v>
                </c:pt>
                <c:pt idx="2894">
                  <c:v>0.42099999999999999</c:v>
                </c:pt>
                <c:pt idx="2895">
                  <c:v>0.435</c:v>
                </c:pt>
                <c:pt idx="2896">
                  <c:v>0.42799999999999999</c:v>
                </c:pt>
                <c:pt idx="2897">
                  <c:v>0.443</c:v>
                </c:pt>
                <c:pt idx="2898">
                  <c:v>0.45100000000000001</c:v>
                </c:pt>
                <c:pt idx="2899">
                  <c:v>0.44800000000000001</c:v>
                </c:pt>
                <c:pt idx="2900">
                  <c:v>0.441</c:v>
                </c:pt>
                <c:pt idx="2901">
                  <c:v>0.46</c:v>
                </c:pt>
                <c:pt idx="2902">
                  <c:v>0.43099999999999999</c:v>
                </c:pt>
                <c:pt idx="2903">
                  <c:v>0.437</c:v>
                </c:pt>
                <c:pt idx="2904">
                  <c:v>0.42099999999999999</c:v>
                </c:pt>
                <c:pt idx="2905">
                  <c:v>0.432</c:v>
                </c:pt>
                <c:pt idx="2906">
                  <c:v>0.438</c:v>
                </c:pt>
                <c:pt idx="2907">
                  <c:v>0.45</c:v>
                </c:pt>
                <c:pt idx="2908">
                  <c:v>0.46600000000000003</c:v>
                </c:pt>
                <c:pt idx="2909">
                  <c:v>0.55100000000000005</c:v>
                </c:pt>
                <c:pt idx="2910">
                  <c:v>0.48899999999999999</c:v>
                </c:pt>
                <c:pt idx="2911">
                  <c:v>0.434</c:v>
                </c:pt>
                <c:pt idx="2912">
                  <c:v>0.504</c:v>
                </c:pt>
                <c:pt idx="2913">
                  <c:v>0.496</c:v>
                </c:pt>
                <c:pt idx="2914">
                  <c:v>0.51600000000000001</c:v>
                </c:pt>
                <c:pt idx="2915">
                  <c:v>0.55900000000000005</c:v>
                </c:pt>
                <c:pt idx="2916">
                  <c:v>0.55200000000000005</c:v>
                </c:pt>
                <c:pt idx="2917">
                  <c:v>0.55400000000000005</c:v>
                </c:pt>
                <c:pt idx="2918">
                  <c:v>0.56399999999999995</c:v>
                </c:pt>
                <c:pt idx="2919">
                  <c:v>0.59599999999999997</c:v>
                </c:pt>
                <c:pt idx="2920">
                  <c:v>0.58499999999999996</c:v>
                </c:pt>
                <c:pt idx="2921">
                  <c:v>0.59</c:v>
                </c:pt>
                <c:pt idx="2922">
                  <c:v>0.59899999999999998</c:v>
                </c:pt>
                <c:pt idx="2923">
                  <c:v>0.58199999999999996</c:v>
                </c:pt>
                <c:pt idx="2924">
                  <c:v>0.59699999999999998</c:v>
                </c:pt>
                <c:pt idx="2925">
                  <c:v>0.625</c:v>
                </c:pt>
                <c:pt idx="2926">
                  <c:v>0.64100000000000001</c:v>
                </c:pt>
                <c:pt idx="2927">
                  <c:v>0.63200000000000001</c:v>
                </c:pt>
                <c:pt idx="2928">
                  <c:v>0.64100000000000001</c:v>
                </c:pt>
                <c:pt idx="2929">
                  <c:v>0.67300000000000004</c:v>
                </c:pt>
                <c:pt idx="2930">
                  <c:v>0.67600000000000005</c:v>
                </c:pt>
                <c:pt idx="2931">
                  <c:v>0.71299999999999997</c:v>
                </c:pt>
                <c:pt idx="2932">
                  <c:v>0.69699999999999995</c:v>
                </c:pt>
                <c:pt idx="2933">
                  <c:v>0.67600000000000005</c:v>
                </c:pt>
                <c:pt idx="2934">
                  <c:v>0.68200000000000005</c:v>
                </c:pt>
                <c:pt idx="2935">
                  <c:v>0.67500000000000004</c:v>
                </c:pt>
                <c:pt idx="2936">
                  <c:v>0.69299999999999995</c:v>
                </c:pt>
                <c:pt idx="2937">
                  <c:v>0.70099999999999996</c:v>
                </c:pt>
                <c:pt idx="2938">
                  <c:v>0.70099999999999996</c:v>
                </c:pt>
                <c:pt idx="2939">
                  <c:v>0.69099999999999995</c:v>
                </c:pt>
                <c:pt idx="2940">
                  <c:v>0.70299999999999996</c:v>
                </c:pt>
                <c:pt idx="2941">
                  <c:v>0.71799999999999997</c:v>
                </c:pt>
                <c:pt idx="2942">
                  <c:v>0.73699999999999999</c:v>
                </c:pt>
                <c:pt idx="2943">
                  <c:v>0.745</c:v>
                </c:pt>
                <c:pt idx="2944">
                  <c:v>0.76800000000000002</c:v>
                </c:pt>
                <c:pt idx="2945">
                  <c:v>0.753</c:v>
                </c:pt>
                <c:pt idx="2946">
                  <c:v>0.77800000000000002</c:v>
                </c:pt>
                <c:pt idx="2947">
                  <c:v>0.78600000000000003</c:v>
                </c:pt>
                <c:pt idx="2948">
                  <c:v>0.81299999999999994</c:v>
                </c:pt>
                <c:pt idx="2949">
                  <c:v>0.84099999999999997</c:v>
                </c:pt>
                <c:pt idx="2950">
                  <c:v>0.86599999999999999</c:v>
                </c:pt>
                <c:pt idx="2951">
                  <c:v>0.876</c:v>
                </c:pt>
                <c:pt idx="2952">
                  <c:v>0.86699999999999999</c:v>
                </c:pt>
                <c:pt idx="2953">
                  <c:v>0.872</c:v>
                </c:pt>
                <c:pt idx="2954">
                  <c:v>0.90100000000000002</c:v>
                </c:pt>
                <c:pt idx="2955">
                  <c:v>0.89600000000000002</c:v>
                </c:pt>
                <c:pt idx="2956">
                  <c:v>0.88400000000000001</c:v>
                </c:pt>
                <c:pt idx="2957">
                  <c:v>0.90400000000000003</c:v>
                </c:pt>
                <c:pt idx="2958">
                  <c:v>0.92300000000000004</c:v>
                </c:pt>
                <c:pt idx="2959">
                  <c:v>0.93100000000000005</c:v>
                </c:pt>
                <c:pt idx="2960">
                  <c:v>0.98399999999999999</c:v>
                </c:pt>
                <c:pt idx="2961">
                  <c:v>0.93200000000000005</c:v>
                </c:pt>
                <c:pt idx="2962">
                  <c:v>0.97699999999999998</c:v>
                </c:pt>
                <c:pt idx="2963">
                  <c:v>0.997</c:v>
                </c:pt>
                <c:pt idx="2964">
                  <c:v>0.95399999999999996</c:v>
                </c:pt>
                <c:pt idx="2965">
                  <c:v>1.0029999999999999</c:v>
                </c:pt>
                <c:pt idx="2966">
                  <c:v>1.0129999999999999</c:v>
                </c:pt>
                <c:pt idx="2967">
                  <c:v>1.1180000000000001</c:v>
                </c:pt>
                <c:pt idx="2968">
                  <c:v>1.1220000000000001</c:v>
                </c:pt>
                <c:pt idx="2969">
                  <c:v>1.091</c:v>
                </c:pt>
                <c:pt idx="2970">
                  <c:v>1.0660000000000001</c:v>
                </c:pt>
                <c:pt idx="2971">
                  <c:v>1.0649999999999999</c:v>
                </c:pt>
                <c:pt idx="2972">
                  <c:v>1.083</c:v>
                </c:pt>
                <c:pt idx="2973">
                  <c:v>1.1140000000000001</c:v>
                </c:pt>
                <c:pt idx="2974">
                  <c:v>1.095</c:v>
                </c:pt>
                <c:pt idx="2975">
                  <c:v>1.147</c:v>
                </c:pt>
                <c:pt idx="2976">
                  <c:v>1.091</c:v>
                </c:pt>
                <c:pt idx="2977">
                  <c:v>1.103</c:v>
                </c:pt>
                <c:pt idx="2978">
                  <c:v>1.093</c:v>
                </c:pt>
                <c:pt idx="2979">
                  <c:v>1.1140000000000001</c:v>
                </c:pt>
                <c:pt idx="2980">
                  <c:v>1.222</c:v>
                </c:pt>
                <c:pt idx="2981">
                  <c:v>1.139</c:v>
                </c:pt>
                <c:pt idx="2982">
                  <c:v>1.1259999999999999</c:v>
                </c:pt>
                <c:pt idx="2983">
                  <c:v>1.1180000000000001</c:v>
                </c:pt>
                <c:pt idx="2984">
                  <c:v>1.119</c:v>
                </c:pt>
                <c:pt idx="2985">
                  <c:v>1.117</c:v>
                </c:pt>
                <c:pt idx="2986">
                  <c:v>1.2</c:v>
                </c:pt>
                <c:pt idx="2987">
                  <c:v>1.214</c:v>
                </c:pt>
                <c:pt idx="2988">
                  <c:v>1.2430000000000001</c:v>
                </c:pt>
                <c:pt idx="2989">
                  <c:v>1.288</c:v>
                </c:pt>
                <c:pt idx="2990">
                  <c:v>1.34</c:v>
                </c:pt>
                <c:pt idx="2991">
                  <c:v>1.4390000000000001</c:v>
                </c:pt>
                <c:pt idx="2992">
                  <c:v>1.51</c:v>
                </c:pt>
                <c:pt idx="2993">
                  <c:v>1.5429999999999999</c:v>
                </c:pt>
                <c:pt idx="2994">
                  <c:v>1.5129999999999999</c:v>
                </c:pt>
                <c:pt idx="2995">
                  <c:v>1.6120000000000001</c:v>
                </c:pt>
                <c:pt idx="2996">
                  <c:v>1.6160000000000001</c:v>
                </c:pt>
                <c:pt idx="2997">
                  <c:v>1.62</c:v>
                </c:pt>
                <c:pt idx="2998">
                  <c:v>1.595</c:v>
                </c:pt>
                <c:pt idx="2999">
                  <c:v>1.5840000000000001</c:v>
                </c:pt>
                <c:pt idx="3000">
                  <c:v>1.653</c:v>
                </c:pt>
                <c:pt idx="3001">
                  <c:v>1.637</c:v>
                </c:pt>
                <c:pt idx="3002">
                  <c:v>1.647</c:v>
                </c:pt>
                <c:pt idx="3003">
                  <c:v>1.65</c:v>
                </c:pt>
                <c:pt idx="3004">
                  <c:v>1.6020000000000001</c:v>
                </c:pt>
                <c:pt idx="3005">
                  <c:v>1.595</c:v>
                </c:pt>
                <c:pt idx="3006">
                  <c:v>1.599</c:v>
                </c:pt>
                <c:pt idx="3007">
                  <c:v>1.6240000000000001</c:v>
                </c:pt>
                <c:pt idx="3008">
                  <c:v>1.621</c:v>
                </c:pt>
                <c:pt idx="3009">
                  <c:v>1.5720000000000001</c:v>
                </c:pt>
                <c:pt idx="3010">
                  <c:v>1.5409999999999999</c:v>
                </c:pt>
                <c:pt idx="3011">
                  <c:v>1.69</c:v>
                </c:pt>
                <c:pt idx="3012">
                  <c:v>1.593</c:v>
                </c:pt>
                <c:pt idx="3013">
                  <c:v>1.575</c:v>
                </c:pt>
                <c:pt idx="3014">
                  <c:v>1.55</c:v>
                </c:pt>
                <c:pt idx="3015">
                  <c:v>1.411</c:v>
                </c:pt>
                <c:pt idx="3016">
                  <c:v>1.425</c:v>
                </c:pt>
                <c:pt idx="3017">
                  <c:v>1.377</c:v>
                </c:pt>
                <c:pt idx="3018">
                  <c:v>1.3169999999999999</c:v>
                </c:pt>
                <c:pt idx="3019">
                  <c:v>1.3240000000000001</c:v>
                </c:pt>
                <c:pt idx="3020">
                  <c:v>1.294</c:v>
                </c:pt>
                <c:pt idx="3021">
                  <c:v>1.2929999999999999</c:v>
                </c:pt>
                <c:pt idx="3022">
                  <c:v>1.2989999999999999</c:v>
                </c:pt>
                <c:pt idx="3023">
                  <c:v>1.323</c:v>
                </c:pt>
                <c:pt idx="3024">
                  <c:v>1.3140000000000001</c:v>
                </c:pt>
                <c:pt idx="3025">
                  <c:v>1.319</c:v>
                </c:pt>
                <c:pt idx="3026">
                  <c:v>1.32</c:v>
                </c:pt>
                <c:pt idx="3027">
                  <c:v>1.347</c:v>
                </c:pt>
                <c:pt idx="3028">
                  <c:v>1.359</c:v>
                </c:pt>
                <c:pt idx="3029">
                  <c:v>1.3819999999999999</c:v>
                </c:pt>
                <c:pt idx="3030">
                  <c:v>1.397</c:v>
                </c:pt>
                <c:pt idx="3031">
                  <c:v>1.3839999999999999</c:v>
                </c:pt>
                <c:pt idx="3032">
                  <c:v>1.3819999999999999</c:v>
                </c:pt>
                <c:pt idx="3033">
                  <c:v>1.3959999999999999</c:v>
                </c:pt>
                <c:pt idx="3034">
                  <c:v>1.4019999999999999</c:v>
                </c:pt>
                <c:pt idx="3035">
                  <c:v>1.359</c:v>
                </c:pt>
                <c:pt idx="3036">
                  <c:v>1.347</c:v>
                </c:pt>
                <c:pt idx="3037">
                  <c:v>1.395</c:v>
                </c:pt>
                <c:pt idx="3038">
                  <c:v>1.4</c:v>
                </c:pt>
                <c:pt idx="3039">
                  <c:v>1.3759999999999999</c:v>
                </c:pt>
                <c:pt idx="3040">
                  <c:v>1.381</c:v>
                </c:pt>
                <c:pt idx="3041">
                  <c:v>1.4</c:v>
                </c:pt>
                <c:pt idx="3042">
                  <c:v>1.3939999999999999</c:v>
                </c:pt>
                <c:pt idx="3043">
                  <c:v>1.38</c:v>
                </c:pt>
                <c:pt idx="3044">
                  <c:v>1.415</c:v>
                </c:pt>
                <c:pt idx="3045">
                  <c:v>1.4410000000000001</c:v>
                </c:pt>
                <c:pt idx="3046">
                  <c:v>1.4470000000000001</c:v>
                </c:pt>
                <c:pt idx="3047">
                  <c:v>1.488</c:v>
                </c:pt>
                <c:pt idx="3048">
                  <c:v>1.5149999999999999</c:v>
                </c:pt>
                <c:pt idx="3049">
                  <c:v>1.478</c:v>
                </c:pt>
                <c:pt idx="3050">
                  <c:v>1.522</c:v>
                </c:pt>
                <c:pt idx="3051">
                  <c:v>1.4950000000000001</c:v>
                </c:pt>
                <c:pt idx="3052">
                  <c:v>1.4730000000000001</c:v>
                </c:pt>
                <c:pt idx="3053">
                  <c:v>1.4910000000000001</c:v>
                </c:pt>
                <c:pt idx="3054">
                  <c:v>1.5720000000000001</c:v>
                </c:pt>
                <c:pt idx="3055">
                  <c:v>1.5509999999999999</c:v>
                </c:pt>
                <c:pt idx="3056">
                  <c:v>1.546</c:v>
                </c:pt>
                <c:pt idx="3057">
                  <c:v>1.5589999999999999</c:v>
                </c:pt>
                <c:pt idx="3058">
                  <c:v>1.5329999999999999</c:v>
                </c:pt>
                <c:pt idx="3059">
                  <c:v>1.548</c:v>
                </c:pt>
                <c:pt idx="3060">
                  <c:v>1.548</c:v>
                </c:pt>
                <c:pt idx="3061">
                  <c:v>1.542</c:v>
                </c:pt>
                <c:pt idx="3062">
                  <c:v>1.579</c:v>
                </c:pt>
                <c:pt idx="3063">
                  <c:v>1.6519999999999999</c:v>
                </c:pt>
                <c:pt idx="3064">
                  <c:v>1.6850000000000001</c:v>
                </c:pt>
                <c:pt idx="3065">
                  <c:v>1.798</c:v>
                </c:pt>
                <c:pt idx="3066">
                  <c:v>1.857</c:v>
                </c:pt>
                <c:pt idx="3067">
                  <c:v>1.859</c:v>
                </c:pt>
                <c:pt idx="3068">
                  <c:v>1.867</c:v>
                </c:pt>
                <c:pt idx="3069">
                  <c:v>1.895</c:v>
                </c:pt>
                <c:pt idx="3070">
                  <c:v>1.877</c:v>
                </c:pt>
                <c:pt idx="3071">
                  <c:v>2.0190000000000001</c:v>
                </c:pt>
                <c:pt idx="3072">
                  <c:v>2.056</c:v>
                </c:pt>
                <c:pt idx="3073">
                  <c:v>2.0129999999999999</c:v>
                </c:pt>
                <c:pt idx="3074">
                  <c:v>2.0430000000000001</c:v>
                </c:pt>
                <c:pt idx="3075">
                  <c:v>2.1960000000000002</c:v>
                </c:pt>
                <c:pt idx="3076">
                  <c:v>2.23</c:v>
                </c:pt>
                <c:pt idx="3077">
                  <c:v>2.1869999999999998</c:v>
                </c:pt>
                <c:pt idx="3078">
                  <c:v>2.145</c:v>
                </c:pt>
                <c:pt idx="3079">
                  <c:v>2.13</c:v>
                </c:pt>
                <c:pt idx="3080">
                  <c:v>2.1520000000000001</c:v>
                </c:pt>
                <c:pt idx="3081">
                  <c:v>2.202</c:v>
                </c:pt>
                <c:pt idx="3082">
                  <c:v>2.2170000000000001</c:v>
                </c:pt>
                <c:pt idx="3083">
                  <c:v>2.214</c:v>
                </c:pt>
                <c:pt idx="3084">
                  <c:v>2.7879999999999998</c:v>
                </c:pt>
                <c:pt idx="3085">
                  <c:v>2.7879999999999998</c:v>
                </c:pt>
                <c:pt idx="3086">
                  <c:v>2.7879999999999998</c:v>
                </c:pt>
                <c:pt idx="3087">
                  <c:v>2.7879999999999998</c:v>
                </c:pt>
                <c:pt idx="3088">
                  <c:v>2.7879999999999998</c:v>
                </c:pt>
                <c:pt idx="3089">
                  <c:v>2.7879999999999998</c:v>
                </c:pt>
                <c:pt idx="3090">
                  <c:v>2.7879999999999998</c:v>
                </c:pt>
                <c:pt idx="3091">
                  <c:v>2.7879999999999998</c:v>
                </c:pt>
                <c:pt idx="3092">
                  <c:v>2.7879999999999998</c:v>
                </c:pt>
                <c:pt idx="3093">
                  <c:v>2.7879999999999998</c:v>
                </c:pt>
                <c:pt idx="3094">
                  <c:v>2.7879999999999998</c:v>
                </c:pt>
                <c:pt idx="3095">
                  <c:v>2.7879999999999998</c:v>
                </c:pt>
                <c:pt idx="3096">
                  <c:v>2.7879999999999998</c:v>
                </c:pt>
                <c:pt idx="3097">
                  <c:v>2.7879999999999998</c:v>
                </c:pt>
                <c:pt idx="3098">
                  <c:v>2.7879999999999998</c:v>
                </c:pt>
                <c:pt idx="3099">
                  <c:v>2.7879999999999998</c:v>
                </c:pt>
                <c:pt idx="3100">
                  <c:v>2.7879999999999998</c:v>
                </c:pt>
                <c:pt idx="3101">
                  <c:v>2.7879999999999998</c:v>
                </c:pt>
                <c:pt idx="3102">
                  <c:v>2.7879999999999998</c:v>
                </c:pt>
                <c:pt idx="3103">
                  <c:v>2.782</c:v>
                </c:pt>
                <c:pt idx="3104">
                  <c:v>2.7480000000000002</c:v>
                </c:pt>
                <c:pt idx="3105">
                  <c:v>2.7480000000000002</c:v>
                </c:pt>
                <c:pt idx="3106">
                  <c:v>2.5499999999999998</c:v>
                </c:pt>
                <c:pt idx="3107">
                  <c:v>2.536</c:v>
                </c:pt>
                <c:pt idx="3108">
                  <c:v>2.601</c:v>
                </c:pt>
                <c:pt idx="3109">
                  <c:v>2.601</c:v>
                </c:pt>
                <c:pt idx="3110">
                  <c:v>2.601</c:v>
                </c:pt>
                <c:pt idx="3111">
                  <c:v>2.601</c:v>
                </c:pt>
                <c:pt idx="3112">
                  <c:v>2.601</c:v>
                </c:pt>
                <c:pt idx="3113">
                  <c:v>2.601</c:v>
                </c:pt>
                <c:pt idx="3114">
                  <c:v>2.601</c:v>
                </c:pt>
                <c:pt idx="3115">
                  <c:v>2.601</c:v>
                </c:pt>
                <c:pt idx="3116">
                  <c:v>2.601</c:v>
                </c:pt>
                <c:pt idx="3117">
                  <c:v>2.601</c:v>
                </c:pt>
                <c:pt idx="3118">
                  <c:v>2.601</c:v>
                </c:pt>
                <c:pt idx="3119">
                  <c:v>2.601</c:v>
                </c:pt>
                <c:pt idx="3120">
                  <c:v>2.601</c:v>
                </c:pt>
                <c:pt idx="3121">
                  <c:v>2.601</c:v>
                </c:pt>
                <c:pt idx="3122">
                  <c:v>2.601</c:v>
                </c:pt>
                <c:pt idx="3123">
                  <c:v>2.601</c:v>
                </c:pt>
                <c:pt idx="3124">
                  <c:v>2.601</c:v>
                </c:pt>
                <c:pt idx="3125">
                  <c:v>2.601</c:v>
                </c:pt>
                <c:pt idx="3126">
                  <c:v>2.601</c:v>
                </c:pt>
                <c:pt idx="3127">
                  <c:v>2.601</c:v>
                </c:pt>
                <c:pt idx="3128">
                  <c:v>2.601</c:v>
                </c:pt>
                <c:pt idx="3129">
                  <c:v>2.601</c:v>
                </c:pt>
                <c:pt idx="3130">
                  <c:v>2.601</c:v>
                </c:pt>
                <c:pt idx="3131">
                  <c:v>2.601</c:v>
                </c:pt>
                <c:pt idx="3132">
                  <c:v>2.601</c:v>
                </c:pt>
                <c:pt idx="3133">
                  <c:v>2.601</c:v>
                </c:pt>
                <c:pt idx="3134">
                  <c:v>2.601</c:v>
                </c:pt>
                <c:pt idx="3135">
                  <c:v>2.601</c:v>
                </c:pt>
                <c:pt idx="3136">
                  <c:v>2.601</c:v>
                </c:pt>
                <c:pt idx="3137">
                  <c:v>2.601</c:v>
                </c:pt>
                <c:pt idx="3138">
                  <c:v>2.601</c:v>
                </c:pt>
                <c:pt idx="3139">
                  <c:v>2.601</c:v>
                </c:pt>
                <c:pt idx="3140">
                  <c:v>2.601</c:v>
                </c:pt>
                <c:pt idx="3141">
                  <c:v>2.6269999999999998</c:v>
                </c:pt>
                <c:pt idx="3142">
                  <c:v>2.6230000000000002</c:v>
                </c:pt>
                <c:pt idx="3143">
                  <c:v>2.7549999999999999</c:v>
                </c:pt>
                <c:pt idx="3144">
                  <c:v>2.7549999999999999</c:v>
                </c:pt>
                <c:pt idx="3145">
                  <c:v>2.7549999999999999</c:v>
                </c:pt>
                <c:pt idx="3146">
                  <c:v>2.7549999999999999</c:v>
                </c:pt>
                <c:pt idx="3147">
                  <c:v>2.7549999999999999</c:v>
                </c:pt>
                <c:pt idx="3148">
                  <c:v>2.7549999999999999</c:v>
                </c:pt>
                <c:pt idx="3149">
                  <c:v>2.7549999999999999</c:v>
                </c:pt>
                <c:pt idx="3150">
                  <c:v>2.7549999999999999</c:v>
                </c:pt>
                <c:pt idx="3151">
                  <c:v>2.7549999999999999</c:v>
                </c:pt>
                <c:pt idx="3152">
                  <c:v>2.7549999999999999</c:v>
                </c:pt>
                <c:pt idx="3153">
                  <c:v>2.7549999999999999</c:v>
                </c:pt>
                <c:pt idx="3154">
                  <c:v>2.581</c:v>
                </c:pt>
                <c:pt idx="3155">
                  <c:v>2.581</c:v>
                </c:pt>
                <c:pt idx="3156">
                  <c:v>2.58</c:v>
                </c:pt>
                <c:pt idx="3157">
                  <c:v>2.5379999999999998</c:v>
                </c:pt>
                <c:pt idx="3158">
                  <c:v>2.4369999999999998</c:v>
                </c:pt>
                <c:pt idx="3159">
                  <c:v>2.4489999999999998</c:v>
                </c:pt>
                <c:pt idx="3160">
                  <c:v>2.5310000000000001</c:v>
                </c:pt>
                <c:pt idx="3161">
                  <c:v>2.5449999999999999</c:v>
                </c:pt>
                <c:pt idx="3162">
                  <c:v>2.4529999999999998</c:v>
                </c:pt>
                <c:pt idx="3163">
                  <c:v>2.387</c:v>
                </c:pt>
                <c:pt idx="3164">
                  <c:v>2.35</c:v>
                </c:pt>
                <c:pt idx="3165">
                  <c:v>2.387</c:v>
                </c:pt>
                <c:pt idx="3166">
                  <c:v>2.2629999999999999</c:v>
                </c:pt>
                <c:pt idx="3167">
                  <c:v>2.2709999999999999</c:v>
                </c:pt>
                <c:pt idx="3168">
                  <c:v>2.3149999999999999</c:v>
                </c:pt>
                <c:pt idx="3169">
                  <c:v>2.2959999999999998</c:v>
                </c:pt>
                <c:pt idx="3170">
                  <c:v>2.3149999999999999</c:v>
                </c:pt>
                <c:pt idx="3171">
                  <c:v>2.206</c:v>
                </c:pt>
                <c:pt idx="3172">
                  <c:v>2.3250000000000002</c:v>
                </c:pt>
                <c:pt idx="3173">
                  <c:v>2.3410000000000002</c:v>
                </c:pt>
                <c:pt idx="3174">
                  <c:v>2.3879999999999999</c:v>
                </c:pt>
                <c:pt idx="3175">
                  <c:v>2.3839999999999999</c:v>
                </c:pt>
                <c:pt idx="3176">
                  <c:v>2.323</c:v>
                </c:pt>
                <c:pt idx="3177">
                  <c:v>2.331</c:v>
                </c:pt>
                <c:pt idx="3178">
                  <c:v>2.3679999999999999</c:v>
                </c:pt>
                <c:pt idx="3179">
                  <c:v>2.4430000000000001</c:v>
                </c:pt>
                <c:pt idx="3180">
                  <c:v>2.4510000000000001</c:v>
                </c:pt>
                <c:pt idx="3181">
                  <c:v>2.41</c:v>
                </c:pt>
                <c:pt idx="3182">
                  <c:v>2.4209999999999998</c:v>
                </c:pt>
                <c:pt idx="3183">
                  <c:v>2.3929999999999998</c:v>
                </c:pt>
                <c:pt idx="3184">
                  <c:v>2.395</c:v>
                </c:pt>
                <c:pt idx="3185">
                  <c:v>2.423</c:v>
                </c:pt>
                <c:pt idx="3186">
                  <c:v>2.3180000000000001</c:v>
                </c:pt>
                <c:pt idx="3187">
                  <c:v>2.468</c:v>
                </c:pt>
                <c:pt idx="3188">
                  <c:v>2.4340000000000002</c:v>
                </c:pt>
                <c:pt idx="3189">
                  <c:v>2.343</c:v>
                </c:pt>
                <c:pt idx="3190">
                  <c:v>2.42</c:v>
                </c:pt>
                <c:pt idx="3191">
                  <c:v>2.4239999999999999</c:v>
                </c:pt>
                <c:pt idx="3192">
                  <c:v>2.3410000000000002</c:v>
                </c:pt>
                <c:pt idx="3193">
                  <c:v>2.3140000000000001</c:v>
                </c:pt>
                <c:pt idx="3194">
                  <c:v>2.3140000000000001</c:v>
                </c:pt>
                <c:pt idx="3195">
                  <c:v>2.347</c:v>
                </c:pt>
                <c:pt idx="3196">
                  <c:v>2.4500000000000002</c:v>
                </c:pt>
                <c:pt idx="3197">
                  <c:v>2.4369999999999998</c:v>
                </c:pt>
                <c:pt idx="3198">
                  <c:v>2.3479999999999999</c:v>
                </c:pt>
                <c:pt idx="3199">
                  <c:v>2.3140000000000001</c:v>
                </c:pt>
                <c:pt idx="3200">
                  <c:v>2.2829999999999999</c:v>
                </c:pt>
                <c:pt idx="3201">
                  <c:v>2.2930000000000001</c:v>
                </c:pt>
                <c:pt idx="3202">
                  <c:v>2.2839999999999998</c:v>
                </c:pt>
                <c:pt idx="3203">
                  <c:v>2.2530000000000001</c:v>
                </c:pt>
                <c:pt idx="3204">
                  <c:v>2.246</c:v>
                </c:pt>
                <c:pt idx="3205">
                  <c:v>2.31</c:v>
                </c:pt>
                <c:pt idx="3206">
                  <c:v>2.3540000000000001</c:v>
                </c:pt>
                <c:pt idx="3207">
                  <c:v>2.3620000000000001</c:v>
                </c:pt>
                <c:pt idx="3208">
                  <c:v>2.2839999999999998</c:v>
                </c:pt>
                <c:pt idx="3209">
                  <c:v>2.2309999999999999</c:v>
                </c:pt>
                <c:pt idx="3210">
                  <c:v>2.1709999999999998</c:v>
                </c:pt>
                <c:pt idx="3211">
                  <c:v>2.1890000000000001</c:v>
                </c:pt>
                <c:pt idx="3212">
                  <c:v>2.2320000000000002</c:v>
                </c:pt>
                <c:pt idx="3213">
                  <c:v>2.2160000000000002</c:v>
                </c:pt>
                <c:pt idx="3214">
                  <c:v>2.2080000000000002</c:v>
                </c:pt>
                <c:pt idx="3215">
                  <c:v>2.2490000000000001</c:v>
                </c:pt>
                <c:pt idx="3216">
                  <c:v>2.2869999999999999</c:v>
                </c:pt>
                <c:pt idx="3217">
                  <c:v>2.3540000000000001</c:v>
                </c:pt>
                <c:pt idx="3218">
                  <c:v>2.3410000000000002</c:v>
                </c:pt>
                <c:pt idx="3219">
                  <c:v>2.4049999999999998</c:v>
                </c:pt>
                <c:pt idx="3220">
                  <c:v>2.282</c:v>
                </c:pt>
                <c:pt idx="3221">
                  <c:v>2.302</c:v>
                </c:pt>
                <c:pt idx="3222">
                  <c:v>2.363</c:v>
                </c:pt>
                <c:pt idx="3223">
                  <c:v>2.3180000000000001</c:v>
                </c:pt>
                <c:pt idx="3224">
                  <c:v>2.3460000000000001</c:v>
                </c:pt>
                <c:pt idx="3225">
                  <c:v>2.4969999999999999</c:v>
                </c:pt>
                <c:pt idx="3226">
                  <c:v>2.4740000000000002</c:v>
                </c:pt>
                <c:pt idx="3227">
                  <c:v>2.5609999999999999</c:v>
                </c:pt>
                <c:pt idx="3228">
                  <c:v>2.5449999999999999</c:v>
                </c:pt>
                <c:pt idx="3229">
                  <c:v>2.5880000000000001</c:v>
                </c:pt>
                <c:pt idx="3230">
                  <c:v>2.5539999999999998</c:v>
                </c:pt>
                <c:pt idx="3231">
                  <c:v>2.5209999999999999</c:v>
                </c:pt>
                <c:pt idx="3232">
                  <c:v>2.3039999999999998</c:v>
                </c:pt>
                <c:pt idx="3233">
                  <c:v>2.367</c:v>
                </c:pt>
                <c:pt idx="3234">
                  <c:v>2.3260000000000001</c:v>
                </c:pt>
                <c:pt idx="3235">
                  <c:v>2.3730000000000002</c:v>
                </c:pt>
                <c:pt idx="3236">
                  <c:v>2.294</c:v>
                </c:pt>
                <c:pt idx="3237">
                  <c:v>2.29</c:v>
                </c:pt>
                <c:pt idx="3238">
                  <c:v>2.3239999999999998</c:v>
                </c:pt>
                <c:pt idx="3239">
                  <c:v>2.3319999999999999</c:v>
                </c:pt>
                <c:pt idx="3240">
                  <c:v>2.351</c:v>
                </c:pt>
                <c:pt idx="3241">
                  <c:v>2.395</c:v>
                </c:pt>
                <c:pt idx="3242">
                  <c:v>2.403</c:v>
                </c:pt>
                <c:pt idx="3243">
                  <c:v>2.4489999999999998</c:v>
                </c:pt>
                <c:pt idx="3244">
                  <c:v>2.456</c:v>
                </c:pt>
                <c:pt idx="3245">
                  <c:v>2.484</c:v>
                </c:pt>
                <c:pt idx="3246">
                  <c:v>2.5179999999999998</c:v>
                </c:pt>
                <c:pt idx="3247">
                  <c:v>2.4540000000000002</c:v>
                </c:pt>
                <c:pt idx="3248">
                  <c:v>2.3839999999999999</c:v>
                </c:pt>
                <c:pt idx="3249">
                  <c:v>2.3660000000000001</c:v>
                </c:pt>
                <c:pt idx="3250">
                  <c:v>2.3540000000000001</c:v>
                </c:pt>
                <c:pt idx="3251">
                  <c:v>2.367</c:v>
                </c:pt>
                <c:pt idx="3252">
                  <c:v>2.387</c:v>
                </c:pt>
                <c:pt idx="3253">
                  <c:v>2.4180000000000001</c:v>
                </c:pt>
                <c:pt idx="3254">
                  <c:v>2.4180000000000001</c:v>
                </c:pt>
                <c:pt idx="3255">
                  <c:v>2.4510000000000001</c:v>
                </c:pt>
                <c:pt idx="3256">
                  <c:v>2.5169999999999999</c:v>
                </c:pt>
                <c:pt idx="3257">
                  <c:v>2.5110000000000001</c:v>
                </c:pt>
                <c:pt idx="3258">
                  <c:v>2.5219999999999998</c:v>
                </c:pt>
                <c:pt idx="3259">
                  <c:v>2.5110000000000001</c:v>
                </c:pt>
                <c:pt idx="3260">
                  <c:v>2.5329999999999999</c:v>
                </c:pt>
                <c:pt idx="3261">
                  <c:v>2.512</c:v>
                </c:pt>
                <c:pt idx="3262">
                  <c:v>2.5009999999999999</c:v>
                </c:pt>
                <c:pt idx="3263">
                  <c:v>2.488</c:v>
                </c:pt>
                <c:pt idx="3264">
                  <c:v>2.4569999999999999</c:v>
                </c:pt>
                <c:pt idx="3265">
                  <c:v>2.41</c:v>
                </c:pt>
                <c:pt idx="3266">
                  <c:v>2.411</c:v>
                </c:pt>
                <c:pt idx="3267">
                  <c:v>2.4649999999999999</c:v>
                </c:pt>
                <c:pt idx="3268">
                  <c:v>2.4980000000000002</c:v>
                </c:pt>
                <c:pt idx="3269">
                  <c:v>2.492</c:v>
                </c:pt>
                <c:pt idx="3270">
                  <c:v>2.4820000000000002</c:v>
                </c:pt>
                <c:pt idx="3271">
                  <c:v>2.4319999999999999</c:v>
                </c:pt>
                <c:pt idx="3272">
                  <c:v>2.444</c:v>
                </c:pt>
                <c:pt idx="3273">
                  <c:v>2.4950000000000001</c:v>
                </c:pt>
                <c:pt idx="3274">
                  <c:v>2.452</c:v>
                </c:pt>
                <c:pt idx="3275">
                  <c:v>2.4449999999999998</c:v>
                </c:pt>
                <c:pt idx="3276">
                  <c:v>2.5009999999999999</c:v>
                </c:pt>
                <c:pt idx="3277">
                  <c:v>2.536</c:v>
                </c:pt>
                <c:pt idx="3278">
                  <c:v>2.5649999999999999</c:v>
                </c:pt>
                <c:pt idx="3279">
                  <c:v>2.524</c:v>
                </c:pt>
                <c:pt idx="3280">
                  <c:v>2.548</c:v>
                </c:pt>
                <c:pt idx="3281">
                  <c:v>2.5</c:v>
                </c:pt>
                <c:pt idx="3282">
                  <c:v>2.508</c:v>
                </c:pt>
                <c:pt idx="3283">
                  <c:v>2.5019999999999998</c:v>
                </c:pt>
                <c:pt idx="3284">
                  <c:v>2.464</c:v>
                </c:pt>
                <c:pt idx="3285">
                  <c:v>2.4500000000000002</c:v>
                </c:pt>
                <c:pt idx="3286">
                  <c:v>2.4729999999999999</c:v>
                </c:pt>
                <c:pt idx="3287">
                  <c:v>2.5070000000000001</c:v>
                </c:pt>
                <c:pt idx="3288">
                  <c:v>2.5390000000000001</c:v>
                </c:pt>
                <c:pt idx="3289">
                  <c:v>2.5070000000000001</c:v>
                </c:pt>
                <c:pt idx="3290">
                  <c:v>2.516</c:v>
                </c:pt>
                <c:pt idx="3291">
                  <c:v>2.5630000000000002</c:v>
                </c:pt>
                <c:pt idx="3292">
                  <c:v>2.5459999999999998</c:v>
                </c:pt>
                <c:pt idx="3293">
                  <c:v>2.5169999999999999</c:v>
                </c:pt>
                <c:pt idx="3294">
                  <c:v>2.5259999999999998</c:v>
                </c:pt>
                <c:pt idx="3295">
                  <c:v>2.4769999999999999</c:v>
                </c:pt>
                <c:pt idx="3296">
                  <c:v>2.4870000000000001</c:v>
                </c:pt>
                <c:pt idx="3297">
                  <c:v>2.4980000000000002</c:v>
                </c:pt>
                <c:pt idx="3298">
                  <c:v>2.5019999999999998</c:v>
                </c:pt>
                <c:pt idx="3299">
                  <c:v>2.4990000000000001</c:v>
                </c:pt>
                <c:pt idx="3300">
                  <c:v>2.5139999999999998</c:v>
                </c:pt>
                <c:pt idx="3301">
                  <c:v>2.5489999999999999</c:v>
                </c:pt>
                <c:pt idx="3302">
                  <c:v>2.6469999999999998</c:v>
                </c:pt>
                <c:pt idx="3303">
                  <c:v>2.6360000000000001</c:v>
                </c:pt>
                <c:pt idx="3304">
                  <c:v>2.6070000000000002</c:v>
                </c:pt>
                <c:pt idx="3305">
                  <c:v>2.5840000000000001</c:v>
                </c:pt>
                <c:pt idx="3306">
                  <c:v>2.58</c:v>
                </c:pt>
                <c:pt idx="3307">
                  <c:v>2.6110000000000002</c:v>
                </c:pt>
                <c:pt idx="3308">
                  <c:v>2.5609999999999999</c:v>
                </c:pt>
                <c:pt idx="3309">
                  <c:v>2.548</c:v>
                </c:pt>
                <c:pt idx="3310">
                  <c:v>2.548</c:v>
                </c:pt>
                <c:pt idx="3311">
                  <c:v>2.5409999999999999</c:v>
                </c:pt>
                <c:pt idx="3312">
                  <c:v>2.5830000000000002</c:v>
                </c:pt>
                <c:pt idx="3313">
                  <c:v>2.5499999999999998</c:v>
                </c:pt>
                <c:pt idx="3314">
                  <c:v>2.5259999999999998</c:v>
                </c:pt>
                <c:pt idx="3315">
                  <c:v>2.5939999999999999</c:v>
                </c:pt>
                <c:pt idx="3316">
                  <c:v>2.609</c:v>
                </c:pt>
                <c:pt idx="3317">
                  <c:v>2.601</c:v>
                </c:pt>
                <c:pt idx="3318">
                  <c:v>2.6120000000000001</c:v>
                </c:pt>
                <c:pt idx="3319">
                  <c:v>2.6480000000000001</c:v>
                </c:pt>
                <c:pt idx="3320">
                  <c:v>2.6560000000000001</c:v>
                </c:pt>
                <c:pt idx="3321">
                  <c:v>2.6019999999999999</c:v>
                </c:pt>
                <c:pt idx="3322">
                  <c:v>2.613</c:v>
                </c:pt>
                <c:pt idx="3323">
                  <c:v>2.597</c:v>
                </c:pt>
                <c:pt idx="3324">
                  <c:v>2.5870000000000002</c:v>
                </c:pt>
                <c:pt idx="3325">
                  <c:v>2.5979999999999999</c:v>
                </c:pt>
                <c:pt idx="3326">
                  <c:v>2.57</c:v>
                </c:pt>
                <c:pt idx="3327">
                  <c:v>2.5550000000000002</c:v>
                </c:pt>
                <c:pt idx="3328">
                  <c:v>2.5659999999999998</c:v>
                </c:pt>
                <c:pt idx="3329">
                  <c:v>2.5350000000000001</c:v>
                </c:pt>
                <c:pt idx="3330">
                  <c:v>2.5310000000000001</c:v>
                </c:pt>
                <c:pt idx="3331">
                  <c:v>2.5019999999999998</c:v>
                </c:pt>
                <c:pt idx="3332">
                  <c:v>2.496</c:v>
                </c:pt>
                <c:pt idx="3333">
                  <c:v>2.5099999999999998</c:v>
                </c:pt>
                <c:pt idx="3334">
                  <c:v>2.5249999999999999</c:v>
                </c:pt>
                <c:pt idx="3335">
                  <c:v>2.4860000000000002</c:v>
                </c:pt>
                <c:pt idx="3336">
                  <c:v>2.4460000000000002</c:v>
                </c:pt>
                <c:pt idx="3337">
                  <c:v>2.3580000000000001</c:v>
                </c:pt>
                <c:pt idx="3338">
                  <c:v>2.3730000000000002</c:v>
                </c:pt>
                <c:pt idx="3339">
                  <c:v>2.4369999999999998</c:v>
                </c:pt>
                <c:pt idx="3340">
                  <c:v>2.4369999999999998</c:v>
                </c:pt>
                <c:pt idx="3341">
                  <c:v>2.468</c:v>
                </c:pt>
                <c:pt idx="3342">
                  <c:v>2.4870000000000001</c:v>
                </c:pt>
                <c:pt idx="3343">
                  <c:v>2.4870000000000001</c:v>
                </c:pt>
                <c:pt idx="3344">
                  <c:v>2.5049999999999999</c:v>
                </c:pt>
                <c:pt idx="3345">
                  <c:v>0</c:v>
                </c:pt>
                <c:pt idx="3346">
                  <c:v>0</c:v>
                </c:pt>
                <c:pt idx="3347">
                  <c:v>0</c:v>
                </c:pt>
                <c:pt idx="3348">
                  <c:v>0</c:v>
                </c:pt>
                <c:pt idx="3349">
                  <c:v>0</c:v>
                </c:pt>
                <c:pt idx="3350">
                  <c:v>0</c:v>
                </c:pt>
                <c:pt idx="3351">
                  <c:v>0</c:v>
                </c:pt>
                <c:pt idx="3352">
                  <c:v>0</c:v>
                </c:pt>
                <c:pt idx="3353">
                  <c:v>0</c:v>
                </c:pt>
                <c:pt idx="3354">
                  <c:v>0</c:v>
                </c:pt>
                <c:pt idx="3355">
                  <c:v>0</c:v>
                </c:pt>
                <c:pt idx="3356">
                  <c:v>0</c:v>
                </c:pt>
                <c:pt idx="3357">
                  <c:v>0</c:v>
                </c:pt>
                <c:pt idx="3358">
                  <c:v>0</c:v>
                </c:pt>
                <c:pt idx="3359">
                  <c:v>0</c:v>
                </c:pt>
                <c:pt idx="3360">
                  <c:v>0</c:v>
                </c:pt>
                <c:pt idx="3361">
                  <c:v>0</c:v>
                </c:pt>
                <c:pt idx="3362">
                  <c:v>0</c:v>
                </c:pt>
                <c:pt idx="3363">
                  <c:v>0</c:v>
                </c:pt>
                <c:pt idx="3364">
                  <c:v>0</c:v>
                </c:pt>
                <c:pt idx="3365">
                  <c:v>0</c:v>
                </c:pt>
                <c:pt idx="3366">
                  <c:v>0</c:v>
                </c:pt>
                <c:pt idx="3367">
                  <c:v>0</c:v>
                </c:pt>
                <c:pt idx="3368">
                  <c:v>0</c:v>
                </c:pt>
                <c:pt idx="3369">
                  <c:v>0</c:v>
                </c:pt>
                <c:pt idx="3370">
                  <c:v>0</c:v>
                </c:pt>
                <c:pt idx="3371">
                  <c:v>0</c:v>
                </c:pt>
                <c:pt idx="3372">
                  <c:v>0</c:v>
                </c:pt>
                <c:pt idx="3373">
                  <c:v>0</c:v>
                </c:pt>
                <c:pt idx="3374">
                  <c:v>0</c:v>
                </c:pt>
                <c:pt idx="3375">
                  <c:v>0</c:v>
                </c:pt>
                <c:pt idx="3376">
                  <c:v>0</c:v>
                </c:pt>
                <c:pt idx="3377">
                  <c:v>0</c:v>
                </c:pt>
                <c:pt idx="3378">
                  <c:v>0</c:v>
                </c:pt>
                <c:pt idx="3379">
                  <c:v>0</c:v>
                </c:pt>
                <c:pt idx="3380">
                  <c:v>0</c:v>
                </c:pt>
                <c:pt idx="3381">
                  <c:v>0</c:v>
                </c:pt>
                <c:pt idx="3382">
                  <c:v>0</c:v>
                </c:pt>
                <c:pt idx="3383">
                  <c:v>0</c:v>
                </c:pt>
                <c:pt idx="3384">
                  <c:v>0</c:v>
                </c:pt>
                <c:pt idx="3385">
                  <c:v>0</c:v>
                </c:pt>
                <c:pt idx="3386">
                  <c:v>0</c:v>
                </c:pt>
                <c:pt idx="3387">
                  <c:v>0</c:v>
                </c:pt>
                <c:pt idx="3388">
                  <c:v>0</c:v>
                </c:pt>
                <c:pt idx="3389">
                  <c:v>0</c:v>
                </c:pt>
                <c:pt idx="3390">
                  <c:v>0</c:v>
                </c:pt>
                <c:pt idx="3391">
                  <c:v>0</c:v>
                </c:pt>
                <c:pt idx="3392">
                  <c:v>0</c:v>
                </c:pt>
                <c:pt idx="3393">
                  <c:v>0</c:v>
                </c:pt>
                <c:pt idx="3394">
                  <c:v>0</c:v>
                </c:pt>
                <c:pt idx="3395">
                  <c:v>0</c:v>
                </c:pt>
                <c:pt idx="3396">
                  <c:v>0</c:v>
                </c:pt>
                <c:pt idx="3397">
                  <c:v>0</c:v>
                </c:pt>
                <c:pt idx="3398">
                  <c:v>0</c:v>
                </c:pt>
                <c:pt idx="3399">
                  <c:v>0</c:v>
                </c:pt>
                <c:pt idx="3400">
                  <c:v>0</c:v>
                </c:pt>
                <c:pt idx="3401">
                  <c:v>0</c:v>
                </c:pt>
                <c:pt idx="3402">
                  <c:v>0</c:v>
                </c:pt>
                <c:pt idx="3403">
                  <c:v>0</c:v>
                </c:pt>
                <c:pt idx="3404">
                  <c:v>0</c:v>
                </c:pt>
                <c:pt idx="3405">
                  <c:v>0</c:v>
                </c:pt>
                <c:pt idx="3406">
                  <c:v>0</c:v>
                </c:pt>
                <c:pt idx="3407">
                  <c:v>0</c:v>
                </c:pt>
                <c:pt idx="3408">
                  <c:v>0</c:v>
                </c:pt>
                <c:pt idx="3409">
                  <c:v>0</c:v>
                </c:pt>
                <c:pt idx="3410">
                  <c:v>0</c:v>
                </c:pt>
                <c:pt idx="3411">
                  <c:v>0</c:v>
                </c:pt>
                <c:pt idx="3412">
                  <c:v>0</c:v>
                </c:pt>
                <c:pt idx="3413">
                  <c:v>0</c:v>
                </c:pt>
                <c:pt idx="3414">
                  <c:v>0</c:v>
                </c:pt>
                <c:pt idx="3415">
                  <c:v>0</c:v>
                </c:pt>
                <c:pt idx="3416">
                  <c:v>0</c:v>
                </c:pt>
                <c:pt idx="3417">
                  <c:v>0</c:v>
                </c:pt>
                <c:pt idx="3418">
                  <c:v>0</c:v>
                </c:pt>
                <c:pt idx="3419">
                  <c:v>0</c:v>
                </c:pt>
                <c:pt idx="3420">
                  <c:v>0</c:v>
                </c:pt>
                <c:pt idx="3421">
                  <c:v>0</c:v>
                </c:pt>
                <c:pt idx="3422">
                  <c:v>0</c:v>
                </c:pt>
                <c:pt idx="3423">
                  <c:v>0</c:v>
                </c:pt>
                <c:pt idx="3424">
                  <c:v>0</c:v>
                </c:pt>
                <c:pt idx="3425">
                  <c:v>0</c:v>
                </c:pt>
                <c:pt idx="3426">
                  <c:v>0</c:v>
                </c:pt>
                <c:pt idx="3427">
                  <c:v>0</c:v>
                </c:pt>
                <c:pt idx="3428">
                  <c:v>0</c:v>
                </c:pt>
                <c:pt idx="3429">
                  <c:v>0</c:v>
                </c:pt>
                <c:pt idx="3430">
                  <c:v>0</c:v>
                </c:pt>
                <c:pt idx="3431">
                  <c:v>0</c:v>
                </c:pt>
                <c:pt idx="3432">
                  <c:v>0</c:v>
                </c:pt>
                <c:pt idx="3433">
                  <c:v>0</c:v>
                </c:pt>
                <c:pt idx="3434">
                  <c:v>0</c:v>
                </c:pt>
                <c:pt idx="3435">
                  <c:v>0</c:v>
                </c:pt>
                <c:pt idx="3436">
                  <c:v>0</c:v>
                </c:pt>
                <c:pt idx="3437">
                  <c:v>0</c:v>
                </c:pt>
                <c:pt idx="3438">
                  <c:v>0</c:v>
                </c:pt>
                <c:pt idx="3439">
                  <c:v>0</c:v>
                </c:pt>
                <c:pt idx="3440">
                  <c:v>0</c:v>
                </c:pt>
                <c:pt idx="3441">
                  <c:v>0</c:v>
                </c:pt>
                <c:pt idx="3442">
                  <c:v>0</c:v>
                </c:pt>
                <c:pt idx="3443">
                  <c:v>0</c:v>
                </c:pt>
                <c:pt idx="3444">
                  <c:v>0</c:v>
                </c:pt>
                <c:pt idx="3445">
                  <c:v>0</c:v>
                </c:pt>
                <c:pt idx="3446">
                  <c:v>0</c:v>
                </c:pt>
                <c:pt idx="3447">
                  <c:v>0</c:v>
                </c:pt>
                <c:pt idx="3448">
                  <c:v>0</c:v>
                </c:pt>
                <c:pt idx="3449">
                  <c:v>0</c:v>
                </c:pt>
                <c:pt idx="3450">
                  <c:v>0</c:v>
                </c:pt>
                <c:pt idx="3451">
                  <c:v>0</c:v>
                </c:pt>
                <c:pt idx="3452">
                  <c:v>0</c:v>
                </c:pt>
                <c:pt idx="3453">
                  <c:v>0</c:v>
                </c:pt>
                <c:pt idx="3454">
                  <c:v>0</c:v>
                </c:pt>
                <c:pt idx="3455">
                  <c:v>0</c:v>
                </c:pt>
                <c:pt idx="3456">
                  <c:v>0</c:v>
                </c:pt>
                <c:pt idx="3457">
                  <c:v>0</c:v>
                </c:pt>
                <c:pt idx="3458">
                  <c:v>0</c:v>
                </c:pt>
                <c:pt idx="3459">
                  <c:v>0</c:v>
                </c:pt>
                <c:pt idx="3460">
                  <c:v>0</c:v>
                </c:pt>
                <c:pt idx="3461">
                  <c:v>0</c:v>
                </c:pt>
                <c:pt idx="3462">
                  <c:v>0</c:v>
                </c:pt>
                <c:pt idx="3463">
                  <c:v>0</c:v>
                </c:pt>
                <c:pt idx="3464">
                  <c:v>0</c:v>
                </c:pt>
                <c:pt idx="3465">
                  <c:v>0</c:v>
                </c:pt>
                <c:pt idx="3466">
                  <c:v>0</c:v>
                </c:pt>
                <c:pt idx="3467">
                  <c:v>0</c:v>
                </c:pt>
                <c:pt idx="3468">
                  <c:v>0</c:v>
                </c:pt>
                <c:pt idx="3469">
                  <c:v>0</c:v>
                </c:pt>
                <c:pt idx="3470">
                  <c:v>0</c:v>
                </c:pt>
                <c:pt idx="3471">
                  <c:v>0</c:v>
                </c:pt>
                <c:pt idx="3472">
                  <c:v>0</c:v>
                </c:pt>
                <c:pt idx="3473">
                  <c:v>0</c:v>
                </c:pt>
                <c:pt idx="3474">
                  <c:v>0</c:v>
                </c:pt>
                <c:pt idx="3475">
                  <c:v>0</c:v>
                </c:pt>
                <c:pt idx="3476">
                  <c:v>0</c:v>
                </c:pt>
                <c:pt idx="3477">
                  <c:v>0</c:v>
                </c:pt>
                <c:pt idx="3478">
                  <c:v>0</c:v>
                </c:pt>
                <c:pt idx="3479">
                  <c:v>0</c:v>
                </c:pt>
                <c:pt idx="3480">
                  <c:v>0</c:v>
                </c:pt>
                <c:pt idx="3481">
                  <c:v>0</c:v>
                </c:pt>
                <c:pt idx="3482">
                  <c:v>0</c:v>
                </c:pt>
                <c:pt idx="3483">
                  <c:v>0</c:v>
                </c:pt>
                <c:pt idx="3484">
                  <c:v>0</c:v>
                </c:pt>
                <c:pt idx="3485">
                  <c:v>0</c:v>
                </c:pt>
                <c:pt idx="3486">
                  <c:v>0</c:v>
                </c:pt>
                <c:pt idx="3487">
                  <c:v>0</c:v>
                </c:pt>
                <c:pt idx="3488">
                  <c:v>0</c:v>
                </c:pt>
                <c:pt idx="3489">
                  <c:v>0</c:v>
                </c:pt>
                <c:pt idx="3490">
                  <c:v>0</c:v>
                </c:pt>
                <c:pt idx="3491">
                  <c:v>0</c:v>
                </c:pt>
                <c:pt idx="3492">
                  <c:v>0</c:v>
                </c:pt>
                <c:pt idx="3493">
                  <c:v>0</c:v>
                </c:pt>
                <c:pt idx="3494">
                  <c:v>0</c:v>
                </c:pt>
                <c:pt idx="3495">
                  <c:v>0</c:v>
                </c:pt>
                <c:pt idx="3496">
                  <c:v>0</c:v>
                </c:pt>
                <c:pt idx="3497">
                  <c:v>0</c:v>
                </c:pt>
                <c:pt idx="3498">
                  <c:v>0</c:v>
                </c:pt>
                <c:pt idx="3499">
                  <c:v>0</c:v>
                </c:pt>
                <c:pt idx="3500">
                  <c:v>0</c:v>
                </c:pt>
                <c:pt idx="3501">
                  <c:v>0</c:v>
                </c:pt>
                <c:pt idx="3502">
                  <c:v>0</c:v>
                </c:pt>
                <c:pt idx="3503">
                  <c:v>0</c:v>
                </c:pt>
                <c:pt idx="3504">
                  <c:v>0</c:v>
                </c:pt>
                <c:pt idx="3505">
                  <c:v>0</c:v>
                </c:pt>
                <c:pt idx="3506">
                  <c:v>0</c:v>
                </c:pt>
                <c:pt idx="3507">
                  <c:v>0</c:v>
                </c:pt>
                <c:pt idx="3508">
                  <c:v>0</c:v>
                </c:pt>
                <c:pt idx="3509">
                  <c:v>0</c:v>
                </c:pt>
                <c:pt idx="3510">
                  <c:v>0</c:v>
                </c:pt>
                <c:pt idx="3511">
                  <c:v>0</c:v>
                </c:pt>
                <c:pt idx="3512">
                  <c:v>0</c:v>
                </c:pt>
                <c:pt idx="3513">
                  <c:v>0</c:v>
                </c:pt>
                <c:pt idx="3514">
                  <c:v>0</c:v>
                </c:pt>
                <c:pt idx="3515">
                  <c:v>0</c:v>
                </c:pt>
                <c:pt idx="3516">
                  <c:v>0</c:v>
                </c:pt>
                <c:pt idx="3517">
                  <c:v>0</c:v>
                </c:pt>
                <c:pt idx="3518">
                  <c:v>0</c:v>
                </c:pt>
                <c:pt idx="3519">
                  <c:v>0</c:v>
                </c:pt>
                <c:pt idx="3520">
                  <c:v>0</c:v>
                </c:pt>
                <c:pt idx="3521">
                  <c:v>0</c:v>
                </c:pt>
                <c:pt idx="3522">
                  <c:v>0</c:v>
                </c:pt>
                <c:pt idx="3523">
                  <c:v>0</c:v>
                </c:pt>
                <c:pt idx="3524">
                  <c:v>0</c:v>
                </c:pt>
                <c:pt idx="3525">
                  <c:v>0</c:v>
                </c:pt>
                <c:pt idx="3526">
                  <c:v>0</c:v>
                </c:pt>
                <c:pt idx="3527">
                  <c:v>0</c:v>
                </c:pt>
                <c:pt idx="3528">
                  <c:v>0</c:v>
                </c:pt>
                <c:pt idx="3529">
                  <c:v>0</c:v>
                </c:pt>
                <c:pt idx="3530">
                  <c:v>0</c:v>
                </c:pt>
                <c:pt idx="3531">
                  <c:v>0</c:v>
                </c:pt>
                <c:pt idx="3532">
                  <c:v>0</c:v>
                </c:pt>
                <c:pt idx="3533">
                  <c:v>0</c:v>
                </c:pt>
                <c:pt idx="3534">
                  <c:v>0</c:v>
                </c:pt>
                <c:pt idx="3535">
                  <c:v>0</c:v>
                </c:pt>
                <c:pt idx="3536">
                  <c:v>0</c:v>
                </c:pt>
                <c:pt idx="3537">
                  <c:v>0</c:v>
                </c:pt>
                <c:pt idx="3538">
                  <c:v>0</c:v>
                </c:pt>
                <c:pt idx="3539">
                  <c:v>0</c:v>
                </c:pt>
                <c:pt idx="3540">
                  <c:v>0</c:v>
                </c:pt>
                <c:pt idx="3541">
                  <c:v>0</c:v>
                </c:pt>
                <c:pt idx="3542">
                  <c:v>0</c:v>
                </c:pt>
                <c:pt idx="3543">
                  <c:v>0</c:v>
                </c:pt>
                <c:pt idx="3544">
                  <c:v>0</c:v>
                </c:pt>
                <c:pt idx="3545">
                  <c:v>0</c:v>
                </c:pt>
                <c:pt idx="3546">
                  <c:v>0</c:v>
                </c:pt>
                <c:pt idx="3547">
                  <c:v>0</c:v>
                </c:pt>
                <c:pt idx="3548">
                  <c:v>0</c:v>
                </c:pt>
                <c:pt idx="3549">
                  <c:v>0</c:v>
                </c:pt>
                <c:pt idx="3550">
                  <c:v>0</c:v>
                </c:pt>
                <c:pt idx="3551">
                  <c:v>0</c:v>
                </c:pt>
                <c:pt idx="3552">
                  <c:v>0</c:v>
                </c:pt>
                <c:pt idx="3553">
                  <c:v>0</c:v>
                </c:pt>
                <c:pt idx="3554">
                  <c:v>0</c:v>
                </c:pt>
                <c:pt idx="3555">
                  <c:v>0</c:v>
                </c:pt>
                <c:pt idx="3556">
                  <c:v>0</c:v>
                </c:pt>
                <c:pt idx="3557">
                  <c:v>0</c:v>
                </c:pt>
                <c:pt idx="3558">
                  <c:v>0</c:v>
                </c:pt>
                <c:pt idx="3559">
                  <c:v>0</c:v>
                </c:pt>
                <c:pt idx="3560">
                  <c:v>0</c:v>
                </c:pt>
                <c:pt idx="3561">
                  <c:v>0</c:v>
                </c:pt>
                <c:pt idx="3562">
                  <c:v>0</c:v>
                </c:pt>
                <c:pt idx="3563">
                  <c:v>0</c:v>
                </c:pt>
                <c:pt idx="3564">
                  <c:v>0</c:v>
                </c:pt>
                <c:pt idx="3565">
                  <c:v>0</c:v>
                </c:pt>
                <c:pt idx="3566">
                  <c:v>0</c:v>
                </c:pt>
                <c:pt idx="3567">
                  <c:v>0</c:v>
                </c:pt>
                <c:pt idx="3568">
                  <c:v>0</c:v>
                </c:pt>
                <c:pt idx="3569">
                  <c:v>0</c:v>
                </c:pt>
                <c:pt idx="3570">
                  <c:v>0</c:v>
                </c:pt>
                <c:pt idx="3571">
                  <c:v>0</c:v>
                </c:pt>
                <c:pt idx="3572">
                  <c:v>0</c:v>
                </c:pt>
                <c:pt idx="3573">
                  <c:v>0</c:v>
                </c:pt>
                <c:pt idx="3574">
                  <c:v>0</c:v>
                </c:pt>
                <c:pt idx="3575">
                  <c:v>0</c:v>
                </c:pt>
                <c:pt idx="3576">
                  <c:v>0</c:v>
                </c:pt>
                <c:pt idx="3577">
                  <c:v>0</c:v>
                </c:pt>
                <c:pt idx="3578">
                  <c:v>0</c:v>
                </c:pt>
                <c:pt idx="3579">
                  <c:v>0</c:v>
                </c:pt>
                <c:pt idx="3580">
                  <c:v>0</c:v>
                </c:pt>
                <c:pt idx="3581">
                  <c:v>0</c:v>
                </c:pt>
                <c:pt idx="3582">
                  <c:v>0</c:v>
                </c:pt>
                <c:pt idx="3583">
                  <c:v>0</c:v>
                </c:pt>
                <c:pt idx="3584">
                  <c:v>0</c:v>
                </c:pt>
                <c:pt idx="3585">
                  <c:v>0</c:v>
                </c:pt>
                <c:pt idx="3586">
                  <c:v>0</c:v>
                </c:pt>
                <c:pt idx="3587">
                  <c:v>0</c:v>
                </c:pt>
                <c:pt idx="3588">
                  <c:v>0</c:v>
                </c:pt>
                <c:pt idx="3589">
                  <c:v>0</c:v>
                </c:pt>
                <c:pt idx="3590">
                  <c:v>0</c:v>
                </c:pt>
                <c:pt idx="3591">
                  <c:v>0</c:v>
                </c:pt>
                <c:pt idx="3592">
                  <c:v>0</c:v>
                </c:pt>
                <c:pt idx="3593">
                  <c:v>0</c:v>
                </c:pt>
                <c:pt idx="3594">
                  <c:v>0</c:v>
                </c:pt>
                <c:pt idx="3595">
                  <c:v>0</c:v>
                </c:pt>
                <c:pt idx="3596">
                  <c:v>0</c:v>
                </c:pt>
                <c:pt idx="3597">
                  <c:v>0</c:v>
                </c:pt>
                <c:pt idx="3598">
                  <c:v>0</c:v>
                </c:pt>
                <c:pt idx="3599">
                  <c:v>0</c:v>
                </c:pt>
                <c:pt idx="3600">
                  <c:v>0</c:v>
                </c:pt>
                <c:pt idx="3601">
                  <c:v>0</c:v>
                </c:pt>
                <c:pt idx="3602">
                  <c:v>0</c:v>
                </c:pt>
                <c:pt idx="3603">
                  <c:v>0</c:v>
                </c:pt>
                <c:pt idx="3604">
                  <c:v>0</c:v>
                </c:pt>
                <c:pt idx="3605">
                  <c:v>0</c:v>
                </c:pt>
                <c:pt idx="3606">
                  <c:v>0</c:v>
                </c:pt>
                <c:pt idx="3607">
                  <c:v>0</c:v>
                </c:pt>
                <c:pt idx="3608">
                  <c:v>0</c:v>
                </c:pt>
                <c:pt idx="3609">
                  <c:v>0</c:v>
                </c:pt>
                <c:pt idx="3610">
                  <c:v>0</c:v>
                </c:pt>
                <c:pt idx="3611">
                  <c:v>0</c:v>
                </c:pt>
                <c:pt idx="3612">
                  <c:v>0</c:v>
                </c:pt>
                <c:pt idx="3613">
                  <c:v>0</c:v>
                </c:pt>
                <c:pt idx="3614">
                  <c:v>0</c:v>
                </c:pt>
                <c:pt idx="3615">
                  <c:v>0</c:v>
                </c:pt>
                <c:pt idx="3616">
                  <c:v>0</c:v>
                </c:pt>
                <c:pt idx="3617">
                  <c:v>0</c:v>
                </c:pt>
                <c:pt idx="3618">
                  <c:v>0</c:v>
                </c:pt>
                <c:pt idx="3619">
                  <c:v>0</c:v>
                </c:pt>
                <c:pt idx="3620">
                  <c:v>0</c:v>
                </c:pt>
                <c:pt idx="3621">
                  <c:v>0</c:v>
                </c:pt>
                <c:pt idx="3622">
                  <c:v>0</c:v>
                </c:pt>
                <c:pt idx="3623">
                  <c:v>0</c:v>
                </c:pt>
                <c:pt idx="3624">
                  <c:v>0</c:v>
                </c:pt>
                <c:pt idx="3625">
                  <c:v>0</c:v>
                </c:pt>
                <c:pt idx="3626">
                  <c:v>0</c:v>
                </c:pt>
                <c:pt idx="3627">
                  <c:v>0</c:v>
                </c:pt>
                <c:pt idx="3628">
                  <c:v>0</c:v>
                </c:pt>
                <c:pt idx="3629">
                  <c:v>0</c:v>
                </c:pt>
                <c:pt idx="3630">
                  <c:v>0</c:v>
                </c:pt>
                <c:pt idx="3631">
                  <c:v>0</c:v>
                </c:pt>
                <c:pt idx="3632">
                  <c:v>0</c:v>
                </c:pt>
                <c:pt idx="3633">
                  <c:v>0</c:v>
                </c:pt>
                <c:pt idx="3634">
                  <c:v>0</c:v>
                </c:pt>
                <c:pt idx="3635">
                  <c:v>0</c:v>
                </c:pt>
                <c:pt idx="3636">
                  <c:v>0</c:v>
                </c:pt>
                <c:pt idx="3637">
                  <c:v>0</c:v>
                </c:pt>
                <c:pt idx="3638">
                  <c:v>0</c:v>
                </c:pt>
                <c:pt idx="3639">
                  <c:v>0</c:v>
                </c:pt>
                <c:pt idx="3640">
                  <c:v>0</c:v>
                </c:pt>
                <c:pt idx="3641">
                  <c:v>0</c:v>
                </c:pt>
                <c:pt idx="3642">
                  <c:v>0</c:v>
                </c:pt>
                <c:pt idx="3643">
                  <c:v>0</c:v>
                </c:pt>
                <c:pt idx="3644">
                  <c:v>0</c:v>
                </c:pt>
                <c:pt idx="3645">
                  <c:v>0</c:v>
                </c:pt>
                <c:pt idx="3646">
                  <c:v>0</c:v>
                </c:pt>
                <c:pt idx="3647">
                  <c:v>0</c:v>
                </c:pt>
                <c:pt idx="3648">
                  <c:v>0</c:v>
                </c:pt>
                <c:pt idx="3649">
                  <c:v>0</c:v>
                </c:pt>
                <c:pt idx="3650">
                  <c:v>0</c:v>
                </c:pt>
              </c:numCache>
            </c:numRef>
          </c:val>
          <c:smooth val="0"/>
          <c:extLst>
            <c:ext xmlns:c16="http://schemas.microsoft.com/office/drawing/2014/chart" uri="{C3380CC4-5D6E-409C-BE32-E72D297353CC}">
              <c16:uniqueId val="{00000000-5B40-4C57-9C52-F12B07C5FA73}"/>
            </c:ext>
          </c:extLst>
        </c:ser>
        <c:ser>
          <c:idx val="1"/>
          <c:order val="1"/>
          <c:tx>
            <c:strRef>
              <c:f>Hárok1!$C$1</c:f>
              <c:strCache>
                <c:ptCount val="1"/>
                <c:pt idx="0">
                  <c:v>riziková prirážka na 10-ročný dlhopis SK</c:v>
                </c:pt>
              </c:strCache>
            </c:strRef>
          </c:tx>
          <c:spPr>
            <a:ln w="28575" cap="rnd">
              <a:solidFill>
                <a:srgbClr val="FF0000"/>
              </a:solidFill>
              <a:round/>
            </a:ln>
            <a:effectLst/>
          </c:spPr>
          <c:marker>
            <c:symbol val="none"/>
          </c:marker>
          <c:cat>
            <c:numRef>
              <c:f>Hárok1!$A$2:$A$3652</c:f>
              <c:numCache>
                <c:formatCode>m/d/yyyy</c:formatCode>
                <c:ptCount val="3651"/>
                <c:pt idx="0">
                  <c:v>45289</c:v>
                </c:pt>
                <c:pt idx="1">
                  <c:v>45288</c:v>
                </c:pt>
                <c:pt idx="2">
                  <c:v>45287</c:v>
                </c:pt>
                <c:pt idx="3">
                  <c:v>45286</c:v>
                </c:pt>
                <c:pt idx="4">
                  <c:v>45285</c:v>
                </c:pt>
                <c:pt idx="5">
                  <c:v>45282</c:v>
                </c:pt>
                <c:pt idx="6">
                  <c:v>45281</c:v>
                </c:pt>
                <c:pt idx="7">
                  <c:v>45280</c:v>
                </c:pt>
                <c:pt idx="8">
                  <c:v>45279</c:v>
                </c:pt>
                <c:pt idx="9">
                  <c:v>45278</c:v>
                </c:pt>
                <c:pt idx="10">
                  <c:v>45275</c:v>
                </c:pt>
                <c:pt idx="11">
                  <c:v>45274</c:v>
                </c:pt>
                <c:pt idx="12">
                  <c:v>45273</c:v>
                </c:pt>
                <c:pt idx="13">
                  <c:v>45272</c:v>
                </c:pt>
                <c:pt idx="14">
                  <c:v>45271</c:v>
                </c:pt>
                <c:pt idx="15">
                  <c:v>45268</c:v>
                </c:pt>
                <c:pt idx="16">
                  <c:v>45267</c:v>
                </c:pt>
                <c:pt idx="17">
                  <c:v>45266</c:v>
                </c:pt>
                <c:pt idx="18">
                  <c:v>45265</c:v>
                </c:pt>
                <c:pt idx="19">
                  <c:v>45264</c:v>
                </c:pt>
                <c:pt idx="20">
                  <c:v>45261</c:v>
                </c:pt>
                <c:pt idx="21">
                  <c:v>45260</c:v>
                </c:pt>
                <c:pt idx="22">
                  <c:v>45259</c:v>
                </c:pt>
                <c:pt idx="23">
                  <c:v>45258</c:v>
                </c:pt>
                <c:pt idx="24">
                  <c:v>45257</c:v>
                </c:pt>
                <c:pt idx="25">
                  <c:v>45254</c:v>
                </c:pt>
                <c:pt idx="26">
                  <c:v>45253</c:v>
                </c:pt>
                <c:pt idx="27">
                  <c:v>45252</c:v>
                </c:pt>
                <c:pt idx="28">
                  <c:v>45251</c:v>
                </c:pt>
                <c:pt idx="29">
                  <c:v>45250</c:v>
                </c:pt>
                <c:pt idx="30">
                  <c:v>45247</c:v>
                </c:pt>
                <c:pt idx="31">
                  <c:v>45246</c:v>
                </c:pt>
                <c:pt idx="32">
                  <c:v>45245</c:v>
                </c:pt>
                <c:pt idx="33">
                  <c:v>45244</c:v>
                </c:pt>
                <c:pt idx="34">
                  <c:v>45243</c:v>
                </c:pt>
                <c:pt idx="35">
                  <c:v>45240</c:v>
                </c:pt>
                <c:pt idx="36">
                  <c:v>45239</c:v>
                </c:pt>
                <c:pt idx="37">
                  <c:v>45238</c:v>
                </c:pt>
                <c:pt idx="38">
                  <c:v>45237</c:v>
                </c:pt>
                <c:pt idx="39">
                  <c:v>45236</c:v>
                </c:pt>
                <c:pt idx="40">
                  <c:v>45233</c:v>
                </c:pt>
                <c:pt idx="41">
                  <c:v>45232</c:v>
                </c:pt>
                <c:pt idx="42">
                  <c:v>45231</c:v>
                </c:pt>
                <c:pt idx="43">
                  <c:v>45230</c:v>
                </c:pt>
                <c:pt idx="44">
                  <c:v>45229</c:v>
                </c:pt>
                <c:pt idx="45">
                  <c:v>45226</c:v>
                </c:pt>
                <c:pt idx="46">
                  <c:v>45225</c:v>
                </c:pt>
                <c:pt idx="47">
                  <c:v>45224</c:v>
                </c:pt>
                <c:pt idx="48">
                  <c:v>45223</c:v>
                </c:pt>
                <c:pt idx="49">
                  <c:v>45222</c:v>
                </c:pt>
                <c:pt idx="50">
                  <c:v>45219</c:v>
                </c:pt>
                <c:pt idx="51">
                  <c:v>45218</c:v>
                </c:pt>
                <c:pt idx="52">
                  <c:v>45217</c:v>
                </c:pt>
                <c:pt idx="53">
                  <c:v>45216</c:v>
                </c:pt>
                <c:pt idx="54">
                  <c:v>45215</c:v>
                </c:pt>
                <c:pt idx="55">
                  <c:v>45212</c:v>
                </c:pt>
                <c:pt idx="56">
                  <c:v>45211</c:v>
                </c:pt>
                <c:pt idx="57">
                  <c:v>45210</c:v>
                </c:pt>
                <c:pt idx="58">
                  <c:v>45209</c:v>
                </c:pt>
                <c:pt idx="59">
                  <c:v>45208</c:v>
                </c:pt>
                <c:pt idx="60">
                  <c:v>45205</c:v>
                </c:pt>
                <c:pt idx="61">
                  <c:v>45204</c:v>
                </c:pt>
                <c:pt idx="62">
                  <c:v>45203</c:v>
                </c:pt>
                <c:pt idx="63">
                  <c:v>45202</c:v>
                </c:pt>
                <c:pt idx="64">
                  <c:v>45201</c:v>
                </c:pt>
                <c:pt idx="65">
                  <c:v>45198</c:v>
                </c:pt>
                <c:pt idx="66">
                  <c:v>45197</c:v>
                </c:pt>
                <c:pt idx="67">
                  <c:v>45196</c:v>
                </c:pt>
                <c:pt idx="68">
                  <c:v>45195</c:v>
                </c:pt>
                <c:pt idx="69">
                  <c:v>45194</c:v>
                </c:pt>
                <c:pt idx="70">
                  <c:v>45191</c:v>
                </c:pt>
                <c:pt idx="71">
                  <c:v>45190</c:v>
                </c:pt>
                <c:pt idx="72">
                  <c:v>45189</c:v>
                </c:pt>
                <c:pt idx="73">
                  <c:v>45188</c:v>
                </c:pt>
                <c:pt idx="74">
                  <c:v>45187</c:v>
                </c:pt>
                <c:pt idx="75">
                  <c:v>45184</c:v>
                </c:pt>
                <c:pt idx="76">
                  <c:v>45183</c:v>
                </c:pt>
                <c:pt idx="77">
                  <c:v>45182</c:v>
                </c:pt>
                <c:pt idx="78">
                  <c:v>45181</c:v>
                </c:pt>
                <c:pt idx="79">
                  <c:v>45180</c:v>
                </c:pt>
                <c:pt idx="80">
                  <c:v>45177</c:v>
                </c:pt>
                <c:pt idx="81">
                  <c:v>45176</c:v>
                </c:pt>
                <c:pt idx="82">
                  <c:v>45175</c:v>
                </c:pt>
                <c:pt idx="83">
                  <c:v>45174</c:v>
                </c:pt>
                <c:pt idx="84">
                  <c:v>45173</c:v>
                </c:pt>
                <c:pt idx="85">
                  <c:v>45170</c:v>
                </c:pt>
                <c:pt idx="86">
                  <c:v>45169</c:v>
                </c:pt>
                <c:pt idx="87">
                  <c:v>45168</c:v>
                </c:pt>
                <c:pt idx="88">
                  <c:v>45167</c:v>
                </c:pt>
                <c:pt idx="89">
                  <c:v>45166</c:v>
                </c:pt>
                <c:pt idx="90">
                  <c:v>45163</c:v>
                </c:pt>
                <c:pt idx="91">
                  <c:v>45162</c:v>
                </c:pt>
                <c:pt idx="92">
                  <c:v>45161</c:v>
                </c:pt>
                <c:pt idx="93">
                  <c:v>45160</c:v>
                </c:pt>
                <c:pt idx="94">
                  <c:v>45159</c:v>
                </c:pt>
                <c:pt idx="95">
                  <c:v>45156</c:v>
                </c:pt>
                <c:pt idx="96">
                  <c:v>45155</c:v>
                </c:pt>
                <c:pt idx="97">
                  <c:v>45154</c:v>
                </c:pt>
                <c:pt idx="98">
                  <c:v>45153</c:v>
                </c:pt>
                <c:pt idx="99">
                  <c:v>45152</c:v>
                </c:pt>
                <c:pt idx="100">
                  <c:v>45149</c:v>
                </c:pt>
                <c:pt idx="101">
                  <c:v>45148</c:v>
                </c:pt>
                <c:pt idx="102">
                  <c:v>45147</c:v>
                </c:pt>
                <c:pt idx="103">
                  <c:v>45146</c:v>
                </c:pt>
                <c:pt idx="104">
                  <c:v>45145</c:v>
                </c:pt>
                <c:pt idx="105">
                  <c:v>45142</c:v>
                </c:pt>
                <c:pt idx="106">
                  <c:v>45141</c:v>
                </c:pt>
                <c:pt idx="107">
                  <c:v>45140</c:v>
                </c:pt>
                <c:pt idx="108">
                  <c:v>45139</c:v>
                </c:pt>
                <c:pt idx="109">
                  <c:v>45138</c:v>
                </c:pt>
                <c:pt idx="110">
                  <c:v>45135</c:v>
                </c:pt>
                <c:pt idx="111">
                  <c:v>45134</c:v>
                </c:pt>
                <c:pt idx="112">
                  <c:v>45133</c:v>
                </c:pt>
                <c:pt idx="113">
                  <c:v>45132</c:v>
                </c:pt>
                <c:pt idx="114">
                  <c:v>45131</c:v>
                </c:pt>
                <c:pt idx="115">
                  <c:v>45128</c:v>
                </c:pt>
                <c:pt idx="116">
                  <c:v>45127</c:v>
                </c:pt>
                <c:pt idx="117">
                  <c:v>45126</c:v>
                </c:pt>
                <c:pt idx="118">
                  <c:v>45125</c:v>
                </c:pt>
                <c:pt idx="119">
                  <c:v>45124</c:v>
                </c:pt>
                <c:pt idx="120">
                  <c:v>45121</c:v>
                </c:pt>
                <c:pt idx="121">
                  <c:v>45120</c:v>
                </c:pt>
                <c:pt idx="122">
                  <c:v>45119</c:v>
                </c:pt>
                <c:pt idx="123">
                  <c:v>45118</c:v>
                </c:pt>
                <c:pt idx="124">
                  <c:v>45117</c:v>
                </c:pt>
                <c:pt idx="125">
                  <c:v>45114</c:v>
                </c:pt>
                <c:pt idx="126">
                  <c:v>45113</c:v>
                </c:pt>
                <c:pt idx="127">
                  <c:v>45112</c:v>
                </c:pt>
                <c:pt idx="128">
                  <c:v>45111</c:v>
                </c:pt>
                <c:pt idx="129">
                  <c:v>45110</c:v>
                </c:pt>
                <c:pt idx="130">
                  <c:v>45107</c:v>
                </c:pt>
                <c:pt idx="131">
                  <c:v>45106</c:v>
                </c:pt>
                <c:pt idx="132">
                  <c:v>45105</c:v>
                </c:pt>
                <c:pt idx="133">
                  <c:v>45104</c:v>
                </c:pt>
                <c:pt idx="134">
                  <c:v>45103</c:v>
                </c:pt>
                <c:pt idx="135">
                  <c:v>45100</c:v>
                </c:pt>
                <c:pt idx="136">
                  <c:v>45099</c:v>
                </c:pt>
                <c:pt idx="137">
                  <c:v>45098</c:v>
                </c:pt>
                <c:pt idx="138">
                  <c:v>45097</c:v>
                </c:pt>
                <c:pt idx="139">
                  <c:v>45096</c:v>
                </c:pt>
                <c:pt idx="140">
                  <c:v>45093</c:v>
                </c:pt>
                <c:pt idx="141">
                  <c:v>45092</c:v>
                </c:pt>
                <c:pt idx="142">
                  <c:v>45091</c:v>
                </c:pt>
                <c:pt idx="143">
                  <c:v>45090</c:v>
                </c:pt>
                <c:pt idx="144">
                  <c:v>45089</c:v>
                </c:pt>
                <c:pt idx="145">
                  <c:v>45086</c:v>
                </c:pt>
                <c:pt idx="146">
                  <c:v>45085</c:v>
                </c:pt>
                <c:pt idx="147">
                  <c:v>45084</c:v>
                </c:pt>
                <c:pt idx="148">
                  <c:v>45083</c:v>
                </c:pt>
                <c:pt idx="149">
                  <c:v>45082</c:v>
                </c:pt>
                <c:pt idx="150">
                  <c:v>45079</c:v>
                </c:pt>
                <c:pt idx="151">
                  <c:v>45078</c:v>
                </c:pt>
                <c:pt idx="152">
                  <c:v>45077</c:v>
                </c:pt>
                <c:pt idx="153">
                  <c:v>45076</c:v>
                </c:pt>
                <c:pt idx="154">
                  <c:v>45075</c:v>
                </c:pt>
                <c:pt idx="155">
                  <c:v>45072</c:v>
                </c:pt>
                <c:pt idx="156">
                  <c:v>45071</c:v>
                </c:pt>
                <c:pt idx="157">
                  <c:v>45070</c:v>
                </c:pt>
                <c:pt idx="158">
                  <c:v>45069</c:v>
                </c:pt>
                <c:pt idx="159">
                  <c:v>45068</c:v>
                </c:pt>
                <c:pt idx="160">
                  <c:v>45065</c:v>
                </c:pt>
                <c:pt idx="161">
                  <c:v>45064</c:v>
                </c:pt>
                <c:pt idx="162">
                  <c:v>45063</c:v>
                </c:pt>
                <c:pt idx="163">
                  <c:v>45062</c:v>
                </c:pt>
                <c:pt idx="164">
                  <c:v>45061</c:v>
                </c:pt>
                <c:pt idx="165">
                  <c:v>45058</c:v>
                </c:pt>
                <c:pt idx="166">
                  <c:v>45057</c:v>
                </c:pt>
                <c:pt idx="167">
                  <c:v>45056</c:v>
                </c:pt>
                <c:pt idx="168">
                  <c:v>45055</c:v>
                </c:pt>
                <c:pt idx="169">
                  <c:v>45054</c:v>
                </c:pt>
                <c:pt idx="170">
                  <c:v>45051</c:v>
                </c:pt>
                <c:pt idx="171">
                  <c:v>45050</c:v>
                </c:pt>
                <c:pt idx="172">
                  <c:v>45049</c:v>
                </c:pt>
                <c:pt idx="173">
                  <c:v>45048</c:v>
                </c:pt>
                <c:pt idx="174">
                  <c:v>45047</c:v>
                </c:pt>
                <c:pt idx="175">
                  <c:v>45044</c:v>
                </c:pt>
                <c:pt idx="176">
                  <c:v>45043</c:v>
                </c:pt>
                <c:pt idx="177">
                  <c:v>45042</c:v>
                </c:pt>
                <c:pt idx="178">
                  <c:v>45041</c:v>
                </c:pt>
                <c:pt idx="179">
                  <c:v>45040</c:v>
                </c:pt>
                <c:pt idx="180">
                  <c:v>45037</c:v>
                </c:pt>
                <c:pt idx="181">
                  <c:v>45036</c:v>
                </c:pt>
                <c:pt idx="182">
                  <c:v>45035</c:v>
                </c:pt>
                <c:pt idx="183">
                  <c:v>45034</c:v>
                </c:pt>
                <c:pt idx="184">
                  <c:v>45033</c:v>
                </c:pt>
                <c:pt idx="185">
                  <c:v>45030</c:v>
                </c:pt>
                <c:pt idx="186">
                  <c:v>45029</c:v>
                </c:pt>
                <c:pt idx="187">
                  <c:v>45028</c:v>
                </c:pt>
                <c:pt idx="188">
                  <c:v>45027</c:v>
                </c:pt>
                <c:pt idx="189">
                  <c:v>45026</c:v>
                </c:pt>
                <c:pt idx="190">
                  <c:v>45023</c:v>
                </c:pt>
                <c:pt idx="191">
                  <c:v>45022</c:v>
                </c:pt>
                <c:pt idx="192">
                  <c:v>45021</c:v>
                </c:pt>
                <c:pt idx="193">
                  <c:v>45020</c:v>
                </c:pt>
                <c:pt idx="194">
                  <c:v>45019</c:v>
                </c:pt>
                <c:pt idx="195">
                  <c:v>45016</c:v>
                </c:pt>
                <c:pt idx="196">
                  <c:v>45015</c:v>
                </c:pt>
                <c:pt idx="197">
                  <c:v>45014</c:v>
                </c:pt>
                <c:pt idx="198">
                  <c:v>45013</c:v>
                </c:pt>
                <c:pt idx="199">
                  <c:v>45012</c:v>
                </c:pt>
                <c:pt idx="200">
                  <c:v>45009</c:v>
                </c:pt>
                <c:pt idx="201">
                  <c:v>45008</c:v>
                </c:pt>
                <c:pt idx="202">
                  <c:v>45007</c:v>
                </c:pt>
                <c:pt idx="203">
                  <c:v>45006</c:v>
                </c:pt>
                <c:pt idx="204">
                  <c:v>45005</c:v>
                </c:pt>
                <c:pt idx="205">
                  <c:v>45002</c:v>
                </c:pt>
                <c:pt idx="206">
                  <c:v>45001</c:v>
                </c:pt>
                <c:pt idx="207">
                  <c:v>45000</c:v>
                </c:pt>
                <c:pt idx="208">
                  <c:v>44999</c:v>
                </c:pt>
                <c:pt idx="209">
                  <c:v>44998</c:v>
                </c:pt>
                <c:pt idx="210">
                  <c:v>44995</c:v>
                </c:pt>
                <c:pt idx="211">
                  <c:v>44994</c:v>
                </c:pt>
                <c:pt idx="212">
                  <c:v>44993</c:v>
                </c:pt>
                <c:pt idx="213">
                  <c:v>44992</c:v>
                </c:pt>
                <c:pt idx="214">
                  <c:v>44991</c:v>
                </c:pt>
                <c:pt idx="215">
                  <c:v>44988</c:v>
                </c:pt>
                <c:pt idx="216">
                  <c:v>44987</c:v>
                </c:pt>
                <c:pt idx="217">
                  <c:v>44986</c:v>
                </c:pt>
                <c:pt idx="218">
                  <c:v>44985</c:v>
                </c:pt>
                <c:pt idx="219">
                  <c:v>44984</c:v>
                </c:pt>
                <c:pt idx="220">
                  <c:v>44981</c:v>
                </c:pt>
                <c:pt idx="221">
                  <c:v>44980</c:v>
                </c:pt>
                <c:pt idx="222">
                  <c:v>44979</c:v>
                </c:pt>
                <c:pt idx="223">
                  <c:v>44978</c:v>
                </c:pt>
                <c:pt idx="224">
                  <c:v>44977</c:v>
                </c:pt>
                <c:pt idx="225">
                  <c:v>44974</c:v>
                </c:pt>
                <c:pt idx="226">
                  <c:v>44973</c:v>
                </c:pt>
                <c:pt idx="227">
                  <c:v>44972</c:v>
                </c:pt>
                <c:pt idx="228">
                  <c:v>44971</c:v>
                </c:pt>
                <c:pt idx="229">
                  <c:v>44970</c:v>
                </c:pt>
                <c:pt idx="230">
                  <c:v>44967</c:v>
                </c:pt>
                <c:pt idx="231">
                  <c:v>44966</c:v>
                </c:pt>
                <c:pt idx="232">
                  <c:v>44965</c:v>
                </c:pt>
                <c:pt idx="233">
                  <c:v>44964</c:v>
                </c:pt>
                <c:pt idx="234">
                  <c:v>44963</c:v>
                </c:pt>
                <c:pt idx="235">
                  <c:v>44960</c:v>
                </c:pt>
                <c:pt idx="236">
                  <c:v>44959</c:v>
                </c:pt>
                <c:pt idx="237">
                  <c:v>44958</c:v>
                </c:pt>
                <c:pt idx="238">
                  <c:v>44957</c:v>
                </c:pt>
                <c:pt idx="239">
                  <c:v>44956</c:v>
                </c:pt>
                <c:pt idx="240">
                  <c:v>44953</c:v>
                </c:pt>
                <c:pt idx="241">
                  <c:v>44952</c:v>
                </c:pt>
                <c:pt idx="242">
                  <c:v>44951</c:v>
                </c:pt>
                <c:pt idx="243">
                  <c:v>44950</c:v>
                </c:pt>
                <c:pt idx="244">
                  <c:v>44949</c:v>
                </c:pt>
                <c:pt idx="245">
                  <c:v>44946</c:v>
                </c:pt>
                <c:pt idx="246">
                  <c:v>44945</c:v>
                </c:pt>
                <c:pt idx="247">
                  <c:v>44944</c:v>
                </c:pt>
                <c:pt idx="248">
                  <c:v>44943</c:v>
                </c:pt>
                <c:pt idx="249">
                  <c:v>44942</c:v>
                </c:pt>
                <c:pt idx="250">
                  <c:v>44939</c:v>
                </c:pt>
                <c:pt idx="251">
                  <c:v>44938</c:v>
                </c:pt>
                <c:pt idx="252">
                  <c:v>44937</c:v>
                </c:pt>
                <c:pt idx="253">
                  <c:v>44936</c:v>
                </c:pt>
                <c:pt idx="254">
                  <c:v>44935</c:v>
                </c:pt>
                <c:pt idx="255">
                  <c:v>44932</c:v>
                </c:pt>
                <c:pt idx="256">
                  <c:v>44931</c:v>
                </c:pt>
                <c:pt idx="257">
                  <c:v>44930</c:v>
                </c:pt>
                <c:pt idx="258">
                  <c:v>44929</c:v>
                </c:pt>
                <c:pt idx="259">
                  <c:v>44928</c:v>
                </c:pt>
                <c:pt idx="260">
                  <c:v>44925</c:v>
                </c:pt>
                <c:pt idx="261">
                  <c:v>44924</c:v>
                </c:pt>
                <c:pt idx="262">
                  <c:v>44923</c:v>
                </c:pt>
                <c:pt idx="263">
                  <c:v>44922</c:v>
                </c:pt>
                <c:pt idx="264">
                  <c:v>44921</c:v>
                </c:pt>
                <c:pt idx="265">
                  <c:v>44918</c:v>
                </c:pt>
                <c:pt idx="266">
                  <c:v>44917</c:v>
                </c:pt>
                <c:pt idx="267">
                  <c:v>44916</c:v>
                </c:pt>
                <c:pt idx="268">
                  <c:v>44915</c:v>
                </c:pt>
                <c:pt idx="269">
                  <c:v>44914</c:v>
                </c:pt>
                <c:pt idx="270">
                  <c:v>44911</c:v>
                </c:pt>
                <c:pt idx="271">
                  <c:v>44910</c:v>
                </c:pt>
                <c:pt idx="272">
                  <c:v>44909</c:v>
                </c:pt>
                <c:pt idx="273">
                  <c:v>44908</c:v>
                </c:pt>
                <c:pt idx="274">
                  <c:v>44907</c:v>
                </c:pt>
                <c:pt idx="275">
                  <c:v>44904</c:v>
                </c:pt>
                <c:pt idx="276">
                  <c:v>44903</c:v>
                </c:pt>
                <c:pt idx="277">
                  <c:v>44902</c:v>
                </c:pt>
                <c:pt idx="278">
                  <c:v>44901</c:v>
                </c:pt>
                <c:pt idx="279">
                  <c:v>44900</c:v>
                </c:pt>
                <c:pt idx="280">
                  <c:v>44897</c:v>
                </c:pt>
                <c:pt idx="281">
                  <c:v>44896</c:v>
                </c:pt>
                <c:pt idx="282">
                  <c:v>44895</c:v>
                </c:pt>
                <c:pt idx="283">
                  <c:v>44894</c:v>
                </c:pt>
                <c:pt idx="284">
                  <c:v>44893</c:v>
                </c:pt>
                <c:pt idx="285">
                  <c:v>44890</c:v>
                </c:pt>
                <c:pt idx="286">
                  <c:v>44889</c:v>
                </c:pt>
                <c:pt idx="287">
                  <c:v>44888</c:v>
                </c:pt>
                <c:pt idx="288">
                  <c:v>44887</c:v>
                </c:pt>
                <c:pt idx="289">
                  <c:v>44886</c:v>
                </c:pt>
                <c:pt idx="290">
                  <c:v>44883</c:v>
                </c:pt>
                <c:pt idx="291">
                  <c:v>44882</c:v>
                </c:pt>
                <c:pt idx="292">
                  <c:v>44881</c:v>
                </c:pt>
                <c:pt idx="293">
                  <c:v>44880</c:v>
                </c:pt>
                <c:pt idx="294">
                  <c:v>44879</c:v>
                </c:pt>
                <c:pt idx="295">
                  <c:v>44876</c:v>
                </c:pt>
                <c:pt idx="296">
                  <c:v>44875</c:v>
                </c:pt>
                <c:pt idx="297">
                  <c:v>44874</c:v>
                </c:pt>
                <c:pt idx="298">
                  <c:v>44873</c:v>
                </c:pt>
                <c:pt idx="299">
                  <c:v>44872</c:v>
                </c:pt>
                <c:pt idx="300">
                  <c:v>44869</c:v>
                </c:pt>
                <c:pt idx="301">
                  <c:v>44868</c:v>
                </c:pt>
                <c:pt idx="302">
                  <c:v>44867</c:v>
                </c:pt>
                <c:pt idx="303">
                  <c:v>44866</c:v>
                </c:pt>
                <c:pt idx="304">
                  <c:v>44865</c:v>
                </c:pt>
                <c:pt idx="305">
                  <c:v>44862</c:v>
                </c:pt>
                <c:pt idx="306">
                  <c:v>44861</c:v>
                </c:pt>
                <c:pt idx="307">
                  <c:v>44860</c:v>
                </c:pt>
                <c:pt idx="308">
                  <c:v>44859</c:v>
                </c:pt>
                <c:pt idx="309">
                  <c:v>44858</c:v>
                </c:pt>
                <c:pt idx="310">
                  <c:v>44855</c:v>
                </c:pt>
                <c:pt idx="311">
                  <c:v>44854</c:v>
                </c:pt>
                <c:pt idx="312">
                  <c:v>44853</c:v>
                </c:pt>
                <c:pt idx="313">
                  <c:v>44852</c:v>
                </c:pt>
                <c:pt idx="314">
                  <c:v>44851</c:v>
                </c:pt>
                <c:pt idx="315">
                  <c:v>44848</c:v>
                </c:pt>
                <c:pt idx="316">
                  <c:v>44847</c:v>
                </c:pt>
                <c:pt idx="317">
                  <c:v>44846</c:v>
                </c:pt>
                <c:pt idx="318">
                  <c:v>44845</c:v>
                </c:pt>
                <c:pt idx="319">
                  <c:v>44844</c:v>
                </c:pt>
                <c:pt idx="320">
                  <c:v>44841</c:v>
                </c:pt>
                <c:pt idx="321">
                  <c:v>44840</c:v>
                </c:pt>
                <c:pt idx="322">
                  <c:v>44839</c:v>
                </c:pt>
                <c:pt idx="323">
                  <c:v>44838</c:v>
                </c:pt>
                <c:pt idx="324">
                  <c:v>44837</c:v>
                </c:pt>
                <c:pt idx="325">
                  <c:v>44834</c:v>
                </c:pt>
                <c:pt idx="326">
                  <c:v>44833</c:v>
                </c:pt>
                <c:pt idx="327">
                  <c:v>44832</c:v>
                </c:pt>
                <c:pt idx="328">
                  <c:v>44831</c:v>
                </c:pt>
                <c:pt idx="329">
                  <c:v>44830</c:v>
                </c:pt>
                <c:pt idx="330">
                  <c:v>44827</c:v>
                </c:pt>
                <c:pt idx="331">
                  <c:v>44826</c:v>
                </c:pt>
                <c:pt idx="332">
                  <c:v>44825</c:v>
                </c:pt>
                <c:pt idx="333">
                  <c:v>44824</c:v>
                </c:pt>
                <c:pt idx="334">
                  <c:v>44823</c:v>
                </c:pt>
                <c:pt idx="335">
                  <c:v>44820</c:v>
                </c:pt>
                <c:pt idx="336">
                  <c:v>44819</c:v>
                </c:pt>
                <c:pt idx="337">
                  <c:v>44818</c:v>
                </c:pt>
                <c:pt idx="338">
                  <c:v>44817</c:v>
                </c:pt>
                <c:pt idx="339">
                  <c:v>44816</c:v>
                </c:pt>
                <c:pt idx="340">
                  <c:v>44813</c:v>
                </c:pt>
                <c:pt idx="341">
                  <c:v>44812</c:v>
                </c:pt>
                <c:pt idx="342">
                  <c:v>44811</c:v>
                </c:pt>
                <c:pt idx="343">
                  <c:v>44810</c:v>
                </c:pt>
                <c:pt idx="344">
                  <c:v>44809</c:v>
                </c:pt>
                <c:pt idx="345">
                  <c:v>44806</c:v>
                </c:pt>
                <c:pt idx="346">
                  <c:v>44805</c:v>
                </c:pt>
                <c:pt idx="347">
                  <c:v>44804</c:v>
                </c:pt>
                <c:pt idx="348">
                  <c:v>44803</c:v>
                </c:pt>
                <c:pt idx="349">
                  <c:v>44802</c:v>
                </c:pt>
                <c:pt idx="350">
                  <c:v>44799</c:v>
                </c:pt>
                <c:pt idx="351">
                  <c:v>44798</c:v>
                </c:pt>
                <c:pt idx="352">
                  <c:v>44797</c:v>
                </c:pt>
                <c:pt idx="353">
                  <c:v>44796</c:v>
                </c:pt>
                <c:pt idx="354">
                  <c:v>44795</c:v>
                </c:pt>
                <c:pt idx="355">
                  <c:v>44792</c:v>
                </c:pt>
                <c:pt idx="356">
                  <c:v>44791</c:v>
                </c:pt>
                <c:pt idx="357">
                  <c:v>44790</c:v>
                </c:pt>
                <c:pt idx="358">
                  <c:v>44789</c:v>
                </c:pt>
                <c:pt idx="359">
                  <c:v>44788</c:v>
                </c:pt>
                <c:pt idx="360">
                  <c:v>44785</c:v>
                </c:pt>
                <c:pt idx="361">
                  <c:v>44784</c:v>
                </c:pt>
                <c:pt idx="362">
                  <c:v>44783</c:v>
                </c:pt>
                <c:pt idx="363">
                  <c:v>44782</c:v>
                </c:pt>
                <c:pt idx="364">
                  <c:v>44781</c:v>
                </c:pt>
                <c:pt idx="365">
                  <c:v>44778</c:v>
                </c:pt>
                <c:pt idx="366">
                  <c:v>44777</c:v>
                </c:pt>
                <c:pt idx="367">
                  <c:v>44776</c:v>
                </c:pt>
                <c:pt idx="368">
                  <c:v>44775</c:v>
                </c:pt>
                <c:pt idx="369">
                  <c:v>44774</c:v>
                </c:pt>
                <c:pt idx="370">
                  <c:v>44771</c:v>
                </c:pt>
                <c:pt idx="371">
                  <c:v>44770</c:v>
                </c:pt>
                <c:pt idx="372">
                  <c:v>44769</c:v>
                </c:pt>
                <c:pt idx="373">
                  <c:v>44768</c:v>
                </c:pt>
                <c:pt idx="374">
                  <c:v>44767</c:v>
                </c:pt>
                <c:pt idx="375">
                  <c:v>44764</c:v>
                </c:pt>
                <c:pt idx="376">
                  <c:v>44763</c:v>
                </c:pt>
                <c:pt idx="377">
                  <c:v>44762</c:v>
                </c:pt>
                <c:pt idx="378">
                  <c:v>44761</c:v>
                </c:pt>
                <c:pt idx="379">
                  <c:v>44760</c:v>
                </c:pt>
                <c:pt idx="380">
                  <c:v>44757</c:v>
                </c:pt>
                <c:pt idx="381">
                  <c:v>44756</c:v>
                </c:pt>
                <c:pt idx="382">
                  <c:v>44755</c:v>
                </c:pt>
                <c:pt idx="383">
                  <c:v>44754</c:v>
                </c:pt>
                <c:pt idx="384">
                  <c:v>44753</c:v>
                </c:pt>
                <c:pt idx="385">
                  <c:v>44750</c:v>
                </c:pt>
                <c:pt idx="386">
                  <c:v>44749</c:v>
                </c:pt>
                <c:pt idx="387">
                  <c:v>44748</c:v>
                </c:pt>
                <c:pt idx="388">
                  <c:v>44747</c:v>
                </c:pt>
                <c:pt idx="389">
                  <c:v>44746</c:v>
                </c:pt>
                <c:pt idx="390">
                  <c:v>44743</c:v>
                </c:pt>
                <c:pt idx="391">
                  <c:v>44742</c:v>
                </c:pt>
                <c:pt idx="392">
                  <c:v>44741</c:v>
                </c:pt>
                <c:pt idx="393">
                  <c:v>44740</c:v>
                </c:pt>
                <c:pt idx="394">
                  <c:v>44739</c:v>
                </c:pt>
                <c:pt idx="395">
                  <c:v>44736</c:v>
                </c:pt>
                <c:pt idx="396">
                  <c:v>44735</c:v>
                </c:pt>
                <c:pt idx="397">
                  <c:v>44734</c:v>
                </c:pt>
                <c:pt idx="398">
                  <c:v>44733</c:v>
                </c:pt>
                <c:pt idx="399">
                  <c:v>44732</c:v>
                </c:pt>
                <c:pt idx="400">
                  <c:v>44729</c:v>
                </c:pt>
                <c:pt idx="401">
                  <c:v>44728</c:v>
                </c:pt>
                <c:pt idx="402">
                  <c:v>44727</c:v>
                </c:pt>
                <c:pt idx="403">
                  <c:v>44726</c:v>
                </c:pt>
                <c:pt idx="404">
                  <c:v>44725</c:v>
                </c:pt>
                <c:pt idx="405">
                  <c:v>44722</c:v>
                </c:pt>
                <c:pt idx="406">
                  <c:v>44721</c:v>
                </c:pt>
                <c:pt idx="407">
                  <c:v>44720</c:v>
                </c:pt>
                <c:pt idx="408">
                  <c:v>44719</c:v>
                </c:pt>
                <c:pt idx="409">
                  <c:v>44718</c:v>
                </c:pt>
                <c:pt idx="410">
                  <c:v>44715</c:v>
                </c:pt>
                <c:pt idx="411">
                  <c:v>44714</c:v>
                </c:pt>
                <c:pt idx="412">
                  <c:v>44713</c:v>
                </c:pt>
                <c:pt idx="413">
                  <c:v>44712</c:v>
                </c:pt>
                <c:pt idx="414">
                  <c:v>44711</c:v>
                </c:pt>
                <c:pt idx="415">
                  <c:v>44708</c:v>
                </c:pt>
                <c:pt idx="416">
                  <c:v>44707</c:v>
                </c:pt>
                <c:pt idx="417">
                  <c:v>44706</c:v>
                </c:pt>
                <c:pt idx="418">
                  <c:v>44705</c:v>
                </c:pt>
                <c:pt idx="419">
                  <c:v>44704</c:v>
                </c:pt>
                <c:pt idx="420">
                  <c:v>44701</c:v>
                </c:pt>
                <c:pt idx="421">
                  <c:v>44700</c:v>
                </c:pt>
                <c:pt idx="422">
                  <c:v>44699</c:v>
                </c:pt>
                <c:pt idx="423">
                  <c:v>44698</c:v>
                </c:pt>
                <c:pt idx="424">
                  <c:v>44697</c:v>
                </c:pt>
                <c:pt idx="425">
                  <c:v>44694</c:v>
                </c:pt>
                <c:pt idx="426">
                  <c:v>44693</c:v>
                </c:pt>
                <c:pt idx="427">
                  <c:v>44692</c:v>
                </c:pt>
                <c:pt idx="428">
                  <c:v>44691</c:v>
                </c:pt>
                <c:pt idx="429">
                  <c:v>44690</c:v>
                </c:pt>
                <c:pt idx="430">
                  <c:v>44687</c:v>
                </c:pt>
                <c:pt idx="431">
                  <c:v>44686</c:v>
                </c:pt>
                <c:pt idx="432">
                  <c:v>44685</c:v>
                </c:pt>
                <c:pt idx="433">
                  <c:v>44684</c:v>
                </c:pt>
                <c:pt idx="434">
                  <c:v>44683</c:v>
                </c:pt>
                <c:pt idx="435">
                  <c:v>44680</c:v>
                </c:pt>
                <c:pt idx="436">
                  <c:v>44679</c:v>
                </c:pt>
                <c:pt idx="437">
                  <c:v>44678</c:v>
                </c:pt>
                <c:pt idx="438">
                  <c:v>44677</c:v>
                </c:pt>
                <c:pt idx="439">
                  <c:v>44676</c:v>
                </c:pt>
                <c:pt idx="440">
                  <c:v>44673</c:v>
                </c:pt>
                <c:pt idx="441">
                  <c:v>44672</c:v>
                </c:pt>
                <c:pt idx="442">
                  <c:v>44671</c:v>
                </c:pt>
                <c:pt idx="443">
                  <c:v>44670</c:v>
                </c:pt>
                <c:pt idx="444">
                  <c:v>44669</c:v>
                </c:pt>
                <c:pt idx="445">
                  <c:v>44666</c:v>
                </c:pt>
                <c:pt idx="446">
                  <c:v>44665</c:v>
                </c:pt>
                <c:pt idx="447">
                  <c:v>44664</c:v>
                </c:pt>
                <c:pt idx="448">
                  <c:v>44663</c:v>
                </c:pt>
                <c:pt idx="449">
                  <c:v>44662</c:v>
                </c:pt>
                <c:pt idx="450">
                  <c:v>44659</c:v>
                </c:pt>
                <c:pt idx="451">
                  <c:v>44658</c:v>
                </c:pt>
                <c:pt idx="452">
                  <c:v>44657</c:v>
                </c:pt>
                <c:pt idx="453">
                  <c:v>44656</c:v>
                </c:pt>
                <c:pt idx="454">
                  <c:v>44655</c:v>
                </c:pt>
                <c:pt idx="455">
                  <c:v>44652</c:v>
                </c:pt>
                <c:pt idx="456">
                  <c:v>44651</c:v>
                </c:pt>
                <c:pt idx="457">
                  <c:v>44650</c:v>
                </c:pt>
                <c:pt idx="458">
                  <c:v>44649</c:v>
                </c:pt>
                <c:pt idx="459">
                  <c:v>44648</c:v>
                </c:pt>
                <c:pt idx="460">
                  <c:v>44645</c:v>
                </c:pt>
                <c:pt idx="461">
                  <c:v>44644</c:v>
                </c:pt>
                <c:pt idx="462">
                  <c:v>44643</c:v>
                </c:pt>
                <c:pt idx="463">
                  <c:v>44642</c:v>
                </c:pt>
                <c:pt idx="464">
                  <c:v>44641</c:v>
                </c:pt>
                <c:pt idx="465">
                  <c:v>44638</c:v>
                </c:pt>
                <c:pt idx="466">
                  <c:v>44637</c:v>
                </c:pt>
                <c:pt idx="467">
                  <c:v>44636</c:v>
                </c:pt>
                <c:pt idx="468">
                  <c:v>44635</c:v>
                </c:pt>
                <c:pt idx="469">
                  <c:v>44634</c:v>
                </c:pt>
                <c:pt idx="470">
                  <c:v>44631</c:v>
                </c:pt>
                <c:pt idx="471">
                  <c:v>44630</c:v>
                </c:pt>
                <c:pt idx="472">
                  <c:v>44629</c:v>
                </c:pt>
                <c:pt idx="473">
                  <c:v>44628</c:v>
                </c:pt>
                <c:pt idx="474">
                  <c:v>44627</c:v>
                </c:pt>
                <c:pt idx="475">
                  <c:v>44624</c:v>
                </c:pt>
                <c:pt idx="476">
                  <c:v>44623</c:v>
                </c:pt>
                <c:pt idx="477">
                  <c:v>44622</c:v>
                </c:pt>
                <c:pt idx="478">
                  <c:v>44621</c:v>
                </c:pt>
                <c:pt idx="479">
                  <c:v>44620</c:v>
                </c:pt>
                <c:pt idx="480">
                  <c:v>44617</c:v>
                </c:pt>
                <c:pt idx="481">
                  <c:v>44616</c:v>
                </c:pt>
                <c:pt idx="482">
                  <c:v>44615</c:v>
                </c:pt>
                <c:pt idx="483">
                  <c:v>44614</c:v>
                </c:pt>
                <c:pt idx="484">
                  <c:v>44613</c:v>
                </c:pt>
                <c:pt idx="485">
                  <c:v>44610</c:v>
                </c:pt>
                <c:pt idx="486">
                  <c:v>44609</c:v>
                </c:pt>
                <c:pt idx="487">
                  <c:v>44608</c:v>
                </c:pt>
                <c:pt idx="488">
                  <c:v>44607</c:v>
                </c:pt>
                <c:pt idx="489">
                  <c:v>44606</c:v>
                </c:pt>
                <c:pt idx="490">
                  <c:v>44603</c:v>
                </c:pt>
                <c:pt idx="491">
                  <c:v>44602</c:v>
                </c:pt>
                <c:pt idx="492">
                  <c:v>44601</c:v>
                </c:pt>
                <c:pt idx="493">
                  <c:v>44600</c:v>
                </c:pt>
                <c:pt idx="494">
                  <c:v>44599</c:v>
                </c:pt>
                <c:pt idx="495">
                  <c:v>44596</c:v>
                </c:pt>
                <c:pt idx="496">
                  <c:v>44595</c:v>
                </c:pt>
                <c:pt idx="497">
                  <c:v>44594</c:v>
                </c:pt>
                <c:pt idx="498">
                  <c:v>44593</c:v>
                </c:pt>
                <c:pt idx="499">
                  <c:v>44592</c:v>
                </c:pt>
                <c:pt idx="500">
                  <c:v>44589</c:v>
                </c:pt>
                <c:pt idx="501">
                  <c:v>44588</c:v>
                </c:pt>
                <c:pt idx="502">
                  <c:v>44587</c:v>
                </c:pt>
                <c:pt idx="503">
                  <c:v>44586</c:v>
                </c:pt>
                <c:pt idx="504">
                  <c:v>44585</c:v>
                </c:pt>
                <c:pt idx="505">
                  <c:v>44582</c:v>
                </c:pt>
                <c:pt idx="506">
                  <c:v>44581</c:v>
                </c:pt>
                <c:pt idx="507">
                  <c:v>44580</c:v>
                </c:pt>
                <c:pt idx="508">
                  <c:v>44579</c:v>
                </c:pt>
                <c:pt idx="509">
                  <c:v>44578</c:v>
                </c:pt>
                <c:pt idx="510">
                  <c:v>44575</c:v>
                </c:pt>
                <c:pt idx="511">
                  <c:v>44574</c:v>
                </c:pt>
                <c:pt idx="512">
                  <c:v>44573</c:v>
                </c:pt>
                <c:pt idx="513">
                  <c:v>44572</c:v>
                </c:pt>
                <c:pt idx="514">
                  <c:v>44571</c:v>
                </c:pt>
                <c:pt idx="515">
                  <c:v>44568</c:v>
                </c:pt>
                <c:pt idx="516">
                  <c:v>44567</c:v>
                </c:pt>
                <c:pt idx="517">
                  <c:v>44566</c:v>
                </c:pt>
                <c:pt idx="518">
                  <c:v>44565</c:v>
                </c:pt>
                <c:pt idx="519">
                  <c:v>44564</c:v>
                </c:pt>
                <c:pt idx="520">
                  <c:v>44561</c:v>
                </c:pt>
                <c:pt idx="521">
                  <c:v>44560</c:v>
                </c:pt>
                <c:pt idx="522">
                  <c:v>44559</c:v>
                </c:pt>
                <c:pt idx="523">
                  <c:v>44558</c:v>
                </c:pt>
                <c:pt idx="524">
                  <c:v>44557</c:v>
                </c:pt>
                <c:pt idx="525">
                  <c:v>44554</c:v>
                </c:pt>
                <c:pt idx="526">
                  <c:v>44553</c:v>
                </c:pt>
                <c:pt idx="527">
                  <c:v>44552</c:v>
                </c:pt>
                <c:pt idx="528">
                  <c:v>44551</c:v>
                </c:pt>
                <c:pt idx="529">
                  <c:v>44550</c:v>
                </c:pt>
                <c:pt idx="530">
                  <c:v>44547</c:v>
                </c:pt>
                <c:pt idx="531">
                  <c:v>44546</c:v>
                </c:pt>
                <c:pt idx="532">
                  <c:v>44545</c:v>
                </c:pt>
                <c:pt idx="533">
                  <c:v>44544</c:v>
                </c:pt>
                <c:pt idx="534">
                  <c:v>44543</c:v>
                </c:pt>
                <c:pt idx="535">
                  <c:v>44540</c:v>
                </c:pt>
                <c:pt idx="536">
                  <c:v>44539</c:v>
                </c:pt>
                <c:pt idx="537">
                  <c:v>44538</c:v>
                </c:pt>
                <c:pt idx="538">
                  <c:v>44537</c:v>
                </c:pt>
                <c:pt idx="539">
                  <c:v>44536</c:v>
                </c:pt>
                <c:pt idx="540">
                  <c:v>44533</c:v>
                </c:pt>
                <c:pt idx="541">
                  <c:v>44532</c:v>
                </c:pt>
                <c:pt idx="542">
                  <c:v>44531</c:v>
                </c:pt>
                <c:pt idx="543">
                  <c:v>44530</c:v>
                </c:pt>
                <c:pt idx="544">
                  <c:v>44529</c:v>
                </c:pt>
                <c:pt idx="545">
                  <c:v>44526</c:v>
                </c:pt>
                <c:pt idx="546">
                  <c:v>44525</c:v>
                </c:pt>
                <c:pt idx="547">
                  <c:v>44524</c:v>
                </c:pt>
                <c:pt idx="548">
                  <c:v>44523</c:v>
                </c:pt>
                <c:pt idx="549">
                  <c:v>44522</c:v>
                </c:pt>
                <c:pt idx="550">
                  <c:v>44519</c:v>
                </c:pt>
                <c:pt idx="551">
                  <c:v>44518</c:v>
                </c:pt>
                <c:pt idx="552">
                  <c:v>44517</c:v>
                </c:pt>
                <c:pt idx="553">
                  <c:v>44516</c:v>
                </c:pt>
                <c:pt idx="554">
                  <c:v>44515</c:v>
                </c:pt>
                <c:pt idx="555">
                  <c:v>44512</c:v>
                </c:pt>
                <c:pt idx="556">
                  <c:v>44511</c:v>
                </c:pt>
                <c:pt idx="557">
                  <c:v>44510</c:v>
                </c:pt>
                <c:pt idx="558">
                  <c:v>44509</c:v>
                </c:pt>
                <c:pt idx="559">
                  <c:v>44508</c:v>
                </c:pt>
                <c:pt idx="560">
                  <c:v>44505</c:v>
                </c:pt>
                <c:pt idx="561">
                  <c:v>44504</c:v>
                </c:pt>
                <c:pt idx="562">
                  <c:v>44503</c:v>
                </c:pt>
                <c:pt idx="563">
                  <c:v>44502</c:v>
                </c:pt>
                <c:pt idx="564">
                  <c:v>44501</c:v>
                </c:pt>
                <c:pt idx="565">
                  <c:v>44498</c:v>
                </c:pt>
                <c:pt idx="566">
                  <c:v>44497</c:v>
                </c:pt>
                <c:pt idx="567">
                  <c:v>44496</c:v>
                </c:pt>
                <c:pt idx="568">
                  <c:v>44495</c:v>
                </c:pt>
                <c:pt idx="569">
                  <c:v>44494</c:v>
                </c:pt>
                <c:pt idx="570">
                  <c:v>44491</c:v>
                </c:pt>
                <c:pt idx="571">
                  <c:v>44490</c:v>
                </c:pt>
                <c:pt idx="572">
                  <c:v>44489</c:v>
                </c:pt>
                <c:pt idx="573">
                  <c:v>44488</c:v>
                </c:pt>
                <c:pt idx="574">
                  <c:v>44487</c:v>
                </c:pt>
                <c:pt idx="575">
                  <c:v>44484</c:v>
                </c:pt>
                <c:pt idx="576">
                  <c:v>44483</c:v>
                </c:pt>
                <c:pt idx="577">
                  <c:v>44482</c:v>
                </c:pt>
                <c:pt idx="578">
                  <c:v>44481</c:v>
                </c:pt>
                <c:pt idx="579">
                  <c:v>44480</c:v>
                </c:pt>
                <c:pt idx="580">
                  <c:v>44477</c:v>
                </c:pt>
                <c:pt idx="581">
                  <c:v>44476</c:v>
                </c:pt>
                <c:pt idx="582">
                  <c:v>44475</c:v>
                </c:pt>
                <c:pt idx="583">
                  <c:v>44474</c:v>
                </c:pt>
                <c:pt idx="584">
                  <c:v>44473</c:v>
                </c:pt>
                <c:pt idx="585">
                  <c:v>44470</c:v>
                </c:pt>
                <c:pt idx="586">
                  <c:v>44469</c:v>
                </c:pt>
                <c:pt idx="587">
                  <c:v>44468</c:v>
                </c:pt>
                <c:pt idx="588">
                  <c:v>44467</c:v>
                </c:pt>
                <c:pt idx="589">
                  <c:v>44466</c:v>
                </c:pt>
                <c:pt idx="590">
                  <c:v>44463</c:v>
                </c:pt>
                <c:pt idx="591">
                  <c:v>44462</c:v>
                </c:pt>
                <c:pt idx="592">
                  <c:v>44461</c:v>
                </c:pt>
                <c:pt idx="593">
                  <c:v>44460</c:v>
                </c:pt>
                <c:pt idx="594">
                  <c:v>44459</c:v>
                </c:pt>
                <c:pt idx="595">
                  <c:v>44456</c:v>
                </c:pt>
                <c:pt idx="596">
                  <c:v>44455</c:v>
                </c:pt>
                <c:pt idx="597">
                  <c:v>44454</c:v>
                </c:pt>
                <c:pt idx="598">
                  <c:v>44453</c:v>
                </c:pt>
                <c:pt idx="599">
                  <c:v>44452</c:v>
                </c:pt>
                <c:pt idx="600">
                  <c:v>44449</c:v>
                </c:pt>
                <c:pt idx="601">
                  <c:v>44448</c:v>
                </c:pt>
                <c:pt idx="602">
                  <c:v>44447</c:v>
                </c:pt>
                <c:pt idx="603">
                  <c:v>44446</c:v>
                </c:pt>
                <c:pt idx="604">
                  <c:v>44445</c:v>
                </c:pt>
                <c:pt idx="605">
                  <c:v>44442</c:v>
                </c:pt>
                <c:pt idx="606">
                  <c:v>44441</c:v>
                </c:pt>
                <c:pt idx="607">
                  <c:v>44440</c:v>
                </c:pt>
                <c:pt idx="608">
                  <c:v>44439</c:v>
                </c:pt>
                <c:pt idx="609">
                  <c:v>44438</c:v>
                </c:pt>
                <c:pt idx="610">
                  <c:v>44435</c:v>
                </c:pt>
                <c:pt idx="611">
                  <c:v>44434</c:v>
                </c:pt>
                <c:pt idx="612">
                  <c:v>44433</c:v>
                </c:pt>
                <c:pt idx="613">
                  <c:v>44432</c:v>
                </c:pt>
                <c:pt idx="614">
                  <c:v>44431</c:v>
                </c:pt>
                <c:pt idx="615">
                  <c:v>44428</c:v>
                </c:pt>
                <c:pt idx="616">
                  <c:v>44427</c:v>
                </c:pt>
                <c:pt idx="617">
                  <c:v>44426</c:v>
                </c:pt>
                <c:pt idx="618">
                  <c:v>44425</c:v>
                </c:pt>
                <c:pt idx="619">
                  <c:v>44424</c:v>
                </c:pt>
                <c:pt idx="620">
                  <c:v>44421</c:v>
                </c:pt>
                <c:pt idx="621">
                  <c:v>44420</c:v>
                </c:pt>
                <c:pt idx="622">
                  <c:v>44419</c:v>
                </c:pt>
                <c:pt idx="623">
                  <c:v>44418</c:v>
                </c:pt>
                <c:pt idx="624">
                  <c:v>44417</c:v>
                </c:pt>
                <c:pt idx="625">
                  <c:v>44414</c:v>
                </c:pt>
                <c:pt idx="626">
                  <c:v>44413</c:v>
                </c:pt>
                <c:pt idx="627">
                  <c:v>44412</c:v>
                </c:pt>
                <c:pt idx="628">
                  <c:v>44411</c:v>
                </c:pt>
                <c:pt idx="629">
                  <c:v>44410</c:v>
                </c:pt>
                <c:pt idx="630">
                  <c:v>44407</c:v>
                </c:pt>
                <c:pt idx="631">
                  <c:v>44406</c:v>
                </c:pt>
                <c:pt idx="632">
                  <c:v>44405</c:v>
                </c:pt>
                <c:pt idx="633">
                  <c:v>44404</c:v>
                </c:pt>
                <c:pt idx="634">
                  <c:v>44403</c:v>
                </c:pt>
                <c:pt idx="635">
                  <c:v>44400</c:v>
                </c:pt>
                <c:pt idx="636">
                  <c:v>44399</c:v>
                </c:pt>
                <c:pt idx="637">
                  <c:v>44398</c:v>
                </c:pt>
                <c:pt idx="638">
                  <c:v>44397</c:v>
                </c:pt>
                <c:pt idx="639">
                  <c:v>44396</c:v>
                </c:pt>
                <c:pt idx="640">
                  <c:v>44393</c:v>
                </c:pt>
                <c:pt idx="641">
                  <c:v>44392</c:v>
                </c:pt>
                <c:pt idx="642">
                  <c:v>44391</c:v>
                </c:pt>
                <c:pt idx="643">
                  <c:v>44390</c:v>
                </c:pt>
                <c:pt idx="644">
                  <c:v>44389</c:v>
                </c:pt>
                <c:pt idx="645">
                  <c:v>44386</c:v>
                </c:pt>
                <c:pt idx="646">
                  <c:v>44385</c:v>
                </c:pt>
                <c:pt idx="647">
                  <c:v>44384</c:v>
                </c:pt>
                <c:pt idx="648">
                  <c:v>44383</c:v>
                </c:pt>
                <c:pt idx="649">
                  <c:v>44382</c:v>
                </c:pt>
                <c:pt idx="650">
                  <c:v>44379</c:v>
                </c:pt>
                <c:pt idx="651">
                  <c:v>44378</c:v>
                </c:pt>
                <c:pt idx="652">
                  <c:v>44377</c:v>
                </c:pt>
                <c:pt idx="653">
                  <c:v>44376</c:v>
                </c:pt>
                <c:pt idx="654">
                  <c:v>44375</c:v>
                </c:pt>
                <c:pt idx="655">
                  <c:v>44372</c:v>
                </c:pt>
                <c:pt idx="656">
                  <c:v>44371</c:v>
                </c:pt>
                <c:pt idx="657">
                  <c:v>44370</c:v>
                </c:pt>
                <c:pt idx="658">
                  <c:v>44369</c:v>
                </c:pt>
                <c:pt idx="659">
                  <c:v>44368</c:v>
                </c:pt>
                <c:pt idx="660">
                  <c:v>44365</c:v>
                </c:pt>
                <c:pt idx="661">
                  <c:v>44364</c:v>
                </c:pt>
                <c:pt idx="662">
                  <c:v>44363</c:v>
                </c:pt>
                <c:pt idx="663">
                  <c:v>44362</c:v>
                </c:pt>
                <c:pt idx="664">
                  <c:v>44361</c:v>
                </c:pt>
                <c:pt idx="665">
                  <c:v>44358</c:v>
                </c:pt>
                <c:pt idx="666">
                  <c:v>44357</c:v>
                </c:pt>
                <c:pt idx="667">
                  <c:v>44356</c:v>
                </c:pt>
                <c:pt idx="668">
                  <c:v>44355</c:v>
                </c:pt>
                <c:pt idx="669">
                  <c:v>44354</c:v>
                </c:pt>
                <c:pt idx="670">
                  <c:v>44351</c:v>
                </c:pt>
                <c:pt idx="671">
                  <c:v>44350</c:v>
                </c:pt>
                <c:pt idx="672">
                  <c:v>44349</c:v>
                </c:pt>
                <c:pt idx="673">
                  <c:v>44348</c:v>
                </c:pt>
                <c:pt idx="674">
                  <c:v>44347</c:v>
                </c:pt>
                <c:pt idx="675">
                  <c:v>44344</c:v>
                </c:pt>
                <c:pt idx="676">
                  <c:v>44343</c:v>
                </c:pt>
                <c:pt idx="677">
                  <c:v>44342</c:v>
                </c:pt>
                <c:pt idx="678">
                  <c:v>44341</c:v>
                </c:pt>
                <c:pt idx="679">
                  <c:v>44340</c:v>
                </c:pt>
                <c:pt idx="680">
                  <c:v>44337</c:v>
                </c:pt>
                <c:pt idx="681">
                  <c:v>44336</c:v>
                </c:pt>
                <c:pt idx="682">
                  <c:v>44335</c:v>
                </c:pt>
                <c:pt idx="683">
                  <c:v>44334</c:v>
                </c:pt>
                <c:pt idx="684">
                  <c:v>44333</c:v>
                </c:pt>
                <c:pt idx="685">
                  <c:v>44330</c:v>
                </c:pt>
                <c:pt idx="686">
                  <c:v>44329</c:v>
                </c:pt>
                <c:pt idx="687">
                  <c:v>44328</c:v>
                </c:pt>
                <c:pt idx="688">
                  <c:v>44327</c:v>
                </c:pt>
                <c:pt idx="689">
                  <c:v>44326</c:v>
                </c:pt>
                <c:pt idx="690">
                  <c:v>44323</c:v>
                </c:pt>
                <c:pt idx="691">
                  <c:v>44322</c:v>
                </c:pt>
                <c:pt idx="692">
                  <c:v>44321</c:v>
                </c:pt>
                <c:pt idx="693">
                  <c:v>44320</c:v>
                </c:pt>
                <c:pt idx="694">
                  <c:v>44319</c:v>
                </c:pt>
                <c:pt idx="695">
                  <c:v>44316</c:v>
                </c:pt>
                <c:pt idx="696">
                  <c:v>44315</c:v>
                </c:pt>
                <c:pt idx="697">
                  <c:v>44314</c:v>
                </c:pt>
                <c:pt idx="698">
                  <c:v>44313</c:v>
                </c:pt>
                <c:pt idx="699">
                  <c:v>44312</c:v>
                </c:pt>
                <c:pt idx="700">
                  <c:v>44309</c:v>
                </c:pt>
                <c:pt idx="701">
                  <c:v>44308</c:v>
                </c:pt>
                <c:pt idx="702">
                  <c:v>44307</c:v>
                </c:pt>
                <c:pt idx="703">
                  <c:v>44306</c:v>
                </c:pt>
                <c:pt idx="704">
                  <c:v>44305</c:v>
                </c:pt>
                <c:pt idx="705">
                  <c:v>44302</c:v>
                </c:pt>
                <c:pt idx="706">
                  <c:v>44301</c:v>
                </c:pt>
                <c:pt idx="707">
                  <c:v>44300</c:v>
                </c:pt>
                <c:pt idx="708">
                  <c:v>44299</c:v>
                </c:pt>
                <c:pt idx="709">
                  <c:v>44298</c:v>
                </c:pt>
                <c:pt idx="710">
                  <c:v>44295</c:v>
                </c:pt>
                <c:pt idx="711">
                  <c:v>44294</c:v>
                </c:pt>
                <c:pt idx="712">
                  <c:v>44293</c:v>
                </c:pt>
                <c:pt idx="713">
                  <c:v>44292</c:v>
                </c:pt>
                <c:pt idx="714">
                  <c:v>44291</c:v>
                </c:pt>
                <c:pt idx="715">
                  <c:v>44288</c:v>
                </c:pt>
                <c:pt idx="716">
                  <c:v>44287</c:v>
                </c:pt>
                <c:pt idx="717">
                  <c:v>44286</c:v>
                </c:pt>
                <c:pt idx="718">
                  <c:v>44285</c:v>
                </c:pt>
                <c:pt idx="719">
                  <c:v>44284</c:v>
                </c:pt>
                <c:pt idx="720">
                  <c:v>44281</c:v>
                </c:pt>
                <c:pt idx="721">
                  <c:v>44280</c:v>
                </c:pt>
                <c:pt idx="722">
                  <c:v>44279</c:v>
                </c:pt>
                <c:pt idx="723">
                  <c:v>44278</c:v>
                </c:pt>
                <c:pt idx="724">
                  <c:v>44277</c:v>
                </c:pt>
                <c:pt idx="725">
                  <c:v>44274</c:v>
                </c:pt>
                <c:pt idx="726">
                  <c:v>44273</c:v>
                </c:pt>
                <c:pt idx="727">
                  <c:v>44272</c:v>
                </c:pt>
                <c:pt idx="728">
                  <c:v>44271</c:v>
                </c:pt>
                <c:pt idx="729">
                  <c:v>44270</c:v>
                </c:pt>
                <c:pt idx="730">
                  <c:v>44267</c:v>
                </c:pt>
                <c:pt idx="731">
                  <c:v>44266</c:v>
                </c:pt>
                <c:pt idx="732">
                  <c:v>44265</c:v>
                </c:pt>
                <c:pt idx="733">
                  <c:v>44264</c:v>
                </c:pt>
                <c:pt idx="734">
                  <c:v>44263</c:v>
                </c:pt>
                <c:pt idx="735">
                  <c:v>44260</c:v>
                </c:pt>
                <c:pt idx="736">
                  <c:v>44259</c:v>
                </c:pt>
                <c:pt idx="737">
                  <c:v>44258</c:v>
                </c:pt>
                <c:pt idx="738">
                  <c:v>44257</c:v>
                </c:pt>
                <c:pt idx="739">
                  <c:v>44256</c:v>
                </c:pt>
                <c:pt idx="740">
                  <c:v>44253</c:v>
                </c:pt>
                <c:pt idx="741">
                  <c:v>44252</c:v>
                </c:pt>
                <c:pt idx="742">
                  <c:v>44251</c:v>
                </c:pt>
                <c:pt idx="743">
                  <c:v>44250</c:v>
                </c:pt>
                <c:pt idx="744">
                  <c:v>44249</c:v>
                </c:pt>
                <c:pt idx="745">
                  <c:v>44246</c:v>
                </c:pt>
                <c:pt idx="746">
                  <c:v>44245</c:v>
                </c:pt>
                <c:pt idx="747">
                  <c:v>44244</c:v>
                </c:pt>
                <c:pt idx="748">
                  <c:v>44243</c:v>
                </c:pt>
                <c:pt idx="749">
                  <c:v>44242</c:v>
                </c:pt>
                <c:pt idx="750">
                  <c:v>44239</c:v>
                </c:pt>
                <c:pt idx="751">
                  <c:v>44238</c:v>
                </c:pt>
                <c:pt idx="752">
                  <c:v>44237</c:v>
                </c:pt>
                <c:pt idx="753">
                  <c:v>44236</c:v>
                </c:pt>
                <c:pt idx="754">
                  <c:v>44235</c:v>
                </c:pt>
                <c:pt idx="755">
                  <c:v>44232</c:v>
                </c:pt>
                <c:pt idx="756">
                  <c:v>44231</c:v>
                </c:pt>
                <c:pt idx="757">
                  <c:v>44230</c:v>
                </c:pt>
                <c:pt idx="758">
                  <c:v>44229</c:v>
                </c:pt>
                <c:pt idx="759">
                  <c:v>44228</c:v>
                </c:pt>
                <c:pt idx="760">
                  <c:v>44225</c:v>
                </c:pt>
                <c:pt idx="761">
                  <c:v>44224</c:v>
                </c:pt>
                <c:pt idx="762">
                  <c:v>44223</c:v>
                </c:pt>
                <c:pt idx="763">
                  <c:v>44222</c:v>
                </c:pt>
                <c:pt idx="764">
                  <c:v>44221</c:v>
                </c:pt>
                <c:pt idx="765">
                  <c:v>44218</c:v>
                </c:pt>
                <c:pt idx="766">
                  <c:v>44217</c:v>
                </c:pt>
                <c:pt idx="767">
                  <c:v>44216</c:v>
                </c:pt>
                <c:pt idx="768">
                  <c:v>44215</c:v>
                </c:pt>
                <c:pt idx="769">
                  <c:v>44214</c:v>
                </c:pt>
                <c:pt idx="770">
                  <c:v>44211</c:v>
                </c:pt>
                <c:pt idx="771">
                  <c:v>44210</c:v>
                </c:pt>
                <c:pt idx="772">
                  <c:v>44209</c:v>
                </c:pt>
                <c:pt idx="773">
                  <c:v>44208</c:v>
                </c:pt>
                <c:pt idx="774">
                  <c:v>44207</c:v>
                </c:pt>
                <c:pt idx="775">
                  <c:v>44204</c:v>
                </c:pt>
                <c:pt idx="776">
                  <c:v>44203</c:v>
                </c:pt>
                <c:pt idx="777">
                  <c:v>44202</c:v>
                </c:pt>
                <c:pt idx="778">
                  <c:v>44201</c:v>
                </c:pt>
                <c:pt idx="779">
                  <c:v>44200</c:v>
                </c:pt>
                <c:pt idx="780">
                  <c:v>44197</c:v>
                </c:pt>
                <c:pt idx="781">
                  <c:v>44196</c:v>
                </c:pt>
                <c:pt idx="782">
                  <c:v>44195</c:v>
                </c:pt>
                <c:pt idx="783">
                  <c:v>44194</c:v>
                </c:pt>
                <c:pt idx="784">
                  <c:v>44193</c:v>
                </c:pt>
                <c:pt idx="785">
                  <c:v>44190</c:v>
                </c:pt>
                <c:pt idx="786">
                  <c:v>44189</c:v>
                </c:pt>
                <c:pt idx="787">
                  <c:v>44188</c:v>
                </c:pt>
                <c:pt idx="788">
                  <c:v>44187</c:v>
                </c:pt>
                <c:pt idx="789">
                  <c:v>44186</c:v>
                </c:pt>
                <c:pt idx="790">
                  <c:v>44183</c:v>
                </c:pt>
                <c:pt idx="791">
                  <c:v>44182</c:v>
                </c:pt>
                <c:pt idx="792">
                  <c:v>44181</c:v>
                </c:pt>
                <c:pt idx="793">
                  <c:v>44180</c:v>
                </c:pt>
                <c:pt idx="794">
                  <c:v>44179</c:v>
                </c:pt>
                <c:pt idx="795">
                  <c:v>44176</c:v>
                </c:pt>
                <c:pt idx="796">
                  <c:v>44175</c:v>
                </c:pt>
                <c:pt idx="797">
                  <c:v>44174</c:v>
                </c:pt>
                <c:pt idx="798">
                  <c:v>44173</c:v>
                </c:pt>
                <c:pt idx="799">
                  <c:v>44172</c:v>
                </c:pt>
                <c:pt idx="800">
                  <c:v>44169</c:v>
                </c:pt>
                <c:pt idx="801">
                  <c:v>44168</c:v>
                </c:pt>
                <c:pt idx="802">
                  <c:v>44167</c:v>
                </c:pt>
                <c:pt idx="803">
                  <c:v>44166</c:v>
                </c:pt>
                <c:pt idx="804">
                  <c:v>44165</c:v>
                </c:pt>
                <c:pt idx="805">
                  <c:v>44162</c:v>
                </c:pt>
                <c:pt idx="806">
                  <c:v>44161</c:v>
                </c:pt>
                <c:pt idx="807">
                  <c:v>44160</c:v>
                </c:pt>
                <c:pt idx="808">
                  <c:v>44159</c:v>
                </c:pt>
                <c:pt idx="809">
                  <c:v>44158</c:v>
                </c:pt>
                <c:pt idx="810">
                  <c:v>44155</c:v>
                </c:pt>
                <c:pt idx="811">
                  <c:v>44154</c:v>
                </c:pt>
                <c:pt idx="812">
                  <c:v>44153</c:v>
                </c:pt>
                <c:pt idx="813">
                  <c:v>44152</c:v>
                </c:pt>
                <c:pt idx="814">
                  <c:v>44151</c:v>
                </c:pt>
                <c:pt idx="815">
                  <c:v>44148</c:v>
                </c:pt>
                <c:pt idx="816">
                  <c:v>44147</c:v>
                </c:pt>
                <c:pt idx="817">
                  <c:v>44146</c:v>
                </c:pt>
                <c:pt idx="818">
                  <c:v>44145</c:v>
                </c:pt>
                <c:pt idx="819">
                  <c:v>44144</c:v>
                </c:pt>
                <c:pt idx="820">
                  <c:v>44141</c:v>
                </c:pt>
                <c:pt idx="821">
                  <c:v>44140</c:v>
                </c:pt>
                <c:pt idx="822">
                  <c:v>44139</c:v>
                </c:pt>
                <c:pt idx="823">
                  <c:v>44138</c:v>
                </c:pt>
                <c:pt idx="824">
                  <c:v>44137</c:v>
                </c:pt>
                <c:pt idx="825">
                  <c:v>44134</c:v>
                </c:pt>
                <c:pt idx="826">
                  <c:v>44133</c:v>
                </c:pt>
                <c:pt idx="827">
                  <c:v>44132</c:v>
                </c:pt>
                <c:pt idx="828">
                  <c:v>44131</c:v>
                </c:pt>
                <c:pt idx="829">
                  <c:v>44130</c:v>
                </c:pt>
                <c:pt idx="830">
                  <c:v>44127</c:v>
                </c:pt>
                <c:pt idx="831">
                  <c:v>44126</c:v>
                </c:pt>
                <c:pt idx="832">
                  <c:v>44125</c:v>
                </c:pt>
                <c:pt idx="833">
                  <c:v>44124</c:v>
                </c:pt>
                <c:pt idx="834">
                  <c:v>44123</c:v>
                </c:pt>
                <c:pt idx="835">
                  <c:v>44120</c:v>
                </c:pt>
                <c:pt idx="836">
                  <c:v>44119</c:v>
                </c:pt>
                <c:pt idx="837">
                  <c:v>44118</c:v>
                </c:pt>
                <c:pt idx="838">
                  <c:v>44117</c:v>
                </c:pt>
                <c:pt idx="839">
                  <c:v>44116</c:v>
                </c:pt>
                <c:pt idx="840">
                  <c:v>44113</c:v>
                </c:pt>
                <c:pt idx="841">
                  <c:v>44112</c:v>
                </c:pt>
                <c:pt idx="842">
                  <c:v>44111</c:v>
                </c:pt>
                <c:pt idx="843">
                  <c:v>44110</c:v>
                </c:pt>
                <c:pt idx="844">
                  <c:v>44109</c:v>
                </c:pt>
                <c:pt idx="845">
                  <c:v>44106</c:v>
                </c:pt>
                <c:pt idx="846">
                  <c:v>44105</c:v>
                </c:pt>
                <c:pt idx="847">
                  <c:v>44104</c:v>
                </c:pt>
                <c:pt idx="848">
                  <c:v>44103</c:v>
                </c:pt>
                <c:pt idx="849">
                  <c:v>44102</c:v>
                </c:pt>
                <c:pt idx="850">
                  <c:v>44099</c:v>
                </c:pt>
                <c:pt idx="851">
                  <c:v>44098</c:v>
                </c:pt>
                <c:pt idx="852">
                  <c:v>44097</c:v>
                </c:pt>
                <c:pt idx="853">
                  <c:v>44096</c:v>
                </c:pt>
                <c:pt idx="854">
                  <c:v>44095</c:v>
                </c:pt>
                <c:pt idx="855">
                  <c:v>44092</c:v>
                </c:pt>
                <c:pt idx="856">
                  <c:v>44091</c:v>
                </c:pt>
                <c:pt idx="857">
                  <c:v>44090</c:v>
                </c:pt>
                <c:pt idx="858">
                  <c:v>44089</c:v>
                </c:pt>
                <c:pt idx="859">
                  <c:v>44088</c:v>
                </c:pt>
                <c:pt idx="860">
                  <c:v>44085</c:v>
                </c:pt>
                <c:pt idx="861">
                  <c:v>44084</c:v>
                </c:pt>
                <c:pt idx="862">
                  <c:v>44083</c:v>
                </c:pt>
                <c:pt idx="863">
                  <c:v>44082</c:v>
                </c:pt>
                <c:pt idx="864">
                  <c:v>44081</c:v>
                </c:pt>
                <c:pt idx="865">
                  <c:v>44078</c:v>
                </c:pt>
                <c:pt idx="866">
                  <c:v>44077</c:v>
                </c:pt>
                <c:pt idx="867">
                  <c:v>44076</c:v>
                </c:pt>
                <c:pt idx="868">
                  <c:v>44075</c:v>
                </c:pt>
                <c:pt idx="869">
                  <c:v>44074</c:v>
                </c:pt>
                <c:pt idx="870">
                  <c:v>44071</c:v>
                </c:pt>
                <c:pt idx="871">
                  <c:v>44070</c:v>
                </c:pt>
                <c:pt idx="872">
                  <c:v>44069</c:v>
                </c:pt>
                <c:pt idx="873">
                  <c:v>44068</c:v>
                </c:pt>
                <c:pt idx="874">
                  <c:v>44067</c:v>
                </c:pt>
                <c:pt idx="875">
                  <c:v>44064</c:v>
                </c:pt>
                <c:pt idx="876">
                  <c:v>44063</c:v>
                </c:pt>
                <c:pt idx="877">
                  <c:v>44062</c:v>
                </c:pt>
                <c:pt idx="878">
                  <c:v>44061</c:v>
                </c:pt>
                <c:pt idx="879">
                  <c:v>44060</c:v>
                </c:pt>
                <c:pt idx="880">
                  <c:v>44057</c:v>
                </c:pt>
                <c:pt idx="881">
                  <c:v>44056</c:v>
                </c:pt>
                <c:pt idx="882">
                  <c:v>44055</c:v>
                </c:pt>
                <c:pt idx="883">
                  <c:v>44054</c:v>
                </c:pt>
                <c:pt idx="884">
                  <c:v>44053</c:v>
                </c:pt>
                <c:pt idx="885">
                  <c:v>44050</c:v>
                </c:pt>
                <c:pt idx="886">
                  <c:v>44049</c:v>
                </c:pt>
                <c:pt idx="887">
                  <c:v>44048</c:v>
                </c:pt>
                <c:pt idx="888">
                  <c:v>44047</c:v>
                </c:pt>
                <c:pt idx="889">
                  <c:v>44046</c:v>
                </c:pt>
                <c:pt idx="890">
                  <c:v>44043</c:v>
                </c:pt>
                <c:pt idx="891">
                  <c:v>44042</c:v>
                </c:pt>
                <c:pt idx="892">
                  <c:v>44041</c:v>
                </c:pt>
                <c:pt idx="893">
                  <c:v>44040</c:v>
                </c:pt>
                <c:pt idx="894">
                  <c:v>44039</c:v>
                </c:pt>
                <c:pt idx="895">
                  <c:v>44036</c:v>
                </c:pt>
                <c:pt idx="896">
                  <c:v>44035</c:v>
                </c:pt>
                <c:pt idx="897">
                  <c:v>44034</c:v>
                </c:pt>
                <c:pt idx="898">
                  <c:v>44033</c:v>
                </c:pt>
                <c:pt idx="899">
                  <c:v>44032</c:v>
                </c:pt>
                <c:pt idx="900">
                  <c:v>44029</c:v>
                </c:pt>
                <c:pt idx="901">
                  <c:v>44028</c:v>
                </c:pt>
                <c:pt idx="902">
                  <c:v>44027</c:v>
                </c:pt>
                <c:pt idx="903">
                  <c:v>44026</c:v>
                </c:pt>
                <c:pt idx="904">
                  <c:v>44025</c:v>
                </c:pt>
                <c:pt idx="905">
                  <c:v>44022</c:v>
                </c:pt>
                <c:pt idx="906">
                  <c:v>44021</c:v>
                </c:pt>
                <c:pt idx="907">
                  <c:v>44020</c:v>
                </c:pt>
                <c:pt idx="908">
                  <c:v>44019</c:v>
                </c:pt>
                <c:pt idx="909">
                  <c:v>44018</c:v>
                </c:pt>
                <c:pt idx="910">
                  <c:v>44015</c:v>
                </c:pt>
                <c:pt idx="911">
                  <c:v>44014</c:v>
                </c:pt>
                <c:pt idx="912">
                  <c:v>44013</c:v>
                </c:pt>
                <c:pt idx="913">
                  <c:v>44012</c:v>
                </c:pt>
                <c:pt idx="914">
                  <c:v>44011</c:v>
                </c:pt>
                <c:pt idx="915">
                  <c:v>44008</c:v>
                </c:pt>
                <c:pt idx="916">
                  <c:v>44007</c:v>
                </c:pt>
                <c:pt idx="917">
                  <c:v>44006</c:v>
                </c:pt>
                <c:pt idx="918">
                  <c:v>44005</c:v>
                </c:pt>
                <c:pt idx="919">
                  <c:v>44004</c:v>
                </c:pt>
                <c:pt idx="920">
                  <c:v>44001</c:v>
                </c:pt>
                <c:pt idx="921">
                  <c:v>44000</c:v>
                </c:pt>
                <c:pt idx="922">
                  <c:v>43999</c:v>
                </c:pt>
                <c:pt idx="923">
                  <c:v>43998</c:v>
                </c:pt>
                <c:pt idx="924">
                  <c:v>43997</c:v>
                </c:pt>
                <c:pt idx="925">
                  <c:v>43994</c:v>
                </c:pt>
                <c:pt idx="926">
                  <c:v>43993</c:v>
                </c:pt>
                <c:pt idx="927">
                  <c:v>43992</c:v>
                </c:pt>
                <c:pt idx="928">
                  <c:v>43991</c:v>
                </c:pt>
                <c:pt idx="929">
                  <c:v>43990</c:v>
                </c:pt>
                <c:pt idx="930">
                  <c:v>43987</c:v>
                </c:pt>
                <c:pt idx="931">
                  <c:v>43986</c:v>
                </c:pt>
                <c:pt idx="932">
                  <c:v>43985</c:v>
                </c:pt>
                <c:pt idx="933">
                  <c:v>43984</c:v>
                </c:pt>
                <c:pt idx="934">
                  <c:v>43983</c:v>
                </c:pt>
                <c:pt idx="935">
                  <c:v>43980</c:v>
                </c:pt>
                <c:pt idx="936">
                  <c:v>43979</c:v>
                </c:pt>
                <c:pt idx="937">
                  <c:v>43978</c:v>
                </c:pt>
                <c:pt idx="938">
                  <c:v>43977</c:v>
                </c:pt>
                <c:pt idx="939">
                  <c:v>43976</c:v>
                </c:pt>
                <c:pt idx="940">
                  <c:v>43973</c:v>
                </c:pt>
                <c:pt idx="941">
                  <c:v>43972</c:v>
                </c:pt>
                <c:pt idx="942">
                  <c:v>43971</c:v>
                </c:pt>
                <c:pt idx="943">
                  <c:v>43970</c:v>
                </c:pt>
                <c:pt idx="944">
                  <c:v>43969</c:v>
                </c:pt>
                <c:pt idx="945">
                  <c:v>43966</c:v>
                </c:pt>
                <c:pt idx="946">
                  <c:v>43965</c:v>
                </c:pt>
                <c:pt idx="947">
                  <c:v>43964</c:v>
                </c:pt>
                <c:pt idx="948">
                  <c:v>43963</c:v>
                </c:pt>
                <c:pt idx="949">
                  <c:v>43962</c:v>
                </c:pt>
                <c:pt idx="950">
                  <c:v>43959</c:v>
                </c:pt>
                <c:pt idx="951">
                  <c:v>43958</c:v>
                </c:pt>
                <c:pt idx="952">
                  <c:v>43957</c:v>
                </c:pt>
                <c:pt idx="953">
                  <c:v>43956</c:v>
                </c:pt>
                <c:pt idx="954">
                  <c:v>43955</c:v>
                </c:pt>
                <c:pt idx="955">
                  <c:v>43952</c:v>
                </c:pt>
                <c:pt idx="956">
                  <c:v>43951</c:v>
                </c:pt>
                <c:pt idx="957">
                  <c:v>43950</c:v>
                </c:pt>
                <c:pt idx="958">
                  <c:v>43949</c:v>
                </c:pt>
                <c:pt idx="959">
                  <c:v>43948</c:v>
                </c:pt>
                <c:pt idx="960">
                  <c:v>43945</c:v>
                </c:pt>
                <c:pt idx="961">
                  <c:v>43944</c:v>
                </c:pt>
                <c:pt idx="962">
                  <c:v>43943</c:v>
                </c:pt>
                <c:pt idx="963">
                  <c:v>43942</c:v>
                </c:pt>
                <c:pt idx="964">
                  <c:v>43941</c:v>
                </c:pt>
                <c:pt idx="965">
                  <c:v>43938</c:v>
                </c:pt>
                <c:pt idx="966">
                  <c:v>43937</c:v>
                </c:pt>
                <c:pt idx="967">
                  <c:v>43936</c:v>
                </c:pt>
                <c:pt idx="968">
                  <c:v>43935</c:v>
                </c:pt>
                <c:pt idx="969">
                  <c:v>43934</c:v>
                </c:pt>
                <c:pt idx="970">
                  <c:v>43931</c:v>
                </c:pt>
                <c:pt idx="971">
                  <c:v>43930</c:v>
                </c:pt>
                <c:pt idx="972">
                  <c:v>43929</c:v>
                </c:pt>
                <c:pt idx="973">
                  <c:v>43928</c:v>
                </c:pt>
                <c:pt idx="974">
                  <c:v>43927</c:v>
                </c:pt>
                <c:pt idx="975">
                  <c:v>43924</c:v>
                </c:pt>
                <c:pt idx="976">
                  <c:v>43923</c:v>
                </c:pt>
                <c:pt idx="977">
                  <c:v>43922</c:v>
                </c:pt>
                <c:pt idx="978">
                  <c:v>43921</c:v>
                </c:pt>
                <c:pt idx="979">
                  <c:v>43920</c:v>
                </c:pt>
                <c:pt idx="980">
                  <c:v>43917</c:v>
                </c:pt>
                <c:pt idx="981">
                  <c:v>43916</c:v>
                </c:pt>
                <c:pt idx="982">
                  <c:v>43915</c:v>
                </c:pt>
                <c:pt idx="983">
                  <c:v>43914</c:v>
                </c:pt>
                <c:pt idx="984">
                  <c:v>43913</c:v>
                </c:pt>
                <c:pt idx="985">
                  <c:v>43910</c:v>
                </c:pt>
                <c:pt idx="986">
                  <c:v>43909</c:v>
                </c:pt>
                <c:pt idx="987">
                  <c:v>43908</c:v>
                </c:pt>
                <c:pt idx="988">
                  <c:v>43907</c:v>
                </c:pt>
                <c:pt idx="989">
                  <c:v>43906</c:v>
                </c:pt>
                <c:pt idx="990">
                  <c:v>43903</c:v>
                </c:pt>
                <c:pt idx="991">
                  <c:v>43902</c:v>
                </c:pt>
                <c:pt idx="992">
                  <c:v>43901</c:v>
                </c:pt>
                <c:pt idx="993">
                  <c:v>43900</c:v>
                </c:pt>
                <c:pt idx="994">
                  <c:v>43899</c:v>
                </c:pt>
                <c:pt idx="995">
                  <c:v>43896</c:v>
                </c:pt>
                <c:pt idx="996">
                  <c:v>43895</c:v>
                </c:pt>
                <c:pt idx="997">
                  <c:v>43894</c:v>
                </c:pt>
                <c:pt idx="998">
                  <c:v>43893</c:v>
                </c:pt>
                <c:pt idx="999">
                  <c:v>43892</c:v>
                </c:pt>
                <c:pt idx="1000">
                  <c:v>43889</c:v>
                </c:pt>
                <c:pt idx="1001">
                  <c:v>43888</c:v>
                </c:pt>
                <c:pt idx="1002">
                  <c:v>43887</c:v>
                </c:pt>
                <c:pt idx="1003">
                  <c:v>43886</c:v>
                </c:pt>
                <c:pt idx="1004">
                  <c:v>43885</c:v>
                </c:pt>
                <c:pt idx="1005">
                  <c:v>43882</c:v>
                </c:pt>
                <c:pt idx="1006">
                  <c:v>43881</c:v>
                </c:pt>
                <c:pt idx="1007">
                  <c:v>43880</c:v>
                </c:pt>
                <c:pt idx="1008">
                  <c:v>43879</c:v>
                </c:pt>
                <c:pt idx="1009">
                  <c:v>43878</c:v>
                </c:pt>
                <c:pt idx="1010">
                  <c:v>43875</c:v>
                </c:pt>
                <c:pt idx="1011">
                  <c:v>43874</c:v>
                </c:pt>
                <c:pt idx="1012">
                  <c:v>43873</c:v>
                </c:pt>
                <c:pt idx="1013">
                  <c:v>43872</c:v>
                </c:pt>
                <c:pt idx="1014">
                  <c:v>43871</c:v>
                </c:pt>
                <c:pt idx="1015">
                  <c:v>43868</c:v>
                </c:pt>
                <c:pt idx="1016">
                  <c:v>43867</c:v>
                </c:pt>
                <c:pt idx="1017">
                  <c:v>43866</c:v>
                </c:pt>
                <c:pt idx="1018">
                  <c:v>43865</c:v>
                </c:pt>
                <c:pt idx="1019">
                  <c:v>43864</c:v>
                </c:pt>
                <c:pt idx="1020">
                  <c:v>43861</c:v>
                </c:pt>
                <c:pt idx="1021">
                  <c:v>43860</c:v>
                </c:pt>
                <c:pt idx="1022">
                  <c:v>43859</c:v>
                </c:pt>
                <c:pt idx="1023">
                  <c:v>43858</c:v>
                </c:pt>
                <c:pt idx="1024">
                  <c:v>43857</c:v>
                </c:pt>
                <c:pt idx="1025">
                  <c:v>43854</c:v>
                </c:pt>
                <c:pt idx="1026">
                  <c:v>43853</c:v>
                </c:pt>
                <c:pt idx="1027">
                  <c:v>43852</c:v>
                </c:pt>
                <c:pt idx="1028">
                  <c:v>43851</c:v>
                </c:pt>
                <c:pt idx="1029">
                  <c:v>43850</c:v>
                </c:pt>
                <c:pt idx="1030">
                  <c:v>43847</c:v>
                </c:pt>
                <c:pt idx="1031">
                  <c:v>43846</c:v>
                </c:pt>
                <c:pt idx="1032">
                  <c:v>43845</c:v>
                </c:pt>
                <c:pt idx="1033">
                  <c:v>43844</c:v>
                </c:pt>
                <c:pt idx="1034">
                  <c:v>43843</c:v>
                </c:pt>
                <c:pt idx="1035">
                  <c:v>43840</c:v>
                </c:pt>
                <c:pt idx="1036">
                  <c:v>43839</c:v>
                </c:pt>
                <c:pt idx="1037">
                  <c:v>43838</c:v>
                </c:pt>
                <c:pt idx="1038">
                  <c:v>43837</c:v>
                </c:pt>
                <c:pt idx="1039">
                  <c:v>43836</c:v>
                </c:pt>
                <c:pt idx="1040">
                  <c:v>43833</c:v>
                </c:pt>
                <c:pt idx="1041">
                  <c:v>43832</c:v>
                </c:pt>
                <c:pt idx="1042">
                  <c:v>43831</c:v>
                </c:pt>
                <c:pt idx="1043">
                  <c:v>43830</c:v>
                </c:pt>
                <c:pt idx="1044">
                  <c:v>43829</c:v>
                </c:pt>
                <c:pt idx="1045">
                  <c:v>43826</c:v>
                </c:pt>
                <c:pt idx="1046">
                  <c:v>43825</c:v>
                </c:pt>
                <c:pt idx="1047">
                  <c:v>43824</c:v>
                </c:pt>
                <c:pt idx="1048">
                  <c:v>43823</c:v>
                </c:pt>
                <c:pt idx="1049">
                  <c:v>43822</c:v>
                </c:pt>
                <c:pt idx="1050">
                  <c:v>43819</c:v>
                </c:pt>
                <c:pt idx="1051">
                  <c:v>43818</c:v>
                </c:pt>
                <c:pt idx="1052">
                  <c:v>43817</c:v>
                </c:pt>
                <c:pt idx="1053">
                  <c:v>43816</c:v>
                </c:pt>
                <c:pt idx="1054">
                  <c:v>43815</c:v>
                </c:pt>
                <c:pt idx="1055">
                  <c:v>43812</c:v>
                </c:pt>
                <c:pt idx="1056">
                  <c:v>43811</c:v>
                </c:pt>
                <c:pt idx="1057">
                  <c:v>43810</c:v>
                </c:pt>
                <c:pt idx="1058">
                  <c:v>43809</c:v>
                </c:pt>
                <c:pt idx="1059">
                  <c:v>43808</c:v>
                </c:pt>
                <c:pt idx="1060">
                  <c:v>43805</c:v>
                </c:pt>
                <c:pt idx="1061">
                  <c:v>43804</c:v>
                </c:pt>
                <c:pt idx="1062">
                  <c:v>43803</c:v>
                </c:pt>
                <c:pt idx="1063">
                  <c:v>43802</c:v>
                </c:pt>
                <c:pt idx="1064">
                  <c:v>43801</c:v>
                </c:pt>
                <c:pt idx="1065">
                  <c:v>43798</c:v>
                </c:pt>
                <c:pt idx="1066">
                  <c:v>43797</c:v>
                </c:pt>
                <c:pt idx="1067">
                  <c:v>43796</c:v>
                </c:pt>
                <c:pt idx="1068">
                  <c:v>43795</c:v>
                </c:pt>
                <c:pt idx="1069">
                  <c:v>43794</c:v>
                </c:pt>
                <c:pt idx="1070">
                  <c:v>43791</c:v>
                </c:pt>
                <c:pt idx="1071">
                  <c:v>43790</c:v>
                </c:pt>
                <c:pt idx="1072">
                  <c:v>43789</c:v>
                </c:pt>
                <c:pt idx="1073">
                  <c:v>43788</c:v>
                </c:pt>
                <c:pt idx="1074">
                  <c:v>43787</c:v>
                </c:pt>
                <c:pt idx="1075">
                  <c:v>43784</c:v>
                </c:pt>
                <c:pt idx="1076">
                  <c:v>43783</c:v>
                </c:pt>
                <c:pt idx="1077">
                  <c:v>43782</c:v>
                </c:pt>
                <c:pt idx="1078">
                  <c:v>43781</c:v>
                </c:pt>
                <c:pt idx="1079">
                  <c:v>43780</c:v>
                </c:pt>
                <c:pt idx="1080">
                  <c:v>43777</c:v>
                </c:pt>
                <c:pt idx="1081">
                  <c:v>43776</c:v>
                </c:pt>
                <c:pt idx="1082">
                  <c:v>43775</c:v>
                </c:pt>
                <c:pt idx="1083">
                  <c:v>43774</c:v>
                </c:pt>
                <c:pt idx="1084">
                  <c:v>43773</c:v>
                </c:pt>
                <c:pt idx="1085">
                  <c:v>43770</c:v>
                </c:pt>
                <c:pt idx="1086">
                  <c:v>43769</c:v>
                </c:pt>
                <c:pt idx="1087">
                  <c:v>43768</c:v>
                </c:pt>
                <c:pt idx="1088">
                  <c:v>43767</c:v>
                </c:pt>
                <c:pt idx="1089">
                  <c:v>43766</c:v>
                </c:pt>
                <c:pt idx="1090">
                  <c:v>43763</c:v>
                </c:pt>
                <c:pt idx="1091">
                  <c:v>43762</c:v>
                </c:pt>
                <c:pt idx="1092">
                  <c:v>43761</c:v>
                </c:pt>
                <c:pt idx="1093">
                  <c:v>43760</c:v>
                </c:pt>
                <c:pt idx="1094">
                  <c:v>43759</c:v>
                </c:pt>
                <c:pt idx="1095">
                  <c:v>43756</c:v>
                </c:pt>
                <c:pt idx="1096">
                  <c:v>43755</c:v>
                </c:pt>
                <c:pt idx="1097">
                  <c:v>43754</c:v>
                </c:pt>
                <c:pt idx="1098">
                  <c:v>43753</c:v>
                </c:pt>
                <c:pt idx="1099">
                  <c:v>43752</c:v>
                </c:pt>
                <c:pt idx="1100">
                  <c:v>43749</c:v>
                </c:pt>
                <c:pt idx="1101">
                  <c:v>43748</c:v>
                </c:pt>
                <c:pt idx="1102">
                  <c:v>43747</c:v>
                </c:pt>
                <c:pt idx="1103">
                  <c:v>43746</c:v>
                </c:pt>
                <c:pt idx="1104">
                  <c:v>43745</c:v>
                </c:pt>
                <c:pt idx="1105">
                  <c:v>43742</c:v>
                </c:pt>
                <c:pt idx="1106">
                  <c:v>43741</c:v>
                </c:pt>
                <c:pt idx="1107">
                  <c:v>43740</c:v>
                </c:pt>
                <c:pt idx="1108">
                  <c:v>43739</c:v>
                </c:pt>
                <c:pt idx="1109">
                  <c:v>43738</c:v>
                </c:pt>
                <c:pt idx="1110">
                  <c:v>43735</c:v>
                </c:pt>
                <c:pt idx="1111">
                  <c:v>43734</c:v>
                </c:pt>
                <c:pt idx="1112">
                  <c:v>43733</c:v>
                </c:pt>
                <c:pt idx="1113">
                  <c:v>43732</c:v>
                </c:pt>
                <c:pt idx="1114">
                  <c:v>43731</c:v>
                </c:pt>
                <c:pt idx="1115">
                  <c:v>43728</c:v>
                </c:pt>
                <c:pt idx="1116">
                  <c:v>43727</c:v>
                </c:pt>
                <c:pt idx="1117">
                  <c:v>43726</c:v>
                </c:pt>
                <c:pt idx="1118">
                  <c:v>43725</c:v>
                </c:pt>
                <c:pt idx="1119">
                  <c:v>43724</c:v>
                </c:pt>
                <c:pt idx="1120">
                  <c:v>43721</c:v>
                </c:pt>
                <c:pt idx="1121">
                  <c:v>43720</c:v>
                </c:pt>
                <c:pt idx="1122">
                  <c:v>43719</c:v>
                </c:pt>
                <c:pt idx="1123">
                  <c:v>43718</c:v>
                </c:pt>
                <c:pt idx="1124">
                  <c:v>43717</c:v>
                </c:pt>
                <c:pt idx="1125">
                  <c:v>43714</c:v>
                </c:pt>
                <c:pt idx="1126">
                  <c:v>43713</c:v>
                </c:pt>
                <c:pt idx="1127">
                  <c:v>43712</c:v>
                </c:pt>
                <c:pt idx="1128">
                  <c:v>43711</c:v>
                </c:pt>
                <c:pt idx="1129">
                  <c:v>43710</c:v>
                </c:pt>
                <c:pt idx="1130">
                  <c:v>43707</c:v>
                </c:pt>
                <c:pt idx="1131">
                  <c:v>43706</c:v>
                </c:pt>
                <c:pt idx="1132">
                  <c:v>43705</c:v>
                </c:pt>
                <c:pt idx="1133">
                  <c:v>43704</c:v>
                </c:pt>
                <c:pt idx="1134">
                  <c:v>43703</c:v>
                </c:pt>
                <c:pt idx="1135">
                  <c:v>43700</c:v>
                </c:pt>
                <c:pt idx="1136">
                  <c:v>43699</c:v>
                </c:pt>
                <c:pt idx="1137">
                  <c:v>43698</c:v>
                </c:pt>
                <c:pt idx="1138">
                  <c:v>43697</c:v>
                </c:pt>
                <c:pt idx="1139">
                  <c:v>43696</c:v>
                </c:pt>
                <c:pt idx="1140">
                  <c:v>43693</c:v>
                </c:pt>
                <c:pt idx="1141">
                  <c:v>43692</c:v>
                </c:pt>
                <c:pt idx="1142">
                  <c:v>43691</c:v>
                </c:pt>
                <c:pt idx="1143">
                  <c:v>43690</c:v>
                </c:pt>
                <c:pt idx="1144">
                  <c:v>43689</c:v>
                </c:pt>
                <c:pt idx="1145">
                  <c:v>43686</c:v>
                </c:pt>
                <c:pt idx="1146">
                  <c:v>43685</c:v>
                </c:pt>
                <c:pt idx="1147">
                  <c:v>43684</c:v>
                </c:pt>
                <c:pt idx="1148">
                  <c:v>43683</c:v>
                </c:pt>
                <c:pt idx="1149">
                  <c:v>43682</c:v>
                </c:pt>
                <c:pt idx="1150">
                  <c:v>43679</c:v>
                </c:pt>
                <c:pt idx="1151">
                  <c:v>43678</c:v>
                </c:pt>
                <c:pt idx="1152">
                  <c:v>43677</c:v>
                </c:pt>
                <c:pt idx="1153">
                  <c:v>43676</c:v>
                </c:pt>
                <c:pt idx="1154">
                  <c:v>43675</c:v>
                </c:pt>
                <c:pt idx="1155">
                  <c:v>43672</c:v>
                </c:pt>
                <c:pt idx="1156">
                  <c:v>43671</c:v>
                </c:pt>
                <c:pt idx="1157">
                  <c:v>43670</c:v>
                </c:pt>
                <c:pt idx="1158">
                  <c:v>43669</c:v>
                </c:pt>
                <c:pt idx="1159">
                  <c:v>43668</c:v>
                </c:pt>
                <c:pt idx="1160">
                  <c:v>43665</c:v>
                </c:pt>
                <c:pt idx="1161">
                  <c:v>43664</c:v>
                </c:pt>
                <c:pt idx="1162">
                  <c:v>43663</c:v>
                </c:pt>
                <c:pt idx="1163">
                  <c:v>43662</c:v>
                </c:pt>
                <c:pt idx="1164">
                  <c:v>43661</c:v>
                </c:pt>
                <c:pt idx="1165">
                  <c:v>43658</c:v>
                </c:pt>
                <c:pt idx="1166">
                  <c:v>43657</c:v>
                </c:pt>
                <c:pt idx="1167">
                  <c:v>43656</c:v>
                </c:pt>
                <c:pt idx="1168">
                  <c:v>43655</c:v>
                </c:pt>
                <c:pt idx="1169">
                  <c:v>43654</c:v>
                </c:pt>
                <c:pt idx="1170">
                  <c:v>43651</c:v>
                </c:pt>
                <c:pt idx="1171">
                  <c:v>43650</c:v>
                </c:pt>
                <c:pt idx="1172">
                  <c:v>43649</c:v>
                </c:pt>
                <c:pt idx="1173">
                  <c:v>43648</c:v>
                </c:pt>
                <c:pt idx="1174">
                  <c:v>43647</c:v>
                </c:pt>
                <c:pt idx="1175">
                  <c:v>43644</c:v>
                </c:pt>
                <c:pt idx="1176">
                  <c:v>43643</c:v>
                </c:pt>
                <c:pt idx="1177">
                  <c:v>43642</c:v>
                </c:pt>
                <c:pt idx="1178">
                  <c:v>43641</c:v>
                </c:pt>
                <c:pt idx="1179">
                  <c:v>43640</c:v>
                </c:pt>
                <c:pt idx="1180">
                  <c:v>43637</c:v>
                </c:pt>
                <c:pt idx="1181">
                  <c:v>43636</c:v>
                </c:pt>
                <c:pt idx="1182">
                  <c:v>43635</c:v>
                </c:pt>
                <c:pt idx="1183">
                  <c:v>43634</c:v>
                </c:pt>
                <c:pt idx="1184">
                  <c:v>43633</c:v>
                </c:pt>
                <c:pt idx="1185">
                  <c:v>43630</c:v>
                </c:pt>
                <c:pt idx="1186">
                  <c:v>43629</c:v>
                </c:pt>
                <c:pt idx="1187">
                  <c:v>43628</c:v>
                </c:pt>
                <c:pt idx="1188">
                  <c:v>43627</c:v>
                </c:pt>
                <c:pt idx="1189">
                  <c:v>43626</c:v>
                </c:pt>
                <c:pt idx="1190">
                  <c:v>43623</c:v>
                </c:pt>
                <c:pt idx="1191">
                  <c:v>43622</c:v>
                </c:pt>
                <c:pt idx="1192">
                  <c:v>43621</c:v>
                </c:pt>
                <c:pt idx="1193">
                  <c:v>43620</c:v>
                </c:pt>
                <c:pt idx="1194">
                  <c:v>43619</c:v>
                </c:pt>
                <c:pt idx="1195">
                  <c:v>43616</c:v>
                </c:pt>
                <c:pt idx="1196">
                  <c:v>43615</c:v>
                </c:pt>
                <c:pt idx="1197">
                  <c:v>43614</c:v>
                </c:pt>
                <c:pt idx="1198">
                  <c:v>43613</c:v>
                </c:pt>
                <c:pt idx="1199">
                  <c:v>43612</c:v>
                </c:pt>
                <c:pt idx="1200">
                  <c:v>43609</c:v>
                </c:pt>
                <c:pt idx="1201">
                  <c:v>43608</c:v>
                </c:pt>
                <c:pt idx="1202">
                  <c:v>43607</c:v>
                </c:pt>
                <c:pt idx="1203">
                  <c:v>43606</c:v>
                </c:pt>
                <c:pt idx="1204">
                  <c:v>43605</c:v>
                </c:pt>
                <c:pt idx="1205">
                  <c:v>43602</c:v>
                </c:pt>
                <c:pt idx="1206">
                  <c:v>43601</c:v>
                </c:pt>
                <c:pt idx="1207">
                  <c:v>43600</c:v>
                </c:pt>
                <c:pt idx="1208">
                  <c:v>43599</c:v>
                </c:pt>
                <c:pt idx="1209">
                  <c:v>43598</c:v>
                </c:pt>
                <c:pt idx="1210">
                  <c:v>43595</c:v>
                </c:pt>
                <c:pt idx="1211">
                  <c:v>43594</c:v>
                </c:pt>
                <c:pt idx="1212">
                  <c:v>43593</c:v>
                </c:pt>
                <c:pt idx="1213">
                  <c:v>43592</c:v>
                </c:pt>
                <c:pt idx="1214">
                  <c:v>43591</c:v>
                </c:pt>
                <c:pt idx="1215">
                  <c:v>43588</c:v>
                </c:pt>
                <c:pt idx="1216">
                  <c:v>43587</c:v>
                </c:pt>
                <c:pt idx="1217">
                  <c:v>43586</c:v>
                </c:pt>
                <c:pt idx="1218">
                  <c:v>43585</c:v>
                </c:pt>
                <c:pt idx="1219">
                  <c:v>43584</c:v>
                </c:pt>
                <c:pt idx="1220">
                  <c:v>43581</c:v>
                </c:pt>
                <c:pt idx="1221">
                  <c:v>43580</c:v>
                </c:pt>
                <c:pt idx="1222">
                  <c:v>43579</c:v>
                </c:pt>
                <c:pt idx="1223">
                  <c:v>43578</c:v>
                </c:pt>
                <c:pt idx="1224">
                  <c:v>43577</c:v>
                </c:pt>
                <c:pt idx="1225">
                  <c:v>43574</c:v>
                </c:pt>
                <c:pt idx="1226">
                  <c:v>43573</c:v>
                </c:pt>
                <c:pt idx="1227">
                  <c:v>43572</c:v>
                </c:pt>
                <c:pt idx="1228">
                  <c:v>43571</c:v>
                </c:pt>
                <c:pt idx="1229">
                  <c:v>43570</c:v>
                </c:pt>
                <c:pt idx="1230">
                  <c:v>43567</c:v>
                </c:pt>
                <c:pt idx="1231">
                  <c:v>43566</c:v>
                </c:pt>
                <c:pt idx="1232">
                  <c:v>43565</c:v>
                </c:pt>
                <c:pt idx="1233">
                  <c:v>43564</c:v>
                </c:pt>
                <c:pt idx="1234">
                  <c:v>43563</c:v>
                </c:pt>
                <c:pt idx="1235">
                  <c:v>43560</c:v>
                </c:pt>
                <c:pt idx="1236">
                  <c:v>43559</c:v>
                </c:pt>
                <c:pt idx="1237">
                  <c:v>43558</c:v>
                </c:pt>
                <c:pt idx="1238">
                  <c:v>43557</c:v>
                </c:pt>
                <c:pt idx="1239">
                  <c:v>43556</c:v>
                </c:pt>
                <c:pt idx="1240">
                  <c:v>43553</c:v>
                </c:pt>
                <c:pt idx="1241">
                  <c:v>43552</c:v>
                </c:pt>
                <c:pt idx="1242">
                  <c:v>43551</c:v>
                </c:pt>
                <c:pt idx="1243">
                  <c:v>43550</c:v>
                </c:pt>
                <c:pt idx="1244">
                  <c:v>43549</c:v>
                </c:pt>
                <c:pt idx="1245">
                  <c:v>43546</c:v>
                </c:pt>
                <c:pt idx="1246">
                  <c:v>43545</c:v>
                </c:pt>
                <c:pt idx="1247">
                  <c:v>43544</c:v>
                </c:pt>
                <c:pt idx="1248">
                  <c:v>43543</c:v>
                </c:pt>
                <c:pt idx="1249">
                  <c:v>43542</c:v>
                </c:pt>
                <c:pt idx="1250">
                  <c:v>43539</c:v>
                </c:pt>
                <c:pt idx="1251">
                  <c:v>43538</c:v>
                </c:pt>
                <c:pt idx="1252">
                  <c:v>43537</c:v>
                </c:pt>
                <c:pt idx="1253">
                  <c:v>43536</c:v>
                </c:pt>
                <c:pt idx="1254">
                  <c:v>43535</c:v>
                </c:pt>
                <c:pt idx="1255">
                  <c:v>43532</c:v>
                </c:pt>
                <c:pt idx="1256">
                  <c:v>43531</c:v>
                </c:pt>
                <c:pt idx="1257">
                  <c:v>43530</c:v>
                </c:pt>
                <c:pt idx="1258">
                  <c:v>43529</c:v>
                </c:pt>
                <c:pt idx="1259">
                  <c:v>43528</c:v>
                </c:pt>
                <c:pt idx="1260">
                  <c:v>43525</c:v>
                </c:pt>
                <c:pt idx="1261">
                  <c:v>43524</c:v>
                </c:pt>
                <c:pt idx="1262">
                  <c:v>43523</c:v>
                </c:pt>
                <c:pt idx="1263">
                  <c:v>43522</c:v>
                </c:pt>
                <c:pt idx="1264">
                  <c:v>43521</c:v>
                </c:pt>
                <c:pt idx="1265">
                  <c:v>43518</c:v>
                </c:pt>
                <c:pt idx="1266">
                  <c:v>43517</c:v>
                </c:pt>
                <c:pt idx="1267">
                  <c:v>43516</c:v>
                </c:pt>
                <c:pt idx="1268">
                  <c:v>43515</c:v>
                </c:pt>
                <c:pt idx="1269">
                  <c:v>43514</c:v>
                </c:pt>
                <c:pt idx="1270">
                  <c:v>43511</c:v>
                </c:pt>
                <c:pt idx="1271">
                  <c:v>43510</c:v>
                </c:pt>
                <c:pt idx="1272">
                  <c:v>43509</c:v>
                </c:pt>
                <c:pt idx="1273">
                  <c:v>43508</c:v>
                </c:pt>
                <c:pt idx="1274">
                  <c:v>43507</c:v>
                </c:pt>
                <c:pt idx="1275">
                  <c:v>43504</c:v>
                </c:pt>
                <c:pt idx="1276">
                  <c:v>43503</c:v>
                </c:pt>
                <c:pt idx="1277">
                  <c:v>43502</c:v>
                </c:pt>
                <c:pt idx="1278">
                  <c:v>43501</c:v>
                </c:pt>
                <c:pt idx="1279">
                  <c:v>43500</c:v>
                </c:pt>
                <c:pt idx="1280">
                  <c:v>43497</c:v>
                </c:pt>
                <c:pt idx="1281">
                  <c:v>43496</c:v>
                </c:pt>
                <c:pt idx="1282">
                  <c:v>43495</c:v>
                </c:pt>
                <c:pt idx="1283">
                  <c:v>43494</c:v>
                </c:pt>
                <c:pt idx="1284">
                  <c:v>43493</c:v>
                </c:pt>
                <c:pt idx="1285">
                  <c:v>43490</c:v>
                </c:pt>
                <c:pt idx="1286">
                  <c:v>43489</c:v>
                </c:pt>
                <c:pt idx="1287">
                  <c:v>43488</c:v>
                </c:pt>
                <c:pt idx="1288">
                  <c:v>43487</c:v>
                </c:pt>
                <c:pt idx="1289">
                  <c:v>43486</c:v>
                </c:pt>
                <c:pt idx="1290">
                  <c:v>43483</c:v>
                </c:pt>
                <c:pt idx="1291">
                  <c:v>43482</c:v>
                </c:pt>
                <c:pt idx="1292">
                  <c:v>43481</c:v>
                </c:pt>
                <c:pt idx="1293">
                  <c:v>43480</c:v>
                </c:pt>
                <c:pt idx="1294">
                  <c:v>43479</c:v>
                </c:pt>
                <c:pt idx="1295">
                  <c:v>43476</c:v>
                </c:pt>
                <c:pt idx="1296">
                  <c:v>43475</c:v>
                </c:pt>
                <c:pt idx="1297">
                  <c:v>43474</c:v>
                </c:pt>
                <c:pt idx="1298">
                  <c:v>43473</c:v>
                </c:pt>
                <c:pt idx="1299">
                  <c:v>43472</c:v>
                </c:pt>
                <c:pt idx="1300">
                  <c:v>43469</c:v>
                </c:pt>
                <c:pt idx="1301">
                  <c:v>43468</c:v>
                </c:pt>
                <c:pt idx="1302">
                  <c:v>43467</c:v>
                </c:pt>
                <c:pt idx="1303">
                  <c:v>43466</c:v>
                </c:pt>
                <c:pt idx="1304">
                  <c:v>43465</c:v>
                </c:pt>
                <c:pt idx="1305">
                  <c:v>43462</c:v>
                </c:pt>
                <c:pt idx="1306">
                  <c:v>43461</c:v>
                </c:pt>
                <c:pt idx="1307">
                  <c:v>43460</c:v>
                </c:pt>
                <c:pt idx="1308">
                  <c:v>43459</c:v>
                </c:pt>
                <c:pt idx="1309">
                  <c:v>43458</c:v>
                </c:pt>
                <c:pt idx="1310">
                  <c:v>43455</c:v>
                </c:pt>
                <c:pt idx="1311">
                  <c:v>43454</c:v>
                </c:pt>
                <c:pt idx="1312">
                  <c:v>43453</c:v>
                </c:pt>
                <c:pt idx="1313">
                  <c:v>43452</c:v>
                </c:pt>
                <c:pt idx="1314">
                  <c:v>43451</c:v>
                </c:pt>
                <c:pt idx="1315">
                  <c:v>43448</c:v>
                </c:pt>
                <c:pt idx="1316">
                  <c:v>43447</c:v>
                </c:pt>
                <c:pt idx="1317">
                  <c:v>43446</c:v>
                </c:pt>
                <c:pt idx="1318">
                  <c:v>43445</c:v>
                </c:pt>
                <c:pt idx="1319">
                  <c:v>43444</c:v>
                </c:pt>
                <c:pt idx="1320">
                  <c:v>43441</c:v>
                </c:pt>
                <c:pt idx="1321">
                  <c:v>43440</c:v>
                </c:pt>
                <c:pt idx="1322">
                  <c:v>43439</c:v>
                </c:pt>
                <c:pt idx="1323">
                  <c:v>43438</c:v>
                </c:pt>
                <c:pt idx="1324">
                  <c:v>43437</c:v>
                </c:pt>
                <c:pt idx="1325">
                  <c:v>43434</c:v>
                </c:pt>
                <c:pt idx="1326">
                  <c:v>43433</c:v>
                </c:pt>
                <c:pt idx="1327">
                  <c:v>43432</c:v>
                </c:pt>
                <c:pt idx="1328">
                  <c:v>43431</c:v>
                </c:pt>
                <c:pt idx="1329">
                  <c:v>43430</c:v>
                </c:pt>
                <c:pt idx="1330">
                  <c:v>43427</c:v>
                </c:pt>
                <c:pt idx="1331">
                  <c:v>43426</c:v>
                </c:pt>
                <c:pt idx="1332">
                  <c:v>43425</c:v>
                </c:pt>
                <c:pt idx="1333">
                  <c:v>43424</c:v>
                </c:pt>
                <c:pt idx="1334">
                  <c:v>43423</c:v>
                </c:pt>
                <c:pt idx="1335">
                  <c:v>43420</c:v>
                </c:pt>
                <c:pt idx="1336">
                  <c:v>43419</c:v>
                </c:pt>
                <c:pt idx="1337">
                  <c:v>43418</c:v>
                </c:pt>
                <c:pt idx="1338">
                  <c:v>43417</c:v>
                </c:pt>
                <c:pt idx="1339">
                  <c:v>43416</c:v>
                </c:pt>
                <c:pt idx="1340">
                  <c:v>43413</c:v>
                </c:pt>
                <c:pt idx="1341">
                  <c:v>43412</c:v>
                </c:pt>
                <c:pt idx="1342">
                  <c:v>43411</c:v>
                </c:pt>
                <c:pt idx="1343">
                  <c:v>43410</c:v>
                </c:pt>
                <c:pt idx="1344">
                  <c:v>43409</c:v>
                </c:pt>
                <c:pt idx="1345">
                  <c:v>43406</c:v>
                </c:pt>
                <c:pt idx="1346">
                  <c:v>43405</c:v>
                </c:pt>
                <c:pt idx="1347">
                  <c:v>43404</c:v>
                </c:pt>
                <c:pt idx="1348">
                  <c:v>43403</c:v>
                </c:pt>
                <c:pt idx="1349">
                  <c:v>43402</c:v>
                </c:pt>
                <c:pt idx="1350">
                  <c:v>43399</c:v>
                </c:pt>
                <c:pt idx="1351">
                  <c:v>43398</c:v>
                </c:pt>
                <c:pt idx="1352">
                  <c:v>43397</c:v>
                </c:pt>
                <c:pt idx="1353">
                  <c:v>43396</c:v>
                </c:pt>
                <c:pt idx="1354">
                  <c:v>43395</c:v>
                </c:pt>
                <c:pt idx="1355">
                  <c:v>43392</c:v>
                </c:pt>
                <c:pt idx="1356">
                  <c:v>43391</c:v>
                </c:pt>
                <c:pt idx="1357">
                  <c:v>43390</c:v>
                </c:pt>
                <c:pt idx="1358">
                  <c:v>43389</c:v>
                </c:pt>
                <c:pt idx="1359">
                  <c:v>43388</c:v>
                </c:pt>
                <c:pt idx="1360">
                  <c:v>43385</c:v>
                </c:pt>
                <c:pt idx="1361">
                  <c:v>43384</c:v>
                </c:pt>
                <c:pt idx="1362">
                  <c:v>43383</c:v>
                </c:pt>
                <c:pt idx="1363">
                  <c:v>43382</c:v>
                </c:pt>
                <c:pt idx="1364">
                  <c:v>43381</c:v>
                </c:pt>
                <c:pt idx="1365">
                  <c:v>43378</c:v>
                </c:pt>
                <c:pt idx="1366">
                  <c:v>43377</c:v>
                </c:pt>
                <c:pt idx="1367">
                  <c:v>43376</c:v>
                </c:pt>
                <c:pt idx="1368">
                  <c:v>43375</c:v>
                </c:pt>
                <c:pt idx="1369">
                  <c:v>43374</c:v>
                </c:pt>
                <c:pt idx="1370">
                  <c:v>43371</c:v>
                </c:pt>
                <c:pt idx="1371">
                  <c:v>43370</c:v>
                </c:pt>
                <c:pt idx="1372">
                  <c:v>43369</c:v>
                </c:pt>
                <c:pt idx="1373">
                  <c:v>43368</c:v>
                </c:pt>
                <c:pt idx="1374">
                  <c:v>43367</c:v>
                </c:pt>
                <c:pt idx="1375">
                  <c:v>43364</c:v>
                </c:pt>
                <c:pt idx="1376">
                  <c:v>43363</c:v>
                </c:pt>
                <c:pt idx="1377">
                  <c:v>43362</c:v>
                </c:pt>
                <c:pt idx="1378">
                  <c:v>43361</c:v>
                </c:pt>
                <c:pt idx="1379">
                  <c:v>43360</c:v>
                </c:pt>
                <c:pt idx="1380">
                  <c:v>43357</c:v>
                </c:pt>
                <c:pt idx="1381">
                  <c:v>43356</c:v>
                </c:pt>
                <c:pt idx="1382">
                  <c:v>43355</c:v>
                </c:pt>
                <c:pt idx="1383">
                  <c:v>43354</c:v>
                </c:pt>
                <c:pt idx="1384">
                  <c:v>43353</c:v>
                </c:pt>
                <c:pt idx="1385">
                  <c:v>43350</c:v>
                </c:pt>
                <c:pt idx="1386">
                  <c:v>43349</c:v>
                </c:pt>
                <c:pt idx="1387">
                  <c:v>43348</c:v>
                </c:pt>
                <c:pt idx="1388">
                  <c:v>43347</c:v>
                </c:pt>
                <c:pt idx="1389">
                  <c:v>43346</c:v>
                </c:pt>
                <c:pt idx="1390">
                  <c:v>43343</c:v>
                </c:pt>
                <c:pt idx="1391">
                  <c:v>43342</c:v>
                </c:pt>
                <c:pt idx="1392">
                  <c:v>43341</c:v>
                </c:pt>
                <c:pt idx="1393">
                  <c:v>43340</c:v>
                </c:pt>
                <c:pt idx="1394">
                  <c:v>43339</c:v>
                </c:pt>
                <c:pt idx="1395">
                  <c:v>43336</c:v>
                </c:pt>
                <c:pt idx="1396">
                  <c:v>43335</c:v>
                </c:pt>
                <c:pt idx="1397">
                  <c:v>43334</c:v>
                </c:pt>
                <c:pt idx="1398">
                  <c:v>43333</c:v>
                </c:pt>
                <c:pt idx="1399">
                  <c:v>43332</c:v>
                </c:pt>
                <c:pt idx="1400">
                  <c:v>43329</c:v>
                </c:pt>
                <c:pt idx="1401">
                  <c:v>43328</c:v>
                </c:pt>
                <c:pt idx="1402">
                  <c:v>43327</c:v>
                </c:pt>
                <c:pt idx="1403">
                  <c:v>43326</c:v>
                </c:pt>
                <c:pt idx="1404">
                  <c:v>43325</c:v>
                </c:pt>
                <c:pt idx="1405">
                  <c:v>43322</c:v>
                </c:pt>
                <c:pt idx="1406">
                  <c:v>43321</c:v>
                </c:pt>
                <c:pt idx="1407">
                  <c:v>43320</c:v>
                </c:pt>
                <c:pt idx="1408">
                  <c:v>43319</c:v>
                </c:pt>
                <c:pt idx="1409">
                  <c:v>43318</c:v>
                </c:pt>
                <c:pt idx="1410">
                  <c:v>43315</c:v>
                </c:pt>
                <c:pt idx="1411">
                  <c:v>43314</c:v>
                </c:pt>
                <c:pt idx="1412">
                  <c:v>43313</c:v>
                </c:pt>
                <c:pt idx="1413">
                  <c:v>43312</c:v>
                </c:pt>
                <c:pt idx="1414">
                  <c:v>43311</c:v>
                </c:pt>
                <c:pt idx="1415">
                  <c:v>43308</c:v>
                </c:pt>
                <c:pt idx="1416">
                  <c:v>43307</c:v>
                </c:pt>
                <c:pt idx="1417">
                  <c:v>43306</c:v>
                </c:pt>
                <c:pt idx="1418">
                  <c:v>43305</c:v>
                </c:pt>
                <c:pt idx="1419">
                  <c:v>43304</c:v>
                </c:pt>
                <c:pt idx="1420">
                  <c:v>43301</c:v>
                </c:pt>
                <c:pt idx="1421">
                  <c:v>43300</c:v>
                </c:pt>
                <c:pt idx="1422">
                  <c:v>43299</c:v>
                </c:pt>
                <c:pt idx="1423">
                  <c:v>43298</c:v>
                </c:pt>
                <c:pt idx="1424">
                  <c:v>43297</c:v>
                </c:pt>
                <c:pt idx="1425">
                  <c:v>43294</c:v>
                </c:pt>
                <c:pt idx="1426">
                  <c:v>43293</c:v>
                </c:pt>
                <c:pt idx="1427">
                  <c:v>43292</c:v>
                </c:pt>
                <c:pt idx="1428">
                  <c:v>43291</c:v>
                </c:pt>
                <c:pt idx="1429">
                  <c:v>43290</c:v>
                </c:pt>
                <c:pt idx="1430">
                  <c:v>43287</c:v>
                </c:pt>
                <c:pt idx="1431">
                  <c:v>43286</c:v>
                </c:pt>
                <c:pt idx="1432">
                  <c:v>43285</c:v>
                </c:pt>
                <c:pt idx="1433">
                  <c:v>43284</c:v>
                </c:pt>
                <c:pt idx="1434">
                  <c:v>43283</c:v>
                </c:pt>
                <c:pt idx="1435">
                  <c:v>43280</c:v>
                </c:pt>
                <c:pt idx="1436">
                  <c:v>43279</c:v>
                </c:pt>
                <c:pt idx="1437">
                  <c:v>43278</c:v>
                </c:pt>
                <c:pt idx="1438">
                  <c:v>43277</c:v>
                </c:pt>
                <c:pt idx="1439">
                  <c:v>43276</c:v>
                </c:pt>
                <c:pt idx="1440">
                  <c:v>43273</c:v>
                </c:pt>
                <c:pt idx="1441">
                  <c:v>43272</c:v>
                </c:pt>
                <c:pt idx="1442">
                  <c:v>43271</c:v>
                </c:pt>
                <c:pt idx="1443">
                  <c:v>43270</c:v>
                </c:pt>
                <c:pt idx="1444">
                  <c:v>43269</c:v>
                </c:pt>
                <c:pt idx="1445">
                  <c:v>43266</c:v>
                </c:pt>
                <c:pt idx="1446">
                  <c:v>43265</c:v>
                </c:pt>
                <c:pt idx="1447">
                  <c:v>43264</c:v>
                </c:pt>
                <c:pt idx="1448">
                  <c:v>43263</c:v>
                </c:pt>
                <c:pt idx="1449">
                  <c:v>43262</c:v>
                </c:pt>
                <c:pt idx="1450">
                  <c:v>43259</c:v>
                </c:pt>
                <c:pt idx="1451">
                  <c:v>43258</c:v>
                </c:pt>
                <c:pt idx="1452">
                  <c:v>43257</c:v>
                </c:pt>
                <c:pt idx="1453">
                  <c:v>43256</c:v>
                </c:pt>
                <c:pt idx="1454">
                  <c:v>43255</c:v>
                </c:pt>
                <c:pt idx="1455">
                  <c:v>43252</c:v>
                </c:pt>
                <c:pt idx="1456">
                  <c:v>43251</c:v>
                </c:pt>
                <c:pt idx="1457">
                  <c:v>43250</c:v>
                </c:pt>
                <c:pt idx="1458">
                  <c:v>43249</c:v>
                </c:pt>
                <c:pt idx="1459">
                  <c:v>43248</c:v>
                </c:pt>
                <c:pt idx="1460">
                  <c:v>43245</c:v>
                </c:pt>
                <c:pt idx="1461">
                  <c:v>43244</c:v>
                </c:pt>
                <c:pt idx="1462">
                  <c:v>43243</c:v>
                </c:pt>
                <c:pt idx="1463">
                  <c:v>43242</c:v>
                </c:pt>
                <c:pt idx="1464">
                  <c:v>43241</c:v>
                </c:pt>
                <c:pt idx="1465">
                  <c:v>43238</c:v>
                </c:pt>
                <c:pt idx="1466">
                  <c:v>43237</c:v>
                </c:pt>
                <c:pt idx="1467">
                  <c:v>43236</c:v>
                </c:pt>
                <c:pt idx="1468">
                  <c:v>43235</c:v>
                </c:pt>
                <c:pt idx="1469">
                  <c:v>43234</c:v>
                </c:pt>
                <c:pt idx="1470">
                  <c:v>43231</c:v>
                </c:pt>
                <c:pt idx="1471">
                  <c:v>43230</c:v>
                </c:pt>
                <c:pt idx="1472">
                  <c:v>43229</c:v>
                </c:pt>
                <c:pt idx="1473">
                  <c:v>43228</c:v>
                </c:pt>
                <c:pt idx="1474">
                  <c:v>43227</c:v>
                </c:pt>
                <c:pt idx="1475">
                  <c:v>43224</c:v>
                </c:pt>
                <c:pt idx="1476">
                  <c:v>43223</c:v>
                </c:pt>
                <c:pt idx="1477">
                  <c:v>43222</c:v>
                </c:pt>
                <c:pt idx="1478">
                  <c:v>43221</c:v>
                </c:pt>
                <c:pt idx="1479">
                  <c:v>43220</c:v>
                </c:pt>
                <c:pt idx="1480">
                  <c:v>43217</c:v>
                </c:pt>
                <c:pt idx="1481">
                  <c:v>43216</c:v>
                </c:pt>
                <c:pt idx="1482">
                  <c:v>43215</c:v>
                </c:pt>
                <c:pt idx="1483">
                  <c:v>43214</c:v>
                </c:pt>
                <c:pt idx="1484">
                  <c:v>43213</c:v>
                </c:pt>
                <c:pt idx="1485">
                  <c:v>43210</c:v>
                </c:pt>
                <c:pt idx="1486">
                  <c:v>43209</c:v>
                </c:pt>
                <c:pt idx="1487">
                  <c:v>43208</c:v>
                </c:pt>
                <c:pt idx="1488">
                  <c:v>43207</c:v>
                </c:pt>
                <c:pt idx="1489">
                  <c:v>43206</c:v>
                </c:pt>
                <c:pt idx="1490">
                  <c:v>43203</c:v>
                </c:pt>
                <c:pt idx="1491">
                  <c:v>43202</c:v>
                </c:pt>
                <c:pt idx="1492">
                  <c:v>43201</c:v>
                </c:pt>
                <c:pt idx="1493">
                  <c:v>43200</c:v>
                </c:pt>
                <c:pt idx="1494">
                  <c:v>43199</c:v>
                </c:pt>
                <c:pt idx="1495">
                  <c:v>43196</c:v>
                </c:pt>
                <c:pt idx="1496">
                  <c:v>43195</c:v>
                </c:pt>
                <c:pt idx="1497">
                  <c:v>43194</c:v>
                </c:pt>
                <c:pt idx="1498">
                  <c:v>43193</c:v>
                </c:pt>
                <c:pt idx="1499">
                  <c:v>43192</c:v>
                </c:pt>
                <c:pt idx="1500">
                  <c:v>43189</c:v>
                </c:pt>
                <c:pt idx="1501">
                  <c:v>43188</c:v>
                </c:pt>
                <c:pt idx="1502">
                  <c:v>43187</c:v>
                </c:pt>
                <c:pt idx="1503">
                  <c:v>43186</c:v>
                </c:pt>
                <c:pt idx="1504">
                  <c:v>43185</c:v>
                </c:pt>
                <c:pt idx="1505">
                  <c:v>43182</c:v>
                </c:pt>
                <c:pt idx="1506">
                  <c:v>43181</c:v>
                </c:pt>
                <c:pt idx="1507">
                  <c:v>43180</c:v>
                </c:pt>
                <c:pt idx="1508">
                  <c:v>43179</c:v>
                </c:pt>
                <c:pt idx="1509">
                  <c:v>43178</c:v>
                </c:pt>
                <c:pt idx="1510">
                  <c:v>43175</c:v>
                </c:pt>
                <c:pt idx="1511">
                  <c:v>43174</c:v>
                </c:pt>
                <c:pt idx="1512">
                  <c:v>43173</c:v>
                </c:pt>
                <c:pt idx="1513">
                  <c:v>43172</c:v>
                </c:pt>
                <c:pt idx="1514">
                  <c:v>43171</c:v>
                </c:pt>
                <c:pt idx="1515">
                  <c:v>43168</c:v>
                </c:pt>
                <c:pt idx="1516">
                  <c:v>43167</c:v>
                </c:pt>
                <c:pt idx="1517">
                  <c:v>43166</c:v>
                </c:pt>
                <c:pt idx="1518">
                  <c:v>43165</c:v>
                </c:pt>
                <c:pt idx="1519">
                  <c:v>43164</c:v>
                </c:pt>
                <c:pt idx="1520">
                  <c:v>43161</c:v>
                </c:pt>
                <c:pt idx="1521">
                  <c:v>43160</c:v>
                </c:pt>
                <c:pt idx="1522">
                  <c:v>43159</c:v>
                </c:pt>
                <c:pt idx="1523">
                  <c:v>43158</c:v>
                </c:pt>
                <c:pt idx="1524">
                  <c:v>43157</c:v>
                </c:pt>
                <c:pt idx="1525">
                  <c:v>43154</c:v>
                </c:pt>
                <c:pt idx="1526">
                  <c:v>43153</c:v>
                </c:pt>
                <c:pt idx="1527">
                  <c:v>43152</c:v>
                </c:pt>
                <c:pt idx="1528">
                  <c:v>43151</c:v>
                </c:pt>
                <c:pt idx="1529">
                  <c:v>43150</c:v>
                </c:pt>
                <c:pt idx="1530">
                  <c:v>43147</c:v>
                </c:pt>
                <c:pt idx="1531">
                  <c:v>43146</c:v>
                </c:pt>
                <c:pt idx="1532">
                  <c:v>43145</c:v>
                </c:pt>
                <c:pt idx="1533">
                  <c:v>43144</c:v>
                </c:pt>
                <c:pt idx="1534">
                  <c:v>43143</c:v>
                </c:pt>
                <c:pt idx="1535">
                  <c:v>43140</c:v>
                </c:pt>
                <c:pt idx="1536">
                  <c:v>43139</c:v>
                </c:pt>
                <c:pt idx="1537">
                  <c:v>43138</c:v>
                </c:pt>
                <c:pt idx="1538">
                  <c:v>43137</c:v>
                </c:pt>
                <c:pt idx="1539">
                  <c:v>43136</c:v>
                </c:pt>
                <c:pt idx="1540">
                  <c:v>43133</c:v>
                </c:pt>
                <c:pt idx="1541">
                  <c:v>43132</c:v>
                </c:pt>
                <c:pt idx="1542">
                  <c:v>43131</c:v>
                </c:pt>
                <c:pt idx="1543">
                  <c:v>43130</c:v>
                </c:pt>
                <c:pt idx="1544">
                  <c:v>43129</c:v>
                </c:pt>
                <c:pt idx="1545">
                  <c:v>43126</c:v>
                </c:pt>
                <c:pt idx="1546">
                  <c:v>43125</c:v>
                </c:pt>
                <c:pt idx="1547">
                  <c:v>43124</c:v>
                </c:pt>
                <c:pt idx="1548">
                  <c:v>43123</c:v>
                </c:pt>
                <c:pt idx="1549">
                  <c:v>43122</c:v>
                </c:pt>
                <c:pt idx="1550">
                  <c:v>43119</c:v>
                </c:pt>
                <c:pt idx="1551">
                  <c:v>43118</c:v>
                </c:pt>
                <c:pt idx="1552">
                  <c:v>43117</c:v>
                </c:pt>
                <c:pt idx="1553">
                  <c:v>43116</c:v>
                </c:pt>
                <c:pt idx="1554">
                  <c:v>43115</c:v>
                </c:pt>
                <c:pt idx="1555">
                  <c:v>43112</c:v>
                </c:pt>
                <c:pt idx="1556">
                  <c:v>43111</c:v>
                </c:pt>
                <c:pt idx="1557">
                  <c:v>43110</c:v>
                </c:pt>
                <c:pt idx="1558">
                  <c:v>43109</c:v>
                </c:pt>
                <c:pt idx="1559">
                  <c:v>43108</c:v>
                </c:pt>
                <c:pt idx="1560">
                  <c:v>43105</c:v>
                </c:pt>
                <c:pt idx="1561">
                  <c:v>43104</c:v>
                </c:pt>
                <c:pt idx="1562">
                  <c:v>43103</c:v>
                </c:pt>
                <c:pt idx="1563">
                  <c:v>43102</c:v>
                </c:pt>
                <c:pt idx="1564">
                  <c:v>43101</c:v>
                </c:pt>
                <c:pt idx="1565">
                  <c:v>43098</c:v>
                </c:pt>
                <c:pt idx="1566">
                  <c:v>43097</c:v>
                </c:pt>
                <c:pt idx="1567">
                  <c:v>43096</c:v>
                </c:pt>
                <c:pt idx="1568">
                  <c:v>43095</c:v>
                </c:pt>
                <c:pt idx="1569">
                  <c:v>43094</c:v>
                </c:pt>
                <c:pt idx="1570">
                  <c:v>43091</c:v>
                </c:pt>
                <c:pt idx="1571">
                  <c:v>43090</c:v>
                </c:pt>
                <c:pt idx="1572">
                  <c:v>43089</c:v>
                </c:pt>
                <c:pt idx="1573">
                  <c:v>43088</c:v>
                </c:pt>
                <c:pt idx="1574">
                  <c:v>43087</c:v>
                </c:pt>
                <c:pt idx="1575">
                  <c:v>43084</c:v>
                </c:pt>
                <c:pt idx="1576">
                  <c:v>43083</c:v>
                </c:pt>
                <c:pt idx="1577">
                  <c:v>43082</c:v>
                </c:pt>
                <c:pt idx="1578">
                  <c:v>43081</c:v>
                </c:pt>
                <c:pt idx="1579">
                  <c:v>43080</c:v>
                </c:pt>
                <c:pt idx="1580">
                  <c:v>43077</c:v>
                </c:pt>
                <c:pt idx="1581">
                  <c:v>43076</c:v>
                </c:pt>
                <c:pt idx="1582">
                  <c:v>43075</c:v>
                </c:pt>
                <c:pt idx="1583">
                  <c:v>43074</c:v>
                </c:pt>
                <c:pt idx="1584">
                  <c:v>43073</c:v>
                </c:pt>
                <c:pt idx="1585">
                  <c:v>43070</c:v>
                </c:pt>
                <c:pt idx="1586">
                  <c:v>43069</c:v>
                </c:pt>
                <c:pt idx="1587">
                  <c:v>43068</c:v>
                </c:pt>
                <c:pt idx="1588">
                  <c:v>43067</c:v>
                </c:pt>
                <c:pt idx="1589">
                  <c:v>43066</c:v>
                </c:pt>
                <c:pt idx="1590">
                  <c:v>43063</c:v>
                </c:pt>
                <c:pt idx="1591">
                  <c:v>43062</c:v>
                </c:pt>
                <c:pt idx="1592">
                  <c:v>43061</c:v>
                </c:pt>
                <c:pt idx="1593">
                  <c:v>43060</c:v>
                </c:pt>
                <c:pt idx="1594">
                  <c:v>43059</c:v>
                </c:pt>
                <c:pt idx="1595">
                  <c:v>43056</c:v>
                </c:pt>
                <c:pt idx="1596">
                  <c:v>43055</c:v>
                </c:pt>
                <c:pt idx="1597">
                  <c:v>43054</c:v>
                </c:pt>
                <c:pt idx="1598">
                  <c:v>43053</c:v>
                </c:pt>
                <c:pt idx="1599">
                  <c:v>43052</c:v>
                </c:pt>
                <c:pt idx="1600">
                  <c:v>43049</c:v>
                </c:pt>
                <c:pt idx="1601">
                  <c:v>43048</c:v>
                </c:pt>
                <c:pt idx="1602">
                  <c:v>43047</c:v>
                </c:pt>
                <c:pt idx="1603">
                  <c:v>43046</c:v>
                </c:pt>
                <c:pt idx="1604">
                  <c:v>43045</c:v>
                </c:pt>
                <c:pt idx="1605">
                  <c:v>43042</c:v>
                </c:pt>
                <c:pt idx="1606">
                  <c:v>43041</c:v>
                </c:pt>
                <c:pt idx="1607">
                  <c:v>43040</c:v>
                </c:pt>
                <c:pt idx="1608">
                  <c:v>43039</c:v>
                </c:pt>
                <c:pt idx="1609">
                  <c:v>43038</c:v>
                </c:pt>
                <c:pt idx="1610">
                  <c:v>43035</c:v>
                </c:pt>
                <c:pt idx="1611">
                  <c:v>43034</c:v>
                </c:pt>
                <c:pt idx="1612">
                  <c:v>43033</c:v>
                </c:pt>
                <c:pt idx="1613">
                  <c:v>43032</c:v>
                </c:pt>
                <c:pt idx="1614">
                  <c:v>43031</c:v>
                </c:pt>
                <c:pt idx="1615">
                  <c:v>43028</c:v>
                </c:pt>
                <c:pt idx="1616">
                  <c:v>43027</c:v>
                </c:pt>
                <c:pt idx="1617">
                  <c:v>43026</c:v>
                </c:pt>
                <c:pt idx="1618">
                  <c:v>43025</c:v>
                </c:pt>
                <c:pt idx="1619">
                  <c:v>43024</c:v>
                </c:pt>
                <c:pt idx="1620">
                  <c:v>43021</c:v>
                </c:pt>
                <c:pt idx="1621">
                  <c:v>43020</c:v>
                </c:pt>
                <c:pt idx="1622">
                  <c:v>43019</c:v>
                </c:pt>
                <c:pt idx="1623">
                  <c:v>43018</c:v>
                </c:pt>
                <c:pt idx="1624">
                  <c:v>43017</c:v>
                </c:pt>
                <c:pt idx="1625">
                  <c:v>43014</c:v>
                </c:pt>
                <c:pt idx="1626">
                  <c:v>43013</c:v>
                </c:pt>
                <c:pt idx="1627">
                  <c:v>43012</c:v>
                </c:pt>
                <c:pt idx="1628">
                  <c:v>43011</c:v>
                </c:pt>
                <c:pt idx="1629">
                  <c:v>43010</c:v>
                </c:pt>
                <c:pt idx="1630">
                  <c:v>43007</c:v>
                </c:pt>
                <c:pt idx="1631">
                  <c:v>43006</c:v>
                </c:pt>
                <c:pt idx="1632">
                  <c:v>43005</c:v>
                </c:pt>
                <c:pt idx="1633">
                  <c:v>43004</c:v>
                </c:pt>
                <c:pt idx="1634">
                  <c:v>43003</c:v>
                </c:pt>
                <c:pt idx="1635">
                  <c:v>43000</c:v>
                </c:pt>
                <c:pt idx="1636">
                  <c:v>42999</c:v>
                </c:pt>
                <c:pt idx="1637">
                  <c:v>42998</c:v>
                </c:pt>
                <c:pt idx="1638">
                  <c:v>42997</c:v>
                </c:pt>
                <c:pt idx="1639">
                  <c:v>42996</c:v>
                </c:pt>
                <c:pt idx="1640">
                  <c:v>42993</c:v>
                </c:pt>
                <c:pt idx="1641">
                  <c:v>42992</c:v>
                </c:pt>
                <c:pt idx="1642">
                  <c:v>42991</c:v>
                </c:pt>
                <c:pt idx="1643">
                  <c:v>42990</c:v>
                </c:pt>
                <c:pt idx="1644">
                  <c:v>42989</c:v>
                </c:pt>
                <c:pt idx="1645">
                  <c:v>42986</c:v>
                </c:pt>
                <c:pt idx="1646">
                  <c:v>42985</c:v>
                </c:pt>
                <c:pt idx="1647">
                  <c:v>42984</c:v>
                </c:pt>
                <c:pt idx="1648">
                  <c:v>42983</c:v>
                </c:pt>
                <c:pt idx="1649">
                  <c:v>42982</c:v>
                </c:pt>
                <c:pt idx="1650">
                  <c:v>42979</c:v>
                </c:pt>
                <c:pt idx="1651">
                  <c:v>42978</c:v>
                </c:pt>
                <c:pt idx="1652">
                  <c:v>42977</c:v>
                </c:pt>
                <c:pt idx="1653">
                  <c:v>42976</c:v>
                </c:pt>
                <c:pt idx="1654">
                  <c:v>42975</c:v>
                </c:pt>
                <c:pt idx="1655">
                  <c:v>42972</c:v>
                </c:pt>
                <c:pt idx="1656">
                  <c:v>42971</c:v>
                </c:pt>
                <c:pt idx="1657">
                  <c:v>42970</c:v>
                </c:pt>
                <c:pt idx="1658">
                  <c:v>42969</c:v>
                </c:pt>
                <c:pt idx="1659">
                  <c:v>42968</c:v>
                </c:pt>
                <c:pt idx="1660">
                  <c:v>42965</c:v>
                </c:pt>
                <c:pt idx="1661">
                  <c:v>42964</c:v>
                </c:pt>
                <c:pt idx="1662">
                  <c:v>42963</c:v>
                </c:pt>
                <c:pt idx="1663">
                  <c:v>42962</c:v>
                </c:pt>
                <c:pt idx="1664">
                  <c:v>42961</c:v>
                </c:pt>
                <c:pt idx="1665">
                  <c:v>42958</c:v>
                </c:pt>
                <c:pt idx="1666">
                  <c:v>42957</c:v>
                </c:pt>
                <c:pt idx="1667">
                  <c:v>42956</c:v>
                </c:pt>
                <c:pt idx="1668">
                  <c:v>42955</c:v>
                </c:pt>
                <c:pt idx="1669">
                  <c:v>42954</c:v>
                </c:pt>
                <c:pt idx="1670">
                  <c:v>42951</c:v>
                </c:pt>
                <c:pt idx="1671">
                  <c:v>42950</c:v>
                </c:pt>
                <c:pt idx="1672">
                  <c:v>42949</c:v>
                </c:pt>
                <c:pt idx="1673">
                  <c:v>42948</c:v>
                </c:pt>
                <c:pt idx="1674">
                  <c:v>42947</c:v>
                </c:pt>
                <c:pt idx="1675">
                  <c:v>42944</c:v>
                </c:pt>
                <c:pt idx="1676">
                  <c:v>42943</c:v>
                </c:pt>
                <c:pt idx="1677">
                  <c:v>42942</c:v>
                </c:pt>
                <c:pt idx="1678">
                  <c:v>42941</c:v>
                </c:pt>
                <c:pt idx="1679">
                  <c:v>42940</c:v>
                </c:pt>
                <c:pt idx="1680">
                  <c:v>42937</c:v>
                </c:pt>
                <c:pt idx="1681">
                  <c:v>42936</c:v>
                </c:pt>
                <c:pt idx="1682">
                  <c:v>42935</c:v>
                </c:pt>
                <c:pt idx="1683">
                  <c:v>42934</c:v>
                </c:pt>
                <c:pt idx="1684">
                  <c:v>42933</c:v>
                </c:pt>
                <c:pt idx="1685">
                  <c:v>42930</c:v>
                </c:pt>
                <c:pt idx="1686">
                  <c:v>42929</c:v>
                </c:pt>
                <c:pt idx="1687">
                  <c:v>42928</c:v>
                </c:pt>
                <c:pt idx="1688">
                  <c:v>42927</c:v>
                </c:pt>
                <c:pt idx="1689">
                  <c:v>42926</c:v>
                </c:pt>
                <c:pt idx="1690">
                  <c:v>42923</c:v>
                </c:pt>
                <c:pt idx="1691">
                  <c:v>42922</c:v>
                </c:pt>
                <c:pt idx="1692">
                  <c:v>42921</c:v>
                </c:pt>
                <c:pt idx="1693">
                  <c:v>42920</c:v>
                </c:pt>
                <c:pt idx="1694">
                  <c:v>42919</c:v>
                </c:pt>
                <c:pt idx="1695">
                  <c:v>42916</c:v>
                </c:pt>
                <c:pt idx="1696">
                  <c:v>42915</c:v>
                </c:pt>
                <c:pt idx="1697">
                  <c:v>42914</c:v>
                </c:pt>
                <c:pt idx="1698">
                  <c:v>42913</c:v>
                </c:pt>
                <c:pt idx="1699">
                  <c:v>42912</c:v>
                </c:pt>
                <c:pt idx="1700">
                  <c:v>42909</c:v>
                </c:pt>
                <c:pt idx="1701">
                  <c:v>42908</c:v>
                </c:pt>
                <c:pt idx="1702">
                  <c:v>42907</c:v>
                </c:pt>
                <c:pt idx="1703">
                  <c:v>42906</c:v>
                </c:pt>
                <c:pt idx="1704">
                  <c:v>42905</c:v>
                </c:pt>
                <c:pt idx="1705">
                  <c:v>42902</c:v>
                </c:pt>
                <c:pt idx="1706">
                  <c:v>42901</c:v>
                </c:pt>
                <c:pt idx="1707">
                  <c:v>42900</c:v>
                </c:pt>
                <c:pt idx="1708">
                  <c:v>42899</c:v>
                </c:pt>
                <c:pt idx="1709">
                  <c:v>42898</c:v>
                </c:pt>
                <c:pt idx="1710">
                  <c:v>42895</c:v>
                </c:pt>
                <c:pt idx="1711">
                  <c:v>42894</c:v>
                </c:pt>
                <c:pt idx="1712">
                  <c:v>42893</c:v>
                </c:pt>
                <c:pt idx="1713">
                  <c:v>42892</c:v>
                </c:pt>
                <c:pt idx="1714">
                  <c:v>42891</c:v>
                </c:pt>
                <c:pt idx="1715">
                  <c:v>42888</c:v>
                </c:pt>
                <c:pt idx="1716">
                  <c:v>42887</c:v>
                </c:pt>
                <c:pt idx="1717">
                  <c:v>42886</c:v>
                </c:pt>
                <c:pt idx="1718">
                  <c:v>42885</c:v>
                </c:pt>
                <c:pt idx="1719">
                  <c:v>42884</c:v>
                </c:pt>
                <c:pt idx="1720">
                  <c:v>42881</c:v>
                </c:pt>
                <c:pt idx="1721">
                  <c:v>42880</c:v>
                </c:pt>
                <c:pt idx="1722">
                  <c:v>42879</c:v>
                </c:pt>
                <c:pt idx="1723">
                  <c:v>42878</c:v>
                </c:pt>
                <c:pt idx="1724">
                  <c:v>42877</c:v>
                </c:pt>
                <c:pt idx="1725">
                  <c:v>42874</c:v>
                </c:pt>
                <c:pt idx="1726">
                  <c:v>42873</c:v>
                </c:pt>
                <c:pt idx="1727">
                  <c:v>42872</c:v>
                </c:pt>
                <c:pt idx="1728">
                  <c:v>42871</c:v>
                </c:pt>
                <c:pt idx="1729">
                  <c:v>42870</c:v>
                </c:pt>
                <c:pt idx="1730">
                  <c:v>42867</c:v>
                </c:pt>
                <c:pt idx="1731">
                  <c:v>42866</c:v>
                </c:pt>
                <c:pt idx="1732">
                  <c:v>42865</c:v>
                </c:pt>
                <c:pt idx="1733">
                  <c:v>42864</c:v>
                </c:pt>
                <c:pt idx="1734">
                  <c:v>42863</c:v>
                </c:pt>
                <c:pt idx="1735">
                  <c:v>42860</c:v>
                </c:pt>
                <c:pt idx="1736">
                  <c:v>42859</c:v>
                </c:pt>
                <c:pt idx="1737">
                  <c:v>42858</c:v>
                </c:pt>
                <c:pt idx="1738">
                  <c:v>42857</c:v>
                </c:pt>
                <c:pt idx="1739">
                  <c:v>42856</c:v>
                </c:pt>
                <c:pt idx="1740">
                  <c:v>42853</c:v>
                </c:pt>
                <c:pt idx="1741">
                  <c:v>42852</c:v>
                </c:pt>
                <c:pt idx="1742">
                  <c:v>42851</c:v>
                </c:pt>
                <c:pt idx="1743">
                  <c:v>42850</c:v>
                </c:pt>
                <c:pt idx="1744">
                  <c:v>42849</c:v>
                </c:pt>
                <c:pt idx="1745">
                  <c:v>42846</c:v>
                </c:pt>
                <c:pt idx="1746">
                  <c:v>42845</c:v>
                </c:pt>
                <c:pt idx="1747">
                  <c:v>42844</c:v>
                </c:pt>
                <c:pt idx="1748">
                  <c:v>42843</c:v>
                </c:pt>
                <c:pt idx="1749">
                  <c:v>42842</c:v>
                </c:pt>
                <c:pt idx="1750">
                  <c:v>42839</c:v>
                </c:pt>
                <c:pt idx="1751">
                  <c:v>42838</c:v>
                </c:pt>
                <c:pt idx="1752">
                  <c:v>42837</c:v>
                </c:pt>
                <c:pt idx="1753">
                  <c:v>42836</c:v>
                </c:pt>
                <c:pt idx="1754">
                  <c:v>42835</c:v>
                </c:pt>
                <c:pt idx="1755">
                  <c:v>42832</c:v>
                </c:pt>
                <c:pt idx="1756">
                  <c:v>42831</c:v>
                </c:pt>
                <c:pt idx="1757">
                  <c:v>42830</c:v>
                </c:pt>
                <c:pt idx="1758">
                  <c:v>42829</c:v>
                </c:pt>
                <c:pt idx="1759">
                  <c:v>42828</c:v>
                </c:pt>
                <c:pt idx="1760">
                  <c:v>42825</c:v>
                </c:pt>
                <c:pt idx="1761">
                  <c:v>42824</c:v>
                </c:pt>
                <c:pt idx="1762">
                  <c:v>42823</c:v>
                </c:pt>
                <c:pt idx="1763">
                  <c:v>42822</c:v>
                </c:pt>
                <c:pt idx="1764">
                  <c:v>42821</c:v>
                </c:pt>
                <c:pt idx="1765">
                  <c:v>42818</c:v>
                </c:pt>
                <c:pt idx="1766">
                  <c:v>42817</c:v>
                </c:pt>
                <c:pt idx="1767">
                  <c:v>42816</c:v>
                </c:pt>
                <c:pt idx="1768">
                  <c:v>42815</c:v>
                </c:pt>
                <c:pt idx="1769">
                  <c:v>42814</c:v>
                </c:pt>
                <c:pt idx="1770">
                  <c:v>42811</c:v>
                </c:pt>
                <c:pt idx="1771">
                  <c:v>42810</c:v>
                </c:pt>
                <c:pt idx="1772">
                  <c:v>42809</c:v>
                </c:pt>
                <c:pt idx="1773">
                  <c:v>42808</c:v>
                </c:pt>
                <c:pt idx="1774">
                  <c:v>42807</c:v>
                </c:pt>
                <c:pt idx="1775">
                  <c:v>42804</c:v>
                </c:pt>
                <c:pt idx="1776">
                  <c:v>42803</c:v>
                </c:pt>
                <c:pt idx="1777">
                  <c:v>42802</c:v>
                </c:pt>
                <c:pt idx="1778">
                  <c:v>42801</c:v>
                </c:pt>
                <c:pt idx="1779">
                  <c:v>42800</c:v>
                </c:pt>
                <c:pt idx="1780">
                  <c:v>42797</c:v>
                </c:pt>
                <c:pt idx="1781">
                  <c:v>42796</c:v>
                </c:pt>
                <c:pt idx="1782">
                  <c:v>42795</c:v>
                </c:pt>
                <c:pt idx="1783">
                  <c:v>42794</c:v>
                </c:pt>
                <c:pt idx="1784">
                  <c:v>42793</c:v>
                </c:pt>
                <c:pt idx="1785">
                  <c:v>42790</c:v>
                </c:pt>
                <c:pt idx="1786">
                  <c:v>42789</c:v>
                </c:pt>
                <c:pt idx="1787">
                  <c:v>42788</c:v>
                </c:pt>
                <c:pt idx="1788">
                  <c:v>42787</c:v>
                </c:pt>
                <c:pt idx="1789">
                  <c:v>42786</c:v>
                </c:pt>
                <c:pt idx="1790">
                  <c:v>42783</c:v>
                </c:pt>
                <c:pt idx="1791">
                  <c:v>42782</c:v>
                </c:pt>
                <c:pt idx="1792">
                  <c:v>42781</c:v>
                </c:pt>
                <c:pt idx="1793">
                  <c:v>42780</c:v>
                </c:pt>
                <c:pt idx="1794">
                  <c:v>42779</c:v>
                </c:pt>
                <c:pt idx="1795">
                  <c:v>42776</c:v>
                </c:pt>
                <c:pt idx="1796">
                  <c:v>42775</c:v>
                </c:pt>
                <c:pt idx="1797">
                  <c:v>42774</c:v>
                </c:pt>
                <c:pt idx="1798">
                  <c:v>42773</c:v>
                </c:pt>
                <c:pt idx="1799">
                  <c:v>42772</c:v>
                </c:pt>
                <c:pt idx="1800">
                  <c:v>42769</c:v>
                </c:pt>
                <c:pt idx="1801">
                  <c:v>42768</c:v>
                </c:pt>
                <c:pt idx="1802">
                  <c:v>42767</c:v>
                </c:pt>
                <c:pt idx="1803">
                  <c:v>42766</c:v>
                </c:pt>
                <c:pt idx="1804">
                  <c:v>42765</c:v>
                </c:pt>
                <c:pt idx="1805">
                  <c:v>42762</c:v>
                </c:pt>
                <c:pt idx="1806">
                  <c:v>42761</c:v>
                </c:pt>
                <c:pt idx="1807">
                  <c:v>42760</c:v>
                </c:pt>
                <c:pt idx="1808">
                  <c:v>42759</c:v>
                </c:pt>
                <c:pt idx="1809">
                  <c:v>42758</c:v>
                </c:pt>
                <c:pt idx="1810">
                  <c:v>42755</c:v>
                </c:pt>
                <c:pt idx="1811">
                  <c:v>42754</c:v>
                </c:pt>
                <c:pt idx="1812">
                  <c:v>42753</c:v>
                </c:pt>
                <c:pt idx="1813">
                  <c:v>42752</c:v>
                </c:pt>
                <c:pt idx="1814">
                  <c:v>42751</c:v>
                </c:pt>
                <c:pt idx="1815">
                  <c:v>42748</c:v>
                </c:pt>
                <c:pt idx="1816">
                  <c:v>42747</c:v>
                </c:pt>
                <c:pt idx="1817">
                  <c:v>42746</c:v>
                </c:pt>
                <c:pt idx="1818">
                  <c:v>42745</c:v>
                </c:pt>
                <c:pt idx="1819">
                  <c:v>42744</c:v>
                </c:pt>
                <c:pt idx="1820">
                  <c:v>42741</c:v>
                </c:pt>
                <c:pt idx="1821">
                  <c:v>42740</c:v>
                </c:pt>
                <c:pt idx="1822">
                  <c:v>42739</c:v>
                </c:pt>
                <c:pt idx="1823">
                  <c:v>42738</c:v>
                </c:pt>
                <c:pt idx="1824">
                  <c:v>42737</c:v>
                </c:pt>
                <c:pt idx="1825">
                  <c:v>42734</c:v>
                </c:pt>
                <c:pt idx="1826">
                  <c:v>42733</c:v>
                </c:pt>
                <c:pt idx="1827">
                  <c:v>42732</c:v>
                </c:pt>
                <c:pt idx="1828">
                  <c:v>42731</c:v>
                </c:pt>
                <c:pt idx="1829">
                  <c:v>42730</c:v>
                </c:pt>
                <c:pt idx="1830">
                  <c:v>42727</c:v>
                </c:pt>
                <c:pt idx="1831">
                  <c:v>42726</c:v>
                </c:pt>
                <c:pt idx="1832">
                  <c:v>42725</c:v>
                </c:pt>
                <c:pt idx="1833">
                  <c:v>42724</c:v>
                </c:pt>
                <c:pt idx="1834">
                  <c:v>42723</c:v>
                </c:pt>
                <c:pt idx="1835">
                  <c:v>42720</c:v>
                </c:pt>
                <c:pt idx="1836">
                  <c:v>42719</c:v>
                </c:pt>
                <c:pt idx="1837">
                  <c:v>42718</c:v>
                </c:pt>
                <c:pt idx="1838">
                  <c:v>42717</c:v>
                </c:pt>
                <c:pt idx="1839">
                  <c:v>42716</c:v>
                </c:pt>
                <c:pt idx="1840">
                  <c:v>42713</c:v>
                </c:pt>
                <c:pt idx="1841">
                  <c:v>42712</c:v>
                </c:pt>
                <c:pt idx="1842">
                  <c:v>42711</c:v>
                </c:pt>
                <c:pt idx="1843">
                  <c:v>42710</c:v>
                </c:pt>
                <c:pt idx="1844">
                  <c:v>42709</c:v>
                </c:pt>
                <c:pt idx="1845">
                  <c:v>42706</c:v>
                </c:pt>
                <c:pt idx="1846">
                  <c:v>42705</c:v>
                </c:pt>
                <c:pt idx="1847">
                  <c:v>42704</c:v>
                </c:pt>
                <c:pt idx="1848">
                  <c:v>42703</c:v>
                </c:pt>
                <c:pt idx="1849">
                  <c:v>42702</c:v>
                </c:pt>
                <c:pt idx="1850">
                  <c:v>42699</c:v>
                </c:pt>
                <c:pt idx="1851">
                  <c:v>42698</c:v>
                </c:pt>
                <c:pt idx="1852">
                  <c:v>42697</c:v>
                </c:pt>
                <c:pt idx="1853">
                  <c:v>42696</c:v>
                </c:pt>
                <c:pt idx="1854">
                  <c:v>42695</c:v>
                </c:pt>
                <c:pt idx="1855">
                  <c:v>42692</c:v>
                </c:pt>
                <c:pt idx="1856">
                  <c:v>42691</c:v>
                </c:pt>
                <c:pt idx="1857">
                  <c:v>42690</c:v>
                </c:pt>
                <c:pt idx="1858">
                  <c:v>42689</c:v>
                </c:pt>
                <c:pt idx="1859">
                  <c:v>42688</c:v>
                </c:pt>
                <c:pt idx="1860">
                  <c:v>42685</c:v>
                </c:pt>
                <c:pt idx="1861">
                  <c:v>42684</c:v>
                </c:pt>
                <c:pt idx="1862">
                  <c:v>42683</c:v>
                </c:pt>
                <c:pt idx="1863">
                  <c:v>42682</c:v>
                </c:pt>
                <c:pt idx="1864">
                  <c:v>42681</c:v>
                </c:pt>
                <c:pt idx="1865">
                  <c:v>42678</c:v>
                </c:pt>
                <c:pt idx="1866">
                  <c:v>42677</c:v>
                </c:pt>
                <c:pt idx="1867">
                  <c:v>42676</c:v>
                </c:pt>
                <c:pt idx="1868">
                  <c:v>42675</c:v>
                </c:pt>
                <c:pt idx="1869">
                  <c:v>42674</c:v>
                </c:pt>
                <c:pt idx="1870">
                  <c:v>42671</c:v>
                </c:pt>
                <c:pt idx="1871">
                  <c:v>42670</c:v>
                </c:pt>
                <c:pt idx="1872">
                  <c:v>42669</c:v>
                </c:pt>
                <c:pt idx="1873">
                  <c:v>42668</c:v>
                </c:pt>
                <c:pt idx="1874">
                  <c:v>42667</c:v>
                </c:pt>
                <c:pt idx="1875">
                  <c:v>42664</c:v>
                </c:pt>
                <c:pt idx="1876">
                  <c:v>42663</c:v>
                </c:pt>
                <c:pt idx="1877">
                  <c:v>42662</c:v>
                </c:pt>
                <c:pt idx="1878">
                  <c:v>42661</c:v>
                </c:pt>
                <c:pt idx="1879">
                  <c:v>42660</c:v>
                </c:pt>
                <c:pt idx="1880">
                  <c:v>42657</c:v>
                </c:pt>
                <c:pt idx="1881">
                  <c:v>42656</c:v>
                </c:pt>
                <c:pt idx="1882">
                  <c:v>42655</c:v>
                </c:pt>
                <c:pt idx="1883">
                  <c:v>42654</c:v>
                </c:pt>
                <c:pt idx="1884">
                  <c:v>42653</c:v>
                </c:pt>
                <c:pt idx="1885">
                  <c:v>42650</c:v>
                </c:pt>
                <c:pt idx="1886">
                  <c:v>42649</c:v>
                </c:pt>
                <c:pt idx="1887">
                  <c:v>42648</c:v>
                </c:pt>
                <c:pt idx="1888">
                  <c:v>42647</c:v>
                </c:pt>
                <c:pt idx="1889">
                  <c:v>42646</c:v>
                </c:pt>
                <c:pt idx="1890">
                  <c:v>42643</c:v>
                </c:pt>
                <c:pt idx="1891">
                  <c:v>42642</c:v>
                </c:pt>
                <c:pt idx="1892">
                  <c:v>42641</c:v>
                </c:pt>
                <c:pt idx="1893">
                  <c:v>42640</c:v>
                </c:pt>
                <c:pt idx="1894">
                  <c:v>42639</c:v>
                </c:pt>
                <c:pt idx="1895">
                  <c:v>42636</c:v>
                </c:pt>
                <c:pt idx="1896">
                  <c:v>42635</c:v>
                </c:pt>
                <c:pt idx="1897">
                  <c:v>42634</c:v>
                </c:pt>
                <c:pt idx="1898">
                  <c:v>42633</c:v>
                </c:pt>
                <c:pt idx="1899">
                  <c:v>42632</c:v>
                </c:pt>
                <c:pt idx="1900">
                  <c:v>42629</c:v>
                </c:pt>
                <c:pt idx="1901">
                  <c:v>42628</c:v>
                </c:pt>
                <c:pt idx="1902">
                  <c:v>42627</c:v>
                </c:pt>
                <c:pt idx="1903">
                  <c:v>42626</c:v>
                </c:pt>
                <c:pt idx="1904">
                  <c:v>42625</c:v>
                </c:pt>
                <c:pt idx="1905">
                  <c:v>42622</c:v>
                </c:pt>
                <c:pt idx="1906">
                  <c:v>42621</c:v>
                </c:pt>
                <c:pt idx="1907">
                  <c:v>42620</c:v>
                </c:pt>
                <c:pt idx="1908">
                  <c:v>42619</c:v>
                </c:pt>
                <c:pt idx="1909">
                  <c:v>42618</c:v>
                </c:pt>
                <c:pt idx="1910">
                  <c:v>42615</c:v>
                </c:pt>
                <c:pt idx="1911">
                  <c:v>42614</c:v>
                </c:pt>
                <c:pt idx="1912">
                  <c:v>42613</c:v>
                </c:pt>
                <c:pt idx="1913">
                  <c:v>42612</c:v>
                </c:pt>
                <c:pt idx="1914">
                  <c:v>42611</c:v>
                </c:pt>
                <c:pt idx="1915">
                  <c:v>42608</c:v>
                </c:pt>
                <c:pt idx="1916">
                  <c:v>42607</c:v>
                </c:pt>
                <c:pt idx="1917">
                  <c:v>42606</c:v>
                </c:pt>
                <c:pt idx="1918">
                  <c:v>42605</c:v>
                </c:pt>
                <c:pt idx="1919">
                  <c:v>42604</c:v>
                </c:pt>
                <c:pt idx="1920">
                  <c:v>42601</c:v>
                </c:pt>
                <c:pt idx="1921">
                  <c:v>42600</c:v>
                </c:pt>
                <c:pt idx="1922">
                  <c:v>42599</c:v>
                </c:pt>
                <c:pt idx="1923">
                  <c:v>42598</c:v>
                </c:pt>
                <c:pt idx="1924">
                  <c:v>42597</c:v>
                </c:pt>
                <c:pt idx="1925">
                  <c:v>42594</c:v>
                </c:pt>
                <c:pt idx="1926">
                  <c:v>42593</c:v>
                </c:pt>
                <c:pt idx="1927">
                  <c:v>42592</c:v>
                </c:pt>
                <c:pt idx="1928">
                  <c:v>42591</c:v>
                </c:pt>
                <c:pt idx="1929">
                  <c:v>42590</c:v>
                </c:pt>
                <c:pt idx="1930">
                  <c:v>42587</c:v>
                </c:pt>
                <c:pt idx="1931">
                  <c:v>42586</c:v>
                </c:pt>
                <c:pt idx="1932">
                  <c:v>42585</c:v>
                </c:pt>
                <c:pt idx="1933">
                  <c:v>42584</c:v>
                </c:pt>
                <c:pt idx="1934">
                  <c:v>42583</c:v>
                </c:pt>
                <c:pt idx="1935">
                  <c:v>42580</c:v>
                </c:pt>
                <c:pt idx="1936">
                  <c:v>42579</c:v>
                </c:pt>
                <c:pt idx="1937">
                  <c:v>42578</c:v>
                </c:pt>
                <c:pt idx="1938">
                  <c:v>42577</c:v>
                </c:pt>
                <c:pt idx="1939">
                  <c:v>42576</c:v>
                </c:pt>
                <c:pt idx="1940">
                  <c:v>42573</c:v>
                </c:pt>
                <c:pt idx="1941">
                  <c:v>42572</c:v>
                </c:pt>
                <c:pt idx="1942">
                  <c:v>42571</c:v>
                </c:pt>
                <c:pt idx="1943">
                  <c:v>42570</c:v>
                </c:pt>
                <c:pt idx="1944">
                  <c:v>42569</c:v>
                </c:pt>
                <c:pt idx="1945">
                  <c:v>42566</c:v>
                </c:pt>
                <c:pt idx="1946">
                  <c:v>42565</c:v>
                </c:pt>
                <c:pt idx="1947">
                  <c:v>42564</c:v>
                </c:pt>
                <c:pt idx="1948">
                  <c:v>42563</c:v>
                </c:pt>
                <c:pt idx="1949">
                  <c:v>42562</c:v>
                </c:pt>
                <c:pt idx="1950">
                  <c:v>42559</c:v>
                </c:pt>
                <c:pt idx="1951">
                  <c:v>42558</c:v>
                </c:pt>
                <c:pt idx="1952">
                  <c:v>42557</c:v>
                </c:pt>
                <c:pt idx="1953">
                  <c:v>42556</c:v>
                </c:pt>
                <c:pt idx="1954">
                  <c:v>42555</c:v>
                </c:pt>
                <c:pt idx="1955">
                  <c:v>42552</c:v>
                </c:pt>
                <c:pt idx="1956">
                  <c:v>42551</c:v>
                </c:pt>
                <c:pt idx="1957">
                  <c:v>42550</c:v>
                </c:pt>
                <c:pt idx="1958">
                  <c:v>42549</c:v>
                </c:pt>
                <c:pt idx="1959">
                  <c:v>42548</c:v>
                </c:pt>
                <c:pt idx="1960">
                  <c:v>42545</c:v>
                </c:pt>
                <c:pt idx="1961">
                  <c:v>42544</c:v>
                </c:pt>
                <c:pt idx="1962">
                  <c:v>42543</c:v>
                </c:pt>
                <c:pt idx="1963">
                  <c:v>42542</c:v>
                </c:pt>
                <c:pt idx="1964">
                  <c:v>42541</c:v>
                </c:pt>
                <c:pt idx="1965">
                  <c:v>42538</c:v>
                </c:pt>
                <c:pt idx="1966">
                  <c:v>42537</c:v>
                </c:pt>
                <c:pt idx="1967">
                  <c:v>42536</c:v>
                </c:pt>
                <c:pt idx="1968">
                  <c:v>42535</c:v>
                </c:pt>
                <c:pt idx="1969">
                  <c:v>42534</c:v>
                </c:pt>
                <c:pt idx="1970">
                  <c:v>42531</c:v>
                </c:pt>
                <c:pt idx="1971">
                  <c:v>42530</c:v>
                </c:pt>
                <c:pt idx="1972">
                  <c:v>42529</c:v>
                </c:pt>
                <c:pt idx="1973">
                  <c:v>42528</c:v>
                </c:pt>
                <c:pt idx="1974">
                  <c:v>42527</c:v>
                </c:pt>
                <c:pt idx="1975">
                  <c:v>42524</c:v>
                </c:pt>
                <c:pt idx="1976">
                  <c:v>42523</c:v>
                </c:pt>
                <c:pt idx="1977">
                  <c:v>42522</c:v>
                </c:pt>
                <c:pt idx="1978">
                  <c:v>42521</c:v>
                </c:pt>
                <c:pt idx="1979">
                  <c:v>42520</c:v>
                </c:pt>
                <c:pt idx="1980">
                  <c:v>42517</c:v>
                </c:pt>
                <c:pt idx="1981">
                  <c:v>42516</c:v>
                </c:pt>
                <c:pt idx="1982">
                  <c:v>42515</c:v>
                </c:pt>
                <c:pt idx="1983">
                  <c:v>42514</c:v>
                </c:pt>
                <c:pt idx="1984">
                  <c:v>42513</c:v>
                </c:pt>
                <c:pt idx="1985">
                  <c:v>42510</c:v>
                </c:pt>
                <c:pt idx="1986">
                  <c:v>42509</c:v>
                </c:pt>
                <c:pt idx="1987">
                  <c:v>42508</c:v>
                </c:pt>
                <c:pt idx="1988">
                  <c:v>42507</c:v>
                </c:pt>
                <c:pt idx="1989">
                  <c:v>42506</c:v>
                </c:pt>
                <c:pt idx="1990">
                  <c:v>42503</c:v>
                </c:pt>
                <c:pt idx="1991">
                  <c:v>42502</c:v>
                </c:pt>
                <c:pt idx="1992">
                  <c:v>42501</c:v>
                </c:pt>
                <c:pt idx="1993">
                  <c:v>42500</c:v>
                </c:pt>
                <c:pt idx="1994">
                  <c:v>42499</c:v>
                </c:pt>
                <c:pt idx="1995">
                  <c:v>42496</c:v>
                </c:pt>
                <c:pt idx="1996">
                  <c:v>42495</c:v>
                </c:pt>
                <c:pt idx="1997">
                  <c:v>42494</c:v>
                </c:pt>
                <c:pt idx="1998">
                  <c:v>42493</c:v>
                </c:pt>
                <c:pt idx="1999">
                  <c:v>42492</c:v>
                </c:pt>
                <c:pt idx="2000">
                  <c:v>42489</c:v>
                </c:pt>
                <c:pt idx="2001">
                  <c:v>42488</c:v>
                </c:pt>
                <c:pt idx="2002">
                  <c:v>42487</c:v>
                </c:pt>
                <c:pt idx="2003">
                  <c:v>42486</c:v>
                </c:pt>
                <c:pt idx="2004">
                  <c:v>42485</c:v>
                </c:pt>
                <c:pt idx="2005">
                  <c:v>42482</c:v>
                </c:pt>
                <c:pt idx="2006">
                  <c:v>42481</c:v>
                </c:pt>
                <c:pt idx="2007">
                  <c:v>42480</c:v>
                </c:pt>
                <c:pt idx="2008">
                  <c:v>42479</c:v>
                </c:pt>
                <c:pt idx="2009">
                  <c:v>42478</c:v>
                </c:pt>
                <c:pt idx="2010">
                  <c:v>42475</c:v>
                </c:pt>
                <c:pt idx="2011">
                  <c:v>42474</c:v>
                </c:pt>
                <c:pt idx="2012">
                  <c:v>42473</c:v>
                </c:pt>
                <c:pt idx="2013">
                  <c:v>42472</c:v>
                </c:pt>
                <c:pt idx="2014">
                  <c:v>42471</c:v>
                </c:pt>
                <c:pt idx="2015">
                  <c:v>42468</c:v>
                </c:pt>
                <c:pt idx="2016">
                  <c:v>42467</c:v>
                </c:pt>
                <c:pt idx="2017">
                  <c:v>42466</c:v>
                </c:pt>
                <c:pt idx="2018">
                  <c:v>42465</c:v>
                </c:pt>
                <c:pt idx="2019">
                  <c:v>42464</c:v>
                </c:pt>
                <c:pt idx="2020">
                  <c:v>42461</c:v>
                </c:pt>
                <c:pt idx="2021">
                  <c:v>42460</c:v>
                </c:pt>
                <c:pt idx="2022">
                  <c:v>42459</c:v>
                </c:pt>
                <c:pt idx="2023">
                  <c:v>42458</c:v>
                </c:pt>
                <c:pt idx="2024">
                  <c:v>42457</c:v>
                </c:pt>
                <c:pt idx="2025">
                  <c:v>42454</c:v>
                </c:pt>
                <c:pt idx="2026">
                  <c:v>42453</c:v>
                </c:pt>
                <c:pt idx="2027">
                  <c:v>42452</c:v>
                </c:pt>
                <c:pt idx="2028">
                  <c:v>42451</c:v>
                </c:pt>
                <c:pt idx="2029">
                  <c:v>42450</c:v>
                </c:pt>
                <c:pt idx="2030">
                  <c:v>42447</c:v>
                </c:pt>
                <c:pt idx="2031">
                  <c:v>42446</c:v>
                </c:pt>
                <c:pt idx="2032">
                  <c:v>42445</c:v>
                </c:pt>
                <c:pt idx="2033">
                  <c:v>42444</c:v>
                </c:pt>
                <c:pt idx="2034">
                  <c:v>42443</c:v>
                </c:pt>
                <c:pt idx="2035">
                  <c:v>42440</c:v>
                </c:pt>
                <c:pt idx="2036">
                  <c:v>42439</c:v>
                </c:pt>
                <c:pt idx="2037">
                  <c:v>42438</c:v>
                </c:pt>
                <c:pt idx="2038">
                  <c:v>42437</c:v>
                </c:pt>
                <c:pt idx="2039">
                  <c:v>42436</c:v>
                </c:pt>
                <c:pt idx="2040">
                  <c:v>42433</c:v>
                </c:pt>
                <c:pt idx="2041">
                  <c:v>42432</c:v>
                </c:pt>
                <c:pt idx="2042">
                  <c:v>42431</c:v>
                </c:pt>
                <c:pt idx="2043">
                  <c:v>42430</c:v>
                </c:pt>
                <c:pt idx="2044">
                  <c:v>42429</c:v>
                </c:pt>
                <c:pt idx="2045">
                  <c:v>42426</c:v>
                </c:pt>
                <c:pt idx="2046">
                  <c:v>42425</c:v>
                </c:pt>
                <c:pt idx="2047">
                  <c:v>42424</c:v>
                </c:pt>
                <c:pt idx="2048">
                  <c:v>42423</c:v>
                </c:pt>
                <c:pt idx="2049">
                  <c:v>42422</c:v>
                </c:pt>
                <c:pt idx="2050">
                  <c:v>42419</c:v>
                </c:pt>
                <c:pt idx="2051">
                  <c:v>42418</c:v>
                </c:pt>
                <c:pt idx="2052">
                  <c:v>42417</c:v>
                </c:pt>
                <c:pt idx="2053">
                  <c:v>42416</c:v>
                </c:pt>
                <c:pt idx="2054">
                  <c:v>42415</c:v>
                </c:pt>
                <c:pt idx="2055">
                  <c:v>42412</c:v>
                </c:pt>
                <c:pt idx="2056">
                  <c:v>42411</c:v>
                </c:pt>
                <c:pt idx="2057">
                  <c:v>42410</c:v>
                </c:pt>
                <c:pt idx="2058">
                  <c:v>42409</c:v>
                </c:pt>
                <c:pt idx="2059">
                  <c:v>42408</c:v>
                </c:pt>
                <c:pt idx="2060">
                  <c:v>42405</c:v>
                </c:pt>
                <c:pt idx="2061">
                  <c:v>42404</c:v>
                </c:pt>
                <c:pt idx="2062">
                  <c:v>42403</c:v>
                </c:pt>
                <c:pt idx="2063">
                  <c:v>42402</c:v>
                </c:pt>
                <c:pt idx="2064">
                  <c:v>42401</c:v>
                </c:pt>
                <c:pt idx="2065">
                  <c:v>42398</c:v>
                </c:pt>
                <c:pt idx="2066">
                  <c:v>42397</c:v>
                </c:pt>
                <c:pt idx="2067">
                  <c:v>42396</c:v>
                </c:pt>
                <c:pt idx="2068">
                  <c:v>42395</c:v>
                </c:pt>
                <c:pt idx="2069">
                  <c:v>42394</c:v>
                </c:pt>
                <c:pt idx="2070">
                  <c:v>42391</c:v>
                </c:pt>
                <c:pt idx="2071">
                  <c:v>42390</c:v>
                </c:pt>
                <c:pt idx="2072">
                  <c:v>42389</c:v>
                </c:pt>
                <c:pt idx="2073">
                  <c:v>42388</c:v>
                </c:pt>
                <c:pt idx="2074">
                  <c:v>42387</c:v>
                </c:pt>
                <c:pt idx="2075">
                  <c:v>42384</c:v>
                </c:pt>
                <c:pt idx="2076">
                  <c:v>42383</c:v>
                </c:pt>
                <c:pt idx="2077">
                  <c:v>42382</c:v>
                </c:pt>
                <c:pt idx="2078">
                  <c:v>42381</c:v>
                </c:pt>
                <c:pt idx="2079">
                  <c:v>42380</c:v>
                </c:pt>
                <c:pt idx="2080">
                  <c:v>42377</c:v>
                </c:pt>
                <c:pt idx="2081">
                  <c:v>42376</c:v>
                </c:pt>
                <c:pt idx="2082">
                  <c:v>42375</c:v>
                </c:pt>
                <c:pt idx="2083">
                  <c:v>42374</c:v>
                </c:pt>
                <c:pt idx="2084">
                  <c:v>42373</c:v>
                </c:pt>
                <c:pt idx="2085">
                  <c:v>42370</c:v>
                </c:pt>
                <c:pt idx="2086">
                  <c:v>42369</c:v>
                </c:pt>
                <c:pt idx="2087">
                  <c:v>42368</c:v>
                </c:pt>
                <c:pt idx="2088">
                  <c:v>42367</c:v>
                </c:pt>
                <c:pt idx="2089">
                  <c:v>42366</c:v>
                </c:pt>
                <c:pt idx="2090">
                  <c:v>42363</c:v>
                </c:pt>
                <c:pt idx="2091">
                  <c:v>42362</c:v>
                </c:pt>
                <c:pt idx="2092">
                  <c:v>42361</c:v>
                </c:pt>
                <c:pt idx="2093">
                  <c:v>42360</c:v>
                </c:pt>
                <c:pt idx="2094">
                  <c:v>42359</c:v>
                </c:pt>
                <c:pt idx="2095">
                  <c:v>42356</c:v>
                </c:pt>
                <c:pt idx="2096">
                  <c:v>42355</c:v>
                </c:pt>
                <c:pt idx="2097">
                  <c:v>42354</c:v>
                </c:pt>
                <c:pt idx="2098">
                  <c:v>42353</c:v>
                </c:pt>
                <c:pt idx="2099">
                  <c:v>42352</c:v>
                </c:pt>
                <c:pt idx="2100">
                  <c:v>42349</c:v>
                </c:pt>
                <c:pt idx="2101">
                  <c:v>42348</c:v>
                </c:pt>
                <c:pt idx="2102">
                  <c:v>42347</c:v>
                </c:pt>
                <c:pt idx="2103">
                  <c:v>42346</c:v>
                </c:pt>
                <c:pt idx="2104">
                  <c:v>42345</c:v>
                </c:pt>
                <c:pt idx="2105">
                  <c:v>42342</c:v>
                </c:pt>
                <c:pt idx="2106">
                  <c:v>42341</c:v>
                </c:pt>
                <c:pt idx="2107">
                  <c:v>42340</c:v>
                </c:pt>
                <c:pt idx="2108">
                  <c:v>42339</c:v>
                </c:pt>
                <c:pt idx="2109">
                  <c:v>42338</c:v>
                </c:pt>
                <c:pt idx="2110">
                  <c:v>42335</c:v>
                </c:pt>
                <c:pt idx="2111">
                  <c:v>42334</c:v>
                </c:pt>
                <c:pt idx="2112">
                  <c:v>42333</c:v>
                </c:pt>
                <c:pt idx="2113">
                  <c:v>42332</c:v>
                </c:pt>
                <c:pt idx="2114">
                  <c:v>42331</c:v>
                </c:pt>
                <c:pt idx="2115">
                  <c:v>42328</c:v>
                </c:pt>
                <c:pt idx="2116">
                  <c:v>42327</c:v>
                </c:pt>
                <c:pt idx="2117">
                  <c:v>42326</c:v>
                </c:pt>
                <c:pt idx="2118">
                  <c:v>42325</c:v>
                </c:pt>
                <c:pt idx="2119">
                  <c:v>42324</c:v>
                </c:pt>
                <c:pt idx="2120">
                  <c:v>42321</c:v>
                </c:pt>
                <c:pt idx="2121">
                  <c:v>42320</c:v>
                </c:pt>
                <c:pt idx="2122">
                  <c:v>42319</c:v>
                </c:pt>
                <c:pt idx="2123">
                  <c:v>42318</c:v>
                </c:pt>
                <c:pt idx="2124">
                  <c:v>42317</c:v>
                </c:pt>
                <c:pt idx="2125">
                  <c:v>42314</c:v>
                </c:pt>
                <c:pt idx="2126">
                  <c:v>42313</c:v>
                </c:pt>
                <c:pt idx="2127">
                  <c:v>42312</c:v>
                </c:pt>
                <c:pt idx="2128">
                  <c:v>42311</c:v>
                </c:pt>
                <c:pt idx="2129">
                  <c:v>42310</c:v>
                </c:pt>
                <c:pt idx="2130">
                  <c:v>42307</c:v>
                </c:pt>
                <c:pt idx="2131">
                  <c:v>42306</c:v>
                </c:pt>
                <c:pt idx="2132">
                  <c:v>42305</c:v>
                </c:pt>
                <c:pt idx="2133">
                  <c:v>42304</c:v>
                </c:pt>
                <c:pt idx="2134">
                  <c:v>42303</c:v>
                </c:pt>
                <c:pt idx="2135">
                  <c:v>42300</c:v>
                </c:pt>
                <c:pt idx="2136">
                  <c:v>42299</c:v>
                </c:pt>
                <c:pt idx="2137">
                  <c:v>42298</c:v>
                </c:pt>
                <c:pt idx="2138">
                  <c:v>42297</c:v>
                </c:pt>
                <c:pt idx="2139">
                  <c:v>42296</c:v>
                </c:pt>
                <c:pt idx="2140">
                  <c:v>42293</c:v>
                </c:pt>
                <c:pt idx="2141">
                  <c:v>42292</c:v>
                </c:pt>
                <c:pt idx="2142">
                  <c:v>42291</c:v>
                </c:pt>
                <c:pt idx="2143">
                  <c:v>42290</c:v>
                </c:pt>
                <c:pt idx="2144">
                  <c:v>42289</c:v>
                </c:pt>
                <c:pt idx="2145">
                  <c:v>42286</c:v>
                </c:pt>
                <c:pt idx="2146">
                  <c:v>42285</c:v>
                </c:pt>
                <c:pt idx="2147">
                  <c:v>42284</c:v>
                </c:pt>
                <c:pt idx="2148">
                  <c:v>42283</c:v>
                </c:pt>
                <c:pt idx="2149">
                  <c:v>42282</c:v>
                </c:pt>
                <c:pt idx="2150">
                  <c:v>42279</c:v>
                </c:pt>
                <c:pt idx="2151">
                  <c:v>42278</c:v>
                </c:pt>
                <c:pt idx="2152">
                  <c:v>42277</c:v>
                </c:pt>
                <c:pt idx="2153">
                  <c:v>42276</c:v>
                </c:pt>
                <c:pt idx="2154">
                  <c:v>42275</c:v>
                </c:pt>
                <c:pt idx="2155">
                  <c:v>42272</c:v>
                </c:pt>
                <c:pt idx="2156">
                  <c:v>42271</c:v>
                </c:pt>
                <c:pt idx="2157">
                  <c:v>42270</c:v>
                </c:pt>
                <c:pt idx="2158">
                  <c:v>42269</c:v>
                </c:pt>
                <c:pt idx="2159">
                  <c:v>42268</c:v>
                </c:pt>
                <c:pt idx="2160">
                  <c:v>42265</c:v>
                </c:pt>
                <c:pt idx="2161">
                  <c:v>42264</c:v>
                </c:pt>
                <c:pt idx="2162">
                  <c:v>42263</c:v>
                </c:pt>
                <c:pt idx="2163">
                  <c:v>42262</c:v>
                </c:pt>
                <c:pt idx="2164">
                  <c:v>42261</c:v>
                </c:pt>
                <c:pt idx="2165">
                  <c:v>42258</c:v>
                </c:pt>
                <c:pt idx="2166">
                  <c:v>42257</c:v>
                </c:pt>
                <c:pt idx="2167">
                  <c:v>42256</c:v>
                </c:pt>
                <c:pt idx="2168">
                  <c:v>42255</c:v>
                </c:pt>
                <c:pt idx="2169">
                  <c:v>42254</c:v>
                </c:pt>
                <c:pt idx="2170">
                  <c:v>42251</c:v>
                </c:pt>
                <c:pt idx="2171">
                  <c:v>42250</c:v>
                </c:pt>
                <c:pt idx="2172">
                  <c:v>42249</c:v>
                </c:pt>
                <c:pt idx="2173">
                  <c:v>42248</c:v>
                </c:pt>
                <c:pt idx="2174">
                  <c:v>42247</c:v>
                </c:pt>
                <c:pt idx="2175">
                  <c:v>42244</c:v>
                </c:pt>
                <c:pt idx="2176">
                  <c:v>42243</c:v>
                </c:pt>
                <c:pt idx="2177">
                  <c:v>42242</c:v>
                </c:pt>
                <c:pt idx="2178">
                  <c:v>42241</c:v>
                </c:pt>
                <c:pt idx="2179">
                  <c:v>42240</c:v>
                </c:pt>
                <c:pt idx="2180">
                  <c:v>42237</c:v>
                </c:pt>
                <c:pt idx="2181">
                  <c:v>42236</c:v>
                </c:pt>
                <c:pt idx="2182">
                  <c:v>42235</c:v>
                </c:pt>
                <c:pt idx="2183">
                  <c:v>42234</c:v>
                </c:pt>
                <c:pt idx="2184">
                  <c:v>42233</c:v>
                </c:pt>
                <c:pt idx="2185">
                  <c:v>42230</c:v>
                </c:pt>
                <c:pt idx="2186">
                  <c:v>42229</c:v>
                </c:pt>
                <c:pt idx="2187">
                  <c:v>42228</c:v>
                </c:pt>
                <c:pt idx="2188">
                  <c:v>42227</c:v>
                </c:pt>
                <c:pt idx="2189">
                  <c:v>42226</c:v>
                </c:pt>
                <c:pt idx="2190">
                  <c:v>42223</c:v>
                </c:pt>
                <c:pt idx="2191">
                  <c:v>42222</c:v>
                </c:pt>
                <c:pt idx="2192">
                  <c:v>42221</c:v>
                </c:pt>
                <c:pt idx="2193">
                  <c:v>42220</c:v>
                </c:pt>
                <c:pt idx="2194">
                  <c:v>42219</c:v>
                </c:pt>
                <c:pt idx="2195">
                  <c:v>42216</c:v>
                </c:pt>
                <c:pt idx="2196">
                  <c:v>42215</c:v>
                </c:pt>
                <c:pt idx="2197">
                  <c:v>42214</c:v>
                </c:pt>
                <c:pt idx="2198">
                  <c:v>42213</c:v>
                </c:pt>
                <c:pt idx="2199">
                  <c:v>42212</c:v>
                </c:pt>
                <c:pt idx="2200">
                  <c:v>42209</c:v>
                </c:pt>
                <c:pt idx="2201">
                  <c:v>42208</c:v>
                </c:pt>
                <c:pt idx="2202">
                  <c:v>42207</c:v>
                </c:pt>
                <c:pt idx="2203">
                  <c:v>42206</c:v>
                </c:pt>
                <c:pt idx="2204">
                  <c:v>42205</c:v>
                </c:pt>
                <c:pt idx="2205">
                  <c:v>42202</c:v>
                </c:pt>
                <c:pt idx="2206">
                  <c:v>42201</c:v>
                </c:pt>
                <c:pt idx="2207">
                  <c:v>42200</c:v>
                </c:pt>
                <c:pt idx="2208">
                  <c:v>42199</c:v>
                </c:pt>
                <c:pt idx="2209">
                  <c:v>42198</c:v>
                </c:pt>
                <c:pt idx="2210">
                  <c:v>42195</c:v>
                </c:pt>
                <c:pt idx="2211">
                  <c:v>42194</c:v>
                </c:pt>
                <c:pt idx="2212">
                  <c:v>42193</c:v>
                </c:pt>
                <c:pt idx="2213">
                  <c:v>42192</c:v>
                </c:pt>
                <c:pt idx="2214">
                  <c:v>42191</c:v>
                </c:pt>
                <c:pt idx="2215">
                  <c:v>42188</c:v>
                </c:pt>
                <c:pt idx="2216">
                  <c:v>42187</c:v>
                </c:pt>
                <c:pt idx="2217">
                  <c:v>42186</c:v>
                </c:pt>
                <c:pt idx="2218">
                  <c:v>42185</c:v>
                </c:pt>
                <c:pt idx="2219">
                  <c:v>42184</c:v>
                </c:pt>
                <c:pt idx="2220">
                  <c:v>42181</c:v>
                </c:pt>
                <c:pt idx="2221">
                  <c:v>42180</c:v>
                </c:pt>
                <c:pt idx="2222">
                  <c:v>42179</c:v>
                </c:pt>
                <c:pt idx="2223">
                  <c:v>42178</c:v>
                </c:pt>
                <c:pt idx="2224">
                  <c:v>42177</c:v>
                </c:pt>
                <c:pt idx="2225">
                  <c:v>42174</c:v>
                </c:pt>
                <c:pt idx="2226">
                  <c:v>42173</c:v>
                </c:pt>
                <c:pt idx="2227">
                  <c:v>42172</c:v>
                </c:pt>
                <c:pt idx="2228">
                  <c:v>42171</c:v>
                </c:pt>
                <c:pt idx="2229">
                  <c:v>42170</c:v>
                </c:pt>
                <c:pt idx="2230">
                  <c:v>42167</c:v>
                </c:pt>
                <c:pt idx="2231">
                  <c:v>42166</c:v>
                </c:pt>
                <c:pt idx="2232">
                  <c:v>42165</c:v>
                </c:pt>
                <c:pt idx="2233">
                  <c:v>42164</c:v>
                </c:pt>
                <c:pt idx="2234">
                  <c:v>42163</c:v>
                </c:pt>
                <c:pt idx="2235">
                  <c:v>42160</c:v>
                </c:pt>
                <c:pt idx="2236">
                  <c:v>42159</c:v>
                </c:pt>
                <c:pt idx="2237">
                  <c:v>42158</c:v>
                </c:pt>
                <c:pt idx="2238">
                  <c:v>42157</c:v>
                </c:pt>
                <c:pt idx="2239">
                  <c:v>42156</c:v>
                </c:pt>
                <c:pt idx="2240">
                  <c:v>42153</c:v>
                </c:pt>
                <c:pt idx="2241">
                  <c:v>42152</c:v>
                </c:pt>
                <c:pt idx="2242">
                  <c:v>42151</c:v>
                </c:pt>
                <c:pt idx="2243">
                  <c:v>42150</c:v>
                </c:pt>
                <c:pt idx="2244">
                  <c:v>42149</c:v>
                </c:pt>
                <c:pt idx="2245">
                  <c:v>42146</c:v>
                </c:pt>
                <c:pt idx="2246">
                  <c:v>42145</c:v>
                </c:pt>
                <c:pt idx="2247">
                  <c:v>42144</c:v>
                </c:pt>
                <c:pt idx="2248">
                  <c:v>42143</c:v>
                </c:pt>
                <c:pt idx="2249">
                  <c:v>42142</c:v>
                </c:pt>
                <c:pt idx="2250">
                  <c:v>42139</c:v>
                </c:pt>
                <c:pt idx="2251">
                  <c:v>42138</c:v>
                </c:pt>
                <c:pt idx="2252">
                  <c:v>42137</c:v>
                </c:pt>
                <c:pt idx="2253">
                  <c:v>42136</c:v>
                </c:pt>
                <c:pt idx="2254">
                  <c:v>42135</c:v>
                </c:pt>
                <c:pt idx="2255">
                  <c:v>42132</c:v>
                </c:pt>
                <c:pt idx="2256">
                  <c:v>42131</c:v>
                </c:pt>
                <c:pt idx="2257">
                  <c:v>42130</c:v>
                </c:pt>
                <c:pt idx="2258">
                  <c:v>42129</c:v>
                </c:pt>
                <c:pt idx="2259">
                  <c:v>42128</c:v>
                </c:pt>
                <c:pt idx="2260">
                  <c:v>42125</c:v>
                </c:pt>
                <c:pt idx="2261">
                  <c:v>42124</c:v>
                </c:pt>
                <c:pt idx="2262">
                  <c:v>42123</c:v>
                </c:pt>
                <c:pt idx="2263">
                  <c:v>42122</c:v>
                </c:pt>
                <c:pt idx="2264">
                  <c:v>42121</c:v>
                </c:pt>
                <c:pt idx="2265">
                  <c:v>42118</c:v>
                </c:pt>
                <c:pt idx="2266">
                  <c:v>42117</c:v>
                </c:pt>
                <c:pt idx="2267">
                  <c:v>42116</c:v>
                </c:pt>
                <c:pt idx="2268">
                  <c:v>42115</c:v>
                </c:pt>
                <c:pt idx="2269">
                  <c:v>42114</c:v>
                </c:pt>
                <c:pt idx="2270">
                  <c:v>42111</c:v>
                </c:pt>
                <c:pt idx="2271">
                  <c:v>42110</c:v>
                </c:pt>
                <c:pt idx="2272">
                  <c:v>42109</c:v>
                </c:pt>
                <c:pt idx="2273">
                  <c:v>42108</c:v>
                </c:pt>
                <c:pt idx="2274">
                  <c:v>42107</c:v>
                </c:pt>
                <c:pt idx="2275">
                  <c:v>42104</c:v>
                </c:pt>
                <c:pt idx="2276">
                  <c:v>42103</c:v>
                </c:pt>
                <c:pt idx="2277">
                  <c:v>42102</c:v>
                </c:pt>
                <c:pt idx="2278">
                  <c:v>42101</c:v>
                </c:pt>
                <c:pt idx="2279">
                  <c:v>42100</c:v>
                </c:pt>
                <c:pt idx="2280">
                  <c:v>42097</c:v>
                </c:pt>
                <c:pt idx="2281">
                  <c:v>42096</c:v>
                </c:pt>
                <c:pt idx="2282">
                  <c:v>42095</c:v>
                </c:pt>
                <c:pt idx="2283">
                  <c:v>42094</c:v>
                </c:pt>
                <c:pt idx="2284">
                  <c:v>42093</c:v>
                </c:pt>
                <c:pt idx="2285">
                  <c:v>42090</c:v>
                </c:pt>
                <c:pt idx="2286">
                  <c:v>42089</c:v>
                </c:pt>
                <c:pt idx="2287">
                  <c:v>42088</c:v>
                </c:pt>
                <c:pt idx="2288">
                  <c:v>42087</c:v>
                </c:pt>
                <c:pt idx="2289">
                  <c:v>42086</c:v>
                </c:pt>
                <c:pt idx="2290">
                  <c:v>42083</c:v>
                </c:pt>
                <c:pt idx="2291">
                  <c:v>42082</c:v>
                </c:pt>
                <c:pt idx="2292">
                  <c:v>42081</c:v>
                </c:pt>
                <c:pt idx="2293">
                  <c:v>42080</c:v>
                </c:pt>
                <c:pt idx="2294">
                  <c:v>42079</c:v>
                </c:pt>
                <c:pt idx="2295">
                  <c:v>42076</c:v>
                </c:pt>
                <c:pt idx="2296">
                  <c:v>42075</c:v>
                </c:pt>
                <c:pt idx="2297">
                  <c:v>42074</c:v>
                </c:pt>
                <c:pt idx="2298">
                  <c:v>42073</c:v>
                </c:pt>
                <c:pt idx="2299">
                  <c:v>42072</c:v>
                </c:pt>
                <c:pt idx="2300">
                  <c:v>42069</c:v>
                </c:pt>
                <c:pt idx="2301">
                  <c:v>42068</c:v>
                </c:pt>
                <c:pt idx="2302">
                  <c:v>42067</c:v>
                </c:pt>
                <c:pt idx="2303">
                  <c:v>42066</c:v>
                </c:pt>
                <c:pt idx="2304">
                  <c:v>42065</c:v>
                </c:pt>
                <c:pt idx="2305">
                  <c:v>42062</c:v>
                </c:pt>
                <c:pt idx="2306">
                  <c:v>42061</c:v>
                </c:pt>
                <c:pt idx="2307">
                  <c:v>42060</c:v>
                </c:pt>
                <c:pt idx="2308">
                  <c:v>42059</c:v>
                </c:pt>
                <c:pt idx="2309">
                  <c:v>42058</c:v>
                </c:pt>
                <c:pt idx="2310">
                  <c:v>42055</c:v>
                </c:pt>
                <c:pt idx="2311">
                  <c:v>42054</c:v>
                </c:pt>
                <c:pt idx="2312">
                  <c:v>42053</c:v>
                </c:pt>
                <c:pt idx="2313">
                  <c:v>42052</c:v>
                </c:pt>
                <c:pt idx="2314">
                  <c:v>42051</c:v>
                </c:pt>
                <c:pt idx="2315">
                  <c:v>42048</c:v>
                </c:pt>
                <c:pt idx="2316">
                  <c:v>42047</c:v>
                </c:pt>
                <c:pt idx="2317">
                  <c:v>42046</c:v>
                </c:pt>
                <c:pt idx="2318">
                  <c:v>42045</c:v>
                </c:pt>
                <c:pt idx="2319">
                  <c:v>42044</c:v>
                </c:pt>
                <c:pt idx="2320">
                  <c:v>42041</c:v>
                </c:pt>
                <c:pt idx="2321">
                  <c:v>42040</c:v>
                </c:pt>
                <c:pt idx="2322">
                  <c:v>42039</c:v>
                </c:pt>
                <c:pt idx="2323">
                  <c:v>42038</c:v>
                </c:pt>
                <c:pt idx="2324">
                  <c:v>42037</c:v>
                </c:pt>
                <c:pt idx="2325">
                  <c:v>42034</c:v>
                </c:pt>
                <c:pt idx="2326">
                  <c:v>42033</c:v>
                </c:pt>
                <c:pt idx="2327">
                  <c:v>42032</c:v>
                </c:pt>
                <c:pt idx="2328">
                  <c:v>42031</c:v>
                </c:pt>
                <c:pt idx="2329">
                  <c:v>42030</c:v>
                </c:pt>
                <c:pt idx="2330">
                  <c:v>42027</c:v>
                </c:pt>
                <c:pt idx="2331">
                  <c:v>42026</c:v>
                </c:pt>
                <c:pt idx="2332">
                  <c:v>42025</c:v>
                </c:pt>
                <c:pt idx="2333">
                  <c:v>42024</c:v>
                </c:pt>
                <c:pt idx="2334">
                  <c:v>42023</c:v>
                </c:pt>
                <c:pt idx="2335">
                  <c:v>42020</c:v>
                </c:pt>
                <c:pt idx="2336">
                  <c:v>42019</c:v>
                </c:pt>
                <c:pt idx="2337">
                  <c:v>42018</c:v>
                </c:pt>
                <c:pt idx="2338">
                  <c:v>42017</c:v>
                </c:pt>
                <c:pt idx="2339">
                  <c:v>42016</c:v>
                </c:pt>
                <c:pt idx="2340">
                  <c:v>42013</c:v>
                </c:pt>
                <c:pt idx="2341">
                  <c:v>42012</c:v>
                </c:pt>
                <c:pt idx="2342">
                  <c:v>42011</c:v>
                </c:pt>
                <c:pt idx="2343">
                  <c:v>42010</c:v>
                </c:pt>
                <c:pt idx="2344">
                  <c:v>42009</c:v>
                </c:pt>
                <c:pt idx="2345">
                  <c:v>42006</c:v>
                </c:pt>
                <c:pt idx="2346">
                  <c:v>42005</c:v>
                </c:pt>
                <c:pt idx="2347">
                  <c:v>42004</c:v>
                </c:pt>
                <c:pt idx="2348">
                  <c:v>42003</c:v>
                </c:pt>
                <c:pt idx="2349">
                  <c:v>42002</c:v>
                </c:pt>
                <c:pt idx="2350">
                  <c:v>41999</c:v>
                </c:pt>
                <c:pt idx="2351">
                  <c:v>41998</c:v>
                </c:pt>
                <c:pt idx="2352">
                  <c:v>41997</c:v>
                </c:pt>
                <c:pt idx="2353">
                  <c:v>41996</c:v>
                </c:pt>
                <c:pt idx="2354">
                  <c:v>41995</c:v>
                </c:pt>
                <c:pt idx="2355">
                  <c:v>41992</c:v>
                </c:pt>
                <c:pt idx="2356">
                  <c:v>41991</c:v>
                </c:pt>
                <c:pt idx="2357">
                  <c:v>41990</c:v>
                </c:pt>
                <c:pt idx="2358">
                  <c:v>41989</c:v>
                </c:pt>
                <c:pt idx="2359">
                  <c:v>41988</c:v>
                </c:pt>
                <c:pt idx="2360">
                  <c:v>41985</c:v>
                </c:pt>
                <c:pt idx="2361">
                  <c:v>41984</c:v>
                </c:pt>
                <c:pt idx="2362">
                  <c:v>41983</c:v>
                </c:pt>
                <c:pt idx="2363">
                  <c:v>41982</c:v>
                </c:pt>
                <c:pt idx="2364">
                  <c:v>41981</c:v>
                </c:pt>
                <c:pt idx="2365">
                  <c:v>41978</c:v>
                </c:pt>
                <c:pt idx="2366">
                  <c:v>41977</c:v>
                </c:pt>
                <c:pt idx="2367">
                  <c:v>41976</c:v>
                </c:pt>
                <c:pt idx="2368">
                  <c:v>41975</c:v>
                </c:pt>
                <c:pt idx="2369">
                  <c:v>41974</c:v>
                </c:pt>
                <c:pt idx="2370">
                  <c:v>41971</c:v>
                </c:pt>
                <c:pt idx="2371">
                  <c:v>41970</c:v>
                </c:pt>
                <c:pt idx="2372">
                  <c:v>41969</c:v>
                </c:pt>
                <c:pt idx="2373">
                  <c:v>41968</c:v>
                </c:pt>
                <c:pt idx="2374">
                  <c:v>41967</c:v>
                </c:pt>
                <c:pt idx="2375">
                  <c:v>41964</c:v>
                </c:pt>
                <c:pt idx="2376">
                  <c:v>41963</c:v>
                </c:pt>
                <c:pt idx="2377">
                  <c:v>41962</c:v>
                </c:pt>
                <c:pt idx="2378">
                  <c:v>41961</c:v>
                </c:pt>
                <c:pt idx="2379">
                  <c:v>41960</c:v>
                </c:pt>
                <c:pt idx="2380">
                  <c:v>41957</c:v>
                </c:pt>
                <c:pt idx="2381">
                  <c:v>41956</c:v>
                </c:pt>
                <c:pt idx="2382">
                  <c:v>41955</c:v>
                </c:pt>
                <c:pt idx="2383">
                  <c:v>41954</c:v>
                </c:pt>
                <c:pt idx="2384">
                  <c:v>41953</c:v>
                </c:pt>
                <c:pt idx="2385">
                  <c:v>41950</c:v>
                </c:pt>
                <c:pt idx="2386">
                  <c:v>41949</c:v>
                </c:pt>
                <c:pt idx="2387">
                  <c:v>41948</c:v>
                </c:pt>
                <c:pt idx="2388">
                  <c:v>41947</c:v>
                </c:pt>
                <c:pt idx="2389">
                  <c:v>41946</c:v>
                </c:pt>
                <c:pt idx="2390">
                  <c:v>41943</c:v>
                </c:pt>
                <c:pt idx="2391">
                  <c:v>41942</c:v>
                </c:pt>
                <c:pt idx="2392">
                  <c:v>41941</c:v>
                </c:pt>
                <c:pt idx="2393">
                  <c:v>41940</c:v>
                </c:pt>
                <c:pt idx="2394">
                  <c:v>41939</c:v>
                </c:pt>
                <c:pt idx="2395">
                  <c:v>41936</c:v>
                </c:pt>
                <c:pt idx="2396">
                  <c:v>41935</c:v>
                </c:pt>
                <c:pt idx="2397">
                  <c:v>41934</c:v>
                </c:pt>
                <c:pt idx="2398">
                  <c:v>41933</c:v>
                </c:pt>
                <c:pt idx="2399">
                  <c:v>41932</c:v>
                </c:pt>
                <c:pt idx="2400">
                  <c:v>41929</c:v>
                </c:pt>
                <c:pt idx="2401">
                  <c:v>41928</c:v>
                </c:pt>
                <c:pt idx="2402">
                  <c:v>41927</c:v>
                </c:pt>
                <c:pt idx="2403">
                  <c:v>41926</c:v>
                </c:pt>
                <c:pt idx="2404">
                  <c:v>41925</c:v>
                </c:pt>
                <c:pt idx="2405">
                  <c:v>41922</c:v>
                </c:pt>
                <c:pt idx="2406">
                  <c:v>41921</c:v>
                </c:pt>
                <c:pt idx="2407">
                  <c:v>41920</c:v>
                </c:pt>
                <c:pt idx="2408">
                  <c:v>41919</c:v>
                </c:pt>
                <c:pt idx="2409">
                  <c:v>41918</c:v>
                </c:pt>
                <c:pt idx="2410">
                  <c:v>41915</c:v>
                </c:pt>
                <c:pt idx="2411">
                  <c:v>41914</c:v>
                </c:pt>
                <c:pt idx="2412">
                  <c:v>41913</c:v>
                </c:pt>
                <c:pt idx="2413">
                  <c:v>41912</c:v>
                </c:pt>
                <c:pt idx="2414">
                  <c:v>41911</c:v>
                </c:pt>
                <c:pt idx="2415">
                  <c:v>41908</c:v>
                </c:pt>
                <c:pt idx="2416">
                  <c:v>41907</c:v>
                </c:pt>
                <c:pt idx="2417">
                  <c:v>41906</c:v>
                </c:pt>
                <c:pt idx="2418">
                  <c:v>41905</c:v>
                </c:pt>
                <c:pt idx="2419">
                  <c:v>41904</c:v>
                </c:pt>
                <c:pt idx="2420">
                  <c:v>41901</c:v>
                </c:pt>
                <c:pt idx="2421">
                  <c:v>41900</c:v>
                </c:pt>
                <c:pt idx="2422">
                  <c:v>41899</c:v>
                </c:pt>
                <c:pt idx="2423">
                  <c:v>41898</c:v>
                </c:pt>
                <c:pt idx="2424">
                  <c:v>41897</c:v>
                </c:pt>
                <c:pt idx="2425">
                  <c:v>41894</c:v>
                </c:pt>
                <c:pt idx="2426">
                  <c:v>41893</c:v>
                </c:pt>
                <c:pt idx="2427">
                  <c:v>41892</c:v>
                </c:pt>
                <c:pt idx="2428">
                  <c:v>41891</c:v>
                </c:pt>
                <c:pt idx="2429">
                  <c:v>41890</c:v>
                </c:pt>
                <c:pt idx="2430">
                  <c:v>41887</c:v>
                </c:pt>
                <c:pt idx="2431">
                  <c:v>41886</c:v>
                </c:pt>
                <c:pt idx="2432">
                  <c:v>41885</c:v>
                </c:pt>
                <c:pt idx="2433">
                  <c:v>41884</c:v>
                </c:pt>
                <c:pt idx="2434">
                  <c:v>41883</c:v>
                </c:pt>
                <c:pt idx="2435">
                  <c:v>41880</c:v>
                </c:pt>
                <c:pt idx="2436">
                  <c:v>41879</c:v>
                </c:pt>
                <c:pt idx="2437">
                  <c:v>41878</c:v>
                </c:pt>
                <c:pt idx="2438">
                  <c:v>41877</c:v>
                </c:pt>
                <c:pt idx="2439">
                  <c:v>41876</c:v>
                </c:pt>
                <c:pt idx="2440">
                  <c:v>41873</c:v>
                </c:pt>
                <c:pt idx="2441">
                  <c:v>41872</c:v>
                </c:pt>
                <c:pt idx="2442">
                  <c:v>41871</c:v>
                </c:pt>
                <c:pt idx="2443">
                  <c:v>41870</c:v>
                </c:pt>
                <c:pt idx="2444">
                  <c:v>41869</c:v>
                </c:pt>
                <c:pt idx="2445">
                  <c:v>41866</c:v>
                </c:pt>
                <c:pt idx="2446">
                  <c:v>41865</c:v>
                </c:pt>
                <c:pt idx="2447">
                  <c:v>41864</c:v>
                </c:pt>
                <c:pt idx="2448">
                  <c:v>41863</c:v>
                </c:pt>
                <c:pt idx="2449">
                  <c:v>41862</c:v>
                </c:pt>
                <c:pt idx="2450">
                  <c:v>41859</c:v>
                </c:pt>
                <c:pt idx="2451">
                  <c:v>41858</c:v>
                </c:pt>
                <c:pt idx="2452">
                  <c:v>41857</c:v>
                </c:pt>
                <c:pt idx="2453">
                  <c:v>41856</c:v>
                </c:pt>
                <c:pt idx="2454">
                  <c:v>41855</c:v>
                </c:pt>
                <c:pt idx="2455">
                  <c:v>41852</c:v>
                </c:pt>
                <c:pt idx="2456">
                  <c:v>41851</c:v>
                </c:pt>
                <c:pt idx="2457">
                  <c:v>41850</c:v>
                </c:pt>
                <c:pt idx="2458">
                  <c:v>41849</c:v>
                </c:pt>
                <c:pt idx="2459">
                  <c:v>41848</c:v>
                </c:pt>
                <c:pt idx="2460">
                  <c:v>41845</c:v>
                </c:pt>
                <c:pt idx="2461">
                  <c:v>41844</c:v>
                </c:pt>
                <c:pt idx="2462">
                  <c:v>41843</c:v>
                </c:pt>
                <c:pt idx="2463">
                  <c:v>41842</c:v>
                </c:pt>
                <c:pt idx="2464">
                  <c:v>41841</c:v>
                </c:pt>
                <c:pt idx="2465">
                  <c:v>41838</c:v>
                </c:pt>
                <c:pt idx="2466">
                  <c:v>41837</c:v>
                </c:pt>
                <c:pt idx="2467">
                  <c:v>41836</c:v>
                </c:pt>
                <c:pt idx="2468">
                  <c:v>41835</c:v>
                </c:pt>
                <c:pt idx="2469">
                  <c:v>41834</c:v>
                </c:pt>
                <c:pt idx="2470">
                  <c:v>41831</c:v>
                </c:pt>
                <c:pt idx="2471">
                  <c:v>41830</c:v>
                </c:pt>
                <c:pt idx="2472">
                  <c:v>41829</c:v>
                </c:pt>
                <c:pt idx="2473">
                  <c:v>41828</c:v>
                </c:pt>
                <c:pt idx="2474">
                  <c:v>41827</c:v>
                </c:pt>
                <c:pt idx="2475">
                  <c:v>41824</c:v>
                </c:pt>
                <c:pt idx="2476">
                  <c:v>41823</c:v>
                </c:pt>
                <c:pt idx="2477">
                  <c:v>41822</c:v>
                </c:pt>
                <c:pt idx="2478">
                  <c:v>41821</c:v>
                </c:pt>
                <c:pt idx="2479">
                  <c:v>41820</c:v>
                </c:pt>
                <c:pt idx="2480">
                  <c:v>41817</c:v>
                </c:pt>
                <c:pt idx="2481">
                  <c:v>41816</c:v>
                </c:pt>
                <c:pt idx="2482">
                  <c:v>41815</c:v>
                </c:pt>
                <c:pt idx="2483">
                  <c:v>41814</c:v>
                </c:pt>
                <c:pt idx="2484">
                  <c:v>41813</c:v>
                </c:pt>
                <c:pt idx="2485">
                  <c:v>41810</c:v>
                </c:pt>
                <c:pt idx="2486">
                  <c:v>41809</c:v>
                </c:pt>
                <c:pt idx="2487">
                  <c:v>41808</c:v>
                </c:pt>
                <c:pt idx="2488">
                  <c:v>41807</c:v>
                </c:pt>
                <c:pt idx="2489">
                  <c:v>41806</c:v>
                </c:pt>
                <c:pt idx="2490">
                  <c:v>41803</c:v>
                </c:pt>
                <c:pt idx="2491">
                  <c:v>41802</c:v>
                </c:pt>
                <c:pt idx="2492">
                  <c:v>41801</c:v>
                </c:pt>
                <c:pt idx="2493">
                  <c:v>41800</c:v>
                </c:pt>
                <c:pt idx="2494">
                  <c:v>41799</c:v>
                </c:pt>
                <c:pt idx="2495">
                  <c:v>41796</c:v>
                </c:pt>
                <c:pt idx="2496">
                  <c:v>41795</c:v>
                </c:pt>
                <c:pt idx="2497">
                  <c:v>41794</c:v>
                </c:pt>
                <c:pt idx="2498">
                  <c:v>41793</c:v>
                </c:pt>
                <c:pt idx="2499">
                  <c:v>41792</c:v>
                </c:pt>
                <c:pt idx="2500">
                  <c:v>41789</c:v>
                </c:pt>
                <c:pt idx="2501">
                  <c:v>41788</c:v>
                </c:pt>
                <c:pt idx="2502">
                  <c:v>41787</c:v>
                </c:pt>
                <c:pt idx="2503">
                  <c:v>41786</c:v>
                </c:pt>
                <c:pt idx="2504">
                  <c:v>41785</c:v>
                </c:pt>
                <c:pt idx="2505">
                  <c:v>41782</c:v>
                </c:pt>
                <c:pt idx="2506">
                  <c:v>41781</c:v>
                </c:pt>
                <c:pt idx="2507">
                  <c:v>41780</c:v>
                </c:pt>
                <c:pt idx="2508">
                  <c:v>41779</c:v>
                </c:pt>
                <c:pt idx="2509">
                  <c:v>41778</c:v>
                </c:pt>
                <c:pt idx="2510">
                  <c:v>41775</c:v>
                </c:pt>
                <c:pt idx="2511">
                  <c:v>41774</c:v>
                </c:pt>
                <c:pt idx="2512">
                  <c:v>41773</c:v>
                </c:pt>
                <c:pt idx="2513">
                  <c:v>41772</c:v>
                </c:pt>
                <c:pt idx="2514">
                  <c:v>41771</c:v>
                </c:pt>
                <c:pt idx="2515">
                  <c:v>41768</c:v>
                </c:pt>
                <c:pt idx="2516">
                  <c:v>41767</c:v>
                </c:pt>
                <c:pt idx="2517">
                  <c:v>41766</c:v>
                </c:pt>
                <c:pt idx="2518">
                  <c:v>41765</c:v>
                </c:pt>
                <c:pt idx="2519">
                  <c:v>41764</c:v>
                </c:pt>
                <c:pt idx="2520">
                  <c:v>41761</c:v>
                </c:pt>
                <c:pt idx="2521">
                  <c:v>41760</c:v>
                </c:pt>
                <c:pt idx="2522">
                  <c:v>41759</c:v>
                </c:pt>
                <c:pt idx="2523">
                  <c:v>41758</c:v>
                </c:pt>
                <c:pt idx="2524">
                  <c:v>41757</c:v>
                </c:pt>
                <c:pt idx="2525">
                  <c:v>41754</c:v>
                </c:pt>
                <c:pt idx="2526">
                  <c:v>41753</c:v>
                </c:pt>
                <c:pt idx="2527">
                  <c:v>41752</c:v>
                </c:pt>
                <c:pt idx="2528">
                  <c:v>41751</c:v>
                </c:pt>
                <c:pt idx="2529">
                  <c:v>41750</c:v>
                </c:pt>
                <c:pt idx="2530">
                  <c:v>41747</c:v>
                </c:pt>
                <c:pt idx="2531">
                  <c:v>41746</c:v>
                </c:pt>
                <c:pt idx="2532">
                  <c:v>41745</c:v>
                </c:pt>
                <c:pt idx="2533">
                  <c:v>41744</c:v>
                </c:pt>
                <c:pt idx="2534">
                  <c:v>41743</c:v>
                </c:pt>
                <c:pt idx="2535">
                  <c:v>41740</c:v>
                </c:pt>
                <c:pt idx="2536">
                  <c:v>41739</c:v>
                </c:pt>
                <c:pt idx="2537">
                  <c:v>41738</c:v>
                </c:pt>
                <c:pt idx="2538">
                  <c:v>41737</c:v>
                </c:pt>
                <c:pt idx="2539">
                  <c:v>41736</c:v>
                </c:pt>
                <c:pt idx="2540">
                  <c:v>41733</c:v>
                </c:pt>
                <c:pt idx="2541">
                  <c:v>41732</c:v>
                </c:pt>
                <c:pt idx="2542">
                  <c:v>41731</c:v>
                </c:pt>
                <c:pt idx="2543">
                  <c:v>41730</c:v>
                </c:pt>
                <c:pt idx="2544">
                  <c:v>41729</c:v>
                </c:pt>
                <c:pt idx="2545">
                  <c:v>41726</c:v>
                </c:pt>
                <c:pt idx="2546">
                  <c:v>41725</c:v>
                </c:pt>
                <c:pt idx="2547">
                  <c:v>41724</c:v>
                </c:pt>
                <c:pt idx="2548">
                  <c:v>41723</c:v>
                </c:pt>
                <c:pt idx="2549">
                  <c:v>41722</c:v>
                </c:pt>
                <c:pt idx="2550">
                  <c:v>41719</c:v>
                </c:pt>
                <c:pt idx="2551">
                  <c:v>41718</c:v>
                </c:pt>
                <c:pt idx="2552">
                  <c:v>41717</c:v>
                </c:pt>
                <c:pt idx="2553">
                  <c:v>41716</c:v>
                </c:pt>
                <c:pt idx="2554">
                  <c:v>41715</c:v>
                </c:pt>
                <c:pt idx="2555">
                  <c:v>41712</c:v>
                </c:pt>
                <c:pt idx="2556">
                  <c:v>41711</c:v>
                </c:pt>
                <c:pt idx="2557">
                  <c:v>41710</c:v>
                </c:pt>
                <c:pt idx="2558">
                  <c:v>41709</c:v>
                </c:pt>
                <c:pt idx="2559">
                  <c:v>41708</c:v>
                </c:pt>
                <c:pt idx="2560">
                  <c:v>41705</c:v>
                </c:pt>
                <c:pt idx="2561">
                  <c:v>41704</c:v>
                </c:pt>
                <c:pt idx="2562">
                  <c:v>41703</c:v>
                </c:pt>
                <c:pt idx="2563">
                  <c:v>41702</c:v>
                </c:pt>
                <c:pt idx="2564">
                  <c:v>41701</c:v>
                </c:pt>
                <c:pt idx="2565">
                  <c:v>41698</c:v>
                </c:pt>
                <c:pt idx="2566">
                  <c:v>41697</c:v>
                </c:pt>
                <c:pt idx="2567">
                  <c:v>41696</c:v>
                </c:pt>
                <c:pt idx="2568">
                  <c:v>41695</c:v>
                </c:pt>
                <c:pt idx="2569">
                  <c:v>41694</c:v>
                </c:pt>
                <c:pt idx="2570">
                  <c:v>41691</c:v>
                </c:pt>
                <c:pt idx="2571">
                  <c:v>41690</c:v>
                </c:pt>
                <c:pt idx="2572">
                  <c:v>41689</c:v>
                </c:pt>
                <c:pt idx="2573">
                  <c:v>41688</c:v>
                </c:pt>
                <c:pt idx="2574">
                  <c:v>41687</c:v>
                </c:pt>
                <c:pt idx="2575">
                  <c:v>41684</c:v>
                </c:pt>
                <c:pt idx="2576">
                  <c:v>41683</c:v>
                </c:pt>
                <c:pt idx="2577">
                  <c:v>41682</c:v>
                </c:pt>
                <c:pt idx="2578">
                  <c:v>41681</c:v>
                </c:pt>
                <c:pt idx="2579">
                  <c:v>41680</c:v>
                </c:pt>
                <c:pt idx="2580">
                  <c:v>41677</c:v>
                </c:pt>
                <c:pt idx="2581">
                  <c:v>41676</c:v>
                </c:pt>
                <c:pt idx="2582">
                  <c:v>41675</c:v>
                </c:pt>
                <c:pt idx="2583">
                  <c:v>41674</c:v>
                </c:pt>
                <c:pt idx="2584">
                  <c:v>41673</c:v>
                </c:pt>
                <c:pt idx="2585">
                  <c:v>41670</c:v>
                </c:pt>
                <c:pt idx="2586">
                  <c:v>41669</c:v>
                </c:pt>
                <c:pt idx="2587">
                  <c:v>41668</c:v>
                </c:pt>
                <c:pt idx="2588">
                  <c:v>41667</c:v>
                </c:pt>
                <c:pt idx="2589">
                  <c:v>41666</c:v>
                </c:pt>
                <c:pt idx="2590">
                  <c:v>41663</c:v>
                </c:pt>
                <c:pt idx="2591">
                  <c:v>41662</c:v>
                </c:pt>
                <c:pt idx="2592">
                  <c:v>41661</c:v>
                </c:pt>
                <c:pt idx="2593">
                  <c:v>41660</c:v>
                </c:pt>
                <c:pt idx="2594">
                  <c:v>41659</c:v>
                </c:pt>
                <c:pt idx="2595">
                  <c:v>41656</c:v>
                </c:pt>
                <c:pt idx="2596">
                  <c:v>41655</c:v>
                </c:pt>
                <c:pt idx="2597">
                  <c:v>41654</c:v>
                </c:pt>
                <c:pt idx="2598">
                  <c:v>41653</c:v>
                </c:pt>
                <c:pt idx="2599">
                  <c:v>41652</c:v>
                </c:pt>
                <c:pt idx="2600">
                  <c:v>41649</c:v>
                </c:pt>
                <c:pt idx="2601">
                  <c:v>41648</c:v>
                </c:pt>
                <c:pt idx="2602">
                  <c:v>41647</c:v>
                </c:pt>
                <c:pt idx="2603">
                  <c:v>41646</c:v>
                </c:pt>
                <c:pt idx="2604">
                  <c:v>41645</c:v>
                </c:pt>
                <c:pt idx="2605">
                  <c:v>41642</c:v>
                </c:pt>
                <c:pt idx="2606">
                  <c:v>41641</c:v>
                </c:pt>
                <c:pt idx="2607">
                  <c:v>41640</c:v>
                </c:pt>
                <c:pt idx="2608">
                  <c:v>41639</c:v>
                </c:pt>
                <c:pt idx="2609">
                  <c:v>41638</c:v>
                </c:pt>
                <c:pt idx="2610">
                  <c:v>41635</c:v>
                </c:pt>
                <c:pt idx="2611">
                  <c:v>41634</c:v>
                </c:pt>
                <c:pt idx="2612">
                  <c:v>41633</c:v>
                </c:pt>
                <c:pt idx="2613">
                  <c:v>41632</c:v>
                </c:pt>
                <c:pt idx="2614">
                  <c:v>41631</c:v>
                </c:pt>
                <c:pt idx="2615">
                  <c:v>41628</c:v>
                </c:pt>
                <c:pt idx="2616">
                  <c:v>41627</c:v>
                </c:pt>
                <c:pt idx="2617">
                  <c:v>41626</c:v>
                </c:pt>
                <c:pt idx="2618">
                  <c:v>41625</c:v>
                </c:pt>
                <c:pt idx="2619">
                  <c:v>41624</c:v>
                </c:pt>
                <c:pt idx="2620">
                  <c:v>41621</c:v>
                </c:pt>
                <c:pt idx="2621">
                  <c:v>41620</c:v>
                </c:pt>
                <c:pt idx="2622">
                  <c:v>41619</c:v>
                </c:pt>
                <c:pt idx="2623">
                  <c:v>41618</c:v>
                </c:pt>
                <c:pt idx="2624">
                  <c:v>41617</c:v>
                </c:pt>
                <c:pt idx="2625">
                  <c:v>41614</c:v>
                </c:pt>
                <c:pt idx="2626">
                  <c:v>41613</c:v>
                </c:pt>
                <c:pt idx="2627">
                  <c:v>41612</c:v>
                </c:pt>
                <c:pt idx="2628">
                  <c:v>41611</c:v>
                </c:pt>
                <c:pt idx="2629">
                  <c:v>41610</c:v>
                </c:pt>
                <c:pt idx="2630">
                  <c:v>41607</c:v>
                </c:pt>
                <c:pt idx="2631">
                  <c:v>41606</c:v>
                </c:pt>
                <c:pt idx="2632">
                  <c:v>41605</c:v>
                </c:pt>
                <c:pt idx="2633">
                  <c:v>41604</c:v>
                </c:pt>
                <c:pt idx="2634">
                  <c:v>41603</c:v>
                </c:pt>
                <c:pt idx="2635">
                  <c:v>41600</c:v>
                </c:pt>
                <c:pt idx="2636">
                  <c:v>41599</c:v>
                </c:pt>
                <c:pt idx="2637">
                  <c:v>41598</c:v>
                </c:pt>
                <c:pt idx="2638">
                  <c:v>41597</c:v>
                </c:pt>
                <c:pt idx="2639">
                  <c:v>41596</c:v>
                </c:pt>
                <c:pt idx="2640">
                  <c:v>41593</c:v>
                </c:pt>
                <c:pt idx="2641">
                  <c:v>41592</c:v>
                </c:pt>
                <c:pt idx="2642">
                  <c:v>41591</c:v>
                </c:pt>
                <c:pt idx="2643">
                  <c:v>41590</c:v>
                </c:pt>
                <c:pt idx="2644">
                  <c:v>41589</c:v>
                </c:pt>
                <c:pt idx="2645">
                  <c:v>41586</c:v>
                </c:pt>
                <c:pt idx="2646">
                  <c:v>41585</c:v>
                </c:pt>
                <c:pt idx="2647">
                  <c:v>41584</c:v>
                </c:pt>
                <c:pt idx="2648">
                  <c:v>41583</c:v>
                </c:pt>
                <c:pt idx="2649">
                  <c:v>41582</c:v>
                </c:pt>
                <c:pt idx="2650">
                  <c:v>41579</c:v>
                </c:pt>
                <c:pt idx="2651">
                  <c:v>41578</c:v>
                </c:pt>
                <c:pt idx="2652">
                  <c:v>41577</c:v>
                </c:pt>
                <c:pt idx="2653">
                  <c:v>41576</c:v>
                </c:pt>
                <c:pt idx="2654">
                  <c:v>41575</c:v>
                </c:pt>
                <c:pt idx="2655">
                  <c:v>41572</c:v>
                </c:pt>
                <c:pt idx="2656">
                  <c:v>41571</c:v>
                </c:pt>
                <c:pt idx="2657">
                  <c:v>41570</c:v>
                </c:pt>
                <c:pt idx="2658">
                  <c:v>41569</c:v>
                </c:pt>
                <c:pt idx="2659">
                  <c:v>41568</c:v>
                </c:pt>
                <c:pt idx="2660">
                  <c:v>41565</c:v>
                </c:pt>
                <c:pt idx="2661">
                  <c:v>41564</c:v>
                </c:pt>
                <c:pt idx="2662">
                  <c:v>41563</c:v>
                </c:pt>
                <c:pt idx="2663">
                  <c:v>41562</c:v>
                </c:pt>
                <c:pt idx="2664">
                  <c:v>41561</c:v>
                </c:pt>
                <c:pt idx="2665">
                  <c:v>41558</c:v>
                </c:pt>
                <c:pt idx="2666">
                  <c:v>41557</c:v>
                </c:pt>
                <c:pt idx="2667">
                  <c:v>41556</c:v>
                </c:pt>
                <c:pt idx="2668">
                  <c:v>41555</c:v>
                </c:pt>
                <c:pt idx="2669">
                  <c:v>41554</c:v>
                </c:pt>
                <c:pt idx="2670">
                  <c:v>41551</c:v>
                </c:pt>
                <c:pt idx="2671">
                  <c:v>41550</c:v>
                </c:pt>
                <c:pt idx="2672">
                  <c:v>41549</c:v>
                </c:pt>
                <c:pt idx="2673">
                  <c:v>41548</c:v>
                </c:pt>
                <c:pt idx="2674">
                  <c:v>41547</c:v>
                </c:pt>
                <c:pt idx="2675">
                  <c:v>41544</c:v>
                </c:pt>
                <c:pt idx="2676">
                  <c:v>41543</c:v>
                </c:pt>
                <c:pt idx="2677">
                  <c:v>41542</c:v>
                </c:pt>
                <c:pt idx="2678">
                  <c:v>41541</c:v>
                </c:pt>
                <c:pt idx="2679">
                  <c:v>41540</c:v>
                </c:pt>
                <c:pt idx="2680">
                  <c:v>41537</c:v>
                </c:pt>
                <c:pt idx="2681">
                  <c:v>41536</c:v>
                </c:pt>
                <c:pt idx="2682">
                  <c:v>41535</c:v>
                </c:pt>
                <c:pt idx="2683">
                  <c:v>41534</c:v>
                </c:pt>
                <c:pt idx="2684">
                  <c:v>41533</c:v>
                </c:pt>
                <c:pt idx="2685">
                  <c:v>41530</c:v>
                </c:pt>
                <c:pt idx="2686">
                  <c:v>41529</c:v>
                </c:pt>
                <c:pt idx="2687">
                  <c:v>41528</c:v>
                </c:pt>
                <c:pt idx="2688">
                  <c:v>41527</c:v>
                </c:pt>
                <c:pt idx="2689">
                  <c:v>41526</c:v>
                </c:pt>
                <c:pt idx="2690">
                  <c:v>41523</c:v>
                </c:pt>
                <c:pt idx="2691">
                  <c:v>41522</c:v>
                </c:pt>
                <c:pt idx="2692">
                  <c:v>41521</c:v>
                </c:pt>
                <c:pt idx="2693">
                  <c:v>41520</c:v>
                </c:pt>
                <c:pt idx="2694">
                  <c:v>41519</c:v>
                </c:pt>
                <c:pt idx="2695">
                  <c:v>41516</c:v>
                </c:pt>
                <c:pt idx="2696">
                  <c:v>41515</c:v>
                </c:pt>
                <c:pt idx="2697">
                  <c:v>41514</c:v>
                </c:pt>
                <c:pt idx="2698">
                  <c:v>41513</c:v>
                </c:pt>
                <c:pt idx="2699">
                  <c:v>41512</c:v>
                </c:pt>
                <c:pt idx="2700">
                  <c:v>41509</c:v>
                </c:pt>
                <c:pt idx="2701">
                  <c:v>41508</c:v>
                </c:pt>
                <c:pt idx="2702">
                  <c:v>41507</c:v>
                </c:pt>
                <c:pt idx="2703">
                  <c:v>41506</c:v>
                </c:pt>
                <c:pt idx="2704">
                  <c:v>41505</c:v>
                </c:pt>
                <c:pt idx="2705">
                  <c:v>41502</c:v>
                </c:pt>
                <c:pt idx="2706">
                  <c:v>41501</c:v>
                </c:pt>
                <c:pt idx="2707">
                  <c:v>41500</c:v>
                </c:pt>
                <c:pt idx="2708">
                  <c:v>41499</c:v>
                </c:pt>
                <c:pt idx="2709">
                  <c:v>41498</c:v>
                </c:pt>
                <c:pt idx="2710">
                  <c:v>41495</c:v>
                </c:pt>
                <c:pt idx="2711">
                  <c:v>41494</c:v>
                </c:pt>
                <c:pt idx="2712">
                  <c:v>41493</c:v>
                </c:pt>
                <c:pt idx="2713">
                  <c:v>41492</c:v>
                </c:pt>
                <c:pt idx="2714">
                  <c:v>41491</c:v>
                </c:pt>
                <c:pt idx="2715">
                  <c:v>41488</c:v>
                </c:pt>
                <c:pt idx="2716">
                  <c:v>41487</c:v>
                </c:pt>
                <c:pt idx="2717">
                  <c:v>41486</c:v>
                </c:pt>
                <c:pt idx="2718">
                  <c:v>41485</c:v>
                </c:pt>
                <c:pt idx="2719">
                  <c:v>41484</c:v>
                </c:pt>
                <c:pt idx="2720">
                  <c:v>41481</c:v>
                </c:pt>
                <c:pt idx="2721">
                  <c:v>41480</c:v>
                </c:pt>
                <c:pt idx="2722">
                  <c:v>41479</c:v>
                </c:pt>
                <c:pt idx="2723">
                  <c:v>41478</c:v>
                </c:pt>
                <c:pt idx="2724">
                  <c:v>41477</c:v>
                </c:pt>
                <c:pt idx="2725">
                  <c:v>41474</c:v>
                </c:pt>
                <c:pt idx="2726">
                  <c:v>41473</c:v>
                </c:pt>
                <c:pt idx="2727">
                  <c:v>41472</c:v>
                </c:pt>
                <c:pt idx="2728">
                  <c:v>41471</c:v>
                </c:pt>
                <c:pt idx="2729">
                  <c:v>41470</c:v>
                </c:pt>
                <c:pt idx="2730">
                  <c:v>41467</c:v>
                </c:pt>
                <c:pt idx="2731">
                  <c:v>41466</c:v>
                </c:pt>
                <c:pt idx="2732">
                  <c:v>41465</c:v>
                </c:pt>
                <c:pt idx="2733">
                  <c:v>41464</c:v>
                </c:pt>
                <c:pt idx="2734">
                  <c:v>41463</c:v>
                </c:pt>
                <c:pt idx="2735">
                  <c:v>41460</c:v>
                </c:pt>
                <c:pt idx="2736">
                  <c:v>41459</c:v>
                </c:pt>
                <c:pt idx="2737">
                  <c:v>41458</c:v>
                </c:pt>
                <c:pt idx="2738">
                  <c:v>41457</c:v>
                </c:pt>
                <c:pt idx="2739">
                  <c:v>41456</c:v>
                </c:pt>
                <c:pt idx="2740">
                  <c:v>41453</c:v>
                </c:pt>
                <c:pt idx="2741">
                  <c:v>41452</c:v>
                </c:pt>
                <c:pt idx="2742">
                  <c:v>41451</c:v>
                </c:pt>
                <c:pt idx="2743">
                  <c:v>41450</c:v>
                </c:pt>
                <c:pt idx="2744">
                  <c:v>41449</c:v>
                </c:pt>
                <c:pt idx="2745">
                  <c:v>41446</c:v>
                </c:pt>
                <c:pt idx="2746">
                  <c:v>41445</c:v>
                </c:pt>
                <c:pt idx="2747">
                  <c:v>41444</c:v>
                </c:pt>
                <c:pt idx="2748">
                  <c:v>41443</c:v>
                </c:pt>
                <c:pt idx="2749">
                  <c:v>41442</c:v>
                </c:pt>
                <c:pt idx="2750">
                  <c:v>41439</c:v>
                </c:pt>
                <c:pt idx="2751">
                  <c:v>41438</c:v>
                </c:pt>
                <c:pt idx="2752">
                  <c:v>41437</c:v>
                </c:pt>
                <c:pt idx="2753">
                  <c:v>41436</c:v>
                </c:pt>
                <c:pt idx="2754">
                  <c:v>41435</c:v>
                </c:pt>
                <c:pt idx="2755">
                  <c:v>41432</c:v>
                </c:pt>
                <c:pt idx="2756">
                  <c:v>41431</c:v>
                </c:pt>
                <c:pt idx="2757">
                  <c:v>41430</c:v>
                </c:pt>
                <c:pt idx="2758">
                  <c:v>41429</c:v>
                </c:pt>
                <c:pt idx="2759">
                  <c:v>41428</c:v>
                </c:pt>
                <c:pt idx="2760">
                  <c:v>41425</c:v>
                </c:pt>
                <c:pt idx="2761">
                  <c:v>41424</c:v>
                </c:pt>
                <c:pt idx="2762">
                  <c:v>41423</c:v>
                </c:pt>
                <c:pt idx="2763">
                  <c:v>41422</c:v>
                </c:pt>
                <c:pt idx="2764">
                  <c:v>41421</c:v>
                </c:pt>
                <c:pt idx="2765">
                  <c:v>41418</c:v>
                </c:pt>
                <c:pt idx="2766">
                  <c:v>41417</c:v>
                </c:pt>
                <c:pt idx="2767">
                  <c:v>41416</c:v>
                </c:pt>
                <c:pt idx="2768">
                  <c:v>41415</c:v>
                </c:pt>
                <c:pt idx="2769">
                  <c:v>41414</c:v>
                </c:pt>
                <c:pt idx="2770">
                  <c:v>41411</c:v>
                </c:pt>
                <c:pt idx="2771">
                  <c:v>41410</c:v>
                </c:pt>
                <c:pt idx="2772">
                  <c:v>41409</c:v>
                </c:pt>
                <c:pt idx="2773">
                  <c:v>41408</c:v>
                </c:pt>
                <c:pt idx="2774">
                  <c:v>41407</c:v>
                </c:pt>
                <c:pt idx="2775">
                  <c:v>41404</c:v>
                </c:pt>
                <c:pt idx="2776">
                  <c:v>41403</c:v>
                </c:pt>
                <c:pt idx="2777">
                  <c:v>41402</c:v>
                </c:pt>
                <c:pt idx="2778">
                  <c:v>41401</c:v>
                </c:pt>
                <c:pt idx="2779">
                  <c:v>41400</c:v>
                </c:pt>
                <c:pt idx="2780">
                  <c:v>41397</c:v>
                </c:pt>
                <c:pt idx="2781">
                  <c:v>41396</c:v>
                </c:pt>
                <c:pt idx="2782">
                  <c:v>41395</c:v>
                </c:pt>
                <c:pt idx="2783">
                  <c:v>41394</c:v>
                </c:pt>
                <c:pt idx="2784">
                  <c:v>41393</c:v>
                </c:pt>
                <c:pt idx="2785">
                  <c:v>41390</c:v>
                </c:pt>
                <c:pt idx="2786">
                  <c:v>41389</c:v>
                </c:pt>
                <c:pt idx="2787">
                  <c:v>41388</c:v>
                </c:pt>
                <c:pt idx="2788">
                  <c:v>41387</c:v>
                </c:pt>
                <c:pt idx="2789">
                  <c:v>41386</c:v>
                </c:pt>
                <c:pt idx="2790">
                  <c:v>41383</c:v>
                </c:pt>
                <c:pt idx="2791">
                  <c:v>41382</c:v>
                </c:pt>
                <c:pt idx="2792">
                  <c:v>41381</c:v>
                </c:pt>
                <c:pt idx="2793">
                  <c:v>41380</c:v>
                </c:pt>
                <c:pt idx="2794">
                  <c:v>41379</c:v>
                </c:pt>
                <c:pt idx="2795">
                  <c:v>41376</c:v>
                </c:pt>
                <c:pt idx="2796">
                  <c:v>41375</c:v>
                </c:pt>
                <c:pt idx="2797">
                  <c:v>41374</c:v>
                </c:pt>
                <c:pt idx="2798">
                  <c:v>41373</c:v>
                </c:pt>
                <c:pt idx="2799">
                  <c:v>41372</c:v>
                </c:pt>
                <c:pt idx="2800">
                  <c:v>41369</c:v>
                </c:pt>
                <c:pt idx="2801">
                  <c:v>41368</c:v>
                </c:pt>
                <c:pt idx="2802">
                  <c:v>41367</c:v>
                </c:pt>
                <c:pt idx="2803">
                  <c:v>41366</c:v>
                </c:pt>
                <c:pt idx="2804">
                  <c:v>41365</c:v>
                </c:pt>
                <c:pt idx="2805">
                  <c:v>41362</c:v>
                </c:pt>
                <c:pt idx="2806">
                  <c:v>41361</c:v>
                </c:pt>
                <c:pt idx="2807">
                  <c:v>41360</c:v>
                </c:pt>
                <c:pt idx="2808">
                  <c:v>41359</c:v>
                </c:pt>
                <c:pt idx="2809">
                  <c:v>41358</c:v>
                </c:pt>
                <c:pt idx="2810">
                  <c:v>41355</c:v>
                </c:pt>
                <c:pt idx="2811">
                  <c:v>41354</c:v>
                </c:pt>
                <c:pt idx="2812">
                  <c:v>41353</c:v>
                </c:pt>
                <c:pt idx="2813">
                  <c:v>41352</c:v>
                </c:pt>
                <c:pt idx="2814">
                  <c:v>41351</c:v>
                </c:pt>
                <c:pt idx="2815">
                  <c:v>41348</c:v>
                </c:pt>
                <c:pt idx="2816">
                  <c:v>41347</c:v>
                </c:pt>
                <c:pt idx="2817">
                  <c:v>41346</c:v>
                </c:pt>
                <c:pt idx="2818">
                  <c:v>41345</c:v>
                </c:pt>
                <c:pt idx="2819">
                  <c:v>41344</c:v>
                </c:pt>
                <c:pt idx="2820">
                  <c:v>41341</c:v>
                </c:pt>
                <c:pt idx="2821">
                  <c:v>41340</c:v>
                </c:pt>
                <c:pt idx="2822">
                  <c:v>41339</c:v>
                </c:pt>
                <c:pt idx="2823">
                  <c:v>41338</c:v>
                </c:pt>
                <c:pt idx="2824">
                  <c:v>41337</c:v>
                </c:pt>
                <c:pt idx="2825">
                  <c:v>41334</c:v>
                </c:pt>
                <c:pt idx="2826">
                  <c:v>41333</c:v>
                </c:pt>
                <c:pt idx="2827">
                  <c:v>41332</c:v>
                </c:pt>
                <c:pt idx="2828">
                  <c:v>41331</c:v>
                </c:pt>
                <c:pt idx="2829">
                  <c:v>41330</c:v>
                </c:pt>
                <c:pt idx="2830">
                  <c:v>41327</c:v>
                </c:pt>
                <c:pt idx="2831">
                  <c:v>41326</c:v>
                </c:pt>
                <c:pt idx="2832">
                  <c:v>41325</c:v>
                </c:pt>
                <c:pt idx="2833">
                  <c:v>41324</c:v>
                </c:pt>
                <c:pt idx="2834">
                  <c:v>41323</c:v>
                </c:pt>
                <c:pt idx="2835">
                  <c:v>41320</c:v>
                </c:pt>
                <c:pt idx="2836">
                  <c:v>41319</c:v>
                </c:pt>
                <c:pt idx="2837">
                  <c:v>41318</c:v>
                </c:pt>
                <c:pt idx="2838">
                  <c:v>41317</c:v>
                </c:pt>
                <c:pt idx="2839">
                  <c:v>41316</c:v>
                </c:pt>
                <c:pt idx="2840">
                  <c:v>41313</c:v>
                </c:pt>
                <c:pt idx="2841">
                  <c:v>41312</c:v>
                </c:pt>
                <c:pt idx="2842">
                  <c:v>41311</c:v>
                </c:pt>
                <c:pt idx="2843">
                  <c:v>41310</c:v>
                </c:pt>
                <c:pt idx="2844">
                  <c:v>41309</c:v>
                </c:pt>
                <c:pt idx="2845">
                  <c:v>41306</c:v>
                </c:pt>
                <c:pt idx="2846">
                  <c:v>41305</c:v>
                </c:pt>
                <c:pt idx="2847">
                  <c:v>41304</c:v>
                </c:pt>
                <c:pt idx="2848">
                  <c:v>41303</c:v>
                </c:pt>
                <c:pt idx="2849">
                  <c:v>41302</c:v>
                </c:pt>
                <c:pt idx="2850">
                  <c:v>41299</c:v>
                </c:pt>
                <c:pt idx="2851">
                  <c:v>41298</c:v>
                </c:pt>
                <c:pt idx="2852">
                  <c:v>41297</c:v>
                </c:pt>
                <c:pt idx="2853">
                  <c:v>41296</c:v>
                </c:pt>
                <c:pt idx="2854">
                  <c:v>41295</c:v>
                </c:pt>
                <c:pt idx="2855">
                  <c:v>41292</c:v>
                </c:pt>
                <c:pt idx="2856">
                  <c:v>41291</c:v>
                </c:pt>
                <c:pt idx="2857">
                  <c:v>41290</c:v>
                </c:pt>
                <c:pt idx="2858">
                  <c:v>41289</c:v>
                </c:pt>
                <c:pt idx="2859">
                  <c:v>41288</c:v>
                </c:pt>
                <c:pt idx="2860">
                  <c:v>41285</c:v>
                </c:pt>
                <c:pt idx="2861">
                  <c:v>41284</c:v>
                </c:pt>
                <c:pt idx="2862">
                  <c:v>41283</c:v>
                </c:pt>
                <c:pt idx="2863">
                  <c:v>41282</c:v>
                </c:pt>
                <c:pt idx="2864">
                  <c:v>41281</c:v>
                </c:pt>
                <c:pt idx="2865">
                  <c:v>41278</c:v>
                </c:pt>
                <c:pt idx="2866">
                  <c:v>41277</c:v>
                </c:pt>
                <c:pt idx="2867">
                  <c:v>41276</c:v>
                </c:pt>
                <c:pt idx="2868">
                  <c:v>41275</c:v>
                </c:pt>
                <c:pt idx="2869">
                  <c:v>41274</c:v>
                </c:pt>
                <c:pt idx="2870">
                  <c:v>41271</c:v>
                </c:pt>
                <c:pt idx="2871">
                  <c:v>41270</c:v>
                </c:pt>
                <c:pt idx="2872">
                  <c:v>41269</c:v>
                </c:pt>
                <c:pt idx="2873">
                  <c:v>41268</c:v>
                </c:pt>
                <c:pt idx="2874">
                  <c:v>41267</c:v>
                </c:pt>
                <c:pt idx="2875">
                  <c:v>41264</c:v>
                </c:pt>
                <c:pt idx="2876">
                  <c:v>41263</c:v>
                </c:pt>
                <c:pt idx="2877">
                  <c:v>41262</c:v>
                </c:pt>
                <c:pt idx="2878">
                  <c:v>41261</c:v>
                </c:pt>
                <c:pt idx="2879">
                  <c:v>41260</c:v>
                </c:pt>
                <c:pt idx="2880">
                  <c:v>41257</c:v>
                </c:pt>
                <c:pt idx="2881">
                  <c:v>41256</c:v>
                </c:pt>
                <c:pt idx="2882">
                  <c:v>41255</c:v>
                </c:pt>
                <c:pt idx="2883">
                  <c:v>41254</c:v>
                </c:pt>
                <c:pt idx="2884">
                  <c:v>41253</c:v>
                </c:pt>
                <c:pt idx="2885">
                  <c:v>41250</c:v>
                </c:pt>
                <c:pt idx="2886">
                  <c:v>41249</c:v>
                </c:pt>
                <c:pt idx="2887">
                  <c:v>41248</c:v>
                </c:pt>
                <c:pt idx="2888">
                  <c:v>41247</c:v>
                </c:pt>
                <c:pt idx="2889">
                  <c:v>41246</c:v>
                </c:pt>
                <c:pt idx="2890">
                  <c:v>41243</c:v>
                </c:pt>
                <c:pt idx="2891">
                  <c:v>41242</c:v>
                </c:pt>
                <c:pt idx="2892">
                  <c:v>41241</c:v>
                </c:pt>
                <c:pt idx="2893">
                  <c:v>41240</c:v>
                </c:pt>
                <c:pt idx="2894">
                  <c:v>41239</c:v>
                </c:pt>
                <c:pt idx="2895">
                  <c:v>41236</c:v>
                </c:pt>
                <c:pt idx="2896">
                  <c:v>41235</c:v>
                </c:pt>
                <c:pt idx="2897">
                  <c:v>41234</c:v>
                </c:pt>
                <c:pt idx="2898">
                  <c:v>41233</c:v>
                </c:pt>
                <c:pt idx="2899">
                  <c:v>41232</c:v>
                </c:pt>
                <c:pt idx="2900">
                  <c:v>41229</c:v>
                </c:pt>
                <c:pt idx="2901">
                  <c:v>41228</c:v>
                </c:pt>
                <c:pt idx="2902">
                  <c:v>41227</c:v>
                </c:pt>
                <c:pt idx="2903">
                  <c:v>41226</c:v>
                </c:pt>
                <c:pt idx="2904">
                  <c:v>41225</c:v>
                </c:pt>
                <c:pt idx="2905">
                  <c:v>41222</c:v>
                </c:pt>
                <c:pt idx="2906">
                  <c:v>41221</c:v>
                </c:pt>
                <c:pt idx="2907">
                  <c:v>41220</c:v>
                </c:pt>
                <c:pt idx="2908">
                  <c:v>41219</c:v>
                </c:pt>
                <c:pt idx="2909">
                  <c:v>41218</c:v>
                </c:pt>
                <c:pt idx="2910">
                  <c:v>41215</c:v>
                </c:pt>
                <c:pt idx="2911">
                  <c:v>41214</c:v>
                </c:pt>
                <c:pt idx="2912">
                  <c:v>41213</c:v>
                </c:pt>
                <c:pt idx="2913">
                  <c:v>41212</c:v>
                </c:pt>
                <c:pt idx="2914">
                  <c:v>41211</c:v>
                </c:pt>
                <c:pt idx="2915">
                  <c:v>41208</c:v>
                </c:pt>
                <c:pt idx="2916">
                  <c:v>41207</c:v>
                </c:pt>
                <c:pt idx="2917">
                  <c:v>41206</c:v>
                </c:pt>
                <c:pt idx="2918">
                  <c:v>41205</c:v>
                </c:pt>
                <c:pt idx="2919">
                  <c:v>41204</c:v>
                </c:pt>
                <c:pt idx="2920">
                  <c:v>41201</c:v>
                </c:pt>
                <c:pt idx="2921">
                  <c:v>41200</c:v>
                </c:pt>
                <c:pt idx="2922">
                  <c:v>41199</c:v>
                </c:pt>
                <c:pt idx="2923">
                  <c:v>41198</c:v>
                </c:pt>
                <c:pt idx="2924">
                  <c:v>41197</c:v>
                </c:pt>
                <c:pt idx="2925">
                  <c:v>41194</c:v>
                </c:pt>
                <c:pt idx="2926">
                  <c:v>41193</c:v>
                </c:pt>
                <c:pt idx="2927">
                  <c:v>41192</c:v>
                </c:pt>
                <c:pt idx="2928">
                  <c:v>41191</c:v>
                </c:pt>
                <c:pt idx="2929">
                  <c:v>41190</c:v>
                </c:pt>
                <c:pt idx="2930">
                  <c:v>41187</c:v>
                </c:pt>
                <c:pt idx="2931">
                  <c:v>41186</c:v>
                </c:pt>
                <c:pt idx="2932">
                  <c:v>41185</c:v>
                </c:pt>
                <c:pt idx="2933">
                  <c:v>41184</c:v>
                </c:pt>
                <c:pt idx="2934">
                  <c:v>41183</c:v>
                </c:pt>
                <c:pt idx="2935">
                  <c:v>41180</c:v>
                </c:pt>
                <c:pt idx="2936">
                  <c:v>41179</c:v>
                </c:pt>
                <c:pt idx="2937">
                  <c:v>41178</c:v>
                </c:pt>
                <c:pt idx="2938">
                  <c:v>41177</c:v>
                </c:pt>
                <c:pt idx="2939">
                  <c:v>41176</c:v>
                </c:pt>
                <c:pt idx="2940">
                  <c:v>41173</c:v>
                </c:pt>
                <c:pt idx="2941">
                  <c:v>41172</c:v>
                </c:pt>
                <c:pt idx="2942">
                  <c:v>41171</c:v>
                </c:pt>
                <c:pt idx="2943">
                  <c:v>41170</c:v>
                </c:pt>
                <c:pt idx="2944">
                  <c:v>41169</c:v>
                </c:pt>
                <c:pt idx="2945">
                  <c:v>41166</c:v>
                </c:pt>
                <c:pt idx="2946">
                  <c:v>41165</c:v>
                </c:pt>
                <c:pt idx="2947">
                  <c:v>41164</c:v>
                </c:pt>
                <c:pt idx="2948">
                  <c:v>41163</c:v>
                </c:pt>
                <c:pt idx="2949">
                  <c:v>41162</c:v>
                </c:pt>
                <c:pt idx="2950">
                  <c:v>41159</c:v>
                </c:pt>
                <c:pt idx="2951">
                  <c:v>41158</c:v>
                </c:pt>
                <c:pt idx="2952">
                  <c:v>41157</c:v>
                </c:pt>
                <c:pt idx="2953">
                  <c:v>41156</c:v>
                </c:pt>
                <c:pt idx="2954">
                  <c:v>41155</c:v>
                </c:pt>
                <c:pt idx="2955">
                  <c:v>41152</c:v>
                </c:pt>
                <c:pt idx="2956">
                  <c:v>41151</c:v>
                </c:pt>
                <c:pt idx="2957">
                  <c:v>41150</c:v>
                </c:pt>
                <c:pt idx="2958">
                  <c:v>41149</c:v>
                </c:pt>
                <c:pt idx="2959">
                  <c:v>41148</c:v>
                </c:pt>
                <c:pt idx="2960">
                  <c:v>41145</c:v>
                </c:pt>
                <c:pt idx="2961">
                  <c:v>41144</c:v>
                </c:pt>
                <c:pt idx="2962">
                  <c:v>41143</c:v>
                </c:pt>
                <c:pt idx="2963">
                  <c:v>41142</c:v>
                </c:pt>
                <c:pt idx="2964">
                  <c:v>41141</c:v>
                </c:pt>
                <c:pt idx="2965">
                  <c:v>41138</c:v>
                </c:pt>
                <c:pt idx="2966">
                  <c:v>41137</c:v>
                </c:pt>
                <c:pt idx="2967">
                  <c:v>41136</c:v>
                </c:pt>
                <c:pt idx="2968">
                  <c:v>41135</c:v>
                </c:pt>
                <c:pt idx="2969">
                  <c:v>41134</c:v>
                </c:pt>
                <c:pt idx="2970">
                  <c:v>41131</c:v>
                </c:pt>
                <c:pt idx="2971">
                  <c:v>41130</c:v>
                </c:pt>
                <c:pt idx="2972">
                  <c:v>41129</c:v>
                </c:pt>
                <c:pt idx="2973">
                  <c:v>41128</c:v>
                </c:pt>
                <c:pt idx="2974">
                  <c:v>41127</c:v>
                </c:pt>
                <c:pt idx="2975">
                  <c:v>41124</c:v>
                </c:pt>
                <c:pt idx="2976">
                  <c:v>41123</c:v>
                </c:pt>
                <c:pt idx="2977">
                  <c:v>41122</c:v>
                </c:pt>
                <c:pt idx="2978">
                  <c:v>41121</c:v>
                </c:pt>
                <c:pt idx="2979">
                  <c:v>41120</c:v>
                </c:pt>
                <c:pt idx="2980">
                  <c:v>41117</c:v>
                </c:pt>
                <c:pt idx="2981">
                  <c:v>41116</c:v>
                </c:pt>
                <c:pt idx="2982">
                  <c:v>41115</c:v>
                </c:pt>
                <c:pt idx="2983">
                  <c:v>41114</c:v>
                </c:pt>
                <c:pt idx="2984">
                  <c:v>41113</c:v>
                </c:pt>
                <c:pt idx="2985">
                  <c:v>41110</c:v>
                </c:pt>
                <c:pt idx="2986">
                  <c:v>41109</c:v>
                </c:pt>
                <c:pt idx="2987">
                  <c:v>41108</c:v>
                </c:pt>
                <c:pt idx="2988">
                  <c:v>41107</c:v>
                </c:pt>
                <c:pt idx="2989">
                  <c:v>41106</c:v>
                </c:pt>
                <c:pt idx="2990">
                  <c:v>41103</c:v>
                </c:pt>
                <c:pt idx="2991">
                  <c:v>41102</c:v>
                </c:pt>
                <c:pt idx="2992">
                  <c:v>41101</c:v>
                </c:pt>
                <c:pt idx="2993">
                  <c:v>41100</c:v>
                </c:pt>
                <c:pt idx="2994">
                  <c:v>41099</c:v>
                </c:pt>
                <c:pt idx="2995">
                  <c:v>41096</c:v>
                </c:pt>
                <c:pt idx="2996">
                  <c:v>41095</c:v>
                </c:pt>
                <c:pt idx="2997">
                  <c:v>41094</c:v>
                </c:pt>
                <c:pt idx="2998">
                  <c:v>41093</c:v>
                </c:pt>
                <c:pt idx="2999">
                  <c:v>41092</c:v>
                </c:pt>
                <c:pt idx="3000">
                  <c:v>41089</c:v>
                </c:pt>
                <c:pt idx="3001">
                  <c:v>41088</c:v>
                </c:pt>
                <c:pt idx="3002">
                  <c:v>41087</c:v>
                </c:pt>
                <c:pt idx="3003">
                  <c:v>41086</c:v>
                </c:pt>
                <c:pt idx="3004">
                  <c:v>41085</c:v>
                </c:pt>
                <c:pt idx="3005">
                  <c:v>41082</c:v>
                </c:pt>
                <c:pt idx="3006">
                  <c:v>41081</c:v>
                </c:pt>
                <c:pt idx="3007">
                  <c:v>41080</c:v>
                </c:pt>
                <c:pt idx="3008">
                  <c:v>41079</c:v>
                </c:pt>
                <c:pt idx="3009">
                  <c:v>41078</c:v>
                </c:pt>
                <c:pt idx="3010">
                  <c:v>41075</c:v>
                </c:pt>
                <c:pt idx="3011">
                  <c:v>41074</c:v>
                </c:pt>
                <c:pt idx="3012">
                  <c:v>41073</c:v>
                </c:pt>
                <c:pt idx="3013">
                  <c:v>41072</c:v>
                </c:pt>
                <c:pt idx="3014">
                  <c:v>41071</c:v>
                </c:pt>
                <c:pt idx="3015">
                  <c:v>41068</c:v>
                </c:pt>
                <c:pt idx="3016">
                  <c:v>41067</c:v>
                </c:pt>
                <c:pt idx="3017">
                  <c:v>41066</c:v>
                </c:pt>
                <c:pt idx="3018">
                  <c:v>41065</c:v>
                </c:pt>
                <c:pt idx="3019">
                  <c:v>41064</c:v>
                </c:pt>
                <c:pt idx="3020">
                  <c:v>41061</c:v>
                </c:pt>
                <c:pt idx="3021">
                  <c:v>41060</c:v>
                </c:pt>
                <c:pt idx="3022">
                  <c:v>41059</c:v>
                </c:pt>
                <c:pt idx="3023">
                  <c:v>41058</c:v>
                </c:pt>
                <c:pt idx="3024">
                  <c:v>41057</c:v>
                </c:pt>
                <c:pt idx="3025">
                  <c:v>41054</c:v>
                </c:pt>
                <c:pt idx="3026">
                  <c:v>41053</c:v>
                </c:pt>
                <c:pt idx="3027">
                  <c:v>41052</c:v>
                </c:pt>
                <c:pt idx="3028">
                  <c:v>41051</c:v>
                </c:pt>
                <c:pt idx="3029">
                  <c:v>41050</c:v>
                </c:pt>
                <c:pt idx="3030">
                  <c:v>41047</c:v>
                </c:pt>
                <c:pt idx="3031">
                  <c:v>41046</c:v>
                </c:pt>
                <c:pt idx="3032">
                  <c:v>41045</c:v>
                </c:pt>
                <c:pt idx="3033">
                  <c:v>41044</c:v>
                </c:pt>
                <c:pt idx="3034">
                  <c:v>41043</c:v>
                </c:pt>
                <c:pt idx="3035">
                  <c:v>41040</c:v>
                </c:pt>
                <c:pt idx="3036">
                  <c:v>41039</c:v>
                </c:pt>
                <c:pt idx="3037">
                  <c:v>41038</c:v>
                </c:pt>
                <c:pt idx="3038">
                  <c:v>41037</c:v>
                </c:pt>
                <c:pt idx="3039">
                  <c:v>41036</c:v>
                </c:pt>
                <c:pt idx="3040">
                  <c:v>41033</c:v>
                </c:pt>
                <c:pt idx="3041">
                  <c:v>41032</c:v>
                </c:pt>
                <c:pt idx="3042">
                  <c:v>41031</c:v>
                </c:pt>
                <c:pt idx="3043">
                  <c:v>41030</c:v>
                </c:pt>
                <c:pt idx="3044">
                  <c:v>41029</c:v>
                </c:pt>
                <c:pt idx="3045">
                  <c:v>41026</c:v>
                </c:pt>
                <c:pt idx="3046">
                  <c:v>41025</c:v>
                </c:pt>
                <c:pt idx="3047">
                  <c:v>41024</c:v>
                </c:pt>
                <c:pt idx="3048">
                  <c:v>41023</c:v>
                </c:pt>
                <c:pt idx="3049">
                  <c:v>41022</c:v>
                </c:pt>
                <c:pt idx="3050">
                  <c:v>41019</c:v>
                </c:pt>
                <c:pt idx="3051">
                  <c:v>41018</c:v>
                </c:pt>
                <c:pt idx="3052">
                  <c:v>41017</c:v>
                </c:pt>
                <c:pt idx="3053">
                  <c:v>41016</c:v>
                </c:pt>
                <c:pt idx="3054">
                  <c:v>41015</c:v>
                </c:pt>
                <c:pt idx="3055">
                  <c:v>41012</c:v>
                </c:pt>
                <c:pt idx="3056">
                  <c:v>41011</c:v>
                </c:pt>
                <c:pt idx="3057">
                  <c:v>41010</c:v>
                </c:pt>
                <c:pt idx="3058">
                  <c:v>41009</c:v>
                </c:pt>
                <c:pt idx="3059">
                  <c:v>41008</c:v>
                </c:pt>
                <c:pt idx="3060">
                  <c:v>41005</c:v>
                </c:pt>
                <c:pt idx="3061">
                  <c:v>41004</c:v>
                </c:pt>
                <c:pt idx="3062">
                  <c:v>41003</c:v>
                </c:pt>
                <c:pt idx="3063">
                  <c:v>41002</c:v>
                </c:pt>
                <c:pt idx="3064">
                  <c:v>41001</c:v>
                </c:pt>
                <c:pt idx="3065">
                  <c:v>40998</c:v>
                </c:pt>
                <c:pt idx="3066">
                  <c:v>40997</c:v>
                </c:pt>
                <c:pt idx="3067">
                  <c:v>40996</c:v>
                </c:pt>
                <c:pt idx="3068">
                  <c:v>40995</c:v>
                </c:pt>
                <c:pt idx="3069">
                  <c:v>40994</c:v>
                </c:pt>
                <c:pt idx="3070">
                  <c:v>40991</c:v>
                </c:pt>
                <c:pt idx="3071">
                  <c:v>40990</c:v>
                </c:pt>
                <c:pt idx="3072">
                  <c:v>40989</c:v>
                </c:pt>
                <c:pt idx="3073">
                  <c:v>40988</c:v>
                </c:pt>
                <c:pt idx="3074">
                  <c:v>40987</c:v>
                </c:pt>
                <c:pt idx="3075">
                  <c:v>40984</c:v>
                </c:pt>
                <c:pt idx="3076">
                  <c:v>40983</c:v>
                </c:pt>
                <c:pt idx="3077">
                  <c:v>40982</c:v>
                </c:pt>
                <c:pt idx="3078">
                  <c:v>40981</c:v>
                </c:pt>
                <c:pt idx="3079">
                  <c:v>40980</c:v>
                </c:pt>
                <c:pt idx="3080">
                  <c:v>40977</c:v>
                </c:pt>
                <c:pt idx="3081">
                  <c:v>40976</c:v>
                </c:pt>
                <c:pt idx="3082">
                  <c:v>40975</c:v>
                </c:pt>
                <c:pt idx="3083">
                  <c:v>40974</c:v>
                </c:pt>
                <c:pt idx="3084">
                  <c:v>40973</c:v>
                </c:pt>
                <c:pt idx="3085">
                  <c:v>40970</c:v>
                </c:pt>
                <c:pt idx="3086">
                  <c:v>40969</c:v>
                </c:pt>
                <c:pt idx="3087">
                  <c:v>40968</c:v>
                </c:pt>
                <c:pt idx="3088">
                  <c:v>40967</c:v>
                </c:pt>
                <c:pt idx="3089">
                  <c:v>40966</c:v>
                </c:pt>
                <c:pt idx="3090">
                  <c:v>40963</c:v>
                </c:pt>
                <c:pt idx="3091">
                  <c:v>40962</c:v>
                </c:pt>
                <c:pt idx="3092">
                  <c:v>40961</c:v>
                </c:pt>
                <c:pt idx="3093">
                  <c:v>40960</c:v>
                </c:pt>
                <c:pt idx="3094">
                  <c:v>40959</c:v>
                </c:pt>
                <c:pt idx="3095">
                  <c:v>40956</c:v>
                </c:pt>
                <c:pt idx="3096">
                  <c:v>40955</c:v>
                </c:pt>
                <c:pt idx="3097">
                  <c:v>40954</c:v>
                </c:pt>
                <c:pt idx="3098">
                  <c:v>40953</c:v>
                </c:pt>
                <c:pt idx="3099">
                  <c:v>40952</c:v>
                </c:pt>
                <c:pt idx="3100">
                  <c:v>40949</c:v>
                </c:pt>
                <c:pt idx="3101">
                  <c:v>40948</c:v>
                </c:pt>
                <c:pt idx="3102">
                  <c:v>40947</c:v>
                </c:pt>
                <c:pt idx="3103">
                  <c:v>40946</c:v>
                </c:pt>
                <c:pt idx="3104">
                  <c:v>40945</c:v>
                </c:pt>
                <c:pt idx="3105">
                  <c:v>40942</c:v>
                </c:pt>
                <c:pt idx="3106">
                  <c:v>40941</c:v>
                </c:pt>
                <c:pt idx="3107">
                  <c:v>40940</c:v>
                </c:pt>
                <c:pt idx="3108">
                  <c:v>40939</c:v>
                </c:pt>
                <c:pt idx="3109">
                  <c:v>40938</c:v>
                </c:pt>
                <c:pt idx="3110">
                  <c:v>40935</c:v>
                </c:pt>
                <c:pt idx="3111">
                  <c:v>40934</c:v>
                </c:pt>
                <c:pt idx="3112">
                  <c:v>40933</c:v>
                </c:pt>
                <c:pt idx="3113">
                  <c:v>40932</c:v>
                </c:pt>
                <c:pt idx="3114">
                  <c:v>40931</c:v>
                </c:pt>
                <c:pt idx="3115">
                  <c:v>40928</c:v>
                </c:pt>
                <c:pt idx="3116">
                  <c:v>40927</c:v>
                </c:pt>
                <c:pt idx="3117">
                  <c:v>40926</c:v>
                </c:pt>
                <c:pt idx="3118">
                  <c:v>40925</c:v>
                </c:pt>
                <c:pt idx="3119">
                  <c:v>40924</c:v>
                </c:pt>
                <c:pt idx="3120">
                  <c:v>40921</c:v>
                </c:pt>
                <c:pt idx="3121">
                  <c:v>40920</c:v>
                </c:pt>
                <c:pt idx="3122">
                  <c:v>40919</c:v>
                </c:pt>
                <c:pt idx="3123">
                  <c:v>40918</c:v>
                </c:pt>
                <c:pt idx="3124">
                  <c:v>40917</c:v>
                </c:pt>
                <c:pt idx="3125">
                  <c:v>40914</c:v>
                </c:pt>
                <c:pt idx="3126">
                  <c:v>40913</c:v>
                </c:pt>
                <c:pt idx="3127">
                  <c:v>40912</c:v>
                </c:pt>
                <c:pt idx="3128">
                  <c:v>40911</c:v>
                </c:pt>
                <c:pt idx="3129">
                  <c:v>40910</c:v>
                </c:pt>
                <c:pt idx="3130">
                  <c:v>40907</c:v>
                </c:pt>
                <c:pt idx="3131">
                  <c:v>40906</c:v>
                </c:pt>
                <c:pt idx="3132">
                  <c:v>40905</c:v>
                </c:pt>
                <c:pt idx="3133">
                  <c:v>40904</c:v>
                </c:pt>
                <c:pt idx="3134">
                  <c:v>40903</c:v>
                </c:pt>
                <c:pt idx="3135">
                  <c:v>40900</c:v>
                </c:pt>
                <c:pt idx="3136">
                  <c:v>40899</c:v>
                </c:pt>
                <c:pt idx="3137">
                  <c:v>40898</c:v>
                </c:pt>
                <c:pt idx="3138">
                  <c:v>40897</c:v>
                </c:pt>
                <c:pt idx="3139">
                  <c:v>40896</c:v>
                </c:pt>
                <c:pt idx="3140">
                  <c:v>40893</c:v>
                </c:pt>
                <c:pt idx="3141">
                  <c:v>40892</c:v>
                </c:pt>
                <c:pt idx="3142">
                  <c:v>40891</c:v>
                </c:pt>
                <c:pt idx="3143">
                  <c:v>40890</c:v>
                </c:pt>
                <c:pt idx="3144">
                  <c:v>40889</c:v>
                </c:pt>
                <c:pt idx="3145">
                  <c:v>40886</c:v>
                </c:pt>
                <c:pt idx="3146">
                  <c:v>40885</c:v>
                </c:pt>
                <c:pt idx="3147">
                  <c:v>40884</c:v>
                </c:pt>
                <c:pt idx="3148">
                  <c:v>40883</c:v>
                </c:pt>
                <c:pt idx="3149">
                  <c:v>40882</c:v>
                </c:pt>
                <c:pt idx="3150">
                  <c:v>40879</c:v>
                </c:pt>
                <c:pt idx="3151">
                  <c:v>40878</c:v>
                </c:pt>
                <c:pt idx="3152">
                  <c:v>40877</c:v>
                </c:pt>
                <c:pt idx="3153">
                  <c:v>40876</c:v>
                </c:pt>
                <c:pt idx="3154">
                  <c:v>40875</c:v>
                </c:pt>
                <c:pt idx="3155">
                  <c:v>40872</c:v>
                </c:pt>
                <c:pt idx="3156">
                  <c:v>40871</c:v>
                </c:pt>
                <c:pt idx="3157">
                  <c:v>40870</c:v>
                </c:pt>
                <c:pt idx="3158">
                  <c:v>40869</c:v>
                </c:pt>
                <c:pt idx="3159">
                  <c:v>40868</c:v>
                </c:pt>
                <c:pt idx="3160">
                  <c:v>40865</c:v>
                </c:pt>
                <c:pt idx="3161">
                  <c:v>40864</c:v>
                </c:pt>
                <c:pt idx="3162">
                  <c:v>40863</c:v>
                </c:pt>
                <c:pt idx="3163">
                  <c:v>40862</c:v>
                </c:pt>
                <c:pt idx="3164">
                  <c:v>40861</c:v>
                </c:pt>
                <c:pt idx="3165">
                  <c:v>40858</c:v>
                </c:pt>
                <c:pt idx="3166">
                  <c:v>40857</c:v>
                </c:pt>
                <c:pt idx="3167">
                  <c:v>40856</c:v>
                </c:pt>
                <c:pt idx="3168">
                  <c:v>40855</c:v>
                </c:pt>
                <c:pt idx="3169">
                  <c:v>40854</c:v>
                </c:pt>
                <c:pt idx="3170">
                  <c:v>40851</c:v>
                </c:pt>
                <c:pt idx="3171">
                  <c:v>40850</c:v>
                </c:pt>
                <c:pt idx="3172">
                  <c:v>40849</c:v>
                </c:pt>
                <c:pt idx="3173">
                  <c:v>40848</c:v>
                </c:pt>
                <c:pt idx="3174">
                  <c:v>40847</c:v>
                </c:pt>
                <c:pt idx="3175">
                  <c:v>40844</c:v>
                </c:pt>
                <c:pt idx="3176">
                  <c:v>40843</c:v>
                </c:pt>
                <c:pt idx="3177">
                  <c:v>40842</c:v>
                </c:pt>
                <c:pt idx="3178">
                  <c:v>40841</c:v>
                </c:pt>
                <c:pt idx="3179">
                  <c:v>40840</c:v>
                </c:pt>
                <c:pt idx="3180">
                  <c:v>40837</c:v>
                </c:pt>
                <c:pt idx="3181">
                  <c:v>40836</c:v>
                </c:pt>
                <c:pt idx="3182">
                  <c:v>40835</c:v>
                </c:pt>
                <c:pt idx="3183">
                  <c:v>40834</c:v>
                </c:pt>
                <c:pt idx="3184">
                  <c:v>40833</c:v>
                </c:pt>
                <c:pt idx="3185">
                  <c:v>40830</c:v>
                </c:pt>
                <c:pt idx="3186">
                  <c:v>40829</c:v>
                </c:pt>
                <c:pt idx="3187">
                  <c:v>40828</c:v>
                </c:pt>
                <c:pt idx="3188">
                  <c:v>40827</c:v>
                </c:pt>
                <c:pt idx="3189">
                  <c:v>40826</c:v>
                </c:pt>
                <c:pt idx="3190">
                  <c:v>40823</c:v>
                </c:pt>
                <c:pt idx="3191">
                  <c:v>40822</c:v>
                </c:pt>
                <c:pt idx="3192">
                  <c:v>40821</c:v>
                </c:pt>
                <c:pt idx="3193">
                  <c:v>40820</c:v>
                </c:pt>
                <c:pt idx="3194">
                  <c:v>40819</c:v>
                </c:pt>
                <c:pt idx="3195">
                  <c:v>40816</c:v>
                </c:pt>
                <c:pt idx="3196">
                  <c:v>40815</c:v>
                </c:pt>
                <c:pt idx="3197">
                  <c:v>40814</c:v>
                </c:pt>
                <c:pt idx="3198">
                  <c:v>40813</c:v>
                </c:pt>
                <c:pt idx="3199">
                  <c:v>40812</c:v>
                </c:pt>
                <c:pt idx="3200">
                  <c:v>40809</c:v>
                </c:pt>
                <c:pt idx="3201">
                  <c:v>40808</c:v>
                </c:pt>
                <c:pt idx="3202">
                  <c:v>40807</c:v>
                </c:pt>
                <c:pt idx="3203">
                  <c:v>40806</c:v>
                </c:pt>
                <c:pt idx="3204">
                  <c:v>40805</c:v>
                </c:pt>
                <c:pt idx="3205">
                  <c:v>40802</c:v>
                </c:pt>
                <c:pt idx="3206">
                  <c:v>40801</c:v>
                </c:pt>
                <c:pt idx="3207">
                  <c:v>40800</c:v>
                </c:pt>
                <c:pt idx="3208">
                  <c:v>40799</c:v>
                </c:pt>
                <c:pt idx="3209">
                  <c:v>40798</c:v>
                </c:pt>
                <c:pt idx="3210">
                  <c:v>40795</c:v>
                </c:pt>
                <c:pt idx="3211">
                  <c:v>40794</c:v>
                </c:pt>
                <c:pt idx="3212">
                  <c:v>40793</c:v>
                </c:pt>
                <c:pt idx="3213">
                  <c:v>40792</c:v>
                </c:pt>
                <c:pt idx="3214">
                  <c:v>40791</c:v>
                </c:pt>
                <c:pt idx="3215">
                  <c:v>40788</c:v>
                </c:pt>
                <c:pt idx="3216">
                  <c:v>40787</c:v>
                </c:pt>
                <c:pt idx="3217">
                  <c:v>40786</c:v>
                </c:pt>
                <c:pt idx="3218">
                  <c:v>40785</c:v>
                </c:pt>
                <c:pt idx="3219">
                  <c:v>40784</c:v>
                </c:pt>
                <c:pt idx="3220">
                  <c:v>40781</c:v>
                </c:pt>
                <c:pt idx="3221">
                  <c:v>40780</c:v>
                </c:pt>
                <c:pt idx="3222">
                  <c:v>40779</c:v>
                </c:pt>
                <c:pt idx="3223">
                  <c:v>40778</c:v>
                </c:pt>
                <c:pt idx="3224">
                  <c:v>40777</c:v>
                </c:pt>
                <c:pt idx="3225">
                  <c:v>40774</c:v>
                </c:pt>
                <c:pt idx="3226">
                  <c:v>40773</c:v>
                </c:pt>
                <c:pt idx="3227">
                  <c:v>40772</c:v>
                </c:pt>
                <c:pt idx="3228">
                  <c:v>40771</c:v>
                </c:pt>
                <c:pt idx="3229">
                  <c:v>40770</c:v>
                </c:pt>
                <c:pt idx="3230">
                  <c:v>40767</c:v>
                </c:pt>
                <c:pt idx="3231">
                  <c:v>40766</c:v>
                </c:pt>
                <c:pt idx="3232">
                  <c:v>40765</c:v>
                </c:pt>
                <c:pt idx="3233">
                  <c:v>40764</c:v>
                </c:pt>
                <c:pt idx="3234">
                  <c:v>40763</c:v>
                </c:pt>
                <c:pt idx="3235">
                  <c:v>40760</c:v>
                </c:pt>
                <c:pt idx="3236">
                  <c:v>40759</c:v>
                </c:pt>
                <c:pt idx="3237">
                  <c:v>40758</c:v>
                </c:pt>
                <c:pt idx="3238">
                  <c:v>40757</c:v>
                </c:pt>
                <c:pt idx="3239">
                  <c:v>40756</c:v>
                </c:pt>
                <c:pt idx="3240">
                  <c:v>40753</c:v>
                </c:pt>
                <c:pt idx="3241">
                  <c:v>40752</c:v>
                </c:pt>
                <c:pt idx="3242">
                  <c:v>40751</c:v>
                </c:pt>
                <c:pt idx="3243">
                  <c:v>40750</c:v>
                </c:pt>
                <c:pt idx="3244">
                  <c:v>40749</c:v>
                </c:pt>
                <c:pt idx="3245">
                  <c:v>40746</c:v>
                </c:pt>
                <c:pt idx="3246">
                  <c:v>40745</c:v>
                </c:pt>
                <c:pt idx="3247">
                  <c:v>40744</c:v>
                </c:pt>
                <c:pt idx="3248">
                  <c:v>40743</c:v>
                </c:pt>
                <c:pt idx="3249">
                  <c:v>40742</c:v>
                </c:pt>
                <c:pt idx="3250">
                  <c:v>40739</c:v>
                </c:pt>
                <c:pt idx="3251">
                  <c:v>40738</c:v>
                </c:pt>
                <c:pt idx="3252">
                  <c:v>40737</c:v>
                </c:pt>
                <c:pt idx="3253">
                  <c:v>40736</c:v>
                </c:pt>
                <c:pt idx="3254">
                  <c:v>40735</c:v>
                </c:pt>
                <c:pt idx="3255">
                  <c:v>40732</c:v>
                </c:pt>
                <c:pt idx="3256">
                  <c:v>40731</c:v>
                </c:pt>
                <c:pt idx="3257">
                  <c:v>40730</c:v>
                </c:pt>
                <c:pt idx="3258">
                  <c:v>40729</c:v>
                </c:pt>
                <c:pt idx="3259">
                  <c:v>40728</c:v>
                </c:pt>
                <c:pt idx="3260">
                  <c:v>40725</c:v>
                </c:pt>
                <c:pt idx="3261">
                  <c:v>40724</c:v>
                </c:pt>
                <c:pt idx="3262">
                  <c:v>40723</c:v>
                </c:pt>
                <c:pt idx="3263">
                  <c:v>40722</c:v>
                </c:pt>
                <c:pt idx="3264">
                  <c:v>40721</c:v>
                </c:pt>
                <c:pt idx="3265">
                  <c:v>40718</c:v>
                </c:pt>
                <c:pt idx="3266">
                  <c:v>40717</c:v>
                </c:pt>
                <c:pt idx="3267">
                  <c:v>40716</c:v>
                </c:pt>
                <c:pt idx="3268">
                  <c:v>40715</c:v>
                </c:pt>
                <c:pt idx="3269">
                  <c:v>40714</c:v>
                </c:pt>
                <c:pt idx="3270">
                  <c:v>40711</c:v>
                </c:pt>
                <c:pt idx="3271">
                  <c:v>40710</c:v>
                </c:pt>
                <c:pt idx="3272">
                  <c:v>40709</c:v>
                </c:pt>
                <c:pt idx="3273">
                  <c:v>40708</c:v>
                </c:pt>
                <c:pt idx="3274">
                  <c:v>40707</c:v>
                </c:pt>
                <c:pt idx="3275">
                  <c:v>40704</c:v>
                </c:pt>
                <c:pt idx="3276">
                  <c:v>40703</c:v>
                </c:pt>
                <c:pt idx="3277">
                  <c:v>40702</c:v>
                </c:pt>
                <c:pt idx="3278">
                  <c:v>40701</c:v>
                </c:pt>
                <c:pt idx="3279">
                  <c:v>40700</c:v>
                </c:pt>
                <c:pt idx="3280">
                  <c:v>40697</c:v>
                </c:pt>
                <c:pt idx="3281">
                  <c:v>40696</c:v>
                </c:pt>
                <c:pt idx="3282">
                  <c:v>40695</c:v>
                </c:pt>
                <c:pt idx="3283">
                  <c:v>40694</c:v>
                </c:pt>
                <c:pt idx="3284">
                  <c:v>40693</c:v>
                </c:pt>
                <c:pt idx="3285">
                  <c:v>40690</c:v>
                </c:pt>
                <c:pt idx="3286">
                  <c:v>40689</c:v>
                </c:pt>
                <c:pt idx="3287">
                  <c:v>40688</c:v>
                </c:pt>
                <c:pt idx="3288">
                  <c:v>40687</c:v>
                </c:pt>
                <c:pt idx="3289">
                  <c:v>40686</c:v>
                </c:pt>
                <c:pt idx="3290">
                  <c:v>40683</c:v>
                </c:pt>
                <c:pt idx="3291">
                  <c:v>40682</c:v>
                </c:pt>
                <c:pt idx="3292">
                  <c:v>40681</c:v>
                </c:pt>
                <c:pt idx="3293">
                  <c:v>40680</c:v>
                </c:pt>
                <c:pt idx="3294">
                  <c:v>40679</c:v>
                </c:pt>
                <c:pt idx="3295">
                  <c:v>40676</c:v>
                </c:pt>
                <c:pt idx="3296">
                  <c:v>40675</c:v>
                </c:pt>
                <c:pt idx="3297">
                  <c:v>40674</c:v>
                </c:pt>
                <c:pt idx="3298">
                  <c:v>40673</c:v>
                </c:pt>
                <c:pt idx="3299">
                  <c:v>40672</c:v>
                </c:pt>
                <c:pt idx="3300">
                  <c:v>40669</c:v>
                </c:pt>
                <c:pt idx="3301">
                  <c:v>40668</c:v>
                </c:pt>
                <c:pt idx="3302">
                  <c:v>40667</c:v>
                </c:pt>
                <c:pt idx="3303">
                  <c:v>40666</c:v>
                </c:pt>
                <c:pt idx="3304">
                  <c:v>40665</c:v>
                </c:pt>
                <c:pt idx="3305">
                  <c:v>40662</c:v>
                </c:pt>
                <c:pt idx="3306">
                  <c:v>40661</c:v>
                </c:pt>
                <c:pt idx="3307">
                  <c:v>40660</c:v>
                </c:pt>
                <c:pt idx="3308">
                  <c:v>40659</c:v>
                </c:pt>
                <c:pt idx="3309">
                  <c:v>40658</c:v>
                </c:pt>
                <c:pt idx="3310">
                  <c:v>40655</c:v>
                </c:pt>
                <c:pt idx="3311">
                  <c:v>40654</c:v>
                </c:pt>
                <c:pt idx="3312">
                  <c:v>40653</c:v>
                </c:pt>
                <c:pt idx="3313">
                  <c:v>40652</c:v>
                </c:pt>
                <c:pt idx="3314">
                  <c:v>40651</c:v>
                </c:pt>
                <c:pt idx="3315">
                  <c:v>40648</c:v>
                </c:pt>
                <c:pt idx="3316">
                  <c:v>40647</c:v>
                </c:pt>
                <c:pt idx="3317">
                  <c:v>40646</c:v>
                </c:pt>
                <c:pt idx="3318">
                  <c:v>40645</c:v>
                </c:pt>
                <c:pt idx="3319">
                  <c:v>40644</c:v>
                </c:pt>
                <c:pt idx="3320">
                  <c:v>40641</c:v>
                </c:pt>
                <c:pt idx="3321">
                  <c:v>40640</c:v>
                </c:pt>
                <c:pt idx="3322">
                  <c:v>40639</c:v>
                </c:pt>
                <c:pt idx="3323">
                  <c:v>40638</c:v>
                </c:pt>
                <c:pt idx="3324">
                  <c:v>40637</c:v>
                </c:pt>
                <c:pt idx="3325">
                  <c:v>40634</c:v>
                </c:pt>
                <c:pt idx="3326">
                  <c:v>40633</c:v>
                </c:pt>
                <c:pt idx="3327">
                  <c:v>40632</c:v>
                </c:pt>
                <c:pt idx="3328">
                  <c:v>40631</c:v>
                </c:pt>
                <c:pt idx="3329">
                  <c:v>40630</c:v>
                </c:pt>
                <c:pt idx="3330">
                  <c:v>40627</c:v>
                </c:pt>
                <c:pt idx="3331">
                  <c:v>40626</c:v>
                </c:pt>
                <c:pt idx="3332">
                  <c:v>40625</c:v>
                </c:pt>
                <c:pt idx="3333">
                  <c:v>40624</c:v>
                </c:pt>
                <c:pt idx="3334">
                  <c:v>40623</c:v>
                </c:pt>
                <c:pt idx="3335">
                  <c:v>40620</c:v>
                </c:pt>
                <c:pt idx="3336">
                  <c:v>40619</c:v>
                </c:pt>
                <c:pt idx="3337">
                  <c:v>40618</c:v>
                </c:pt>
                <c:pt idx="3338">
                  <c:v>40617</c:v>
                </c:pt>
                <c:pt idx="3339">
                  <c:v>40616</c:v>
                </c:pt>
                <c:pt idx="3340">
                  <c:v>40613</c:v>
                </c:pt>
                <c:pt idx="3341">
                  <c:v>40612</c:v>
                </c:pt>
                <c:pt idx="3342">
                  <c:v>40611</c:v>
                </c:pt>
                <c:pt idx="3343">
                  <c:v>40610</c:v>
                </c:pt>
                <c:pt idx="3344">
                  <c:v>40609</c:v>
                </c:pt>
                <c:pt idx="3345">
                  <c:v>40606</c:v>
                </c:pt>
                <c:pt idx="3346">
                  <c:v>40605</c:v>
                </c:pt>
                <c:pt idx="3347">
                  <c:v>40604</c:v>
                </c:pt>
                <c:pt idx="3348">
                  <c:v>40603</c:v>
                </c:pt>
                <c:pt idx="3349">
                  <c:v>40602</c:v>
                </c:pt>
                <c:pt idx="3350">
                  <c:v>40599</c:v>
                </c:pt>
                <c:pt idx="3351">
                  <c:v>40598</c:v>
                </c:pt>
                <c:pt idx="3352">
                  <c:v>40597</c:v>
                </c:pt>
                <c:pt idx="3353">
                  <c:v>40596</c:v>
                </c:pt>
                <c:pt idx="3354">
                  <c:v>40595</c:v>
                </c:pt>
                <c:pt idx="3355">
                  <c:v>40592</c:v>
                </c:pt>
                <c:pt idx="3356">
                  <c:v>40591</c:v>
                </c:pt>
                <c:pt idx="3357">
                  <c:v>40590</c:v>
                </c:pt>
                <c:pt idx="3358">
                  <c:v>40589</c:v>
                </c:pt>
                <c:pt idx="3359">
                  <c:v>40588</c:v>
                </c:pt>
                <c:pt idx="3360">
                  <c:v>40585</c:v>
                </c:pt>
                <c:pt idx="3361">
                  <c:v>40584</c:v>
                </c:pt>
                <c:pt idx="3362">
                  <c:v>40583</c:v>
                </c:pt>
                <c:pt idx="3363">
                  <c:v>40582</c:v>
                </c:pt>
                <c:pt idx="3364">
                  <c:v>40581</c:v>
                </c:pt>
                <c:pt idx="3365">
                  <c:v>40578</c:v>
                </c:pt>
                <c:pt idx="3366">
                  <c:v>40577</c:v>
                </c:pt>
                <c:pt idx="3367">
                  <c:v>40576</c:v>
                </c:pt>
                <c:pt idx="3368">
                  <c:v>40575</c:v>
                </c:pt>
                <c:pt idx="3369">
                  <c:v>40574</c:v>
                </c:pt>
                <c:pt idx="3370">
                  <c:v>40571</c:v>
                </c:pt>
                <c:pt idx="3371">
                  <c:v>40570</c:v>
                </c:pt>
                <c:pt idx="3372">
                  <c:v>40569</c:v>
                </c:pt>
                <c:pt idx="3373">
                  <c:v>40568</c:v>
                </c:pt>
                <c:pt idx="3374">
                  <c:v>40567</c:v>
                </c:pt>
                <c:pt idx="3375">
                  <c:v>40564</c:v>
                </c:pt>
                <c:pt idx="3376">
                  <c:v>40563</c:v>
                </c:pt>
                <c:pt idx="3377">
                  <c:v>40562</c:v>
                </c:pt>
                <c:pt idx="3378">
                  <c:v>40561</c:v>
                </c:pt>
                <c:pt idx="3379">
                  <c:v>40560</c:v>
                </c:pt>
                <c:pt idx="3380">
                  <c:v>40557</c:v>
                </c:pt>
                <c:pt idx="3381">
                  <c:v>40556</c:v>
                </c:pt>
                <c:pt idx="3382">
                  <c:v>40555</c:v>
                </c:pt>
                <c:pt idx="3383">
                  <c:v>40554</c:v>
                </c:pt>
                <c:pt idx="3384">
                  <c:v>40553</c:v>
                </c:pt>
                <c:pt idx="3385">
                  <c:v>40550</c:v>
                </c:pt>
                <c:pt idx="3386">
                  <c:v>40549</c:v>
                </c:pt>
                <c:pt idx="3387">
                  <c:v>40548</c:v>
                </c:pt>
                <c:pt idx="3388">
                  <c:v>40547</c:v>
                </c:pt>
                <c:pt idx="3389">
                  <c:v>40546</c:v>
                </c:pt>
                <c:pt idx="3390">
                  <c:v>40543</c:v>
                </c:pt>
                <c:pt idx="3391">
                  <c:v>40542</c:v>
                </c:pt>
                <c:pt idx="3392">
                  <c:v>40541</c:v>
                </c:pt>
                <c:pt idx="3393">
                  <c:v>40540</c:v>
                </c:pt>
                <c:pt idx="3394">
                  <c:v>40539</c:v>
                </c:pt>
                <c:pt idx="3395">
                  <c:v>40536</c:v>
                </c:pt>
                <c:pt idx="3396">
                  <c:v>40535</c:v>
                </c:pt>
                <c:pt idx="3397">
                  <c:v>40534</c:v>
                </c:pt>
                <c:pt idx="3398">
                  <c:v>40533</c:v>
                </c:pt>
                <c:pt idx="3399">
                  <c:v>40532</c:v>
                </c:pt>
                <c:pt idx="3400">
                  <c:v>40529</c:v>
                </c:pt>
                <c:pt idx="3401">
                  <c:v>40528</c:v>
                </c:pt>
                <c:pt idx="3402">
                  <c:v>40527</c:v>
                </c:pt>
                <c:pt idx="3403">
                  <c:v>40526</c:v>
                </c:pt>
                <c:pt idx="3404">
                  <c:v>40525</c:v>
                </c:pt>
                <c:pt idx="3405">
                  <c:v>40522</c:v>
                </c:pt>
                <c:pt idx="3406">
                  <c:v>40521</c:v>
                </c:pt>
                <c:pt idx="3407">
                  <c:v>40520</c:v>
                </c:pt>
                <c:pt idx="3408">
                  <c:v>40519</c:v>
                </c:pt>
                <c:pt idx="3409">
                  <c:v>40518</c:v>
                </c:pt>
                <c:pt idx="3410">
                  <c:v>40515</c:v>
                </c:pt>
                <c:pt idx="3411">
                  <c:v>40514</c:v>
                </c:pt>
                <c:pt idx="3412">
                  <c:v>40513</c:v>
                </c:pt>
                <c:pt idx="3413">
                  <c:v>40512</c:v>
                </c:pt>
                <c:pt idx="3414">
                  <c:v>40511</c:v>
                </c:pt>
                <c:pt idx="3415">
                  <c:v>40508</c:v>
                </c:pt>
                <c:pt idx="3416">
                  <c:v>40507</c:v>
                </c:pt>
                <c:pt idx="3417">
                  <c:v>40506</c:v>
                </c:pt>
                <c:pt idx="3418">
                  <c:v>40505</c:v>
                </c:pt>
                <c:pt idx="3419">
                  <c:v>40504</c:v>
                </c:pt>
                <c:pt idx="3420">
                  <c:v>40501</c:v>
                </c:pt>
                <c:pt idx="3421">
                  <c:v>40500</c:v>
                </c:pt>
                <c:pt idx="3422">
                  <c:v>40499</c:v>
                </c:pt>
                <c:pt idx="3423">
                  <c:v>40498</c:v>
                </c:pt>
                <c:pt idx="3424">
                  <c:v>40497</c:v>
                </c:pt>
                <c:pt idx="3425">
                  <c:v>40494</c:v>
                </c:pt>
                <c:pt idx="3426">
                  <c:v>40493</c:v>
                </c:pt>
                <c:pt idx="3427">
                  <c:v>40492</c:v>
                </c:pt>
                <c:pt idx="3428">
                  <c:v>40491</c:v>
                </c:pt>
                <c:pt idx="3429">
                  <c:v>40490</c:v>
                </c:pt>
                <c:pt idx="3430">
                  <c:v>40487</c:v>
                </c:pt>
                <c:pt idx="3431">
                  <c:v>40486</c:v>
                </c:pt>
                <c:pt idx="3432">
                  <c:v>40485</c:v>
                </c:pt>
                <c:pt idx="3433">
                  <c:v>40484</c:v>
                </c:pt>
                <c:pt idx="3434">
                  <c:v>40483</c:v>
                </c:pt>
                <c:pt idx="3435">
                  <c:v>40480</c:v>
                </c:pt>
                <c:pt idx="3436">
                  <c:v>40479</c:v>
                </c:pt>
                <c:pt idx="3437">
                  <c:v>40478</c:v>
                </c:pt>
                <c:pt idx="3438">
                  <c:v>40477</c:v>
                </c:pt>
                <c:pt idx="3439">
                  <c:v>40476</c:v>
                </c:pt>
                <c:pt idx="3440">
                  <c:v>40473</c:v>
                </c:pt>
                <c:pt idx="3441">
                  <c:v>40472</c:v>
                </c:pt>
                <c:pt idx="3442">
                  <c:v>40471</c:v>
                </c:pt>
                <c:pt idx="3443">
                  <c:v>40470</c:v>
                </c:pt>
                <c:pt idx="3444">
                  <c:v>40469</c:v>
                </c:pt>
                <c:pt idx="3445">
                  <c:v>40466</c:v>
                </c:pt>
                <c:pt idx="3446">
                  <c:v>40465</c:v>
                </c:pt>
                <c:pt idx="3447">
                  <c:v>40464</c:v>
                </c:pt>
                <c:pt idx="3448">
                  <c:v>40463</c:v>
                </c:pt>
                <c:pt idx="3449">
                  <c:v>40462</c:v>
                </c:pt>
                <c:pt idx="3450">
                  <c:v>40459</c:v>
                </c:pt>
                <c:pt idx="3451">
                  <c:v>40458</c:v>
                </c:pt>
                <c:pt idx="3452">
                  <c:v>40457</c:v>
                </c:pt>
                <c:pt idx="3453">
                  <c:v>40456</c:v>
                </c:pt>
                <c:pt idx="3454">
                  <c:v>40455</c:v>
                </c:pt>
                <c:pt idx="3455">
                  <c:v>40452</c:v>
                </c:pt>
                <c:pt idx="3456">
                  <c:v>40451</c:v>
                </c:pt>
                <c:pt idx="3457">
                  <c:v>40450</c:v>
                </c:pt>
                <c:pt idx="3458">
                  <c:v>40449</c:v>
                </c:pt>
                <c:pt idx="3459">
                  <c:v>40448</c:v>
                </c:pt>
                <c:pt idx="3460">
                  <c:v>40445</c:v>
                </c:pt>
                <c:pt idx="3461">
                  <c:v>40444</c:v>
                </c:pt>
                <c:pt idx="3462">
                  <c:v>40443</c:v>
                </c:pt>
                <c:pt idx="3463">
                  <c:v>40442</c:v>
                </c:pt>
                <c:pt idx="3464">
                  <c:v>40441</c:v>
                </c:pt>
                <c:pt idx="3465">
                  <c:v>40438</c:v>
                </c:pt>
                <c:pt idx="3466">
                  <c:v>40437</c:v>
                </c:pt>
                <c:pt idx="3467">
                  <c:v>40436</c:v>
                </c:pt>
                <c:pt idx="3468">
                  <c:v>40435</c:v>
                </c:pt>
                <c:pt idx="3469">
                  <c:v>40434</c:v>
                </c:pt>
                <c:pt idx="3470">
                  <c:v>40431</c:v>
                </c:pt>
                <c:pt idx="3471">
                  <c:v>40430</c:v>
                </c:pt>
                <c:pt idx="3472">
                  <c:v>40429</c:v>
                </c:pt>
                <c:pt idx="3473">
                  <c:v>40428</c:v>
                </c:pt>
                <c:pt idx="3474">
                  <c:v>40427</c:v>
                </c:pt>
                <c:pt idx="3475">
                  <c:v>40424</c:v>
                </c:pt>
                <c:pt idx="3476">
                  <c:v>40423</c:v>
                </c:pt>
                <c:pt idx="3477">
                  <c:v>40422</c:v>
                </c:pt>
                <c:pt idx="3478">
                  <c:v>40421</c:v>
                </c:pt>
                <c:pt idx="3479">
                  <c:v>40420</c:v>
                </c:pt>
                <c:pt idx="3480">
                  <c:v>40417</c:v>
                </c:pt>
                <c:pt idx="3481">
                  <c:v>40416</c:v>
                </c:pt>
                <c:pt idx="3482">
                  <c:v>40415</c:v>
                </c:pt>
                <c:pt idx="3483">
                  <c:v>40414</c:v>
                </c:pt>
                <c:pt idx="3484">
                  <c:v>40413</c:v>
                </c:pt>
                <c:pt idx="3485">
                  <c:v>40410</c:v>
                </c:pt>
                <c:pt idx="3486">
                  <c:v>40409</c:v>
                </c:pt>
                <c:pt idx="3487">
                  <c:v>40408</c:v>
                </c:pt>
                <c:pt idx="3488">
                  <c:v>40407</c:v>
                </c:pt>
                <c:pt idx="3489">
                  <c:v>40406</c:v>
                </c:pt>
                <c:pt idx="3490">
                  <c:v>40403</c:v>
                </c:pt>
                <c:pt idx="3491">
                  <c:v>40402</c:v>
                </c:pt>
                <c:pt idx="3492">
                  <c:v>40401</c:v>
                </c:pt>
                <c:pt idx="3493">
                  <c:v>40400</c:v>
                </c:pt>
                <c:pt idx="3494">
                  <c:v>40399</c:v>
                </c:pt>
                <c:pt idx="3495">
                  <c:v>40396</c:v>
                </c:pt>
                <c:pt idx="3496">
                  <c:v>40395</c:v>
                </c:pt>
                <c:pt idx="3497">
                  <c:v>40394</c:v>
                </c:pt>
                <c:pt idx="3498">
                  <c:v>40393</c:v>
                </c:pt>
                <c:pt idx="3499">
                  <c:v>40392</c:v>
                </c:pt>
                <c:pt idx="3500">
                  <c:v>40389</c:v>
                </c:pt>
                <c:pt idx="3501">
                  <c:v>40388</c:v>
                </c:pt>
                <c:pt idx="3502">
                  <c:v>40387</c:v>
                </c:pt>
                <c:pt idx="3503">
                  <c:v>40386</c:v>
                </c:pt>
                <c:pt idx="3504">
                  <c:v>40385</c:v>
                </c:pt>
                <c:pt idx="3505">
                  <c:v>40382</c:v>
                </c:pt>
                <c:pt idx="3506">
                  <c:v>40381</c:v>
                </c:pt>
                <c:pt idx="3507">
                  <c:v>40380</c:v>
                </c:pt>
                <c:pt idx="3508">
                  <c:v>40379</c:v>
                </c:pt>
                <c:pt idx="3509">
                  <c:v>40378</c:v>
                </c:pt>
                <c:pt idx="3510">
                  <c:v>40375</c:v>
                </c:pt>
                <c:pt idx="3511">
                  <c:v>40374</c:v>
                </c:pt>
                <c:pt idx="3512">
                  <c:v>40373</c:v>
                </c:pt>
                <c:pt idx="3513">
                  <c:v>40372</c:v>
                </c:pt>
                <c:pt idx="3514">
                  <c:v>40371</c:v>
                </c:pt>
                <c:pt idx="3515">
                  <c:v>40368</c:v>
                </c:pt>
                <c:pt idx="3516">
                  <c:v>40367</c:v>
                </c:pt>
                <c:pt idx="3517">
                  <c:v>40366</c:v>
                </c:pt>
                <c:pt idx="3518">
                  <c:v>40365</c:v>
                </c:pt>
                <c:pt idx="3519">
                  <c:v>40364</c:v>
                </c:pt>
                <c:pt idx="3520">
                  <c:v>40361</c:v>
                </c:pt>
                <c:pt idx="3521">
                  <c:v>40360</c:v>
                </c:pt>
                <c:pt idx="3522">
                  <c:v>40359</c:v>
                </c:pt>
                <c:pt idx="3523">
                  <c:v>40358</c:v>
                </c:pt>
                <c:pt idx="3524">
                  <c:v>40357</c:v>
                </c:pt>
                <c:pt idx="3525">
                  <c:v>40354</c:v>
                </c:pt>
                <c:pt idx="3526">
                  <c:v>40353</c:v>
                </c:pt>
                <c:pt idx="3527">
                  <c:v>40352</c:v>
                </c:pt>
                <c:pt idx="3528">
                  <c:v>40351</c:v>
                </c:pt>
                <c:pt idx="3529">
                  <c:v>40350</c:v>
                </c:pt>
                <c:pt idx="3530">
                  <c:v>40347</c:v>
                </c:pt>
                <c:pt idx="3531">
                  <c:v>40346</c:v>
                </c:pt>
                <c:pt idx="3532">
                  <c:v>40345</c:v>
                </c:pt>
                <c:pt idx="3533">
                  <c:v>40344</c:v>
                </c:pt>
                <c:pt idx="3534">
                  <c:v>40343</c:v>
                </c:pt>
                <c:pt idx="3535">
                  <c:v>40340</c:v>
                </c:pt>
                <c:pt idx="3536">
                  <c:v>40339</c:v>
                </c:pt>
                <c:pt idx="3537">
                  <c:v>40338</c:v>
                </c:pt>
                <c:pt idx="3538">
                  <c:v>40337</c:v>
                </c:pt>
                <c:pt idx="3539">
                  <c:v>40336</c:v>
                </c:pt>
                <c:pt idx="3540">
                  <c:v>40333</c:v>
                </c:pt>
                <c:pt idx="3541">
                  <c:v>40332</c:v>
                </c:pt>
                <c:pt idx="3542">
                  <c:v>40331</c:v>
                </c:pt>
                <c:pt idx="3543">
                  <c:v>40330</c:v>
                </c:pt>
                <c:pt idx="3544">
                  <c:v>40329</c:v>
                </c:pt>
                <c:pt idx="3545">
                  <c:v>40326</c:v>
                </c:pt>
                <c:pt idx="3546">
                  <c:v>40325</c:v>
                </c:pt>
                <c:pt idx="3547">
                  <c:v>40324</c:v>
                </c:pt>
                <c:pt idx="3548">
                  <c:v>40323</c:v>
                </c:pt>
                <c:pt idx="3549">
                  <c:v>40322</c:v>
                </c:pt>
                <c:pt idx="3550">
                  <c:v>40319</c:v>
                </c:pt>
                <c:pt idx="3551">
                  <c:v>40318</c:v>
                </c:pt>
                <c:pt idx="3552">
                  <c:v>40317</c:v>
                </c:pt>
                <c:pt idx="3553">
                  <c:v>40316</c:v>
                </c:pt>
                <c:pt idx="3554">
                  <c:v>40315</c:v>
                </c:pt>
                <c:pt idx="3555">
                  <c:v>40312</c:v>
                </c:pt>
                <c:pt idx="3556">
                  <c:v>40311</c:v>
                </c:pt>
                <c:pt idx="3557">
                  <c:v>40310</c:v>
                </c:pt>
                <c:pt idx="3558">
                  <c:v>40309</c:v>
                </c:pt>
                <c:pt idx="3559">
                  <c:v>40308</c:v>
                </c:pt>
                <c:pt idx="3560">
                  <c:v>40305</c:v>
                </c:pt>
                <c:pt idx="3561">
                  <c:v>40304</c:v>
                </c:pt>
                <c:pt idx="3562">
                  <c:v>40303</c:v>
                </c:pt>
                <c:pt idx="3563">
                  <c:v>40302</c:v>
                </c:pt>
                <c:pt idx="3564">
                  <c:v>40301</c:v>
                </c:pt>
                <c:pt idx="3565">
                  <c:v>40298</c:v>
                </c:pt>
                <c:pt idx="3566">
                  <c:v>40297</c:v>
                </c:pt>
                <c:pt idx="3567">
                  <c:v>40296</c:v>
                </c:pt>
                <c:pt idx="3568">
                  <c:v>40295</c:v>
                </c:pt>
                <c:pt idx="3569">
                  <c:v>40294</c:v>
                </c:pt>
                <c:pt idx="3570">
                  <c:v>40291</c:v>
                </c:pt>
                <c:pt idx="3571">
                  <c:v>40290</c:v>
                </c:pt>
                <c:pt idx="3572">
                  <c:v>40289</c:v>
                </c:pt>
                <c:pt idx="3573">
                  <c:v>40288</c:v>
                </c:pt>
                <c:pt idx="3574">
                  <c:v>40287</c:v>
                </c:pt>
                <c:pt idx="3575">
                  <c:v>40284</c:v>
                </c:pt>
                <c:pt idx="3576">
                  <c:v>40283</c:v>
                </c:pt>
                <c:pt idx="3577">
                  <c:v>40282</c:v>
                </c:pt>
                <c:pt idx="3578">
                  <c:v>40281</c:v>
                </c:pt>
                <c:pt idx="3579">
                  <c:v>40280</c:v>
                </c:pt>
                <c:pt idx="3580">
                  <c:v>40277</c:v>
                </c:pt>
                <c:pt idx="3581">
                  <c:v>40276</c:v>
                </c:pt>
                <c:pt idx="3582">
                  <c:v>40275</c:v>
                </c:pt>
                <c:pt idx="3583">
                  <c:v>40274</c:v>
                </c:pt>
                <c:pt idx="3584">
                  <c:v>40273</c:v>
                </c:pt>
                <c:pt idx="3585">
                  <c:v>40270</c:v>
                </c:pt>
                <c:pt idx="3586">
                  <c:v>40269</c:v>
                </c:pt>
                <c:pt idx="3587">
                  <c:v>40268</c:v>
                </c:pt>
                <c:pt idx="3588">
                  <c:v>40267</c:v>
                </c:pt>
                <c:pt idx="3589">
                  <c:v>40266</c:v>
                </c:pt>
                <c:pt idx="3590">
                  <c:v>40263</c:v>
                </c:pt>
                <c:pt idx="3591">
                  <c:v>40262</c:v>
                </c:pt>
                <c:pt idx="3592">
                  <c:v>40261</c:v>
                </c:pt>
                <c:pt idx="3593">
                  <c:v>40260</c:v>
                </c:pt>
                <c:pt idx="3594">
                  <c:v>40259</c:v>
                </c:pt>
                <c:pt idx="3595">
                  <c:v>40256</c:v>
                </c:pt>
                <c:pt idx="3596">
                  <c:v>40255</c:v>
                </c:pt>
                <c:pt idx="3597">
                  <c:v>40254</c:v>
                </c:pt>
                <c:pt idx="3598">
                  <c:v>40253</c:v>
                </c:pt>
                <c:pt idx="3599">
                  <c:v>40252</c:v>
                </c:pt>
                <c:pt idx="3600">
                  <c:v>40249</c:v>
                </c:pt>
                <c:pt idx="3601">
                  <c:v>40248</c:v>
                </c:pt>
                <c:pt idx="3602">
                  <c:v>40247</c:v>
                </c:pt>
                <c:pt idx="3603">
                  <c:v>40246</c:v>
                </c:pt>
                <c:pt idx="3604">
                  <c:v>40245</c:v>
                </c:pt>
                <c:pt idx="3605">
                  <c:v>40242</c:v>
                </c:pt>
                <c:pt idx="3606">
                  <c:v>40241</c:v>
                </c:pt>
                <c:pt idx="3607">
                  <c:v>40240</c:v>
                </c:pt>
                <c:pt idx="3608">
                  <c:v>40239</c:v>
                </c:pt>
                <c:pt idx="3609">
                  <c:v>40238</c:v>
                </c:pt>
                <c:pt idx="3610">
                  <c:v>40235</c:v>
                </c:pt>
                <c:pt idx="3611">
                  <c:v>40234</c:v>
                </c:pt>
                <c:pt idx="3612">
                  <c:v>40233</c:v>
                </c:pt>
                <c:pt idx="3613">
                  <c:v>40232</c:v>
                </c:pt>
                <c:pt idx="3614">
                  <c:v>40231</c:v>
                </c:pt>
                <c:pt idx="3615">
                  <c:v>40228</c:v>
                </c:pt>
                <c:pt idx="3616">
                  <c:v>40227</c:v>
                </c:pt>
                <c:pt idx="3617">
                  <c:v>40226</c:v>
                </c:pt>
                <c:pt idx="3618">
                  <c:v>40225</c:v>
                </c:pt>
                <c:pt idx="3619">
                  <c:v>40224</c:v>
                </c:pt>
                <c:pt idx="3620">
                  <c:v>40221</c:v>
                </c:pt>
                <c:pt idx="3621">
                  <c:v>40220</c:v>
                </c:pt>
                <c:pt idx="3622">
                  <c:v>40219</c:v>
                </c:pt>
                <c:pt idx="3623">
                  <c:v>40218</c:v>
                </c:pt>
                <c:pt idx="3624">
                  <c:v>40217</c:v>
                </c:pt>
                <c:pt idx="3625">
                  <c:v>40214</c:v>
                </c:pt>
                <c:pt idx="3626">
                  <c:v>40213</c:v>
                </c:pt>
                <c:pt idx="3627">
                  <c:v>40212</c:v>
                </c:pt>
                <c:pt idx="3628">
                  <c:v>40211</c:v>
                </c:pt>
                <c:pt idx="3629">
                  <c:v>40210</c:v>
                </c:pt>
                <c:pt idx="3630">
                  <c:v>40207</c:v>
                </c:pt>
                <c:pt idx="3631">
                  <c:v>40206</c:v>
                </c:pt>
                <c:pt idx="3632">
                  <c:v>40205</c:v>
                </c:pt>
                <c:pt idx="3633">
                  <c:v>40204</c:v>
                </c:pt>
                <c:pt idx="3634">
                  <c:v>40203</c:v>
                </c:pt>
                <c:pt idx="3635">
                  <c:v>40200</c:v>
                </c:pt>
                <c:pt idx="3636">
                  <c:v>40199</c:v>
                </c:pt>
                <c:pt idx="3637">
                  <c:v>40198</c:v>
                </c:pt>
                <c:pt idx="3638">
                  <c:v>40197</c:v>
                </c:pt>
                <c:pt idx="3639">
                  <c:v>40196</c:v>
                </c:pt>
                <c:pt idx="3640">
                  <c:v>40193</c:v>
                </c:pt>
                <c:pt idx="3641">
                  <c:v>40192</c:v>
                </c:pt>
                <c:pt idx="3642">
                  <c:v>40191</c:v>
                </c:pt>
                <c:pt idx="3643">
                  <c:v>40190</c:v>
                </c:pt>
                <c:pt idx="3644">
                  <c:v>40189</c:v>
                </c:pt>
                <c:pt idx="3645">
                  <c:v>40186</c:v>
                </c:pt>
                <c:pt idx="3646">
                  <c:v>40185</c:v>
                </c:pt>
                <c:pt idx="3647">
                  <c:v>40184</c:v>
                </c:pt>
                <c:pt idx="3648">
                  <c:v>40183</c:v>
                </c:pt>
                <c:pt idx="3649">
                  <c:v>40182</c:v>
                </c:pt>
                <c:pt idx="3650">
                  <c:v>40179</c:v>
                </c:pt>
              </c:numCache>
            </c:numRef>
          </c:cat>
          <c:val>
            <c:numRef>
              <c:f>Hárok1!$C$2:$C$3652</c:f>
              <c:numCache>
                <c:formatCode>0.00</c:formatCode>
                <c:ptCount val="3651"/>
                <c:pt idx="0">
                  <c:v>1.1539999999999999</c:v>
                </c:pt>
                <c:pt idx="1">
                  <c:v>1.1440000000000001</c:v>
                </c:pt>
                <c:pt idx="2">
                  <c:v>1.139</c:v>
                </c:pt>
                <c:pt idx="3">
                  <c:v>1.107</c:v>
                </c:pt>
                <c:pt idx="4">
                  <c:v>1.107</c:v>
                </c:pt>
                <c:pt idx="5">
                  <c:v>1.107</c:v>
                </c:pt>
                <c:pt idx="6">
                  <c:v>1.1259999999999999</c:v>
                </c:pt>
                <c:pt idx="7">
                  <c:v>1.1319999999999999</c:v>
                </c:pt>
                <c:pt idx="8">
                  <c:v>1.121</c:v>
                </c:pt>
                <c:pt idx="9">
                  <c:v>1.157</c:v>
                </c:pt>
                <c:pt idx="10">
                  <c:v>1.153</c:v>
                </c:pt>
                <c:pt idx="11">
                  <c:v>1.153</c:v>
                </c:pt>
                <c:pt idx="12">
                  <c:v>1.1780000000000004</c:v>
                </c:pt>
                <c:pt idx="13">
                  <c:v>1.1719999999999997</c:v>
                </c:pt>
                <c:pt idx="14">
                  <c:v>1.1739999999999999</c:v>
                </c:pt>
                <c:pt idx="15">
                  <c:v>1.1720000000000002</c:v>
                </c:pt>
                <c:pt idx="16">
                  <c:v>1.1509999999999998</c:v>
                </c:pt>
                <c:pt idx="17">
                  <c:v>1.165</c:v>
                </c:pt>
                <c:pt idx="18">
                  <c:v>1.1719999999999997</c:v>
                </c:pt>
                <c:pt idx="19">
                  <c:v>1.1910000000000003</c:v>
                </c:pt>
                <c:pt idx="20">
                  <c:v>1.1659999999999999</c:v>
                </c:pt>
                <c:pt idx="21">
                  <c:v>1.2000000000000002</c:v>
                </c:pt>
                <c:pt idx="22">
                  <c:v>1.1829999999999998</c:v>
                </c:pt>
                <c:pt idx="23">
                  <c:v>1.1959999999999997</c:v>
                </c:pt>
                <c:pt idx="24">
                  <c:v>1.1789999999999998</c:v>
                </c:pt>
                <c:pt idx="25">
                  <c:v>1.1859999999999999</c:v>
                </c:pt>
                <c:pt idx="26">
                  <c:v>1.19</c:v>
                </c:pt>
                <c:pt idx="27">
                  <c:v>1.1920000000000002</c:v>
                </c:pt>
                <c:pt idx="28">
                  <c:v>1.1909999999999998</c:v>
                </c:pt>
                <c:pt idx="29">
                  <c:v>1.1750000000000003</c:v>
                </c:pt>
                <c:pt idx="30">
                  <c:v>1.1819999999999999</c:v>
                </c:pt>
                <c:pt idx="31">
                  <c:v>1.177</c:v>
                </c:pt>
                <c:pt idx="32">
                  <c:v>1.2160000000000002</c:v>
                </c:pt>
                <c:pt idx="33">
                  <c:v>1.2209999999999996</c:v>
                </c:pt>
                <c:pt idx="34">
                  <c:v>1.218</c:v>
                </c:pt>
                <c:pt idx="35">
                  <c:v>1.2319999999999998</c:v>
                </c:pt>
                <c:pt idx="36">
                  <c:v>1.218</c:v>
                </c:pt>
                <c:pt idx="37">
                  <c:v>1.2209999999999996</c:v>
                </c:pt>
                <c:pt idx="38">
                  <c:v>1.2269999999999999</c:v>
                </c:pt>
                <c:pt idx="39">
                  <c:v>1.2250000000000001</c:v>
                </c:pt>
                <c:pt idx="40">
                  <c:v>1.2120000000000002</c:v>
                </c:pt>
                <c:pt idx="41">
                  <c:v>1.2210000000000001</c:v>
                </c:pt>
                <c:pt idx="42">
                  <c:v>1.2210000000000001</c:v>
                </c:pt>
                <c:pt idx="43">
                  <c:v>1.2340000000000004</c:v>
                </c:pt>
                <c:pt idx="44">
                  <c:v>1.206</c:v>
                </c:pt>
                <c:pt idx="45">
                  <c:v>1.2219999999999995</c:v>
                </c:pt>
                <c:pt idx="46">
                  <c:v>1.2230000000000003</c:v>
                </c:pt>
                <c:pt idx="47">
                  <c:v>1.2160000000000002</c:v>
                </c:pt>
                <c:pt idx="48">
                  <c:v>1.2370000000000001</c:v>
                </c:pt>
                <c:pt idx="49">
                  <c:v>1.2340000000000004</c:v>
                </c:pt>
                <c:pt idx="50">
                  <c:v>1.266</c:v>
                </c:pt>
                <c:pt idx="51">
                  <c:v>1.2420000000000004</c:v>
                </c:pt>
                <c:pt idx="52">
                  <c:v>1.226</c:v>
                </c:pt>
                <c:pt idx="53">
                  <c:v>1.2380000000000004</c:v>
                </c:pt>
                <c:pt idx="54">
                  <c:v>1.222</c:v>
                </c:pt>
                <c:pt idx="55">
                  <c:v>1.2640000000000002</c:v>
                </c:pt>
                <c:pt idx="56">
                  <c:v>1.2309999999999999</c:v>
                </c:pt>
                <c:pt idx="57">
                  <c:v>1.2229999999999999</c:v>
                </c:pt>
                <c:pt idx="58">
                  <c:v>1.2410000000000001</c:v>
                </c:pt>
                <c:pt idx="59">
                  <c:v>1.254</c:v>
                </c:pt>
                <c:pt idx="60">
                  <c:v>1.2409999999999997</c:v>
                </c:pt>
                <c:pt idx="61">
                  <c:v>1.2360000000000002</c:v>
                </c:pt>
                <c:pt idx="62">
                  <c:v>1.2309999999999999</c:v>
                </c:pt>
                <c:pt idx="63">
                  <c:v>1.2309999999999999</c:v>
                </c:pt>
                <c:pt idx="64">
                  <c:v>1.2290000000000005</c:v>
                </c:pt>
                <c:pt idx="65">
                  <c:v>1.2309999999999999</c:v>
                </c:pt>
                <c:pt idx="66">
                  <c:v>1.2210000000000001</c:v>
                </c:pt>
                <c:pt idx="67">
                  <c:v>1.2210000000000001</c:v>
                </c:pt>
                <c:pt idx="68">
                  <c:v>1.2229999999999994</c:v>
                </c:pt>
                <c:pt idx="69">
                  <c:v>1.2230000000000003</c:v>
                </c:pt>
                <c:pt idx="70">
                  <c:v>1.2119999999999997</c:v>
                </c:pt>
                <c:pt idx="71">
                  <c:v>1.21</c:v>
                </c:pt>
                <c:pt idx="72">
                  <c:v>1.2050000000000001</c:v>
                </c:pt>
                <c:pt idx="73">
                  <c:v>1.2110000000000003</c:v>
                </c:pt>
                <c:pt idx="74">
                  <c:v>1.2170000000000001</c:v>
                </c:pt>
                <c:pt idx="75">
                  <c:v>1.2159999999999997</c:v>
                </c:pt>
                <c:pt idx="76">
                  <c:v>1.2089999999999996</c:v>
                </c:pt>
                <c:pt idx="77">
                  <c:v>1.2149999999999999</c:v>
                </c:pt>
                <c:pt idx="78">
                  <c:v>1.2069999999999999</c:v>
                </c:pt>
                <c:pt idx="79">
                  <c:v>1.1949999999999998</c:v>
                </c:pt>
                <c:pt idx="80">
                  <c:v>1.1799999999999997</c:v>
                </c:pt>
                <c:pt idx="81">
                  <c:v>1.1709999999999998</c:v>
                </c:pt>
                <c:pt idx="82">
                  <c:v>1.1749999999999998</c:v>
                </c:pt>
                <c:pt idx="83">
                  <c:v>1.2770000000000001</c:v>
                </c:pt>
                <c:pt idx="84">
                  <c:v>1.1869999999999998</c:v>
                </c:pt>
                <c:pt idx="85">
                  <c:v>1.1880000000000002</c:v>
                </c:pt>
                <c:pt idx="86">
                  <c:v>1.17</c:v>
                </c:pt>
                <c:pt idx="87">
                  <c:v>1.1660000000000004</c:v>
                </c:pt>
                <c:pt idx="88">
                  <c:v>1.1949999999999998</c:v>
                </c:pt>
                <c:pt idx="89">
                  <c:v>1.2069999999999999</c:v>
                </c:pt>
                <c:pt idx="90">
                  <c:v>1.2189999999999999</c:v>
                </c:pt>
                <c:pt idx="91">
                  <c:v>1.2550000000000003</c:v>
                </c:pt>
                <c:pt idx="92">
                  <c:v>1.2439999999999998</c:v>
                </c:pt>
                <c:pt idx="93">
                  <c:v>1.2480000000000002</c:v>
                </c:pt>
                <c:pt idx="94">
                  <c:v>1.2450000000000001</c:v>
                </c:pt>
                <c:pt idx="95">
                  <c:v>1.2689999999999997</c:v>
                </c:pt>
                <c:pt idx="96">
                  <c:v>1.2570000000000001</c:v>
                </c:pt>
                <c:pt idx="97">
                  <c:v>1.2490000000000001</c:v>
                </c:pt>
                <c:pt idx="98">
                  <c:v>1.2470000000000003</c:v>
                </c:pt>
                <c:pt idx="99">
                  <c:v>1.2100000000000004</c:v>
                </c:pt>
                <c:pt idx="100">
                  <c:v>1.2160000000000002</c:v>
                </c:pt>
                <c:pt idx="101">
                  <c:v>1.2270000000000003</c:v>
                </c:pt>
                <c:pt idx="102">
                  <c:v>1.1999999999999997</c:v>
                </c:pt>
                <c:pt idx="103">
                  <c:v>1.2490000000000001</c:v>
                </c:pt>
                <c:pt idx="104">
                  <c:v>1.222</c:v>
                </c:pt>
                <c:pt idx="105">
                  <c:v>1.2409999999999997</c:v>
                </c:pt>
                <c:pt idx="106">
                  <c:v>1.2250000000000001</c:v>
                </c:pt>
                <c:pt idx="107">
                  <c:v>1.2490000000000001</c:v>
                </c:pt>
                <c:pt idx="108">
                  <c:v>1.238</c:v>
                </c:pt>
                <c:pt idx="109">
                  <c:v>1.2400000000000002</c:v>
                </c:pt>
                <c:pt idx="110">
                  <c:v>1.2629999999999999</c:v>
                </c:pt>
                <c:pt idx="111">
                  <c:v>1.2429999999999999</c:v>
                </c:pt>
                <c:pt idx="112">
                  <c:v>1.2470000000000003</c:v>
                </c:pt>
                <c:pt idx="113">
                  <c:v>1.2519999999999998</c:v>
                </c:pt>
                <c:pt idx="114">
                  <c:v>1.2549999999999999</c:v>
                </c:pt>
                <c:pt idx="115">
                  <c:v>1.2510000000000003</c:v>
                </c:pt>
                <c:pt idx="116">
                  <c:v>1.2509999999999999</c:v>
                </c:pt>
                <c:pt idx="117">
                  <c:v>1.2759999999999998</c:v>
                </c:pt>
                <c:pt idx="118">
                  <c:v>1.278</c:v>
                </c:pt>
                <c:pt idx="119">
                  <c:v>1.2650000000000001</c:v>
                </c:pt>
                <c:pt idx="120">
                  <c:v>1.2650000000000001</c:v>
                </c:pt>
                <c:pt idx="121">
                  <c:v>1.2690000000000001</c:v>
                </c:pt>
                <c:pt idx="122">
                  <c:v>1.25</c:v>
                </c:pt>
                <c:pt idx="123">
                  <c:v>1.2789999999999999</c:v>
                </c:pt>
                <c:pt idx="124">
                  <c:v>1.2919999999999998</c:v>
                </c:pt>
                <c:pt idx="125">
                  <c:v>1.262</c:v>
                </c:pt>
                <c:pt idx="126">
                  <c:v>1.2959999999999998</c:v>
                </c:pt>
                <c:pt idx="127">
                  <c:v>1.2799999999999998</c:v>
                </c:pt>
                <c:pt idx="128">
                  <c:v>1.2879999999999998</c:v>
                </c:pt>
                <c:pt idx="129">
                  <c:v>1.2850000000000001</c:v>
                </c:pt>
                <c:pt idx="130">
                  <c:v>1.2679999999999998</c:v>
                </c:pt>
                <c:pt idx="131">
                  <c:v>1.2919999999999998</c:v>
                </c:pt>
                <c:pt idx="132">
                  <c:v>1.302</c:v>
                </c:pt>
                <c:pt idx="133">
                  <c:v>1.282</c:v>
                </c:pt>
                <c:pt idx="134">
                  <c:v>1.2970000000000002</c:v>
                </c:pt>
                <c:pt idx="135">
                  <c:v>1.2869999999999999</c:v>
                </c:pt>
                <c:pt idx="136">
                  <c:v>1.282</c:v>
                </c:pt>
                <c:pt idx="137">
                  <c:v>1.2880000000000003</c:v>
                </c:pt>
                <c:pt idx="138">
                  <c:v>1.2789999999999999</c:v>
                </c:pt>
                <c:pt idx="139">
                  <c:v>1.282</c:v>
                </c:pt>
                <c:pt idx="140">
                  <c:v>1.2640000000000002</c:v>
                </c:pt>
                <c:pt idx="141">
                  <c:v>1.3130000000000002</c:v>
                </c:pt>
                <c:pt idx="142">
                  <c:v>1.319</c:v>
                </c:pt>
                <c:pt idx="143">
                  <c:v>1.2589999999999999</c:v>
                </c:pt>
                <c:pt idx="144">
                  <c:v>1.2600000000000002</c:v>
                </c:pt>
                <c:pt idx="145">
                  <c:v>1.2770000000000001</c:v>
                </c:pt>
                <c:pt idx="146">
                  <c:v>1.2749999999999999</c:v>
                </c:pt>
                <c:pt idx="147">
                  <c:v>1.2670000000000003</c:v>
                </c:pt>
                <c:pt idx="148">
                  <c:v>1.2370000000000001</c:v>
                </c:pt>
                <c:pt idx="149">
                  <c:v>1.2590000000000003</c:v>
                </c:pt>
                <c:pt idx="150">
                  <c:v>1.2789999999999999</c:v>
                </c:pt>
                <c:pt idx="151">
                  <c:v>1.2829999999999999</c:v>
                </c:pt>
                <c:pt idx="152">
                  <c:v>1.2640000000000002</c:v>
                </c:pt>
                <c:pt idx="153">
                  <c:v>1.2589999999999999</c:v>
                </c:pt>
                <c:pt idx="154">
                  <c:v>1.2480000000000002</c:v>
                </c:pt>
                <c:pt idx="155">
                  <c:v>1.27</c:v>
                </c:pt>
                <c:pt idx="156">
                  <c:v>1.282</c:v>
                </c:pt>
                <c:pt idx="157">
                  <c:v>1.2879999999999998</c:v>
                </c:pt>
                <c:pt idx="158">
                  <c:v>1.2949999999999999</c:v>
                </c:pt>
                <c:pt idx="159">
                  <c:v>1.2920000000000003</c:v>
                </c:pt>
                <c:pt idx="160">
                  <c:v>1.298</c:v>
                </c:pt>
                <c:pt idx="161">
                  <c:v>1.3180000000000001</c:v>
                </c:pt>
                <c:pt idx="162">
                  <c:v>1.2969999999999997</c:v>
                </c:pt>
                <c:pt idx="163">
                  <c:v>1.2930000000000001</c:v>
                </c:pt>
                <c:pt idx="164">
                  <c:v>1.286</c:v>
                </c:pt>
                <c:pt idx="165">
                  <c:v>1.282</c:v>
                </c:pt>
                <c:pt idx="166">
                  <c:v>1.2829999999999999</c:v>
                </c:pt>
                <c:pt idx="167">
                  <c:v>1.2890000000000001</c:v>
                </c:pt>
                <c:pt idx="168">
                  <c:v>1.29</c:v>
                </c:pt>
                <c:pt idx="169">
                  <c:v>1.2669999999999999</c:v>
                </c:pt>
                <c:pt idx="170">
                  <c:v>1.274</c:v>
                </c:pt>
                <c:pt idx="171">
                  <c:v>1.3029999999999999</c:v>
                </c:pt>
                <c:pt idx="172">
                  <c:v>1.2949999999999999</c:v>
                </c:pt>
                <c:pt idx="173">
                  <c:v>1.298</c:v>
                </c:pt>
                <c:pt idx="174">
                  <c:v>1.286</c:v>
                </c:pt>
                <c:pt idx="175">
                  <c:v>1.286</c:v>
                </c:pt>
                <c:pt idx="176">
                  <c:v>1.262</c:v>
                </c:pt>
                <c:pt idx="177">
                  <c:v>1.2639999999999998</c:v>
                </c:pt>
                <c:pt idx="178">
                  <c:v>1.27</c:v>
                </c:pt>
                <c:pt idx="179">
                  <c:v>1.2670000000000003</c:v>
                </c:pt>
                <c:pt idx="180">
                  <c:v>1.2719999999999998</c:v>
                </c:pt>
                <c:pt idx="181">
                  <c:v>1.2749999999999999</c:v>
                </c:pt>
                <c:pt idx="182">
                  <c:v>1.254</c:v>
                </c:pt>
                <c:pt idx="183">
                  <c:v>1.2529999999999997</c:v>
                </c:pt>
                <c:pt idx="184">
                  <c:v>1.266</c:v>
                </c:pt>
                <c:pt idx="185">
                  <c:v>1.258</c:v>
                </c:pt>
                <c:pt idx="186">
                  <c:v>1.2699999999999996</c:v>
                </c:pt>
                <c:pt idx="187">
                  <c:v>1.2629999999999999</c:v>
                </c:pt>
                <c:pt idx="188">
                  <c:v>1.2770000000000001</c:v>
                </c:pt>
                <c:pt idx="189">
                  <c:v>1.3079999999999998</c:v>
                </c:pt>
                <c:pt idx="190">
                  <c:v>1.3079999999999998</c:v>
                </c:pt>
                <c:pt idx="191">
                  <c:v>1.3079999999999998</c:v>
                </c:pt>
                <c:pt idx="192">
                  <c:v>1.2840000000000003</c:v>
                </c:pt>
                <c:pt idx="193">
                  <c:v>1.2850000000000001</c:v>
                </c:pt>
                <c:pt idx="194">
                  <c:v>1.3069999999999999</c:v>
                </c:pt>
                <c:pt idx="195">
                  <c:v>1.2709999999999999</c:v>
                </c:pt>
                <c:pt idx="196">
                  <c:v>1.2399999999999998</c:v>
                </c:pt>
                <c:pt idx="197">
                  <c:v>1.258</c:v>
                </c:pt>
                <c:pt idx="198">
                  <c:v>1.2559999999999998</c:v>
                </c:pt>
                <c:pt idx="199">
                  <c:v>1.2629999999999999</c:v>
                </c:pt>
                <c:pt idx="200">
                  <c:v>1.2399999999999998</c:v>
                </c:pt>
                <c:pt idx="201">
                  <c:v>1.2909999999999999</c:v>
                </c:pt>
                <c:pt idx="202">
                  <c:v>1.2679999999999998</c:v>
                </c:pt>
                <c:pt idx="203">
                  <c:v>1.2710000000000004</c:v>
                </c:pt>
                <c:pt idx="204">
                  <c:v>1.3129999999999997</c:v>
                </c:pt>
                <c:pt idx="205">
                  <c:v>1.2850000000000001</c:v>
                </c:pt>
                <c:pt idx="206">
                  <c:v>1.2409999999999997</c:v>
                </c:pt>
                <c:pt idx="207">
                  <c:v>1.242</c:v>
                </c:pt>
                <c:pt idx="208">
                  <c:v>1.1749999999999998</c:v>
                </c:pt>
                <c:pt idx="209">
                  <c:v>1.1429999999999998</c:v>
                </c:pt>
                <c:pt idx="210">
                  <c:v>1.048</c:v>
                </c:pt>
                <c:pt idx="211">
                  <c:v>1.0380000000000003</c:v>
                </c:pt>
                <c:pt idx="212">
                  <c:v>1.048</c:v>
                </c:pt>
                <c:pt idx="213">
                  <c:v>1.0499999999999998</c:v>
                </c:pt>
                <c:pt idx="214">
                  <c:v>1.0269999999999997</c:v>
                </c:pt>
                <c:pt idx="215">
                  <c:v>1.044</c:v>
                </c:pt>
                <c:pt idx="216">
                  <c:v>0.99000000000000021</c:v>
                </c:pt>
                <c:pt idx="217">
                  <c:v>0.996</c:v>
                </c:pt>
                <c:pt idx="218">
                  <c:v>0.99199999999999999</c:v>
                </c:pt>
                <c:pt idx="219">
                  <c:v>1.0050000000000003</c:v>
                </c:pt>
                <c:pt idx="220">
                  <c:v>1.0249999999999999</c:v>
                </c:pt>
                <c:pt idx="221">
                  <c:v>1.0179999999999998</c:v>
                </c:pt>
                <c:pt idx="222">
                  <c:v>1.012</c:v>
                </c:pt>
                <c:pt idx="223">
                  <c:v>1.0069999999999997</c:v>
                </c:pt>
                <c:pt idx="224">
                  <c:v>0.96700000000000008</c:v>
                </c:pt>
                <c:pt idx="225">
                  <c:v>0.97199999999999998</c:v>
                </c:pt>
                <c:pt idx="226">
                  <c:v>0.95599999999999996</c:v>
                </c:pt>
                <c:pt idx="227">
                  <c:v>0.94700000000000006</c:v>
                </c:pt>
                <c:pt idx="228">
                  <c:v>0.93599999999999994</c:v>
                </c:pt>
                <c:pt idx="229">
                  <c:v>0.92899999999999983</c:v>
                </c:pt>
                <c:pt idx="230">
                  <c:v>0.91500000000000004</c:v>
                </c:pt>
                <c:pt idx="231">
                  <c:v>0.93800000000000017</c:v>
                </c:pt>
                <c:pt idx="232">
                  <c:v>0.91400000000000015</c:v>
                </c:pt>
                <c:pt idx="233">
                  <c:v>0.90200000000000014</c:v>
                </c:pt>
                <c:pt idx="234">
                  <c:v>0.89200000000000035</c:v>
                </c:pt>
                <c:pt idx="235">
                  <c:v>0.95199999999999996</c:v>
                </c:pt>
                <c:pt idx="236">
                  <c:v>0.95299999999999985</c:v>
                </c:pt>
                <c:pt idx="237">
                  <c:v>0.96499999999999986</c:v>
                </c:pt>
                <c:pt idx="238">
                  <c:v>0.97699999999999987</c:v>
                </c:pt>
                <c:pt idx="239">
                  <c:v>0.97199999999999998</c:v>
                </c:pt>
                <c:pt idx="240">
                  <c:v>0.97399999999999975</c:v>
                </c:pt>
                <c:pt idx="241">
                  <c:v>0.97299999999999986</c:v>
                </c:pt>
                <c:pt idx="242">
                  <c:v>0.96600000000000019</c:v>
                </c:pt>
                <c:pt idx="243">
                  <c:v>0.97299999999999986</c:v>
                </c:pt>
                <c:pt idx="244">
                  <c:v>0.97500000000000009</c:v>
                </c:pt>
                <c:pt idx="245">
                  <c:v>0.95699999999999985</c:v>
                </c:pt>
                <c:pt idx="246">
                  <c:v>0.95599999999999996</c:v>
                </c:pt>
                <c:pt idx="247">
                  <c:v>0.95699999999999985</c:v>
                </c:pt>
                <c:pt idx="248">
                  <c:v>0.98499999999999988</c:v>
                </c:pt>
                <c:pt idx="249">
                  <c:v>1.008</c:v>
                </c:pt>
                <c:pt idx="250">
                  <c:v>0.996</c:v>
                </c:pt>
                <c:pt idx="251">
                  <c:v>1</c:v>
                </c:pt>
                <c:pt idx="252">
                  <c:v>1.0099999999999998</c:v>
                </c:pt>
                <c:pt idx="253">
                  <c:v>1.0780000000000003</c:v>
                </c:pt>
                <c:pt idx="254">
                  <c:v>1.101</c:v>
                </c:pt>
                <c:pt idx="255">
                  <c:v>1.1280000000000001</c:v>
                </c:pt>
                <c:pt idx="256">
                  <c:v>1.1160000000000001</c:v>
                </c:pt>
                <c:pt idx="257">
                  <c:v>1.0950000000000002</c:v>
                </c:pt>
                <c:pt idx="258">
                  <c:v>1.1320000000000001</c:v>
                </c:pt>
                <c:pt idx="259">
                  <c:v>1.1390000000000002</c:v>
                </c:pt>
                <c:pt idx="260">
                  <c:v>1.1320000000000001</c:v>
                </c:pt>
                <c:pt idx="261">
                  <c:v>1.1520000000000001</c:v>
                </c:pt>
                <c:pt idx="262">
                  <c:v>1.1239999999999997</c:v>
                </c:pt>
                <c:pt idx="263">
                  <c:v>1.129</c:v>
                </c:pt>
                <c:pt idx="264">
                  <c:v>1.1320000000000001</c:v>
                </c:pt>
                <c:pt idx="265">
                  <c:v>1.1320000000000001</c:v>
                </c:pt>
                <c:pt idx="266">
                  <c:v>1.1599999999999997</c:v>
                </c:pt>
                <c:pt idx="267">
                  <c:v>1.1520000000000001</c:v>
                </c:pt>
                <c:pt idx="268">
                  <c:v>1.1379999999999999</c:v>
                </c:pt>
                <c:pt idx="269">
                  <c:v>1.1310000000000002</c:v>
                </c:pt>
                <c:pt idx="270">
                  <c:v>1.1539999999999999</c:v>
                </c:pt>
                <c:pt idx="271">
                  <c:v>1.0720000000000001</c:v>
                </c:pt>
                <c:pt idx="272">
                  <c:v>1.0939999999999999</c:v>
                </c:pt>
                <c:pt idx="273">
                  <c:v>1.0680000000000001</c:v>
                </c:pt>
                <c:pt idx="274">
                  <c:v>1.0720000000000001</c:v>
                </c:pt>
                <c:pt idx="275">
                  <c:v>1.0640000000000001</c:v>
                </c:pt>
                <c:pt idx="276">
                  <c:v>1.0760000000000001</c:v>
                </c:pt>
                <c:pt idx="277">
                  <c:v>1.1160000000000001</c:v>
                </c:pt>
                <c:pt idx="278">
                  <c:v>1.1259999999999999</c:v>
                </c:pt>
                <c:pt idx="279">
                  <c:v>1.1090000000000002</c:v>
                </c:pt>
                <c:pt idx="280">
                  <c:v>1.1430000000000002</c:v>
                </c:pt>
                <c:pt idx="281">
                  <c:v>1.1520000000000001</c:v>
                </c:pt>
                <c:pt idx="282">
                  <c:v>1.228</c:v>
                </c:pt>
                <c:pt idx="283">
                  <c:v>1.24</c:v>
                </c:pt>
                <c:pt idx="284">
                  <c:v>1.252</c:v>
                </c:pt>
                <c:pt idx="285">
                  <c:v>1.2719999999999998</c:v>
                </c:pt>
                <c:pt idx="286">
                  <c:v>1.302</c:v>
                </c:pt>
                <c:pt idx="287">
                  <c:v>1.296</c:v>
                </c:pt>
                <c:pt idx="288">
                  <c:v>1.331</c:v>
                </c:pt>
                <c:pt idx="289">
                  <c:v>1.3349999999999997</c:v>
                </c:pt>
                <c:pt idx="290">
                  <c:v>1.3260000000000001</c:v>
                </c:pt>
                <c:pt idx="291">
                  <c:v>1.323</c:v>
                </c:pt>
                <c:pt idx="292">
                  <c:v>1.3160000000000001</c:v>
                </c:pt>
                <c:pt idx="293">
                  <c:v>1.3260000000000001</c:v>
                </c:pt>
                <c:pt idx="294">
                  <c:v>1.371</c:v>
                </c:pt>
                <c:pt idx="295">
                  <c:v>1.3809999999999998</c:v>
                </c:pt>
                <c:pt idx="296">
                  <c:v>1.35</c:v>
                </c:pt>
                <c:pt idx="297">
                  <c:v>1.3460000000000001</c:v>
                </c:pt>
                <c:pt idx="298">
                  <c:v>1.367</c:v>
                </c:pt>
                <c:pt idx="299">
                  <c:v>1.3679999999999999</c:v>
                </c:pt>
                <c:pt idx="300">
                  <c:v>1.3800000000000003</c:v>
                </c:pt>
                <c:pt idx="301">
                  <c:v>1.3849999999999998</c:v>
                </c:pt>
                <c:pt idx="302">
                  <c:v>1.387</c:v>
                </c:pt>
                <c:pt idx="303">
                  <c:v>1.3839999999999999</c:v>
                </c:pt>
                <c:pt idx="304">
                  <c:v>1.387</c:v>
                </c:pt>
                <c:pt idx="305">
                  <c:v>1.38</c:v>
                </c:pt>
                <c:pt idx="306">
                  <c:v>1.3820000000000001</c:v>
                </c:pt>
                <c:pt idx="307">
                  <c:v>1.4169999999999998</c:v>
                </c:pt>
                <c:pt idx="308">
                  <c:v>1.379</c:v>
                </c:pt>
                <c:pt idx="309">
                  <c:v>1.3759999999999999</c:v>
                </c:pt>
                <c:pt idx="310">
                  <c:v>1.4060000000000001</c:v>
                </c:pt>
                <c:pt idx="311">
                  <c:v>1.4100000000000001</c:v>
                </c:pt>
                <c:pt idx="312">
                  <c:v>1.4180000000000001</c:v>
                </c:pt>
                <c:pt idx="313">
                  <c:v>1.4379999999999997</c:v>
                </c:pt>
                <c:pt idx="314">
                  <c:v>1.4409999999999998</c:v>
                </c:pt>
                <c:pt idx="315">
                  <c:v>1.4489999999999998</c:v>
                </c:pt>
                <c:pt idx="316">
                  <c:v>1.4390000000000001</c:v>
                </c:pt>
                <c:pt idx="317">
                  <c:v>1.4689999999999999</c:v>
                </c:pt>
                <c:pt idx="318">
                  <c:v>1.3399999999999999</c:v>
                </c:pt>
                <c:pt idx="319">
                  <c:v>1.2849999999999997</c:v>
                </c:pt>
                <c:pt idx="320">
                  <c:v>1.3210000000000002</c:v>
                </c:pt>
                <c:pt idx="321">
                  <c:v>1.31</c:v>
                </c:pt>
                <c:pt idx="322">
                  <c:v>1.2530000000000001</c:v>
                </c:pt>
                <c:pt idx="323">
                  <c:v>1.2370000000000001</c:v>
                </c:pt>
                <c:pt idx="324">
                  <c:v>1.1919999999999999</c:v>
                </c:pt>
                <c:pt idx="325">
                  <c:v>1.2029999999999998</c:v>
                </c:pt>
                <c:pt idx="326">
                  <c:v>1.1760000000000002</c:v>
                </c:pt>
                <c:pt idx="327">
                  <c:v>1.1829999999999998</c:v>
                </c:pt>
                <c:pt idx="328">
                  <c:v>1.1320000000000001</c:v>
                </c:pt>
                <c:pt idx="329">
                  <c:v>1.0899999999999999</c:v>
                </c:pt>
                <c:pt idx="330">
                  <c:v>1.0489999999999999</c:v>
                </c:pt>
                <c:pt idx="331">
                  <c:v>1.0489999999999997</c:v>
                </c:pt>
                <c:pt idx="332">
                  <c:v>1.0229999999999999</c:v>
                </c:pt>
                <c:pt idx="333">
                  <c:v>1.0179999999999998</c:v>
                </c:pt>
                <c:pt idx="334">
                  <c:v>1.008</c:v>
                </c:pt>
                <c:pt idx="335">
                  <c:v>1.0139999999999998</c:v>
                </c:pt>
                <c:pt idx="336">
                  <c:v>1.02</c:v>
                </c:pt>
                <c:pt idx="337">
                  <c:v>1.0559999999999998</c:v>
                </c:pt>
                <c:pt idx="338">
                  <c:v>1.0720000000000001</c:v>
                </c:pt>
                <c:pt idx="339">
                  <c:v>1.1059999999999999</c:v>
                </c:pt>
                <c:pt idx="340">
                  <c:v>1.1099999999999999</c:v>
                </c:pt>
                <c:pt idx="341">
                  <c:v>1.026</c:v>
                </c:pt>
                <c:pt idx="342">
                  <c:v>1.0430000000000001</c:v>
                </c:pt>
                <c:pt idx="343">
                  <c:v>1.0489999999999999</c:v>
                </c:pt>
                <c:pt idx="344">
                  <c:v>1.08</c:v>
                </c:pt>
                <c:pt idx="345">
                  <c:v>1.032</c:v>
                </c:pt>
                <c:pt idx="346">
                  <c:v>1.0229999999999999</c:v>
                </c:pt>
                <c:pt idx="347">
                  <c:v>1.0140000000000002</c:v>
                </c:pt>
                <c:pt idx="348">
                  <c:v>1.0270000000000001</c:v>
                </c:pt>
                <c:pt idx="349">
                  <c:v>1.032</c:v>
                </c:pt>
                <c:pt idx="350">
                  <c:v>1.0389999999999999</c:v>
                </c:pt>
                <c:pt idx="351">
                  <c:v>1.026</c:v>
                </c:pt>
                <c:pt idx="352">
                  <c:v>0.98899999999999988</c:v>
                </c:pt>
                <c:pt idx="353">
                  <c:v>0.97999999999999976</c:v>
                </c:pt>
                <c:pt idx="354">
                  <c:v>0.96399999999999997</c:v>
                </c:pt>
                <c:pt idx="355">
                  <c:v>0.95199999999999974</c:v>
                </c:pt>
                <c:pt idx="356">
                  <c:v>0.9720000000000002</c:v>
                </c:pt>
                <c:pt idx="357">
                  <c:v>0.92999999999999972</c:v>
                </c:pt>
                <c:pt idx="358">
                  <c:v>0.94499999999999995</c:v>
                </c:pt>
                <c:pt idx="359">
                  <c:v>0.95599999999999996</c:v>
                </c:pt>
                <c:pt idx="360">
                  <c:v>0.95099999999999996</c:v>
                </c:pt>
                <c:pt idx="361">
                  <c:v>0.96499999999999997</c:v>
                </c:pt>
                <c:pt idx="362">
                  <c:v>0.97000000000000008</c:v>
                </c:pt>
                <c:pt idx="363">
                  <c:v>0.95500000000000007</c:v>
                </c:pt>
                <c:pt idx="364">
                  <c:v>0.94599999999999995</c:v>
                </c:pt>
                <c:pt idx="365">
                  <c:v>0.95199999999999996</c:v>
                </c:pt>
                <c:pt idx="366">
                  <c:v>0.94</c:v>
                </c:pt>
                <c:pt idx="367">
                  <c:v>0.95700000000000007</c:v>
                </c:pt>
                <c:pt idx="368">
                  <c:v>0.9840000000000001</c:v>
                </c:pt>
                <c:pt idx="369">
                  <c:v>0.96700000000000008</c:v>
                </c:pt>
                <c:pt idx="370">
                  <c:v>0.96600000000000008</c:v>
                </c:pt>
                <c:pt idx="371">
                  <c:v>0.98399999999999999</c:v>
                </c:pt>
                <c:pt idx="372">
                  <c:v>0.99099999999999999</c:v>
                </c:pt>
                <c:pt idx="373">
                  <c:v>0.999</c:v>
                </c:pt>
                <c:pt idx="374">
                  <c:v>0.99</c:v>
                </c:pt>
                <c:pt idx="375">
                  <c:v>1.002</c:v>
                </c:pt>
                <c:pt idx="376">
                  <c:v>0.996</c:v>
                </c:pt>
                <c:pt idx="377">
                  <c:v>0.97100000000000031</c:v>
                </c:pt>
                <c:pt idx="378">
                  <c:v>0.95300000000000007</c:v>
                </c:pt>
                <c:pt idx="379">
                  <c:v>0.9930000000000001</c:v>
                </c:pt>
                <c:pt idx="380">
                  <c:v>1</c:v>
                </c:pt>
                <c:pt idx="381">
                  <c:v>0.97599999999999998</c:v>
                </c:pt>
                <c:pt idx="382">
                  <c:v>0.9780000000000002</c:v>
                </c:pt>
                <c:pt idx="383">
                  <c:v>0.9830000000000001</c:v>
                </c:pt>
                <c:pt idx="384">
                  <c:v>0.99500000000000011</c:v>
                </c:pt>
                <c:pt idx="385">
                  <c:v>0.998</c:v>
                </c:pt>
                <c:pt idx="386">
                  <c:v>0.99699999999999989</c:v>
                </c:pt>
                <c:pt idx="387">
                  <c:v>1.0050000000000001</c:v>
                </c:pt>
                <c:pt idx="388">
                  <c:v>1.0599999999999998</c:v>
                </c:pt>
                <c:pt idx="389">
                  <c:v>1.0350000000000001</c:v>
                </c:pt>
                <c:pt idx="390">
                  <c:v>1.0139999999999998</c:v>
                </c:pt>
                <c:pt idx="391">
                  <c:v>1.0200000000000002</c:v>
                </c:pt>
                <c:pt idx="392">
                  <c:v>0.9830000000000001</c:v>
                </c:pt>
                <c:pt idx="393">
                  <c:v>0.98799999999999999</c:v>
                </c:pt>
                <c:pt idx="394">
                  <c:v>0.98</c:v>
                </c:pt>
                <c:pt idx="395">
                  <c:v>0.97099999999999986</c:v>
                </c:pt>
                <c:pt idx="396">
                  <c:v>0.97300000000000009</c:v>
                </c:pt>
                <c:pt idx="397">
                  <c:v>0.98899999999999988</c:v>
                </c:pt>
                <c:pt idx="398">
                  <c:v>0.99900000000000011</c:v>
                </c:pt>
                <c:pt idx="399">
                  <c:v>1.0129999999999999</c:v>
                </c:pt>
                <c:pt idx="400">
                  <c:v>0.97500000000000009</c:v>
                </c:pt>
                <c:pt idx="401">
                  <c:v>0.98399999999999999</c:v>
                </c:pt>
                <c:pt idx="402">
                  <c:v>0.99499999999999988</c:v>
                </c:pt>
                <c:pt idx="403">
                  <c:v>1.0380000000000003</c:v>
                </c:pt>
                <c:pt idx="404">
                  <c:v>0.99299999999999988</c:v>
                </c:pt>
                <c:pt idx="405">
                  <c:v>0.91899999999999982</c:v>
                </c:pt>
                <c:pt idx="406">
                  <c:v>0.85200000000000009</c:v>
                </c:pt>
                <c:pt idx="407">
                  <c:v>0.82500000000000018</c:v>
                </c:pt>
                <c:pt idx="408">
                  <c:v>0.82900000000000018</c:v>
                </c:pt>
                <c:pt idx="409">
                  <c:v>0.82200000000000006</c:v>
                </c:pt>
                <c:pt idx="410">
                  <c:v>0.8620000000000001</c:v>
                </c:pt>
                <c:pt idx="411">
                  <c:v>0.87300000000000022</c:v>
                </c:pt>
                <c:pt idx="412">
                  <c:v>0.8640000000000001</c:v>
                </c:pt>
                <c:pt idx="413">
                  <c:v>0.86899999999999999</c:v>
                </c:pt>
                <c:pt idx="414">
                  <c:v>0.90000000000000013</c:v>
                </c:pt>
                <c:pt idx="415">
                  <c:v>0.90500000000000003</c:v>
                </c:pt>
                <c:pt idx="416">
                  <c:v>0.89599999999999991</c:v>
                </c:pt>
                <c:pt idx="417">
                  <c:v>0.91800000000000004</c:v>
                </c:pt>
                <c:pt idx="418">
                  <c:v>0.91800000000000004</c:v>
                </c:pt>
                <c:pt idx="419">
                  <c:v>0.91399999999999992</c:v>
                </c:pt>
                <c:pt idx="420">
                  <c:v>0.92</c:v>
                </c:pt>
                <c:pt idx="421">
                  <c:v>0.9</c:v>
                </c:pt>
                <c:pt idx="422">
                  <c:v>0.88000000000000012</c:v>
                </c:pt>
                <c:pt idx="423">
                  <c:v>0.88400000000000012</c:v>
                </c:pt>
                <c:pt idx="424">
                  <c:v>0.8839999999999999</c:v>
                </c:pt>
                <c:pt idx="425">
                  <c:v>0.85699999999999998</c:v>
                </c:pt>
                <c:pt idx="426">
                  <c:v>0.87400000000000011</c:v>
                </c:pt>
                <c:pt idx="427">
                  <c:v>0.84599999999999997</c:v>
                </c:pt>
                <c:pt idx="428">
                  <c:v>0.8879999999999999</c:v>
                </c:pt>
                <c:pt idx="429">
                  <c:v>0.87000000000000011</c:v>
                </c:pt>
                <c:pt idx="430">
                  <c:v>0.83099999999999996</c:v>
                </c:pt>
                <c:pt idx="431">
                  <c:v>0.81600000000000006</c:v>
                </c:pt>
                <c:pt idx="432">
                  <c:v>0.81599999999999995</c:v>
                </c:pt>
                <c:pt idx="433">
                  <c:v>0.78300000000000003</c:v>
                </c:pt>
                <c:pt idx="434">
                  <c:v>0.78599999999999992</c:v>
                </c:pt>
                <c:pt idx="435">
                  <c:v>0.80299999999999994</c:v>
                </c:pt>
                <c:pt idx="436">
                  <c:v>0.755</c:v>
                </c:pt>
                <c:pt idx="437">
                  <c:v>0.7599999999999999</c:v>
                </c:pt>
                <c:pt idx="438">
                  <c:v>0.75800000000000001</c:v>
                </c:pt>
                <c:pt idx="439">
                  <c:v>0.7330000000000001</c:v>
                </c:pt>
                <c:pt idx="440">
                  <c:v>0.70499999999999996</c:v>
                </c:pt>
                <c:pt idx="441">
                  <c:v>0.71200000000000008</c:v>
                </c:pt>
                <c:pt idx="442">
                  <c:v>0.72699999999999998</c:v>
                </c:pt>
                <c:pt idx="443">
                  <c:v>0.71899999999999997</c:v>
                </c:pt>
                <c:pt idx="444">
                  <c:v>0.74900000000000011</c:v>
                </c:pt>
                <c:pt idx="445">
                  <c:v>0.74900000000000011</c:v>
                </c:pt>
                <c:pt idx="446">
                  <c:v>0.74900000000000011</c:v>
                </c:pt>
                <c:pt idx="447">
                  <c:v>0.74699999999999989</c:v>
                </c:pt>
                <c:pt idx="448">
                  <c:v>0.76200000000000001</c:v>
                </c:pt>
                <c:pt idx="449">
                  <c:v>0.747</c:v>
                </c:pt>
                <c:pt idx="450">
                  <c:v>0.80800000000000005</c:v>
                </c:pt>
                <c:pt idx="451">
                  <c:v>0.79200000000000004</c:v>
                </c:pt>
                <c:pt idx="452">
                  <c:v>0.79800000000000004</c:v>
                </c:pt>
                <c:pt idx="453">
                  <c:v>0.80599999999999994</c:v>
                </c:pt>
                <c:pt idx="454">
                  <c:v>0.77199999999999991</c:v>
                </c:pt>
                <c:pt idx="455">
                  <c:v>0.74599999999999989</c:v>
                </c:pt>
                <c:pt idx="456">
                  <c:v>0.71099999999999997</c:v>
                </c:pt>
                <c:pt idx="457">
                  <c:v>0.70500000000000007</c:v>
                </c:pt>
                <c:pt idx="458">
                  <c:v>0.69800000000000006</c:v>
                </c:pt>
                <c:pt idx="459">
                  <c:v>0.69699999999999995</c:v>
                </c:pt>
                <c:pt idx="460">
                  <c:v>0.68800000000000006</c:v>
                </c:pt>
                <c:pt idx="461">
                  <c:v>0.72000000000000008</c:v>
                </c:pt>
                <c:pt idx="462">
                  <c:v>0.72300000000000009</c:v>
                </c:pt>
                <c:pt idx="463">
                  <c:v>0.72100000000000009</c:v>
                </c:pt>
                <c:pt idx="464">
                  <c:v>0.73599999999999999</c:v>
                </c:pt>
                <c:pt idx="465">
                  <c:v>0.69400000000000006</c:v>
                </c:pt>
                <c:pt idx="466">
                  <c:v>0.70800000000000007</c:v>
                </c:pt>
                <c:pt idx="467">
                  <c:v>0.67300000000000004</c:v>
                </c:pt>
                <c:pt idx="468">
                  <c:v>0.61599999999999988</c:v>
                </c:pt>
                <c:pt idx="469">
                  <c:v>0.58199999999999996</c:v>
                </c:pt>
                <c:pt idx="470">
                  <c:v>0.56500000000000006</c:v>
                </c:pt>
                <c:pt idx="471">
                  <c:v>0.59499999999999997</c:v>
                </c:pt>
                <c:pt idx="472">
                  <c:v>0.55400000000000005</c:v>
                </c:pt>
                <c:pt idx="473">
                  <c:v>0.55200000000000005</c:v>
                </c:pt>
                <c:pt idx="474">
                  <c:v>0.57300000000000006</c:v>
                </c:pt>
                <c:pt idx="475">
                  <c:v>0.58599999999999997</c:v>
                </c:pt>
                <c:pt idx="476">
                  <c:v>0.55099999999999993</c:v>
                </c:pt>
                <c:pt idx="477">
                  <c:v>0.53700000000000003</c:v>
                </c:pt>
                <c:pt idx="478">
                  <c:v>0.52300000000000002</c:v>
                </c:pt>
                <c:pt idx="479">
                  <c:v>0.54900000000000004</c:v>
                </c:pt>
                <c:pt idx="480">
                  <c:v>0.55900000000000005</c:v>
                </c:pt>
                <c:pt idx="481">
                  <c:v>0.56399999999999995</c:v>
                </c:pt>
                <c:pt idx="482">
                  <c:v>0.57200000000000006</c:v>
                </c:pt>
                <c:pt idx="483">
                  <c:v>0.55900000000000005</c:v>
                </c:pt>
                <c:pt idx="484">
                  <c:v>0.57300000000000006</c:v>
                </c:pt>
                <c:pt idx="485">
                  <c:v>0.56600000000000006</c:v>
                </c:pt>
                <c:pt idx="486">
                  <c:v>0.53700000000000003</c:v>
                </c:pt>
                <c:pt idx="487">
                  <c:v>0.54499999999999993</c:v>
                </c:pt>
                <c:pt idx="488">
                  <c:v>0.53600000000000003</c:v>
                </c:pt>
                <c:pt idx="489">
                  <c:v>0.54099999999999993</c:v>
                </c:pt>
                <c:pt idx="490">
                  <c:v>0.53200000000000003</c:v>
                </c:pt>
                <c:pt idx="491">
                  <c:v>0.502</c:v>
                </c:pt>
                <c:pt idx="492">
                  <c:v>0.46900000000000008</c:v>
                </c:pt>
                <c:pt idx="493">
                  <c:v>0.46899999999999997</c:v>
                </c:pt>
                <c:pt idx="494">
                  <c:v>0.43100000000000005</c:v>
                </c:pt>
                <c:pt idx="495">
                  <c:v>0.40099999999999997</c:v>
                </c:pt>
                <c:pt idx="496">
                  <c:v>0.40400000000000003</c:v>
                </c:pt>
                <c:pt idx="497">
                  <c:v>0.35500000000000004</c:v>
                </c:pt>
                <c:pt idx="498">
                  <c:v>0.35599999999999998</c:v>
                </c:pt>
                <c:pt idx="499">
                  <c:v>0.34599999999999997</c:v>
                </c:pt>
                <c:pt idx="500">
                  <c:v>0.34699999999999998</c:v>
                </c:pt>
                <c:pt idx="501">
                  <c:v>0.33500000000000002</c:v>
                </c:pt>
                <c:pt idx="502">
                  <c:v>0.34600000000000003</c:v>
                </c:pt>
                <c:pt idx="503">
                  <c:v>0.34300000000000003</c:v>
                </c:pt>
                <c:pt idx="504">
                  <c:v>0.32400000000000001</c:v>
                </c:pt>
                <c:pt idx="505">
                  <c:v>0.317</c:v>
                </c:pt>
                <c:pt idx="506">
                  <c:v>0.30700000000000005</c:v>
                </c:pt>
                <c:pt idx="507">
                  <c:v>0.313</c:v>
                </c:pt>
                <c:pt idx="508">
                  <c:v>0.30399999999999999</c:v>
                </c:pt>
                <c:pt idx="509">
                  <c:v>0.313</c:v>
                </c:pt>
                <c:pt idx="510">
                  <c:v>0.30299999999999999</c:v>
                </c:pt>
                <c:pt idx="511">
                  <c:v>0.312</c:v>
                </c:pt>
                <c:pt idx="512">
                  <c:v>0.27600000000000002</c:v>
                </c:pt>
                <c:pt idx="513">
                  <c:v>0.27100000000000002</c:v>
                </c:pt>
                <c:pt idx="514">
                  <c:v>0.27199999999999996</c:v>
                </c:pt>
                <c:pt idx="515">
                  <c:v>0.27500000000000002</c:v>
                </c:pt>
                <c:pt idx="516">
                  <c:v>0.27700000000000002</c:v>
                </c:pt>
                <c:pt idx="517">
                  <c:v>0.26800000000000002</c:v>
                </c:pt>
                <c:pt idx="518">
                  <c:v>0.307</c:v>
                </c:pt>
                <c:pt idx="519">
                  <c:v>0.29499999999999998</c:v>
                </c:pt>
                <c:pt idx="520">
                  <c:v>0.32299999999999995</c:v>
                </c:pt>
                <c:pt idx="521">
                  <c:v>0.32399999999999995</c:v>
                </c:pt>
                <c:pt idx="522">
                  <c:v>0.33099999999999996</c:v>
                </c:pt>
                <c:pt idx="523">
                  <c:v>0.318</c:v>
                </c:pt>
                <c:pt idx="524">
                  <c:v>0.318</c:v>
                </c:pt>
                <c:pt idx="525">
                  <c:v>0.32</c:v>
                </c:pt>
                <c:pt idx="526">
                  <c:v>0.32100000000000001</c:v>
                </c:pt>
                <c:pt idx="527">
                  <c:v>0.318</c:v>
                </c:pt>
                <c:pt idx="528">
                  <c:v>0.311</c:v>
                </c:pt>
                <c:pt idx="529">
                  <c:v>0.30499999999999999</c:v>
                </c:pt>
                <c:pt idx="530">
                  <c:v>0.30199999999999999</c:v>
                </c:pt>
                <c:pt idx="531">
                  <c:v>0.3</c:v>
                </c:pt>
                <c:pt idx="532">
                  <c:v>0.29699999999999999</c:v>
                </c:pt>
                <c:pt idx="533">
                  <c:v>0.29799999999999999</c:v>
                </c:pt>
                <c:pt idx="534">
                  <c:v>0.29800000000000004</c:v>
                </c:pt>
                <c:pt idx="535">
                  <c:v>0.30299999999999999</c:v>
                </c:pt>
                <c:pt idx="536">
                  <c:v>0.3</c:v>
                </c:pt>
                <c:pt idx="537">
                  <c:v>0.307</c:v>
                </c:pt>
                <c:pt idx="538">
                  <c:v>0.30099999999999999</c:v>
                </c:pt>
                <c:pt idx="539">
                  <c:v>0.311</c:v>
                </c:pt>
                <c:pt idx="540">
                  <c:v>0.315</c:v>
                </c:pt>
                <c:pt idx="541">
                  <c:v>0.29699999999999999</c:v>
                </c:pt>
                <c:pt idx="542">
                  <c:v>0.31299999999999994</c:v>
                </c:pt>
                <c:pt idx="543">
                  <c:v>0.30399999999999999</c:v>
                </c:pt>
                <c:pt idx="544">
                  <c:v>0.309</c:v>
                </c:pt>
                <c:pt idx="545">
                  <c:v>0.30400000000000005</c:v>
                </c:pt>
                <c:pt idx="546">
                  <c:v>0.308</c:v>
                </c:pt>
                <c:pt idx="547">
                  <c:v>0.30299999999999999</c:v>
                </c:pt>
                <c:pt idx="548">
                  <c:v>0.30499999999999999</c:v>
                </c:pt>
                <c:pt idx="549">
                  <c:v>0.29799999999999999</c:v>
                </c:pt>
                <c:pt idx="550">
                  <c:v>0.29699999999999999</c:v>
                </c:pt>
                <c:pt idx="551">
                  <c:v>0.29400000000000004</c:v>
                </c:pt>
                <c:pt idx="552">
                  <c:v>0.307</c:v>
                </c:pt>
                <c:pt idx="553">
                  <c:v>0.30099999999999999</c:v>
                </c:pt>
                <c:pt idx="554">
                  <c:v>0.30299999999999999</c:v>
                </c:pt>
                <c:pt idx="555">
                  <c:v>0.307</c:v>
                </c:pt>
                <c:pt idx="556">
                  <c:v>0.307</c:v>
                </c:pt>
                <c:pt idx="557">
                  <c:v>0.308</c:v>
                </c:pt>
                <c:pt idx="558">
                  <c:v>0.29399999999999998</c:v>
                </c:pt>
                <c:pt idx="559">
                  <c:v>0.28899999999999998</c:v>
                </c:pt>
                <c:pt idx="560">
                  <c:v>0.29099999999999998</c:v>
                </c:pt>
                <c:pt idx="561">
                  <c:v>0.29100000000000004</c:v>
                </c:pt>
                <c:pt idx="562">
                  <c:v>0.28200000000000003</c:v>
                </c:pt>
                <c:pt idx="563">
                  <c:v>0.29200000000000004</c:v>
                </c:pt>
                <c:pt idx="564">
                  <c:v>0.32500000000000001</c:v>
                </c:pt>
                <c:pt idx="565">
                  <c:v>0.311</c:v>
                </c:pt>
                <c:pt idx="566">
                  <c:v>0.30100000000000005</c:v>
                </c:pt>
                <c:pt idx="567">
                  <c:v>0.29699999999999999</c:v>
                </c:pt>
                <c:pt idx="568">
                  <c:v>0.29399999999999998</c:v>
                </c:pt>
                <c:pt idx="569">
                  <c:v>0.28899999999999998</c:v>
                </c:pt>
                <c:pt idx="570">
                  <c:v>0.29299999999999998</c:v>
                </c:pt>
                <c:pt idx="571">
                  <c:v>0.28699999999999998</c:v>
                </c:pt>
                <c:pt idx="572">
                  <c:v>0.29000000000000004</c:v>
                </c:pt>
                <c:pt idx="573">
                  <c:v>0.29399999999999998</c:v>
                </c:pt>
                <c:pt idx="574">
                  <c:v>0.29699999999999999</c:v>
                </c:pt>
                <c:pt idx="575">
                  <c:v>0.30600000000000005</c:v>
                </c:pt>
                <c:pt idx="576">
                  <c:v>0.3</c:v>
                </c:pt>
                <c:pt idx="577">
                  <c:v>0.29100000000000004</c:v>
                </c:pt>
                <c:pt idx="578">
                  <c:v>0.30199999999999999</c:v>
                </c:pt>
                <c:pt idx="579">
                  <c:v>0.31</c:v>
                </c:pt>
                <c:pt idx="580">
                  <c:v>0.30399999999999999</c:v>
                </c:pt>
                <c:pt idx="581">
                  <c:v>0.32100000000000001</c:v>
                </c:pt>
                <c:pt idx="582">
                  <c:v>0.33199999999999996</c:v>
                </c:pt>
                <c:pt idx="583">
                  <c:v>0.33499999999999996</c:v>
                </c:pt>
                <c:pt idx="584">
                  <c:v>0.33399999999999996</c:v>
                </c:pt>
                <c:pt idx="585">
                  <c:v>0.33900000000000002</c:v>
                </c:pt>
                <c:pt idx="586">
                  <c:v>0.33300000000000002</c:v>
                </c:pt>
                <c:pt idx="587">
                  <c:v>0.32900000000000001</c:v>
                </c:pt>
                <c:pt idx="588">
                  <c:v>0.32900000000000001</c:v>
                </c:pt>
                <c:pt idx="589">
                  <c:v>0.32700000000000001</c:v>
                </c:pt>
                <c:pt idx="590">
                  <c:v>0.33900000000000002</c:v>
                </c:pt>
                <c:pt idx="591">
                  <c:v>0.32200000000000001</c:v>
                </c:pt>
                <c:pt idx="592">
                  <c:v>0.314</c:v>
                </c:pt>
                <c:pt idx="593">
                  <c:v>0.32200000000000001</c:v>
                </c:pt>
                <c:pt idx="594">
                  <c:v>0.32400000000000001</c:v>
                </c:pt>
                <c:pt idx="595">
                  <c:v>0.31100000000000005</c:v>
                </c:pt>
                <c:pt idx="596">
                  <c:v>0.307</c:v>
                </c:pt>
                <c:pt idx="597">
                  <c:v>0.313</c:v>
                </c:pt>
                <c:pt idx="598">
                  <c:v>0.30600000000000005</c:v>
                </c:pt>
                <c:pt idx="599">
                  <c:v>0.315</c:v>
                </c:pt>
                <c:pt idx="600">
                  <c:v>0.309</c:v>
                </c:pt>
                <c:pt idx="601">
                  <c:v>0.307</c:v>
                </c:pt>
                <c:pt idx="602">
                  <c:v>0.31900000000000001</c:v>
                </c:pt>
                <c:pt idx="603">
                  <c:v>0.32100000000000001</c:v>
                </c:pt>
                <c:pt idx="604">
                  <c:v>0.316</c:v>
                </c:pt>
                <c:pt idx="605">
                  <c:v>0.315</c:v>
                </c:pt>
                <c:pt idx="606">
                  <c:v>0.31900000000000001</c:v>
                </c:pt>
                <c:pt idx="607">
                  <c:v>0.32300000000000001</c:v>
                </c:pt>
                <c:pt idx="608">
                  <c:v>0.32900000000000001</c:v>
                </c:pt>
                <c:pt idx="609">
                  <c:v>0.32400000000000001</c:v>
                </c:pt>
                <c:pt idx="610">
                  <c:v>0.33299999999999996</c:v>
                </c:pt>
                <c:pt idx="611">
                  <c:v>0.33799999999999997</c:v>
                </c:pt>
                <c:pt idx="612">
                  <c:v>0.34099999999999997</c:v>
                </c:pt>
                <c:pt idx="613">
                  <c:v>0.33199999999999996</c:v>
                </c:pt>
                <c:pt idx="614">
                  <c:v>0.33099999999999996</c:v>
                </c:pt>
                <c:pt idx="615">
                  <c:v>0.33199999999999996</c:v>
                </c:pt>
                <c:pt idx="616">
                  <c:v>0.33499999999999996</c:v>
                </c:pt>
                <c:pt idx="617">
                  <c:v>0.33999999999999997</c:v>
                </c:pt>
                <c:pt idx="618">
                  <c:v>0.33999999999999997</c:v>
                </c:pt>
                <c:pt idx="619">
                  <c:v>0.33399999999999996</c:v>
                </c:pt>
                <c:pt idx="620">
                  <c:v>0.34600000000000003</c:v>
                </c:pt>
                <c:pt idx="621">
                  <c:v>0.32700000000000001</c:v>
                </c:pt>
                <c:pt idx="622">
                  <c:v>0.33200000000000002</c:v>
                </c:pt>
                <c:pt idx="623">
                  <c:v>0.32200000000000001</c:v>
                </c:pt>
                <c:pt idx="624">
                  <c:v>0.32800000000000001</c:v>
                </c:pt>
                <c:pt idx="625">
                  <c:v>0.33</c:v>
                </c:pt>
                <c:pt idx="626">
                  <c:v>0.33099999999999996</c:v>
                </c:pt>
                <c:pt idx="627">
                  <c:v>0.34199999999999997</c:v>
                </c:pt>
                <c:pt idx="628">
                  <c:v>0.34199999999999997</c:v>
                </c:pt>
                <c:pt idx="629">
                  <c:v>0.34399999999999997</c:v>
                </c:pt>
                <c:pt idx="630">
                  <c:v>0.34700000000000003</c:v>
                </c:pt>
                <c:pt idx="631">
                  <c:v>0.34400000000000003</c:v>
                </c:pt>
                <c:pt idx="632">
                  <c:v>0.35299999999999998</c:v>
                </c:pt>
                <c:pt idx="633">
                  <c:v>0.34199999999999997</c:v>
                </c:pt>
                <c:pt idx="634">
                  <c:v>0.32899999999999996</c:v>
                </c:pt>
                <c:pt idx="635">
                  <c:v>0.32199999999999995</c:v>
                </c:pt>
                <c:pt idx="636">
                  <c:v>0.33099999999999996</c:v>
                </c:pt>
                <c:pt idx="637">
                  <c:v>0.33700000000000002</c:v>
                </c:pt>
                <c:pt idx="638">
                  <c:v>0.33699999999999997</c:v>
                </c:pt>
                <c:pt idx="639">
                  <c:v>0.33500000000000002</c:v>
                </c:pt>
                <c:pt idx="640">
                  <c:v>0.32299999999999995</c:v>
                </c:pt>
                <c:pt idx="641">
                  <c:v>0.31900000000000001</c:v>
                </c:pt>
                <c:pt idx="642">
                  <c:v>0.32400000000000001</c:v>
                </c:pt>
                <c:pt idx="643">
                  <c:v>0.32400000000000001</c:v>
                </c:pt>
                <c:pt idx="644">
                  <c:v>0.33099999999999996</c:v>
                </c:pt>
                <c:pt idx="645">
                  <c:v>0.33399999999999996</c:v>
                </c:pt>
                <c:pt idx="646">
                  <c:v>0.33200000000000002</c:v>
                </c:pt>
                <c:pt idx="647">
                  <c:v>0.32500000000000001</c:v>
                </c:pt>
                <c:pt idx="648">
                  <c:v>0.33</c:v>
                </c:pt>
                <c:pt idx="649">
                  <c:v>0.33099999999999996</c:v>
                </c:pt>
                <c:pt idx="650">
                  <c:v>0.32599999999999996</c:v>
                </c:pt>
                <c:pt idx="651">
                  <c:v>0.33200000000000002</c:v>
                </c:pt>
                <c:pt idx="652">
                  <c:v>0.33799999999999997</c:v>
                </c:pt>
                <c:pt idx="653">
                  <c:v>0.33800000000000002</c:v>
                </c:pt>
                <c:pt idx="654">
                  <c:v>0.36899999999999999</c:v>
                </c:pt>
                <c:pt idx="655">
                  <c:v>0.36899999999999999</c:v>
                </c:pt>
                <c:pt idx="656">
                  <c:v>0.377</c:v>
                </c:pt>
                <c:pt idx="657">
                  <c:v>0.374</c:v>
                </c:pt>
                <c:pt idx="658">
                  <c:v>0.38100000000000001</c:v>
                </c:pt>
                <c:pt idx="659">
                  <c:v>0.38500000000000001</c:v>
                </c:pt>
                <c:pt idx="660">
                  <c:v>0.38800000000000001</c:v>
                </c:pt>
                <c:pt idx="661">
                  <c:v>0.36799999999999999</c:v>
                </c:pt>
                <c:pt idx="662">
                  <c:v>0.39300000000000002</c:v>
                </c:pt>
                <c:pt idx="663">
                  <c:v>0.38900000000000001</c:v>
                </c:pt>
                <c:pt idx="664">
                  <c:v>0.38900000000000001</c:v>
                </c:pt>
                <c:pt idx="665">
                  <c:v>0.38200000000000001</c:v>
                </c:pt>
                <c:pt idx="666">
                  <c:v>0.379</c:v>
                </c:pt>
                <c:pt idx="667">
                  <c:v>0.36699999999999999</c:v>
                </c:pt>
                <c:pt idx="668">
                  <c:v>0.36699999999999999</c:v>
                </c:pt>
                <c:pt idx="669">
                  <c:v>0.36699999999999999</c:v>
                </c:pt>
                <c:pt idx="670">
                  <c:v>0.371</c:v>
                </c:pt>
                <c:pt idx="671">
                  <c:v>0.37</c:v>
                </c:pt>
                <c:pt idx="672">
                  <c:v>0.36699999999999999</c:v>
                </c:pt>
                <c:pt idx="673">
                  <c:v>0.36099999999999999</c:v>
                </c:pt>
                <c:pt idx="674">
                  <c:v>0.36199999999999999</c:v>
                </c:pt>
                <c:pt idx="675">
                  <c:v>0.35299999999999998</c:v>
                </c:pt>
                <c:pt idx="676">
                  <c:v>0.35799999999999998</c:v>
                </c:pt>
                <c:pt idx="677">
                  <c:v>0.35399999999999998</c:v>
                </c:pt>
                <c:pt idx="678">
                  <c:v>0.36</c:v>
                </c:pt>
                <c:pt idx="679">
                  <c:v>0.36499999999999999</c:v>
                </c:pt>
                <c:pt idx="680">
                  <c:v>0.36499999999999999</c:v>
                </c:pt>
                <c:pt idx="681">
                  <c:v>0.36199999999999999</c:v>
                </c:pt>
                <c:pt idx="682">
                  <c:v>0.38300000000000001</c:v>
                </c:pt>
                <c:pt idx="683">
                  <c:v>0.38500000000000001</c:v>
                </c:pt>
                <c:pt idx="684">
                  <c:v>0.41</c:v>
                </c:pt>
                <c:pt idx="685">
                  <c:v>0.13300000000000001</c:v>
                </c:pt>
                <c:pt idx="686">
                  <c:v>0.14499999999999999</c:v>
                </c:pt>
                <c:pt idx="687">
                  <c:v>0.13900000000000001</c:v>
                </c:pt>
                <c:pt idx="688">
                  <c:v>0.14300000000000002</c:v>
                </c:pt>
                <c:pt idx="689">
                  <c:v>0.13600000000000001</c:v>
                </c:pt>
                <c:pt idx="690">
                  <c:v>0.13600000000000001</c:v>
                </c:pt>
                <c:pt idx="691">
                  <c:v>0.13200000000000001</c:v>
                </c:pt>
                <c:pt idx="692">
                  <c:v>0.129</c:v>
                </c:pt>
                <c:pt idx="693">
                  <c:v>0.13</c:v>
                </c:pt>
                <c:pt idx="694">
                  <c:v>0.10899999999999999</c:v>
                </c:pt>
                <c:pt idx="695">
                  <c:v>0.12200000000000001</c:v>
                </c:pt>
                <c:pt idx="696">
                  <c:v>0.11700000000000001</c:v>
                </c:pt>
                <c:pt idx="697">
                  <c:v>0.13300000000000001</c:v>
                </c:pt>
                <c:pt idx="698">
                  <c:v>0.13400000000000001</c:v>
                </c:pt>
                <c:pt idx="699">
                  <c:v>0.14000000000000001</c:v>
                </c:pt>
                <c:pt idx="700">
                  <c:v>0.14600000000000002</c:v>
                </c:pt>
                <c:pt idx="701">
                  <c:v>0.14700000000000002</c:v>
                </c:pt>
                <c:pt idx="702">
                  <c:v>0.16500000000000001</c:v>
                </c:pt>
                <c:pt idx="703">
                  <c:v>0.17</c:v>
                </c:pt>
                <c:pt idx="704">
                  <c:v>0.17099999999999999</c:v>
                </c:pt>
                <c:pt idx="705">
                  <c:v>0.183</c:v>
                </c:pt>
                <c:pt idx="706">
                  <c:v>0.19299999999999998</c:v>
                </c:pt>
                <c:pt idx="707">
                  <c:v>0.186</c:v>
                </c:pt>
                <c:pt idx="708">
                  <c:v>0.19</c:v>
                </c:pt>
                <c:pt idx="709">
                  <c:v>0.19399999999999998</c:v>
                </c:pt>
                <c:pt idx="710">
                  <c:v>0.187</c:v>
                </c:pt>
                <c:pt idx="711">
                  <c:v>0.19400000000000003</c:v>
                </c:pt>
                <c:pt idx="712">
                  <c:v>0.19</c:v>
                </c:pt>
                <c:pt idx="713">
                  <c:v>0.188</c:v>
                </c:pt>
                <c:pt idx="714">
                  <c:v>0.18200000000000002</c:v>
                </c:pt>
                <c:pt idx="715">
                  <c:v>0.18200000000000002</c:v>
                </c:pt>
                <c:pt idx="716">
                  <c:v>0.18200000000000002</c:v>
                </c:pt>
                <c:pt idx="717">
                  <c:v>0.17699999999999999</c:v>
                </c:pt>
                <c:pt idx="718">
                  <c:v>0.17699999999999999</c:v>
                </c:pt>
                <c:pt idx="719">
                  <c:v>0.183</c:v>
                </c:pt>
                <c:pt idx="720">
                  <c:v>0.18999999999999997</c:v>
                </c:pt>
                <c:pt idx="721">
                  <c:v>0.19500000000000001</c:v>
                </c:pt>
                <c:pt idx="722">
                  <c:v>0.19099999999999998</c:v>
                </c:pt>
                <c:pt idx="723">
                  <c:v>0.19400000000000003</c:v>
                </c:pt>
                <c:pt idx="724">
                  <c:v>0.184</c:v>
                </c:pt>
                <c:pt idx="725">
                  <c:v>0.18</c:v>
                </c:pt>
                <c:pt idx="726">
                  <c:v>0.16800000000000001</c:v>
                </c:pt>
                <c:pt idx="727">
                  <c:v>0.185</c:v>
                </c:pt>
                <c:pt idx="728">
                  <c:v>0.19300000000000003</c:v>
                </c:pt>
                <c:pt idx="729">
                  <c:v>0.21200000000000002</c:v>
                </c:pt>
                <c:pt idx="730">
                  <c:v>0.22499999999999998</c:v>
                </c:pt>
                <c:pt idx="731">
                  <c:v>0.21000000000000002</c:v>
                </c:pt>
                <c:pt idx="732">
                  <c:v>0.219</c:v>
                </c:pt>
                <c:pt idx="733">
                  <c:v>0.21599999999999997</c:v>
                </c:pt>
                <c:pt idx="734">
                  <c:v>0.19900000000000001</c:v>
                </c:pt>
                <c:pt idx="735">
                  <c:v>0.20399999999999999</c:v>
                </c:pt>
                <c:pt idx="736">
                  <c:v>0.2</c:v>
                </c:pt>
                <c:pt idx="737">
                  <c:v>0.18899999999999997</c:v>
                </c:pt>
                <c:pt idx="738">
                  <c:v>0.20199999999999999</c:v>
                </c:pt>
                <c:pt idx="739">
                  <c:v>0.19700000000000001</c:v>
                </c:pt>
                <c:pt idx="740">
                  <c:v>0.187</c:v>
                </c:pt>
                <c:pt idx="741">
                  <c:v>0.18100000000000002</c:v>
                </c:pt>
                <c:pt idx="742">
                  <c:v>0.186</c:v>
                </c:pt>
                <c:pt idx="743">
                  <c:v>0.189</c:v>
                </c:pt>
                <c:pt idx="744">
                  <c:v>0.19300000000000003</c:v>
                </c:pt>
                <c:pt idx="745">
                  <c:v>0.18</c:v>
                </c:pt>
                <c:pt idx="746">
                  <c:v>0.19699999999999998</c:v>
                </c:pt>
                <c:pt idx="747">
                  <c:v>0.16699999999999998</c:v>
                </c:pt>
                <c:pt idx="748">
                  <c:v>0.14899999999999997</c:v>
                </c:pt>
                <c:pt idx="749">
                  <c:v>0.14200000000000002</c:v>
                </c:pt>
                <c:pt idx="750">
                  <c:v>0.128</c:v>
                </c:pt>
                <c:pt idx="751">
                  <c:v>8.8000000000000023E-2</c:v>
                </c:pt>
                <c:pt idx="752">
                  <c:v>4.7999999999999987E-2</c:v>
                </c:pt>
                <c:pt idx="753">
                  <c:v>3.7000000000000033E-2</c:v>
                </c:pt>
                <c:pt idx="754">
                  <c:v>7.5000000000000011E-2</c:v>
                </c:pt>
                <c:pt idx="755">
                  <c:v>2.8000000000000025E-2</c:v>
                </c:pt>
                <c:pt idx="756">
                  <c:v>4.0000000000000036E-2</c:v>
                </c:pt>
                <c:pt idx="757">
                  <c:v>5.5000000000000049E-2</c:v>
                </c:pt>
                <c:pt idx="758">
                  <c:v>6.5000000000000002E-2</c:v>
                </c:pt>
                <c:pt idx="759">
                  <c:v>0.06</c:v>
                </c:pt>
                <c:pt idx="760">
                  <c:v>7.0000000000000007E-2</c:v>
                </c:pt>
                <c:pt idx="761">
                  <c:v>7.3000000000000009E-2</c:v>
                </c:pt>
                <c:pt idx="762">
                  <c:v>7.9000000000000015E-2</c:v>
                </c:pt>
                <c:pt idx="763">
                  <c:v>7.1000000000000008E-2</c:v>
                </c:pt>
                <c:pt idx="764">
                  <c:v>7.5000000000000067E-2</c:v>
                </c:pt>
                <c:pt idx="765">
                  <c:v>7.1000000000000008E-2</c:v>
                </c:pt>
                <c:pt idx="766">
                  <c:v>6.3E-2</c:v>
                </c:pt>
                <c:pt idx="767">
                  <c:v>5.8000000000000052E-2</c:v>
                </c:pt>
                <c:pt idx="768">
                  <c:v>5.4000000000000048E-2</c:v>
                </c:pt>
                <c:pt idx="769">
                  <c:v>4.6000000000000041E-2</c:v>
                </c:pt>
                <c:pt idx="770">
                  <c:v>5.8000000000000052E-2</c:v>
                </c:pt>
                <c:pt idx="771">
                  <c:v>4.9000000000000044E-2</c:v>
                </c:pt>
                <c:pt idx="772">
                  <c:v>3.7000000000000033E-2</c:v>
                </c:pt>
                <c:pt idx="773">
                  <c:v>8.9999999999999525E-3</c:v>
                </c:pt>
                <c:pt idx="774">
                  <c:v>1.9000000000000017E-2</c:v>
                </c:pt>
                <c:pt idx="775">
                  <c:v>2.300000000000002E-2</c:v>
                </c:pt>
                <c:pt idx="776">
                  <c:v>1.9000000000000017E-2</c:v>
                </c:pt>
                <c:pt idx="777">
                  <c:v>1.100000000000001E-2</c:v>
                </c:pt>
                <c:pt idx="778">
                  <c:v>4.9999999999999933E-2</c:v>
                </c:pt>
                <c:pt idx="779">
                  <c:v>5.699999999999994E-2</c:v>
                </c:pt>
                <c:pt idx="780">
                  <c:v>5.2999999999999936E-2</c:v>
                </c:pt>
                <c:pt idx="781">
                  <c:v>5.2999999999999936E-2</c:v>
                </c:pt>
                <c:pt idx="782">
                  <c:v>5.2999999999999936E-2</c:v>
                </c:pt>
                <c:pt idx="783">
                  <c:v>4.8999999999999932E-2</c:v>
                </c:pt>
                <c:pt idx="784">
                  <c:v>4.599999999999993E-2</c:v>
                </c:pt>
                <c:pt idx="785">
                  <c:v>4.3000000000000038E-2</c:v>
                </c:pt>
                <c:pt idx="786">
                  <c:v>4.3000000000000038E-2</c:v>
                </c:pt>
                <c:pt idx="787">
                  <c:v>4.3000000000000038E-2</c:v>
                </c:pt>
                <c:pt idx="788">
                  <c:v>6.2999999999999945E-2</c:v>
                </c:pt>
                <c:pt idx="789">
                  <c:v>6.1999999999999944E-2</c:v>
                </c:pt>
                <c:pt idx="790">
                  <c:v>5.5999999999999939E-2</c:v>
                </c:pt>
                <c:pt idx="791">
                  <c:v>4.9999999999999933E-2</c:v>
                </c:pt>
                <c:pt idx="792">
                  <c:v>5.3999999999999937E-2</c:v>
                </c:pt>
                <c:pt idx="793">
                  <c:v>5.799999999999994E-2</c:v>
                </c:pt>
                <c:pt idx="794">
                  <c:v>5.7000000000000051E-2</c:v>
                </c:pt>
                <c:pt idx="795">
                  <c:v>7.5999999999999956E-2</c:v>
                </c:pt>
                <c:pt idx="796">
                  <c:v>6.5999999999999948E-2</c:v>
                </c:pt>
                <c:pt idx="797">
                  <c:v>6.6999999999999948E-2</c:v>
                </c:pt>
                <c:pt idx="798">
                  <c:v>6.6999999999999948E-2</c:v>
                </c:pt>
                <c:pt idx="799">
                  <c:v>6.4999999999999947E-2</c:v>
                </c:pt>
                <c:pt idx="800">
                  <c:v>5.4000000000000048E-2</c:v>
                </c:pt>
                <c:pt idx="801">
                  <c:v>5.1000000000000045E-2</c:v>
                </c:pt>
                <c:pt idx="802">
                  <c:v>4.500000000000004E-2</c:v>
                </c:pt>
                <c:pt idx="803">
                  <c:v>5.0000000000000044E-2</c:v>
                </c:pt>
                <c:pt idx="804">
                  <c:v>6.4999999999999947E-2</c:v>
                </c:pt>
                <c:pt idx="805">
                  <c:v>7.2999999999999954E-2</c:v>
                </c:pt>
                <c:pt idx="806">
                  <c:v>0.10799999999999998</c:v>
                </c:pt>
                <c:pt idx="807">
                  <c:v>0.15399999999999997</c:v>
                </c:pt>
                <c:pt idx="808">
                  <c:v>0.18799999999999994</c:v>
                </c:pt>
                <c:pt idx="809">
                  <c:v>0.21599999999999997</c:v>
                </c:pt>
                <c:pt idx="810">
                  <c:v>0.21699999999999997</c:v>
                </c:pt>
                <c:pt idx="811">
                  <c:v>0.22599999999999998</c:v>
                </c:pt>
                <c:pt idx="812">
                  <c:v>0.22200000000000003</c:v>
                </c:pt>
                <c:pt idx="813">
                  <c:v>0.21499999999999997</c:v>
                </c:pt>
                <c:pt idx="814">
                  <c:v>0.21600000000000003</c:v>
                </c:pt>
                <c:pt idx="815">
                  <c:v>0.21500000000000002</c:v>
                </c:pt>
                <c:pt idx="816">
                  <c:v>0.21500000000000002</c:v>
                </c:pt>
                <c:pt idx="817">
                  <c:v>0.20800000000000002</c:v>
                </c:pt>
                <c:pt idx="818">
                  <c:v>0.21499999999999997</c:v>
                </c:pt>
                <c:pt idx="819">
                  <c:v>0.22300000000000003</c:v>
                </c:pt>
                <c:pt idx="820">
                  <c:v>0.23399999999999999</c:v>
                </c:pt>
                <c:pt idx="821">
                  <c:v>0.23899999999999999</c:v>
                </c:pt>
                <c:pt idx="822">
                  <c:v>0.245</c:v>
                </c:pt>
                <c:pt idx="823">
                  <c:v>0.245</c:v>
                </c:pt>
                <c:pt idx="824">
                  <c:v>0.25800000000000001</c:v>
                </c:pt>
                <c:pt idx="825">
                  <c:v>0.249</c:v>
                </c:pt>
                <c:pt idx="826">
                  <c:v>0.254</c:v>
                </c:pt>
                <c:pt idx="827">
                  <c:v>0.26300000000000001</c:v>
                </c:pt>
                <c:pt idx="828">
                  <c:v>0.26100000000000001</c:v>
                </c:pt>
                <c:pt idx="829">
                  <c:v>0.25599999999999995</c:v>
                </c:pt>
                <c:pt idx="830">
                  <c:v>0.26099999999999995</c:v>
                </c:pt>
                <c:pt idx="831">
                  <c:v>0.29599999999999993</c:v>
                </c:pt>
                <c:pt idx="832">
                  <c:v>0.31199999999999994</c:v>
                </c:pt>
                <c:pt idx="833">
                  <c:v>0.316</c:v>
                </c:pt>
                <c:pt idx="834">
                  <c:v>0.32300000000000001</c:v>
                </c:pt>
                <c:pt idx="835">
                  <c:v>0.28499999999999998</c:v>
                </c:pt>
                <c:pt idx="836">
                  <c:v>0.28999999999999998</c:v>
                </c:pt>
                <c:pt idx="837">
                  <c:v>0.27799999999999997</c:v>
                </c:pt>
                <c:pt idx="838">
                  <c:v>0.31700000000000006</c:v>
                </c:pt>
                <c:pt idx="839">
                  <c:v>0.30800000000000005</c:v>
                </c:pt>
                <c:pt idx="840">
                  <c:v>0.32500000000000001</c:v>
                </c:pt>
                <c:pt idx="841">
                  <c:v>0.32800000000000001</c:v>
                </c:pt>
                <c:pt idx="842">
                  <c:v>0.313</c:v>
                </c:pt>
                <c:pt idx="843">
                  <c:v>0.32400000000000001</c:v>
                </c:pt>
                <c:pt idx="844">
                  <c:v>0.33100000000000002</c:v>
                </c:pt>
                <c:pt idx="845">
                  <c:v>0.34200000000000003</c:v>
                </c:pt>
                <c:pt idx="846">
                  <c:v>0.34400000000000003</c:v>
                </c:pt>
                <c:pt idx="847">
                  <c:v>0.32300000000000001</c:v>
                </c:pt>
                <c:pt idx="848">
                  <c:v>0.33100000000000007</c:v>
                </c:pt>
                <c:pt idx="849">
                  <c:v>0.22000000000000003</c:v>
                </c:pt>
                <c:pt idx="850">
                  <c:v>0.22500000000000003</c:v>
                </c:pt>
                <c:pt idx="851">
                  <c:v>0.21200000000000002</c:v>
                </c:pt>
                <c:pt idx="852">
                  <c:v>0.21700000000000003</c:v>
                </c:pt>
                <c:pt idx="853">
                  <c:v>0.20800000000000002</c:v>
                </c:pt>
                <c:pt idx="854">
                  <c:v>0.22200000000000003</c:v>
                </c:pt>
                <c:pt idx="855">
                  <c:v>0.21299999999999997</c:v>
                </c:pt>
                <c:pt idx="856">
                  <c:v>0.21000000000000002</c:v>
                </c:pt>
                <c:pt idx="857">
                  <c:v>0.21299999999999997</c:v>
                </c:pt>
                <c:pt idx="858">
                  <c:v>0.21399999999999997</c:v>
                </c:pt>
                <c:pt idx="859">
                  <c:v>0.22299999999999998</c:v>
                </c:pt>
                <c:pt idx="860">
                  <c:v>0.23299999999999998</c:v>
                </c:pt>
                <c:pt idx="861">
                  <c:v>0.221</c:v>
                </c:pt>
                <c:pt idx="862">
                  <c:v>0.22900000000000004</c:v>
                </c:pt>
                <c:pt idx="863">
                  <c:v>0.23699999999999999</c:v>
                </c:pt>
                <c:pt idx="864">
                  <c:v>0.23200000000000001</c:v>
                </c:pt>
                <c:pt idx="865">
                  <c:v>0.23899999999999999</c:v>
                </c:pt>
                <c:pt idx="866">
                  <c:v>0.23899999999999999</c:v>
                </c:pt>
                <c:pt idx="867">
                  <c:v>0.23799999999999999</c:v>
                </c:pt>
                <c:pt idx="868">
                  <c:v>0.248</c:v>
                </c:pt>
                <c:pt idx="869">
                  <c:v>0.23900000000000002</c:v>
                </c:pt>
                <c:pt idx="870">
                  <c:v>0.24099999999999996</c:v>
                </c:pt>
                <c:pt idx="871">
                  <c:v>0.22999999999999998</c:v>
                </c:pt>
                <c:pt idx="872">
                  <c:v>0.23299999999999998</c:v>
                </c:pt>
                <c:pt idx="873">
                  <c:v>0.22800000000000001</c:v>
                </c:pt>
                <c:pt idx="874">
                  <c:v>0.23499999999999999</c:v>
                </c:pt>
                <c:pt idx="875">
                  <c:v>0.247</c:v>
                </c:pt>
                <c:pt idx="876">
                  <c:v>0.23899999999999999</c:v>
                </c:pt>
                <c:pt idx="877">
                  <c:v>0.24099999999999996</c:v>
                </c:pt>
                <c:pt idx="878">
                  <c:v>0.24400000000000002</c:v>
                </c:pt>
                <c:pt idx="879">
                  <c:v>0.24900000000000003</c:v>
                </c:pt>
                <c:pt idx="880">
                  <c:v>0.247</c:v>
                </c:pt>
                <c:pt idx="881">
                  <c:v>0.24199999999999999</c:v>
                </c:pt>
                <c:pt idx="882">
                  <c:v>0.23500000000000001</c:v>
                </c:pt>
                <c:pt idx="883">
                  <c:v>0.26</c:v>
                </c:pt>
                <c:pt idx="884">
                  <c:v>0.26700000000000002</c:v>
                </c:pt>
                <c:pt idx="885">
                  <c:v>0.29000000000000004</c:v>
                </c:pt>
                <c:pt idx="886">
                  <c:v>0.28400000000000003</c:v>
                </c:pt>
                <c:pt idx="887">
                  <c:v>0.28500000000000003</c:v>
                </c:pt>
                <c:pt idx="888">
                  <c:v>0.29500000000000004</c:v>
                </c:pt>
                <c:pt idx="889">
                  <c:v>0.30600000000000005</c:v>
                </c:pt>
                <c:pt idx="890">
                  <c:v>0.29800000000000004</c:v>
                </c:pt>
                <c:pt idx="891">
                  <c:v>0.30600000000000005</c:v>
                </c:pt>
                <c:pt idx="892">
                  <c:v>0.30199999999999999</c:v>
                </c:pt>
                <c:pt idx="893">
                  <c:v>0.309</c:v>
                </c:pt>
                <c:pt idx="894">
                  <c:v>0.312</c:v>
                </c:pt>
                <c:pt idx="895">
                  <c:v>0.30500000000000005</c:v>
                </c:pt>
                <c:pt idx="896">
                  <c:v>0.30399999999999999</c:v>
                </c:pt>
                <c:pt idx="897">
                  <c:v>0.308</c:v>
                </c:pt>
                <c:pt idx="898">
                  <c:v>0.30300000000000005</c:v>
                </c:pt>
                <c:pt idx="899">
                  <c:v>0.31100000000000005</c:v>
                </c:pt>
                <c:pt idx="900">
                  <c:v>0.29500000000000004</c:v>
                </c:pt>
                <c:pt idx="901">
                  <c:v>0.28900000000000003</c:v>
                </c:pt>
                <c:pt idx="902">
                  <c:v>0.28400000000000003</c:v>
                </c:pt>
                <c:pt idx="903">
                  <c:v>0.308</c:v>
                </c:pt>
                <c:pt idx="904">
                  <c:v>0.312</c:v>
                </c:pt>
                <c:pt idx="905">
                  <c:v>0.35099999999999998</c:v>
                </c:pt>
                <c:pt idx="906">
                  <c:v>0.34900000000000003</c:v>
                </c:pt>
                <c:pt idx="907">
                  <c:v>0.34899999999999998</c:v>
                </c:pt>
                <c:pt idx="908">
                  <c:v>0.34899999999999998</c:v>
                </c:pt>
                <c:pt idx="909">
                  <c:v>0.36099999999999999</c:v>
                </c:pt>
                <c:pt idx="910">
                  <c:v>0.374</c:v>
                </c:pt>
                <c:pt idx="911">
                  <c:v>0.36899999999999999</c:v>
                </c:pt>
                <c:pt idx="912">
                  <c:v>0.373</c:v>
                </c:pt>
                <c:pt idx="913">
                  <c:v>0.39200000000000002</c:v>
                </c:pt>
                <c:pt idx="914">
                  <c:v>0.41899999999999998</c:v>
                </c:pt>
                <c:pt idx="915">
                  <c:v>0.42399999999999999</c:v>
                </c:pt>
                <c:pt idx="916">
                  <c:v>0.41399999999999998</c:v>
                </c:pt>
                <c:pt idx="917">
                  <c:v>0.41200000000000003</c:v>
                </c:pt>
                <c:pt idx="918">
                  <c:v>0.38999999999999996</c:v>
                </c:pt>
                <c:pt idx="919">
                  <c:v>0.40300000000000002</c:v>
                </c:pt>
                <c:pt idx="920">
                  <c:v>0.39099999999999996</c:v>
                </c:pt>
                <c:pt idx="921">
                  <c:v>0.40499999999999997</c:v>
                </c:pt>
                <c:pt idx="922">
                  <c:v>0.42400000000000004</c:v>
                </c:pt>
                <c:pt idx="923">
                  <c:v>0.45</c:v>
                </c:pt>
                <c:pt idx="924">
                  <c:v>0.44900000000000001</c:v>
                </c:pt>
                <c:pt idx="925">
                  <c:v>0.46200000000000002</c:v>
                </c:pt>
                <c:pt idx="926">
                  <c:v>0.46599999999999997</c:v>
                </c:pt>
                <c:pt idx="927">
                  <c:v>0.43100000000000005</c:v>
                </c:pt>
                <c:pt idx="928">
                  <c:v>0.4</c:v>
                </c:pt>
                <c:pt idx="929">
                  <c:v>0.39900000000000002</c:v>
                </c:pt>
                <c:pt idx="930">
                  <c:v>0.43400000000000005</c:v>
                </c:pt>
                <c:pt idx="931">
                  <c:v>0.496</c:v>
                </c:pt>
                <c:pt idx="932">
                  <c:v>0.54299999999999993</c:v>
                </c:pt>
                <c:pt idx="933">
                  <c:v>0.65199999999999991</c:v>
                </c:pt>
                <c:pt idx="934">
                  <c:v>0.71500000000000008</c:v>
                </c:pt>
                <c:pt idx="935">
                  <c:v>0.70399999999999996</c:v>
                </c:pt>
                <c:pt idx="936">
                  <c:v>0.72699999999999998</c:v>
                </c:pt>
                <c:pt idx="937">
                  <c:v>0.78200000000000003</c:v>
                </c:pt>
                <c:pt idx="938">
                  <c:v>0.82699999999999996</c:v>
                </c:pt>
                <c:pt idx="939">
                  <c:v>0.92100000000000004</c:v>
                </c:pt>
                <c:pt idx="940">
                  <c:v>0.998</c:v>
                </c:pt>
                <c:pt idx="941">
                  <c:v>1.0649999999999999</c:v>
                </c:pt>
                <c:pt idx="942">
                  <c:v>1.0579999999999998</c:v>
                </c:pt>
                <c:pt idx="943">
                  <c:v>1.079</c:v>
                </c:pt>
                <c:pt idx="944">
                  <c:v>1.127</c:v>
                </c:pt>
                <c:pt idx="945">
                  <c:v>1.1970000000000001</c:v>
                </c:pt>
                <c:pt idx="946">
                  <c:v>1.206</c:v>
                </c:pt>
                <c:pt idx="947">
                  <c:v>1.2110000000000001</c:v>
                </c:pt>
                <c:pt idx="948">
                  <c:v>1.22</c:v>
                </c:pt>
                <c:pt idx="949">
                  <c:v>1.2490000000000001</c:v>
                </c:pt>
                <c:pt idx="950">
                  <c:v>1.258</c:v>
                </c:pt>
                <c:pt idx="951">
                  <c:v>1.2789999999999999</c:v>
                </c:pt>
                <c:pt idx="952">
                  <c:v>1.274</c:v>
                </c:pt>
                <c:pt idx="953">
                  <c:v>1.248</c:v>
                </c:pt>
                <c:pt idx="954">
                  <c:v>1.198</c:v>
                </c:pt>
                <c:pt idx="955">
                  <c:v>1.2269999999999999</c:v>
                </c:pt>
                <c:pt idx="956">
                  <c:v>1.2269999999999999</c:v>
                </c:pt>
                <c:pt idx="957">
                  <c:v>1.198</c:v>
                </c:pt>
                <c:pt idx="958">
                  <c:v>1.24</c:v>
                </c:pt>
                <c:pt idx="959">
                  <c:v>1.2390000000000001</c:v>
                </c:pt>
                <c:pt idx="960">
                  <c:v>1.27</c:v>
                </c:pt>
                <c:pt idx="961">
                  <c:v>1.2549999999999999</c:v>
                </c:pt>
                <c:pt idx="962">
                  <c:v>1.2469999999999999</c:v>
                </c:pt>
                <c:pt idx="963">
                  <c:v>1.2589999999999999</c:v>
                </c:pt>
                <c:pt idx="964">
                  <c:v>1.1850000000000001</c:v>
                </c:pt>
                <c:pt idx="965">
                  <c:v>1.1339999999999999</c:v>
                </c:pt>
                <c:pt idx="966">
                  <c:v>1.1120000000000001</c:v>
                </c:pt>
                <c:pt idx="967">
                  <c:v>1.1240000000000001</c:v>
                </c:pt>
                <c:pt idx="968">
                  <c:v>1.0640000000000001</c:v>
                </c:pt>
                <c:pt idx="969">
                  <c:v>1.0329999999999999</c:v>
                </c:pt>
                <c:pt idx="970">
                  <c:v>1.0329999999999999</c:v>
                </c:pt>
                <c:pt idx="971">
                  <c:v>1.0329999999999999</c:v>
                </c:pt>
                <c:pt idx="972">
                  <c:v>1.0509999999999999</c:v>
                </c:pt>
                <c:pt idx="973">
                  <c:v>0.95399999999999996</c:v>
                </c:pt>
                <c:pt idx="974">
                  <c:v>1.0269999999999999</c:v>
                </c:pt>
                <c:pt idx="975">
                  <c:v>1.0569999999999999</c:v>
                </c:pt>
                <c:pt idx="976">
                  <c:v>1.004</c:v>
                </c:pt>
                <c:pt idx="977">
                  <c:v>0.97599999999999998</c:v>
                </c:pt>
                <c:pt idx="978">
                  <c:v>0.98899999999999999</c:v>
                </c:pt>
                <c:pt idx="979">
                  <c:v>0.96199999999999997</c:v>
                </c:pt>
                <c:pt idx="980">
                  <c:v>0.84799999999999998</c:v>
                </c:pt>
                <c:pt idx="981">
                  <c:v>0.77</c:v>
                </c:pt>
                <c:pt idx="982">
                  <c:v>0.84</c:v>
                </c:pt>
                <c:pt idx="983">
                  <c:v>0.81499999999999995</c:v>
                </c:pt>
                <c:pt idx="984">
                  <c:v>0.80400000000000005</c:v>
                </c:pt>
                <c:pt idx="985">
                  <c:v>0.78300000000000003</c:v>
                </c:pt>
                <c:pt idx="986">
                  <c:v>0.69199999999999995</c:v>
                </c:pt>
                <c:pt idx="987">
                  <c:v>0.90700000000000003</c:v>
                </c:pt>
                <c:pt idx="988">
                  <c:v>0.93199999999999994</c:v>
                </c:pt>
                <c:pt idx="989">
                  <c:v>0.746</c:v>
                </c:pt>
                <c:pt idx="990">
                  <c:v>0.67300000000000004</c:v>
                </c:pt>
                <c:pt idx="991">
                  <c:v>0.82199999999999995</c:v>
                </c:pt>
                <c:pt idx="992">
                  <c:v>0.65</c:v>
                </c:pt>
                <c:pt idx="993">
                  <c:v>0.70600000000000007</c:v>
                </c:pt>
                <c:pt idx="994">
                  <c:v>0.68799999999999994</c:v>
                </c:pt>
                <c:pt idx="995">
                  <c:v>0.58499999999999996</c:v>
                </c:pt>
                <c:pt idx="996">
                  <c:v>0.54999999999999993</c:v>
                </c:pt>
                <c:pt idx="997">
                  <c:v>0.52600000000000002</c:v>
                </c:pt>
                <c:pt idx="998">
                  <c:v>0.51300000000000001</c:v>
                </c:pt>
                <c:pt idx="999">
                  <c:v>0.52600000000000002</c:v>
                </c:pt>
                <c:pt idx="1000">
                  <c:v>0.52</c:v>
                </c:pt>
                <c:pt idx="1001">
                  <c:v>0.47600000000000003</c:v>
                </c:pt>
                <c:pt idx="1002">
                  <c:v>0.45300000000000001</c:v>
                </c:pt>
                <c:pt idx="1003">
                  <c:v>0.435</c:v>
                </c:pt>
                <c:pt idx="1004">
                  <c:v>0.41699999999999998</c:v>
                </c:pt>
                <c:pt idx="1005">
                  <c:v>0.38900000000000001</c:v>
                </c:pt>
                <c:pt idx="1006">
                  <c:v>0.40700000000000003</c:v>
                </c:pt>
                <c:pt idx="1007">
                  <c:v>0.40499999999999997</c:v>
                </c:pt>
                <c:pt idx="1008">
                  <c:v>0.40799999999999997</c:v>
                </c:pt>
                <c:pt idx="1009">
                  <c:v>0.40700000000000003</c:v>
                </c:pt>
                <c:pt idx="1010">
                  <c:v>0.41100000000000003</c:v>
                </c:pt>
                <c:pt idx="1011">
                  <c:v>0.40700000000000003</c:v>
                </c:pt>
                <c:pt idx="1012">
                  <c:v>0.41400000000000003</c:v>
                </c:pt>
                <c:pt idx="1013">
                  <c:v>0.42400000000000004</c:v>
                </c:pt>
                <c:pt idx="1014">
                  <c:v>0.42399999999999999</c:v>
                </c:pt>
                <c:pt idx="1015">
                  <c:v>0.42699999999999999</c:v>
                </c:pt>
                <c:pt idx="1016">
                  <c:v>0.436</c:v>
                </c:pt>
                <c:pt idx="1017">
                  <c:v>0.42699999999999999</c:v>
                </c:pt>
                <c:pt idx="1018">
                  <c:v>0.43200000000000005</c:v>
                </c:pt>
                <c:pt idx="1019">
                  <c:v>0.439</c:v>
                </c:pt>
                <c:pt idx="1020">
                  <c:v>0.42799999999999999</c:v>
                </c:pt>
                <c:pt idx="1021">
                  <c:v>0.42199999999999999</c:v>
                </c:pt>
                <c:pt idx="1022">
                  <c:v>0.41699999999999998</c:v>
                </c:pt>
                <c:pt idx="1023">
                  <c:v>0.39300000000000002</c:v>
                </c:pt>
                <c:pt idx="1024">
                  <c:v>0.40500000000000003</c:v>
                </c:pt>
                <c:pt idx="1025">
                  <c:v>0.41300000000000003</c:v>
                </c:pt>
                <c:pt idx="1026">
                  <c:v>0.40500000000000003</c:v>
                </c:pt>
                <c:pt idx="1027">
                  <c:v>0.39</c:v>
                </c:pt>
                <c:pt idx="1028">
                  <c:v>0.38800000000000001</c:v>
                </c:pt>
                <c:pt idx="1029">
                  <c:v>0.38100000000000001</c:v>
                </c:pt>
                <c:pt idx="1030">
                  <c:v>0.38400000000000001</c:v>
                </c:pt>
                <c:pt idx="1031">
                  <c:v>0.38</c:v>
                </c:pt>
                <c:pt idx="1032">
                  <c:v>0.38</c:v>
                </c:pt>
                <c:pt idx="1033">
                  <c:v>0.376</c:v>
                </c:pt>
                <c:pt idx="1034">
                  <c:v>0.37</c:v>
                </c:pt>
                <c:pt idx="1035">
                  <c:v>0.38700000000000001</c:v>
                </c:pt>
                <c:pt idx="1036">
                  <c:v>0.377</c:v>
                </c:pt>
                <c:pt idx="1037">
                  <c:v>0.375</c:v>
                </c:pt>
                <c:pt idx="1038">
                  <c:v>0.41599999999999998</c:v>
                </c:pt>
                <c:pt idx="1039">
                  <c:v>0.41499999999999998</c:v>
                </c:pt>
                <c:pt idx="1040">
                  <c:v>0.41399999999999998</c:v>
                </c:pt>
                <c:pt idx="1041">
                  <c:v>0.40200000000000002</c:v>
                </c:pt>
                <c:pt idx="1042">
                  <c:v>0.38</c:v>
                </c:pt>
                <c:pt idx="1043">
                  <c:v>0.38</c:v>
                </c:pt>
                <c:pt idx="1044">
                  <c:v>0.39</c:v>
                </c:pt>
                <c:pt idx="1045">
                  <c:v>0.41300000000000003</c:v>
                </c:pt>
                <c:pt idx="1046">
                  <c:v>0.41200000000000003</c:v>
                </c:pt>
                <c:pt idx="1047">
                  <c:v>0.41200000000000003</c:v>
                </c:pt>
                <c:pt idx="1048">
                  <c:v>0.41200000000000003</c:v>
                </c:pt>
                <c:pt idx="1049">
                  <c:v>0.41100000000000003</c:v>
                </c:pt>
                <c:pt idx="1050">
                  <c:v>0.41600000000000004</c:v>
                </c:pt>
                <c:pt idx="1051">
                  <c:v>0.40800000000000003</c:v>
                </c:pt>
                <c:pt idx="1052">
                  <c:v>0.41200000000000003</c:v>
                </c:pt>
                <c:pt idx="1053">
                  <c:v>0.40899999999999997</c:v>
                </c:pt>
                <c:pt idx="1054">
                  <c:v>0.4</c:v>
                </c:pt>
                <c:pt idx="1055">
                  <c:v>0.40099999999999997</c:v>
                </c:pt>
                <c:pt idx="1056">
                  <c:v>0.40300000000000002</c:v>
                </c:pt>
                <c:pt idx="1057">
                  <c:v>0.41600000000000004</c:v>
                </c:pt>
                <c:pt idx="1058">
                  <c:v>0.41499999999999998</c:v>
                </c:pt>
                <c:pt idx="1059">
                  <c:v>0.41899999999999998</c:v>
                </c:pt>
                <c:pt idx="1060">
                  <c:v>0.41399999999999998</c:v>
                </c:pt>
                <c:pt idx="1061">
                  <c:v>0.41499999999999998</c:v>
                </c:pt>
                <c:pt idx="1062">
                  <c:v>0.40700000000000003</c:v>
                </c:pt>
                <c:pt idx="1063">
                  <c:v>0.41499999999999998</c:v>
                </c:pt>
                <c:pt idx="1064">
                  <c:v>0.41799999999999998</c:v>
                </c:pt>
                <c:pt idx="1065">
                  <c:v>0.42</c:v>
                </c:pt>
                <c:pt idx="1066">
                  <c:v>0.41299999999999998</c:v>
                </c:pt>
                <c:pt idx="1067">
                  <c:v>0.42499999999999999</c:v>
                </c:pt>
                <c:pt idx="1068">
                  <c:v>0.42799999999999999</c:v>
                </c:pt>
                <c:pt idx="1069">
                  <c:v>0.42399999999999999</c:v>
                </c:pt>
                <c:pt idx="1070">
                  <c:v>0.42399999999999999</c:v>
                </c:pt>
                <c:pt idx="1071">
                  <c:v>0.42500000000000004</c:v>
                </c:pt>
                <c:pt idx="1072">
                  <c:v>0.41899999999999998</c:v>
                </c:pt>
                <c:pt idx="1073">
                  <c:v>0.42900000000000005</c:v>
                </c:pt>
                <c:pt idx="1074">
                  <c:v>0.42600000000000005</c:v>
                </c:pt>
                <c:pt idx="1075">
                  <c:v>0.42200000000000004</c:v>
                </c:pt>
                <c:pt idx="1076">
                  <c:v>0.42399999999999999</c:v>
                </c:pt>
                <c:pt idx="1077">
                  <c:v>0.40499999999999997</c:v>
                </c:pt>
                <c:pt idx="1078">
                  <c:v>0.40100000000000002</c:v>
                </c:pt>
                <c:pt idx="1079">
                  <c:v>0.40400000000000003</c:v>
                </c:pt>
                <c:pt idx="1080">
                  <c:v>0.41700000000000004</c:v>
                </c:pt>
                <c:pt idx="1081">
                  <c:v>0.40799999999999997</c:v>
                </c:pt>
                <c:pt idx="1082">
                  <c:v>0.42500000000000004</c:v>
                </c:pt>
                <c:pt idx="1083">
                  <c:v>0.42199999999999999</c:v>
                </c:pt>
                <c:pt idx="1084">
                  <c:v>0.432</c:v>
                </c:pt>
                <c:pt idx="1085">
                  <c:v>0.433</c:v>
                </c:pt>
                <c:pt idx="1086">
                  <c:v>0.437</c:v>
                </c:pt>
                <c:pt idx="1087">
                  <c:v>0.42899999999999999</c:v>
                </c:pt>
                <c:pt idx="1088">
                  <c:v>0.42799999999999999</c:v>
                </c:pt>
                <c:pt idx="1089">
                  <c:v>0.42600000000000005</c:v>
                </c:pt>
                <c:pt idx="1090">
                  <c:v>0.42199999999999999</c:v>
                </c:pt>
                <c:pt idx="1091">
                  <c:v>0.42900000000000005</c:v>
                </c:pt>
                <c:pt idx="1092">
                  <c:v>0.42500000000000004</c:v>
                </c:pt>
                <c:pt idx="1093">
                  <c:v>0.435</c:v>
                </c:pt>
                <c:pt idx="1094">
                  <c:v>0.43699999999999994</c:v>
                </c:pt>
                <c:pt idx="1095">
                  <c:v>0.44700000000000001</c:v>
                </c:pt>
                <c:pt idx="1096">
                  <c:v>0.44899999999999995</c:v>
                </c:pt>
                <c:pt idx="1097">
                  <c:v>0.437</c:v>
                </c:pt>
                <c:pt idx="1098">
                  <c:v>0.46199999999999997</c:v>
                </c:pt>
                <c:pt idx="1099">
                  <c:v>0.46400000000000002</c:v>
                </c:pt>
                <c:pt idx="1100">
                  <c:v>0.47399999999999998</c:v>
                </c:pt>
                <c:pt idx="1101">
                  <c:v>0.48</c:v>
                </c:pt>
                <c:pt idx="1102">
                  <c:v>0.26900000000000002</c:v>
                </c:pt>
                <c:pt idx="1103">
                  <c:v>0.28599999999999998</c:v>
                </c:pt>
                <c:pt idx="1104">
                  <c:v>0.27899999999999997</c:v>
                </c:pt>
                <c:pt idx="1105">
                  <c:v>0.27599999999999997</c:v>
                </c:pt>
                <c:pt idx="1106">
                  <c:v>0.28799999999999998</c:v>
                </c:pt>
                <c:pt idx="1107">
                  <c:v>0.27100000000000002</c:v>
                </c:pt>
                <c:pt idx="1108">
                  <c:v>0.27399999999999997</c:v>
                </c:pt>
                <c:pt idx="1109">
                  <c:v>0.27999999999999997</c:v>
                </c:pt>
                <c:pt idx="1110">
                  <c:v>0.26799999999999996</c:v>
                </c:pt>
                <c:pt idx="1111">
                  <c:v>0.27599999999999997</c:v>
                </c:pt>
                <c:pt idx="1112">
                  <c:v>0.26899999999999996</c:v>
                </c:pt>
                <c:pt idx="1113">
                  <c:v>0.28299999999999997</c:v>
                </c:pt>
                <c:pt idx="1114">
                  <c:v>0.27099999999999996</c:v>
                </c:pt>
                <c:pt idx="1115">
                  <c:v>0.26900000000000002</c:v>
                </c:pt>
                <c:pt idx="1116">
                  <c:v>0.21200000000000002</c:v>
                </c:pt>
                <c:pt idx="1117">
                  <c:v>0.20100000000000001</c:v>
                </c:pt>
                <c:pt idx="1118">
                  <c:v>0.19599999999999995</c:v>
                </c:pt>
                <c:pt idx="1119">
                  <c:v>0.184</c:v>
                </c:pt>
                <c:pt idx="1120">
                  <c:v>0.16400000000000003</c:v>
                </c:pt>
                <c:pt idx="1121">
                  <c:v>0.18</c:v>
                </c:pt>
                <c:pt idx="1122">
                  <c:v>0.19599999999999995</c:v>
                </c:pt>
                <c:pt idx="1123">
                  <c:v>0.19700000000000006</c:v>
                </c:pt>
                <c:pt idx="1124">
                  <c:v>0.21499999999999997</c:v>
                </c:pt>
                <c:pt idx="1125">
                  <c:v>0.21700000000000003</c:v>
                </c:pt>
                <c:pt idx="1126">
                  <c:v>0.22299999999999998</c:v>
                </c:pt>
                <c:pt idx="1127">
                  <c:v>0.23400000000000004</c:v>
                </c:pt>
                <c:pt idx="1128">
                  <c:v>0.26799999999999996</c:v>
                </c:pt>
                <c:pt idx="1129">
                  <c:v>0.27599999999999997</c:v>
                </c:pt>
                <c:pt idx="1130">
                  <c:v>0.25099999999999995</c:v>
                </c:pt>
                <c:pt idx="1131">
                  <c:v>0.25999999999999995</c:v>
                </c:pt>
                <c:pt idx="1132">
                  <c:v>0.26999999999999996</c:v>
                </c:pt>
                <c:pt idx="1133">
                  <c:v>0.26699999999999996</c:v>
                </c:pt>
                <c:pt idx="1134">
                  <c:v>0.26200000000000007</c:v>
                </c:pt>
                <c:pt idx="1135">
                  <c:v>0.27300000000000002</c:v>
                </c:pt>
                <c:pt idx="1136">
                  <c:v>0.25900000000000001</c:v>
                </c:pt>
                <c:pt idx="1137">
                  <c:v>0.24100000000000005</c:v>
                </c:pt>
                <c:pt idx="1138">
                  <c:v>0.25499999999999995</c:v>
                </c:pt>
                <c:pt idx="1139">
                  <c:v>0.23400000000000004</c:v>
                </c:pt>
                <c:pt idx="1140">
                  <c:v>0.23300000000000004</c:v>
                </c:pt>
                <c:pt idx="1141">
                  <c:v>0.34399999999999997</c:v>
                </c:pt>
                <c:pt idx="1142">
                  <c:v>0.34300000000000003</c:v>
                </c:pt>
                <c:pt idx="1143">
                  <c:v>0.32400000000000001</c:v>
                </c:pt>
                <c:pt idx="1144">
                  <c:v>0.32699999999999996</c:v>
                </c:pt>
                <c:pt idx="1145">
                  <c:v>0.33599999999999997</c:v>
                </c:pt>
                <c:pt idx="1146">
                  <c:v>0.32800000000000007</c:v>
                </c:pt>
                <c:pt idx="1147">
                  <c:v>0.33999999999999997</c:v>
                </c:pt>
                <c:pt idx="1148">
                  <c:v>0.35400000000000004</c:v>
                </c:pt>
                <c:pt idx="1149">
                  <c:v>0.34799999999999998</c:v>
                </c:pt>
                <c:pt idx="1150">
                  <c:v>0.33599999999999997</c:v>
                </c:pt>
                <c:pt idx="1151">
                  <c:v>0.34200000000000003</c:v>
                </c:pt>
                <c:pt idx="1152">
                  <c:v>0.33500000000000002</c:v>
                </c:pt>
                <c:pt idx="1153">
                  <c:v>0.32600000000000001</c:v>
                </c:pt>
                <c:pt idx="1154">
                  <c:v>0.32500000000000001</c:v>
                </c:pt>
                <c:pt idx="1155">
                  <c:v>0.32400000000000001</c:v>
                </c:pt>
                <c:pt idx="1156">
                  <c:v>0.308</c:v>
                </c:pt>
                <c:pt idx="1157">
                  <c:v>0.35499999999999998</c:v>
                </c:pt>
                <c:pt idx="1158">
                  <c:v>0.35899999999999999</c:v>
                </c:pt>
                <c:pt idx="1159">
                  <c:v>0.36699999999999999</c:v>
                </c:pt>
                <c:pt idx="1160">
                  <c:v>0.34300000000000003</c:v>
                </c:pt>
                <c:pt idx="1161">
                  <c:v>0.32700000000000001</c:v>
                </c:pt>
                <c:pt idx="1162">
                  <c:v>0.312</c:v>
                </c:pt>
                <c:pt idx="1163">
                  <c:v>0.32200000000000001</c:v>
                </c:pt>
                <c:pt idx="1164">
                  <c:v>0.35899999999999999</c:v>
                </c:pt>
                <c:pt idx="1165">
                  <c:v>0.35299999999999998</c:v>
                </c:pt>
                <c:pt idx="1166">
                  <c:v>0.36399999999999999</c:v>
                </c:pt>
                <c:pt idx="1167">
                  <c:v>0.42199999999999999</c:v>
                </c:pt>
                <c:pt idx="1168">
                  <c:v>0.439</c:v>
                </c:pt>
                <c:pt idx="1169">
                  <c:v>0.435</c:v>
                </c:pt>
                <c:pt idx="1170">
                  <c:v>0.44700000000000001</c:v>
                </c:pt>
                <c:pt idx="1171">
                  <c:v>0.45300000000000001</c:v>
                </c:pt>
                <c:pt idx="1172">
                  <c:v>0.45900000000000002</c:v>
                </c:pt>
                <c:pt idx="1173">
                  <c:v>0.48299999999999998</c:v>
                </c:pt>
                <c:pt idx="1174">
                  <c:v>0.48499999999999999</c:v>
                </c:pt>
                <c:pt idx="1175">
                  <c:v>0.48399999999999999</c:v>
                </c:pt>
                <c:pt idx="1176">
                  <c:v>0.49</c:v>
                </c:pt>
                <c:pt idx="1177">
                  <c:v>0.47199999999999998</c:v>
                </c:pt>
                <c:pt idx="1178">
                  <c:v>0.49199999999999999</c:v>
                </c:pt>
                <c:pt idx="1179">
                  <c:v>0.495</c:v>
                </c:pt>
                <c:pt idx="1180">
                  <c:v>0.48699999999999999</c:v>
                </c:pt>
                <c:pt idx="1181">
                  <c:v>0.496</c:v>
                </c:pt>
                <c:pt idx="1182">
                  <c:v>0.497</c:v>
                </c:pt>
                <c:pt idx="1183">
                  <c:v>0.50600000000000001</c:v>
                </c:pt>
                <c:pt idx="1184">
                  <c:v>0.51200000000000001</c:v>
                </c:pt>
                <c:pt idx="1185">
                  <c:v>0.53300000000000003</c:v>
                </c:pt>
                <c:pt idx="1186">
                  <c:v>0.53099999999999992</c:v>
                </c:pt>
                <c:pt idx="1187">
                  <c:v>0.53299999999999992</c:v>
                </c:pt>
                <c:pt idx="1188">
                  <c:v>0.53400000000000003</c:v>
                </c:pt>
                <c:pt idx="1189">
                  <c:v>0.52600000000000002</c:v>
                </c:pt>
                <c:pt idx="1190">
                  <c:v>0.55099999999999993</c:v>
                </c:pt>
                <c:pt idx="1191">
                  <c:v>0.54400000000000004</c:v>
                </c:pt>
                <c:pt idx="1192">
                  <c:v>0.55000000000000004</c:v>
                </c:pt>
                <c:pt idx="1193">
                  <c:v>0.56999999999999995</c:v>
                </c:pt>
                <c:pt idx="1194">
                  <c:v>0.57699999999999996</c:v>
                </c:pt>
                <c:pt idx="1195">
                  <c:v>0.58099999999999996</c:v>
                </c:pt>
                <c:pt idx="1196">
                  <c:v>0.57699999999999996</c:v>
                </c:pt>
                <c:pt idx="1197">
                  <c:v>0.57200000000000006</c:v>
                </c:pt>
                <c:pt idx="1198">
                  <c:v>0.56899999999999995</c:v>
                </c:pt>
                <c:pt idx="1199">
                  <c:v>0.56399999999999995</c:v>
                </c:pt>
                <c:pt idx="1200">
                  <c:v>0.55099999999999993</c:v>
                </c:pt>
                <c:pt idx="1201">
                  <c:v>0.55499999999999994</c:v>
                </c:pt>
                <c:pt idx="1202">
                  <c:v>0.54</c:v>
                </c:pt>
                <c:pt idx="1203">
                  <c:v>0.53499999999999992</c:v>
                </c:pt>
                <c:pt idx="1204">
                  <c:v>0.55000000000000004</c:v>
                </c:pt>
                <c:pt idx="1205">
                  <c:v>0.55400000000000005</c:v>
                </c:pt>
                <c:pt idx="1206">
                  <c:v>0.55400000000000005</c:v>
                </c:pt>
                <c:pt idx="1207">
                  <c:v>0.55200000000000005</c:v>
                </c:pt>
                <c:pt idx="1208">
                  <c:v>0.53800000000000003</c:v>
                </c:pt>
                <c:pt idx="1209">
                  <c:v>0.54499999999999993</c:v>
                </c:pt>
                <c:pt idx="1210">
                  <c:v>0.53100000000000003</c:v>
                </c:pt>
                <c:pt idx="1211">
                  <c:v>0.53400000000000003</c:v>
                </c:pt>
                <c:pt idx="1212">
                  <c:v>0.52500000000000002</c:v>
                </c:pt>
                <c:pt idx="1213">
                  <c:v>0.51500000000000001</c:v>
                </c:pt>
                <c:pt idx="1214">
                  <c:v>0.498</c:v>
                </c:pt>
                <c:pt idx="1215">
                  <c:v>0.49</c:v>
                </c:pt>
                <c:pt idx="1216">
                  <c:v>0.48799999999999999</c:v>
                </c:pt>
                <c:pt idx="1217">
                  <c:v>0.5</c:v>
                </c:pt>
                <c:pt idx="1218">
                  <c:v>0.5</c:v>
                </c:pt>
                <c:pt idx="1219">
                  <c:v>0.50700000000000001</c:v>
                </c:pt>
                <c:pt idx="1220">
                  <c:v>0.54600000000000004</c:v>
                </c:pt>
                <c:pt idx="1221">
                  <c:v>0.52600000000000002</c:v>
                </c:pt>
                <c:pt idx="1222">
                  <c:v>0.52500000000000002</c:v>
                </c:pt>
                <c:pt idx="1223">
                  <c:v>0.52200000000000002</c:v>
                </c:pt>
                <c:pt idx="1224">
                  <c:v>0.53100000000000003</c:v>
                </c:pt>
                <c:pt idx="1225">
                  <c:v>0.53100000000000003</c:v>
                </c:pt>
                <c:pt idx="1226">
                  <c:v>0.53100000000000003</c:v>
                </c:pt>
                <c:pt idx="1227">
                  <c:v>0.50800000000000001</c:v>
                </c:pt>
                <c:pt idx="1228">
                  <c:v>0.52699999999999991</c:v>
                </c:pt>
                <c:pt idx="1229">
                  <c:v>0.53199999999999992</c:v>
                </c:pt>
                <c:pt idx="1230">
                  <c:v>0.53499999999999992</c:v>
                </c:pt>
                <c:pt idx="1231">
                  <c:v>0.56400000000000006</c:v>
                </c:pt>
                <c:pt idx="1232">
                  <c:v>0.57800000000000007</c:v>
                </c:pt>
                <c:pt idx="1233">
                  <c:v>0.57999999999999996</c:v>
                </c:pt>
                <c:pt idx="1234">
                  <c:v>0.57799999999999996</c:v>
                </c:pt>
                <c:pt idx="1235">
                  <c:v>0.57699999999999996</c:v>
                </c:pt>
                <c:pt idx="1236">
                  <c:v>0.60099999999999998</c:v>
                </c:pt>
                <c:pt idx="1237">
                  <c:v>0.60299999999999998</c:v>
                </c:pt>
                <c:pt idx="1238">
                  <c:v>0.63400000000000001</c:v>
                </c:pt>
                <c:pt idx="1239">
                  <c:v>0.621</c:v>
                </c:pt>
                <c:pt idx="1240">
                  <c:v>0.6369999999999999</c:v>
                </c:pt>
                <c:pt idx="1241">
                  <c:v>0.6369999999999999</c:v>
                </c:pt>
                <c:pt idx="1242">
                  <c:v>0.63200000000000001</c:v>
                </c:pt>
                <c:pt idx="1243">
                  <c:v>0.61</c:v>
                </c:pt>
                <c:pt idx="1244">
                  <c:v>0.623</c:v>
                </c:pt>
                <c:pt idx="1245">
                  <c:v>0.61599999999999999</c:v>
                </c:pt>
                <c:pt idx="1246">
                  <c:v>0.60699999999999998</c:v>
                </c:pt>
                <c:pt idx="1247">
                  <c:v>0.59600000000000009</c:v>
                </c:pt>
                <c:pt idx="1248">
                  <c:v>0.59100000000000008</c:v>
                </c:pt>
                <c:pt idx="1249">
                  <c:v>0.60200000000000009</c:v>
                </c:pt>
                <c:pt idx="1250">
                  <c:v>0.60699999999999998</c:v>
                </c:pt>
                <c:pt idx="1251">
                  <c:v>0.60899999999999999</c:v>
                </c:pt>
                <c:pt idx="1252">
                  <c:v>0.62599999999999989</c:v>
                </c:pt>
                <c:pt idx="1253">
                  <c:v>0.6339999999999999</c:v>
                </c:pt>
                <c:pt idx="1254">
                  <c:v>0.621</c:v>
                </c:pt>
                <c:pt idx="1255">
                  <c:v>0.64900000000000002</c:v>
                </c:pt>
                <c:pt idx="1256">
                  <c:v>0.65399999999999991</c:v>
                </c:pt>
                <c:pt idx="1257">
                  <c:v>0.63900000000000001</c:v>
                </c:pt>
                <c:pt idx="1258">
                  <c:v>0.624</c:v>
                </c:pt>
                <c:pt idx="1259">
                  <c:v>0.63600000000000001</c:v>
                </c:pt>
                <c:pt idx="1260">
                  <c:v>0.62000000000000011</c:v>
                </c:pt>
                <c:pt idx="1261">
                  <c:v>0.62200000000000011</c:v>
                </c:pt>
                <c:pt idx="1262">
                  <c:v>0.64700000000000002</c:v>
                </c:pt>
                <c:pt idx="1263">
                  <c:v>0.66200000000000003</c:v>
                </c:pt>
                <c:pt idx="1264">
                  <c:v>0.66200000000000003</c:v>
                </c:pt>
                <c:pt idx="1265">
                  <c:v>0.67200000000000004</c:v>
                </c:pt>
                <c:pt idx="1266">
                  <c:v>0.66500000000000004</c:v>
                </c:pt>
                <c:pt idx="1267">
                  <c:v>0.67500000000000004</c:v>
                </c:pt>
                <c:pt idx="1268">
                  <c:v>0.66900000000000004</c:v>
                </c:pt>
                <c:pt idx="1269">
                  <c:v>0.66400000000000003</c:v>
                </c:pt>
                <c:pt idx="1270">
                  <c:v>0.66800000000000004</c:v>
                </c:pt>
                <c:pt idx="1271">
                  <c:v>0.67</c:v>
                </c:pt>
                <c:pt idx="1272">
                  <c:v>0.65900000000000003</c:v>
                </c:pt>
                <c:pt idx="1273">
                  <c:v>0.65600000000000003</c:v>
                </c:pt>
                <c:pt idx="1274">
                  <c:v>0.66400000000000003</c:v>
                </c:pt>
                <c:pt idx="1275">
                  <c:v>0.68200000000000005</c:v>
                </c:pt>
                <c:pt idx="1276">
                  <c:v>0.67300000000000004</c:v>
                </c:pt>
                <c:pt idx="1277">
                  <c:v>0.59299999999999997</c:v>
                </c:pt>
                <c:pt idx="1278">
                  <c:v>0.59</c:v>
                </c:pt>
                <c:pt idx="1279">
                  <c:v>0.59099999999999997</c:v>
                </c:pt>
                <c:pt idx="1280">
                  <c:v>0.58799999999999997</c:v>
                </c:pt>
                <c:pt idx="1281">
                  <c:v>0.59499999999999997</c:v>
                </c:pt>
                <c:pt idx="1282">
                  <c:v>0.58200000000000007</c:v>
                </c:pt>
                <c:pt idx="1283">
                  <c:v>0.57699999999999996</c:v>
                </c:pt>
                <c:pt idx="1284">
                  <c:v>0.57699999999999996</c:v>
                </c:pt>
                <c:pt idx="1285">
                  <c:v>0.58899999999999997</c:v>
                </c:pt>
                <c:pt idx="1286">
                  <c:v>0.60200000000000009</c:v>
                </c:pt>
                <c:pt idx="1287">
                  <c:v>0.58000000000000007</c:v>
                </c:pt>
                <c:pt idx="1288">
                  <c:v>0.58199999999999996</c:v>
                </c:pt>
                <c:pt idx="1289">
                  <c:v>0.57999999999999996</c:v>
                </c:pt>
                <c:pt idx="1290">
                  <c:v>0.59099999999999997</c:v>
                </c:pt>
                <c:pt idx="1291">
                  <c:v>0.59199999999999997</c:v>
                </c:pt>
                <c:pt idx="1292">
                  <c:v>0.58500000000000008</c:v>
                </c:pt>
                <c:pt idx="1293">
                  <c:v>0.59200000000000008</c:v>
                </c:pt>
                <c:pt idx="1294">
                  <c:v>0.56300000000000006</c:v>
                </c:pt>
                <c:pt idx="1295">
                  <c:v>0.55900000000000005</c:v>
                </c:pt>
                <c:pt idx="1296">
                  <c:v>0.55100000000000005</c:v>
                </c:pt>
                <c:pt idx="1297">
                  <c:v>0.53400000000000003</c:v>
                </c:pt>
                <c:pt idx="1298">
                  <c:v>0.56400000000000006</c:v>
                </c:pt>
                <c:pt idx="1299">
                  <c:v>0.54900000000000004</c:v>
                </c:pt>
                <c:pt idx="1300">
                  <c:v>0.54500000000000004</c:v>
                </c:pt>
                <c:pt idx="1301">
                  <c:v>0.56499999999999995</c:v>
                </c:pt>
                <c:pt idx="1302">
                  <c:v>0.56799999999999995</c:v>
                </c:pt>
                <c:pt idx="1303">
                  <c:v>0.55000000000000004</c:v>
                </c:pt>
                <c:pt idx="1304">
                  <c:v>0.55000000000000004</c:v>
                </c:pt>
                <c:pt idx="1305">
                  <c:v>0.55100000000000005</c:v>
                </c:pt>
                <c:pt idx="1306">
                  <c:v>0.55200000000000005</c:v>
                </c:pt>
                <c:pt idx="1307">
                  <c:v>0.54900000000000004</c:v>
                </c:pt>
                <c:pt idx="1308">
                  <c:v>0.54900000000000004</c:v>
                </c:pt>
                <c:pt idx="1309">
                  <c:v>0.54900000000000004</c:v>
                </c:pt>
                <c:pt idx="1310">
                  <c:v>0.54900000000000004</c:v>
                </c:pt>
                <c:pt idx="1311">
                  <c:v>0.58100000000000007</c:v>
                </c:pt>
                <c:pt idx="1312">
                  <c:v>0.60199999999999998</c:v>
                </c:pt>
                <c:pt idx="1313">
                  <c:v>0.61299999999999999</c:v>
                </c:pt>
                <c:pt idx="1314">
                  <c:v>0.61099999999999999</c:v>
                </c:pt>
                <c:pt idx="1315">
                  <c:v>0.61299999999999999</c:v>
                </c:pt>
                <c:pt idx="1316">
                  <c:v>0.60299999999999998</c:v>
                </c:pt>
                <c:pt idx="1317">
                  <c:v>0.623</c:v>
                </c:pt>
                <c:pt idx="1318">
                  <c:v>0.64500000000000002</c:v>
                </c:pt>
                <c:pt idx="1319">
                  <c:v>0.63500000000000001</c:v>
                </c:pt>
                <c:pt idx="1320">
                  <c:v>0.63100000000000001</c:v>
                </c:pt>
                <c:pt idx="1321">
                  <c:v>0.63900000000000001</c:v>
                </c:pt>
                <c:pt idx="1322">
                  <c:v>0.61899999999999999</c:v>
                </c:pt>
                <c:pt idx="1323">
                  <c:v>0.625</c:v>
                </c:pt>
                <c:pt idx="1324">
                  <c:v>0.59499999999999997</c:v>
                </c:pt>
                <c:pt idx="1325">
                  <c:v>0.58600000000000008</c:v>
                </c:pt>
                <c:pt idx="1326">
                  <c:v>0.58400000000000007</c:v>
                </c:pt>
                <c:pt idx="1327">
                  <c:v>0.57300000000000006</c:v>
                </c:pt>
                <c:pt idx="1328">
                  <c:v>0.57400000000000007</c:v>
                </c:pt>
                <c:pt idx="1329">
                  <c:v>0.57200000000000006</c:v>
                </c:pt>
                <c:pt idx="1330">
                  <c:v>0.58200000000000007</c:v>
                </c:pt>
                <c:pt idx="1331">
                  <c:v>0.57399999999999995</c:v>
                </c:pt>
                <c:pt idx="1332">
                  <c:v>0.56200000000000006</c:v>
                </c:pt>
                <c:pt idx="1333">
                  <c:v>0.58300000000000007</c:v>
                </c:pt>
                <c:pt idx="1334">
                  <c:v>0.57499999999999996</c:v>
                </c:pt>
                <c:pt idx="1335">
                  <c:v>0.57399999999999995</c:v>
                </c:pt>
                <c:pt idx="1336">
                  <c:v>0.57600000000000007</c:v>
                </c:pt>
                <c:pt idx="1337">
                  <c:v>0.55199999999999994</c:v>
                </c:pt>
                <c:pt idx="1338">
                  <c:v>0.54800000000000004</c:v>
                </c:pt>
                <c:pt idx="1339">
                  <c:v>0.55199999999999994</c:v>
                </c:pt>
                <c:pt idx="1340">
                  <c:v>0.56199999999999994</c:v>
                </c:pt>
                <c:pt idx="1341">
                  <c:v>0.53299999999999992</c:v>
                </c:pt>
                <c:pt idx="1342">
                  <c:v>0.53699999999999992</c:v>
                </c:pt>
                <c:pt idx="1343">
                  <c:v>0.54699999999999993</c:v>
                </c:pt>
                <c:pt idx="1344">
                  <c:v>0.55800000000000005</c:v>
                </c:pt>
                <c:pt idx="1345">
                  <c:v>0.55400000000000005</c:v>
                </c:pt>
                <c:pt idx="1346">
                  <c:v>0.56999999999999995</c:v>
                </c:pt>
                <c:pt idx="1347">
                  <c:v>0.57899999999999996</c:v>
                </c:pt>
                <c:pt idx="1348">
                  <c:v>0.58899999999999997</c:v>
                </c:pt>
                <c:pt idx="1349">
                  <c:v>0.58499999999999996</c:v>
                </c:pt>
                <c:pt idx="1350">
                  <c:v>0.61099999999999999</c:v>
                </c:pt>
                <c:pt idx="1351">
                  <c:v>0.58399999999999996</c:v>
                </c:pt>
                <c:pt idx="1352">
                  <c:v>0.59599999999999997</c:v>
                </c:pt>
                <c:pt idx="1353">
                  <c:v>0.58699999999999997</c:v>
                </c:pt>
                <c:pt idx="1354">
                  <c:v>0.56599999999999984</c:v>
                </c:pt>
                <c:pt idx="1355">
                  <c:v>0.55200000000000005</c:v>
                </c:pt>
                <c:pt idx="1356">
                  <c:v>0.56099999999999994</c:v>
                </c:pt>
                <c:pt idx="1357">
                  <c:v>0.54600000000000004</c:v>
                </c:pt>
                <c:pt idx="1358">
                  <c:v>0.53200000000000003</c:v>
                </c:pt>
                <c:pt idx="1359">
                  <c:v>0.53500000000000003</c:v>
                </c:pt>
                <c:pt idx="1360">
                  <c:v>0.52700000000000002</c:v>
                </c:pt>
                <c:pt idx="1361">
                  <c:v>0.5139999999999999</c:v>
                </c:pt>
                <c:pt idx="1362">
                  <c:v>0.497</c:v>
                </c:pt>
                <c:pt idx="1363">
                  <c:v>0.499</c:v>
                </c:pt>
                <c:pt idx="1364">
                  <c:v>0.502</c:v>
                </c:pt>
                <c:pt idx="1365">
                  <c:v>0.46899999999999997</c:v>
                </c:pt>
                <c:pt idx="1366">
                  <c:v>0.48499999999999988</c:v>
                </c:pt>
                <c:pt idx="1367">
                  <c:v>0.49399999999999999</c:v>
                </c:pt>
                <c:pt idx="1368">
                  <c:v>0.51800000000000002</c:v>
                </c:pt>
                <c:pt idx="1369">
                  <c:v>0.48099999999999998</c:v>
                </c:pt>
                <c:pt idx="1370">
                  <c:v>0.47599999999999998</c:v>
                </c:pt>
                <c:pt idx="1371">
                  <c:v>0.44399999999999995</c:v>
                </c:pt>
                <c:pt idx="1372">
                  <c:v>0.45599999999999996</c:v>
                </c:pt>
                <c:pt idx="1373">
                  <c:v>0.43299999999999994</c:v>
                </c:pt>
                <c:pt idx="1374">
                  <c:v>0.43099999999999994</c:v>
                </c:pt>
                <c:pt idx="1375">
                  <c:v>0.44900000000000001</c:v>
                </c:pt>
                <c:pt idx="1376">
                  <c:v>0.42500000000000004</c:v>
                </c:pt>
                <c:pt idx="1377">
                  <c:v>0.4</c:v>
                </c:pt>
                <c:pt idx="1378">
                  <c:v>0.39500000000000002</c:v>
                </c:pt>
                <c:pt idx="1379">
                  <c:v>0.38599999999999995</c:v>
                </c:pt>
                <c:pt idx="1380">
                  <c:v>0.37899999999999995</c:v>
                </c:pt>
                <c:pt idx="1381">
                  <c:v>0.38000000000000006</c:v>
                </c:pt>
                <c:pt idx="1382">
                  <c:v>0.39500000000000007</c:v>
                </c:pt>
                <c:pt idx="1383">
                  <c:v>0.38300000000000006</c:v>
                </c:pt>
                <c:pt idx="1384">
                  <c:v>0.39800000000000002</c:v>
                </c:pt>
                <c:pt idx="1385">
                  <c:v>0.40200000000000002</c:v>
                </c:pt>
                <c:pt idx="1386">
                  <c:v>0.41900000000000004</c:v>
                </c:pt>
                <c:pt idx="1387">
                  <c:v>0.38900000000000001</c:v>
                </c:pt>
                <c:pt idx="1388">
                  <c:v>0.40400000000000003</c:v>
                </c:pt>
                <c:pt idx="1389">
                  <c:v>0.42699999999999999</c:v>
                </c:pt>
                <c:pt idx="1390">
                  <c:v>0.42799999999999999</c:v>
                </c:pt>
                <c:pt idx="1391">
                  <c:v>0.41200000000000003</c:v>
                </c:pt>
                <c:pt idx="1392">
                  <c:v>0.38500000000000001</c:v>
                </c:pt>
                <c:pt idx="1393">
                  <c:v>0.40200000000000002</c:v>
                </c:pt>
                <c:pt idx="1394">
                  <c:v>0.42400000000000004</c:v>
                </c:pt>
                <c:pt idx="1395">
                  <c:v>0.433</c:v>
                </c:pt>
                <c:pt idx="1396">
                  <c:v>0.441</c:v>
                </c:pt>
                <c:pt idx="1397">
                  <c:v>0.438</c:v>
                </c:pt>
                <c:pt idx="1398">
                  <c:v>0.44900000000000001</c:v>
                </c:pt>
                <c:pt idx="1399">
                  <c:v>0.46500000000000002</c:v>
                </c:pt>
                <c:pt idx="1400">
                  <c:v>0.47600000000000003</c:v>
                </c:pt>
                <c:pt idx="1401">
                  <c:v>0.46200000000000002</c:v>
                </c:pt>
                <c:pt idx="1402">
                  <c:v>0.47200000000000003</c:v>
                </c:pt>
                <c:pt idx="1403">
                  <c:v>0.45600000000000002</c:v>
                </c:pt>
                <c:pt idx="1404">
                  <c:v>0.47700000000000004</c:v>
                </c:pt>
                <c:pt idx="1405">
                  <c:v>0.45300000000000001</c:v>
                </c:pt>
                <c:pt idx="1406">
                  <c:v>0.41700000000000004</c:v>
                </c:pt>
                <c:pt idx="1407">
                  <c:v>0.40800000000000003</c:v>
                </c:pt>
                <c:pt idx="1408">
                  <c:v>0.40100000000000002</c:v>
                </c:pt>
                <c:pt idx="1409">
                  <c:v>0.41500000000000004</c:v>
                </c:pt>
                <c:pt idx="1410">
                  <c:v>0.42299999999999993</c:v>
                </c:pt>
                <c:pt idx="1411">
                  <c:v>0.37899999999999995</c:v>
                </c:pt>
                <c:pt idx="1412">
                  <c:v>0.36299999999999999</c:v>
                </c:pt>
                <c:pt idx="1413">
                  <c:v>0.38599999999999995</c:v>
                </c:pt>
                <c:pt idx="1414">
                  <c:v>0.39199999999999996</c:v>
                </c:pt>
                <c:pt idx="1415">
                  <c:v>0.41899999999999993</c:v>
                </c:pt>
                <c:pt idx="1416">
                  <c:v>0.42799999999999994</c:v>
                </c:pt>
                <c:pt idx="1417">
                  <c:v>0.43599999999999994</c:v>
                </c:pt>
                <c:pt idx="1418">
                  <c:v>0.43699999999999994</c:v>
                </c:pt>
                <c:pt idx="1419">
                  <c:v>0.43499999999999994</c:v>
                </c:pt>
                <c:pt idx="1420">
                  <c:v>0.45999999999999996</c:v>
                </c:pt>
                <c:pt idx="1421">
                  <c:v>0.48699999999999993</c:v>
                </c:pt>
                <c:pt idx="1422">
                  <c:v>0.47899999999999993</c:v>
                </c:pt>
                <c:pt idx="1423">
                  <c:v>0.495</c:v>
                </c:pt>
                <c:pt idx="1424">
                  <c:v>0.48199999999999998</c:v>
                </c:pt>
                <c:pt idx="1425">
                  <c:v>0.49699999999999994</c:v>
                </c:pt>
                <c:pt idx="1426">
                  <c:v>0.48799999999999999</c:v>
                </c:pt>
                <c:pt idx="1427">
                  <c:v>0.48799999999999999</c:v>
                </c:pt>
                <c:pt idx="1428">
                  <c:v>0.53200000000000003</c:v>
                </c:pt>
                <c:pt idx="1429">
                  <c:v>0.55299999999999994</c:v>
                </c:pt>
                <c:pt idx="1430">
                  <c:v>0.58299999999999996</c:v>
                </c:pt>
                <c:pt idx="1431">
                  <c:v>0.55600000000000005</c:v>
                </c:pt>
                <c:pt idx="1432">
                  <c:v>0.56800000000000006</c:v>
                </c:pt>
                <c:pt idx="1433">
                  <c:v>0.56899999999999995</c:v>
                </c:pt>
                <c:pt idx="1434">
                  <c:v>0.56699999999999995</c:v>
                </c:pt>
                <c:pt idx="1435">
                  <c:v>0.57299999999999995</c:v>
                </c:pt>
                <c:pt idx="1436">
                  <c:v>0.56899999999999995</c:v>
                </c:pt>
                <c:pt idx="1437">
                  <c:v>0.56800000000000006</c:v>
                </c:pt>
                <c:pt idx="1438">
                  <c:v>0.56299999999999994</c:v>
                </c:pt>
                <c:pt idx="1439">
                  <c:v>0.57499999999999996</c:v>
                </c:pt>
                <c:pt idx="1440">
                  <c:v>0.56000000000000005</c:v>
                </c:pt>
                <c:pt idx="1441">
                  <c:v>0.56299999999999994</c:v>
                </c:pt>
                <c:pt idx="1442">
                  <c:v>0.53600000000000003</c:v>
                </c:pt>
                <c:pt idx="1443">
                  <c:v>0.55400000000000005</c:v>
                </c:pt>
                <c:pt idx="1444">
                  <c:v>0.56999999999999995</c:v>
                </c:pt>
                <c:pt idx="1445">
                  <c:v>0.57399999999999995</c:v>
                </c:pt>
                <c:pt idx="1446">
                  <c:v>0.55400000000000005</c:v>
                </c:pt>
                <c:pt idx="1447">
                  <c:v>0.53</c:v>
                </c:pt>
                <c:pt idx="1448">
                  <c:v>0.52700000000000002</c:v>
                </c:pt>
                <c:pt idx="1449">
                  <c:v>0.32499999999999996</c:v>
                </c:pt>
                <c:pt idx="1450">
                  <c:v>0.36999999999999994</c:v>
                </c:pt>
                <c:pt idx="1451">
                  <c:v>0.33499999999999996</c:v>
                </c:pt>
                <c:pt idx="1452">
                  <c:v>0.35399999999999993</c:v>
                </c:pt>
                <c:pt idx="1453">
                  <c:v>0.44999999999999996</c:v>
                </c:pt>
                <c:pt idx="1454">
                  <c:v>0.39999999999999997</c:v>
                </c:pt>
                <c:pt idx="1455">
                  <c:v>0.43399999999999994</c:v>
                </c:pt>
                <c:pt idx="1456">
                  <c:v>0.47799999999999992</c:v>
                </c:pt>
                <c:pt idx="1457">
                  <c:v>0.44699999999999995</c:v>
                </c:pt>
                <c:pt idx="1458">
                  <c:v>0.55899999999999994</c:v>
                </c:pt>
                <c:pt idx="1459">
                  <c:v>0.47499999999999992</c:v>
                </c:pt>
                <c:pt idx="1460">
                  <c:v>0.41299999999999992</c:v>
                </c:pt>
                <c:pt idx="1461">
                  <c:v>0.34599999999999997</c:v>
                </c:pt>
                <c:pt idx="1462">
                  <c:v>0.31099999999999994</c:v>
                </c:pt>
                <c:pt idx="1463">
                  <c:v>0.2579999999999999</c:v>
                </c:pt>
                <c:pt idx="1464">
                  <c:v>0.29499999999999993</c:v>
                </c:pt>
                <c:pt idx="1465">
                  <c:v>0.23899999999999999</c:v>
                </c:pt>
                <c:pt idx="1466">
                  <c:v>0.17899999999999994</c:v>
                </c:pt>
                <c:pt idx="1467">
                  <c:v>0.21199999999999997</c:v>
                </c:pt>
                <c:pt idx="1468">
                  <c:v>0.17299999999999993</c:v>
                </c:pt>
                <c:pt idx="1469">
                  <c:v>0.20699999999999996</c:v>
                </c:pt>
                <c:pt idx="1470">
                  <c:v>0.2589999999999999</c:v>
                </c:pt>
                <c:pt idx="1471">
                  <c:v>0.2609999999999999</c:v>
                </c:pt>
                <c:pt idx="1472">
                  <c:v>0.2589999999999999</c:v>
                </c:pt>
                <c:pt idx="1473">
                  <c:v>0.25599999999999989</c:v>
                </c:pt>
                <c:pt idx="1474">
                  <c:v>0.28699999999999992</c:v>
                </c:pt>
                <c:pt idx="1475">
                  <c:v>0.27399999999999991</c:v>
                </c:pt>
                <c:pt idx="1476">
                  <c:v>0.28599999999999992</c:v>
                </c:pt>
                <c:pt idx="1477">
                  <c:v>0.23699999999999999</c:v>
                </c:pt>
                <c:pt idx="1478">
                  <c:v>0.2589999999999999</c:v>
                </c:pt>
                <c:pt idx="1479">
                  <c:v>0.2589999999999999</c:v>
                </c:pt>
                <c:pt idx="1480">
                  <c:v>0.247</c:v>
                </c:pt>
                <c:pt idx="1481">
                  <c:v>0.22499999999999998</c:v>
                </c:pt>
                <c:pt idx="1482">
                  <c:v>0.18499999999999994</c:v>
                </c:pt>
                <c:pt idx="1483">
                  <c:v>0.18699999999999994</c:v>
                </c:pt>
                <c:pt idx="1484">
                  <c:v>0.18199999999999994</c:v>
                </c:pt>
                <c:pt idx="1485">
                  <c:v>0.22799999999999998</c:v>
                </c:pt>
                <c:pt idx="1486">
                  <c:v>0.21799999999999997</c:v>
                </c:pt>
                <c:pt idx="1487">
                  <c:v>0.28699999999999992</c:v>
                </c:pt>
                <c:pt idx="1488">
                  <c:v>0.31099999999999994</c:v>
                </c:pt>
                <c:pt idx="1489">
                  <c:v>0.29299999999999993</c:v>
                </c:pt>
                <c:pt idx="1490">
                  <c:v>0.30699999999999994</c:v>
                </c:pt>
                <c:pt idx="1491">
                  <c:v>0.30299999999999994</c:v>
                </c:pt>
                <c:pt idx="1492">
                  <c:v>0.31899999999999995</c:v>
                </c:pt>
                <c:pt idx="1493">
                  <c:v>0.30299999999999994</c:v>
                </c:pt>
                <c:pt idx="1494">
                  <c:v>0.31299999999999994</c:v>
                </c:pt>
                <c:pt idx="1495">
                  <c:v>0.32099999999999995</c:v>
                </c:pt>
                <c:pt idx="1496">
                  <c:v>0.29399999999999993</c:v>
                </c:pt>
                <c:pt idx="1497">
                  <c:v>0.31799999999999995</c:v>
                </c:pt>
                <c:pt idx="1498">
                  <c:v>0.31699999999999995</c:v>
                </c:pt>
                <c:pt idx="1499">
                  <c:v>0.32199999999999995</c:v>
                </c:pt>
                <c:pt idx="1500">
                  <c:v>0.32199999999999995</c:v>
                </c:pt>
                <c:pt idx="1501">
                  <c:v>0.32199999999999995</c:v>
                </c:pt>
                <c:pt idx="1502">
                  <c:v>0.31599999999999995</c:v>
                </c:pt>
                <c:pt idx="1503">
                  <c:v>0.31499999999999995</c:v>
                </c:pt>
                <c:pt idx="1504">
                  <c:v>0.29499999999999993</c:v>
                </c:pt>
                <c:pt idx="1505">
                  <c:v>0.29199999999999993</c:v>
                </c:pt>
                <c:pt idx="1506">
                  <c:v>0.28899999999999992</c:v>
                </c:pt>
                <c:pt idx="1507">
                  <c:v>0.22599999999999998</c:v>
                </c:pt>
                <c:pt idx="1508">
                  <c:v>0.23399999999999999</c:v>
                </c:pt>
                <c:pt idx="1509">
                  <c:v>0.249</c:v>
                </c:pt>
                <c:pt idx="1510">
                  <c:v>0.248</c:v>
                </c:pt>
                <c:pt idx="1511">
                  <c:v>0.24199999999999999</c:v>
                </c:pt>
                <c:pt idx="1512">
                  <c:v>0.22599999999999998</c:v>
                </c:pt>
                <c:pt idx="1513">
                  <c:v>0.19899999999999995</c:v>
                </c:pt>
                <c:pt idx="1514">
                  <c:v>0.18599999999999994</c:v>
                </c:pt>
                <c:pt idx="1515">
                  <c:v>0.17199999999999993</c:v>
                </c:pt>
                <c:pt idx="1516">
                  <c:v>0.19099999999999995</c:v>
                </c:pt>
                <c:pt idx="1517">
                  <c:v>0.16299999999999992</c:v>
                </c:pt>
                <c:pt idx="1518">
                  <c:v>0.14399999999999991</c:v>
                </c:pt>
                <c:pt idx="1519">
                  <c:v>0.17599999999999993</c:v>
                </c:pt>
                <c:pt idx="1520">
                  <c:v>0.16799999999999993</c:v>
                </c:pt>
                <c:pt idx="1521">
                  <c:v>0.17499999999999993</c:v>
                </c:pt>
                <c:pt idx="1522">
                  <c:v>0.16299999999999992</c:v>
                </c:pt>
                <c:pt idx="1523">
                  <c:v>0.1399999999999999</c:v>
                </c:pt>
                <c:pt idx="1524">
                  <c:v>0.16599999999999993</c:v>
                </c:pt>
                <c:pt idx="1525">
                  <c:v>0.16599999999999993</c:v>
                </c:pt>
                <c:pt idx="1526">
                  <c:v>0.11299999999999999</c:v>
                </c:pt>
                <c:pt idx="1527">
                  <c:v>9.6999999999999975E-2</c:v>
                </c:pt>
                <c:pt idx="1528">
                  <c:v>8.3999999999999964E-2</c:v>
                </c:pt>
                <c:pt idx="1529">
                  <c:v>8.3999999999999964E-2</c:v>
                </c:pt>
                <c:pt idx="1530">
                  <c:v>0.11199999999999999</c:v>
                </c:pt>
                <c:pt idx="1531">
                  <c:v>5.4999999999999938E-2</c:v>
                </c:pt>
                <c:pt idx="1532">
                  <c:v>6.1999999999999944E-2</c:v>
                </c:pt>
                <c:pt idx="1533">
                  <c:v>6.899999999999995E-2</c:v>
                </c:pt>
                <c:pt idx="1534">
                  <c:v>6.2999999999999945E-2</c:v>
                </c:pt>
                <c:pt idx="1535">
                  <c:v>7.4999999999999956E-2</c:v>
                </c:pt>
                <c:pt idx="1536">
                  <c:v>5.699999999999994E-2</c:v>
                </c:pt>
                <c:pt idx="1537">
                  <c:v>7.3999999999999955E-2</c:v>
                </c:pt>
                <c:pt idx="1538">
                  <c:v>0.126</c:v>
                </c:pt>
                <c:pt idx="1539">
                  <c:v>8.2999999999999963E-2</c:v>
                </c:pt>
                <c:pt idx="1540">
                  <c:v>5.0999999999999934E-2</c:v>
                </c:pt>
                <c:pt idx="1541">
                  <c:v>9.7999999999999976E-2</c:v>
                </c:pt>
                <c:pt idx="1542">
                  <c:v>0.121</c:v>
                </c:pt>
                <c:pt idx="1543">
                  <c:v>0.1359999999999999</c:v>
                </c:pt>
                <c:pt idx="1544">
                  <c:v>0.125</c:v>
                </c:pt>
                <c:pt idx="1545">
                  <c:v>0.18999999999999995</c:v>
                </c:pt>
                <c:pt idx="1546">
                  <c:v>0.20699999999999996</c:v>
                </c:pt>
                <c:pt idx="1547">
                  <c:v>0.22999999999999998</c:v>
                </c:pt>
                <c:pt idx="1548">
                  <c:v>0.2569999999999999</c:v>
                </c:pt>
                <c:pt idx="1549">
                  <c:v>0.251</c:v>
                </c:pt>
                <c:pt idx="1550">
                  <c:v>0.25</c:v>
                </c:pt>
                <c:pt idx="1551">
                  <c:v>0.246</c:v>
                </c:pt>
                <c:pt idx="1552">
                  <c:v>0.25599999999999989</c:v>
                </c:pt>
                <c:pt idx="1553">
                  <c:v>0.2569999999999999</c:v>
                </c:pt>
                <c:pt idx="1554">
                  <c:v>0.23199999999999998</c:v>
                </c:pt>
                <c:pt idx="1555">
                  <c:v>0.23899999999999999</c:v>
                </c:pt>
                <c:pt idx="1556">
                  <c:v>0.23699999999999999</c:v>
                </c:pt>
                <c:pt idx="1557">
                  <c:v>0.27599999999999991</c:v>
                </c:pt>
                <c:pt idx="1558">
                  <c:v>0.35199999999999992</c:v>
                </c:pt>
                <c:pt idx="1559">
                  <c:v>0.38699999999999996</c:v>
                </c:pt>
                <c:pt idx="1560">
                  <c:v>0.37999999999999995</c:v>
                </c:pt>
                <c:pt idx="1561">
                  <c:v>0.38399999999999995</c:v>
                </c:pt>
                <c:pt idx="1562">
                  <c:v>0.37799999999999995</c:v>
                </c:pt>
                <c:pt idx="1563">
                  <c:v>0.35199999999999992</c:v>
                </c:pt>
                <c:pt idx="1564">
                  <c:v>0.39299999999999996</c:v>
                </c:pt>
                <c:pt idx="1565">
                  <c:v>0.39299999999999996</c:v>
                </c:pt>
                <c:pt idx="1566">
                  <c:v>0.39599999999999996</c:v>
                </c:pt>
                <c:pt idx="1567">
                  <c:v>0.43699999999999994</c:v>
                </c:pt>
                <c:pt idx="1568">
                  <c:v>0.39799999999999996</c:v>
                </c:pt>
                <c:pt idx="1569">
                  <c:v>0.39799999999999996</c:v>
                </c:pt>
                <c:pt idx="1570">
                  <c:v>0.39799999999999996</c:v>
                </c:pt>
                <c:pt idx="1571">
                  <c:v>0.40099999999999997</c:v>
                </c:pt>
                <c:pt idx="1572">
                  <c:v>0.41299999999999992</c:v>
                </c:pt>
                <c:pt idx="1573">
                  <c:v>0.43999999999999995</c:v>
                </c:pt>
                <c:pt idx="1574">
                  <c:v>0.5089999999999999</c:v>
                </c:pt>
                <c:pt idx="1575">
                  <c:v>0.5169999999999999</c:v>
                </c:pt>
                <c:pt idx="1576">
                  <c:v>0.50600000000000001</c:v>
                </c:pt>
                <c:pt idx="1577">
                  <c:v>0.504</c:v>
                </c:pt>
                <c:pt idx="1578">
                  <c:v>0.504</c:v>
                </c:pt>
                <c:pt idx="1579">
                  <c:v>0.52499999999999991</c:v>
                </c:pt>
                <c:pt idx="1580">
                  <c:v>0.5109999999999999</c:v>
                </c:pt>
                <c:pt idx="1581">
                  <c:v>0.52400000000000002</c:v>
                </c:pt>
                <c:pt idx="1582">
                  <c:v>0.52200000000000002</c:v>
                </c:pt>
                <c:pt idx="1583">
                  <c:v>0.49799999999999994</c:v>
                </c:pt>
                <c:pt idx="1584">
                  <c:v>0.47399999999999992</c:v>
                </c:pt>
                <c:pt idx="1585">
                  <c:v>0.51200000000000001</c:v>
                </c:pt>
                <c:pt idx="1586">
                  <c:v>0.44999999999999996</c:v>
                </c:pt>
                <c:pt idx="1587">
                  <c:v>0.43299999999999994</c:v>
                </c:pt>
                <c:pt idx="1588">
                  <c:v>0.47799999999999992</c:v>
                </c:pt>
                <c:pt idx="1589">
                  <c:v>0.47599999999999992</c:v>
                </c:pt>
                <c:pt idx="1590">
                  <c:v>0.45699999999999996</c:v>
                </c:pt>
                <c:pt idx="1591">
                  <c:v>0.47</c:v>
                </c:pt>
                <c:pt idx="1592">
                  <c:v>0.46799999999999997</c:v>
                </c:pt>
                <c:pt idx="1593">
                  <c:v>0.46699999999999997</c:v>
                </c:pt>
                <c:pt idx="1594">
                  <c:v>0.45499999999999996</c:v>
                </c:pt>
                <c:pt idx="1595">
                  <c:v>0.45699999999999996</c:v>
                </c:pt>
                <c:pt idx="1596">
                  <c:v>0.44099999999999995</c:v>
                </c:pt>
                <c:pt idx="1597">
                  <c:v>0.44099999999999995</c:v>
                </c:pt>
                <c:pt idx="1598">
                  <c:v>0.41999999999999993</c:v>
                </c:pt>
                <c:pt idx="1599">
                  <c:v>0.40099999999999997</c:v>
                </c:pt>
                <c:pt idx="1600">
                  <c:v>0.40699999999999997</c:v>
                </c:pt>
                <c:pt idx="1601">
                  <c:v>0.44199999999999995</c:v>
                </c:pt>
                <c:pt idx="1602">
                  <c:v>0.49099999999999994</c:v>
                </c:pt>
                <c:pt idx="1603">
                  <c:v>0.48999999999999994</c:v>
                </c:pt>
                <c:pt idx="1604">
                  <c:v>0.48199999999999993</c:v>
                </c:pt>
                <c:pt idx="1605">
                  <c:v>0.45399999999999996</c:v>
                </c:pt>
                <c:pt idx="1606">
                  <c:v>0.44499999999999995</c:v>
                </c:pt>
                <c:pt idx="1607">
                  <c:v>0.44499999999999995</c:v>
                </c:pt>
                <c:pt idx="1608">
                  <c:v>0.45399999999999996</c:v>
                </c:pt>
                <c:pt idx="1609">
                  <c:v>0.45099999999999996</c:v>
                </c:pt>
                <c:pt idx="1610">
                  <c:v>0.43399999999999994</c:v>
                </c:pt>
                <c:pt idx="1611">
                  <c:v>0.40199999999999997</c:v>
                </c:pt>
                <c:pt idx="1612">
                  <c:v>0.33599999999999997</c:v>
                </c:pt>
                <c:pt idx="1613">
                  <c:v>0.34199999999999997</c:v>
                </c:pt>
                <c:pt idx="1614">
                  <c:v>0.38599999999999995</c:v>
                </c:pt>
                <c:pt idx="1615">
                  <c:v>0.36999999999999994</c:v>
                </c:pt>
                <c:pt idx="1616">
                  <c:v>0.376</c:v>
                </c:pt>
                <c:pt idx="1617">
                  <c:v>0.38200000000000001</c:v>
                </c:pt>
                <c:pt idx="1618">
                  <c:v>0.40800000000000003</c:v>
                </c:pt>
                <c:pt idx="1619">
                  <c:v>0.40600000000000003</c:v>
                </c:pt>
                <c:pt idx="1620">
                  <c:v>0.42399999999999993</c:v>
                </c:pt>
                <c:pt idx="1621">
                  <c:v>0.40399999999999997</c:v>
                </c:pt>
                <c:pt idx="1622">
                  <c:v>0.40799999999999997</c:v>
                </c:pt>
                <c:pt idx="1623">
                  <c:v>0.41299999999999998</c:v>
                </c:pt>
                <c:pt idx="1624">
                  <c:v>0.39999999999999997</c:v>
                </c:pt>
                <c:pt idx="1625">
                  <c:v>0.38599999999999995</c:v>
                </c:pt>
                <c:pt idx="1626">
                  <c:v>0.39999999999999997</c:v>
                </c:pt>
                <c:pt idx="1627">
                  <c:v>0.40399999999999997</c:v>
                </c:pt>
                <c:pt idx="1628">
                  <c:v>0.39499999999999996</c:v>
                </c:pt>
                <c:pt idx="1629">
                  <c:v>0.40899999999999997</c:v>
                </c:pt>
                <c:pt idx="1630">
                  <c:v>0.39799999999999996</c:v>
                </c:pt>
                <c:pt idx="1631">
                  <c:v>0.39500000000000002</c:v>
                </c:pt>
                <c:pt idx="1632">
                  <c:v>0.38099999999999995</c:v>
                </c:pt>
                <c:pt idx="1633">
                  <c:v>0.39600000000000002</c:v>
                </c:pt>
                <c:pt idx="1634">
                  <c:v>0.42099999999999993</c:v>
                </c:pt>
                <c:pt idx="1635">
                  <c:v>0.42199999999999999</c:v>
                </c:pt>
                <c:pt idx="1636">
                  <c:v>0.42</c:v>
                </c:pt>
                <c:pt idx="1637">
                  <c:v>0.42199999999999999</c:v>
                </c:pt>
                <c:pt idx="1638">
                  <c:v>0.42399999999999999</c:v>
                </c:pt>
                <c:pt idx="1639">
                  <c:v>0.42299999999999999</c:v>
                </c:pt>
                <c:pt idx="1640">
                  <c:v>0.435</c:v>
                </c:pt>
                <c:pt idx="1641">
                  <c:v>0.41599999999999998</c:v>
                </c:pt>
                <c:pt idx="1642">
                  <c:v>0.41000000000000003</c:v>
                </c:pt>
                <c:pt idx="1643">
                  <c:v>0.42599999999999993</c:v>
                </c:pt>
                <c:pt idx="1644">
                  <c:v>0.434</c:v>
                </c:pt>
                <c:pt idx="1645">
                  <c:v>0.441</c:v>
                </c:pt>
                <c:pt idx="1646">
                  <c:v>0.442</c:v>
                </c:pt>
                <c:pt idx="1647">
                  <c:v>0.43900000000000006</c:v>
                </c:pt>
                <c:pt idx="1648">
                  <c:v>0.434</c:v>
                </c:pt>
                <c:pt idx="1649">
                  <c:v>0.42500000000000004</c:v>
                </c:pt>
                <c:pt idx="1650">
                  <c:v>0.41900000000000004</c:v>
                </c:pt>
                <c:pt idx="1651">
                  <c:v>0.43700000000000006</c:v>
                </c:pt>
                <c:pt idx="1652">
                  <c:v>0.44000000000000006</c:v>
                </c:pt>
                <c:pt idx="1653">
                  <c:v>0.438</c:v>
                </c:pt>
                <c:pt idx="1654">
                  <c:v>0.40800000000000003</c:v>
                </c:pt>
                <c:pt idx="1655">
                  <c:v>0.41100000000000003</c:v>
                </c:pt>
                <c:pt idx="1656">
                  <c:v>0.41300000000000003</c:v>
                </c:pt>
                <c:pt idx="1657">
                  <c:v>0.42200000000000004</c:v>
                </c:pt>
                <c:pt idx="1658">
                  <c:v>0.41400000000000003</c:v>
                </c:pt>
                <c:pt idx="1659">
                  <c:v>0.41400000000000003</c:v>
                </c:pt>
                <c:pt idx="1660">
                  <c:v>0.39200000000000007</c:v>
                </c:pt>
                <c:pt idx="1661">
                  <c:v>0.40599999999999997</c:v>
                </c:pt>
                <c:pt idx="1662">
                  <c:v>0.41399999999999998</c:v>
                </c:pt>
                <c:pt idx="1663">
                  <c:v>0.36800000000000005</c:v>
                </c:pt>
                <c:pt idx="1664">
                  <c:v>0.42699999999999994</c:v>
                </c:pt>
                <c:pt idx="1665">
                  <c:v>0.48199999999999998</c:v>
                </c:pt>
                <c:pt idx="1666">
                  <c:v>0.41099999999999998</c:v>
                </c:pt>
                <c:pt idx="1667">
                  <c:v>0.40499999999999997</c:v>
                </c:pt>
                <c:pt idx="1668">
                  <c:v>0.35899999999999999</c:v>
                </c:pt>
                <c:pt idx="1669">
                  <c:v>0.38399999999999995</c:v>
                </c:pt>
                <c:pt idx="1670">
                  <c:v>0.40699999999999997</c:v>
                </c:pt>
                <c:pt idx="1671">
                  <c:v>0.41399999999999998</c:v>
                </c:pt>
                <c:pt idx="1672">
                  <c:v>0.40900000000000003</c:v>
                </c:pt>
                <c:pt idx="1673">
                  <c:v>0.40800000000000003</c:v>
                </c:pt>
                <c:pt idx="1674">
                  <c:v>0.38600000000000001</c:v>
                </c:pt>
                <c:pt idx="1675">
                  <c:v>0.40699999999999992</c:v>
                </c:pt>
                <c:pt idx="1676">
                  <c:v>0.33699999999999997</c:v>
                </c:pt>
                <c:pt idx="1677">
                  <c:v>0.33099999999999996</c:v>
                </c:pt>
                <c:pt idx="1678">
                  <c:v>0.41500000000000004</c:v>
                </c:pt>
                <c:pt idx="1679">
                  <c:v>0.35899999999999999</c:v>
                </c:pt>
                <c:pt idx="1680">
                  <c:v>0.36199999999999999</c:v>
                </c:pt>
                <c:pt idx="1681">
                  <c:v>0.43099999999999994</c:v>
                </c:pt>
                <c:pt idx="1682">
                  <c:v>0.42099999999999993</c:v>
                </c:pt>
                <c:pt idx="1683">
                  <c:v>0.42399999999999993</c:v>
                </c:pt>
                <c:pt idx="1684">
                  <c:v>0.42200000000000004</c:v>
                </c:pt>
                <c:pt idx="1685">
                  <c:v>0.41699999999999993</c:v>
                </c:pt>
                <c:pt idx="1686">
                  <c:v>0.41000000000000003</c:v>
                </c:pt>
                <c:pt idx="1687">
                  <c:v>0.42499999999999993</c:v>
                </c:pt>
                <c:pt idx="1688">
                  <c:v>0.48599999999999999</c:v>
                </c:pt>
                <c:pt idx="1689">
                  <c:v>0.48699999999999999</c:v>
                </c:pt>
                <c:pt idx="1690">
                  <c:v>0.504</c:v>
                </c:pt>
                <c:pt idx="1691">
                  <c:v>0.49899999999999989</c:v>
                </c:pt>
                <c:pt idx="1692">
                  <c:v>0.52800000000000002</c:v>
                </c:pt>
                <c:pt idx="1693">
                  <c:v>0.53899999999999992</c:v>
                </c:pt>
                <c:pt idx="1694">
                  <c:v>0.53700000000000003</c:v>
                </c:pt>
                <c:pt idx="1695">
                  <c:v>0.55399999999999983</c:v>
                </c:pt>
                <c:pt idx="1696">
                  <c:v>0.55899999999999994</c:v>
                </c:pt>
                <c:pt idx="1697">
                  <c:v>0.57599999999999996</c:v>
                </c:pt>
                <c:pt idx="1698">
                  <c:v>0.59099999999999997</c:v>
                </c:pt>
                <c:pt idx="1699">
                  <c:v>0.61599999999999999</c:v>
                </c:pt>
                <c:pt idx="1700">
                  <c:v>0.60399999999999998</c:v>
                </c:pt>
                <c:pt idx="1701">
                  <c:v>0.60399999999999998</c:v>
                </c:pt>
                <c:pt idx="1702">
                  <c:v>0.60099999999999998</c:v>
                </c:pt>
                <c:pt idx="1703">
                  <c:v>0.60199999999999998</c:v>
                </c:pt>
                <c:pt idx="1704">
                  <c:v>0.59899999999999998</c:v>
                </c:pt>
                <c:pt idx="1705">
                  <c:v>0.59899999999999998</c:v>
                </c:pt>
                <c:pt idx="1706">
                  <c:v>0.59099999999999997</c:v>
                </c:pt>
                <c:pt idx="1707">
                  <c:v>0.61899999999999999</c:v>
                </c:pt>
                <c:pt idx="1708">
                  <c:v>0.60699999999999998</c:v>
                </c:pt>
                <c:pt idx="1709">
                  <c:v>0.60899999999999999</c:v>
                </c:pt>
                <c:pt idx="1710">
                  <c:v>0.60299999999999998</c:v>
                </c:pt>
                <c:pt idx="1711">
                  <c:v>0.61099999999999999</c:v>
                </c:pt>
                <c:pt idx="1712">
                  <c:v>0.60699999999999998</c:v>
                </c:pt>
                <c:pt idx="1713">
                  <c:v>0.61599999999999999</c:v>
                </c:pt>
                <c:pt idx="1714">
                  <c:v>0.60600000000000009</c:v>
                </c:pt>
                <c:pt idx="1715">
                  <c:v>0.621</c:v>
                </c:pt>
                <c:pt idx="1716">
                  <c:v>0.60000000000000009</c:v>
                </c:pt>
                <c:pt idx="1717">
                  <c:v>0.60200000000000009</c:v>
                </c:pt>
                <c:pt idx="1718">
                  <c:v>0.6080000000000001</c:v>
                </c:pt>
                <c:pt idx="1719">
                  <c:v>0.65300000000000002</c:v>
                </c:pt>
                <c:pt idx="1720">
                  <c:v>0.60699999999999998</c:v>
                </c:pt>
                <c:pt idx="1721">
                  <c:v>0.60499999999999998</c:v>
                </c:pt>
                <c:pt idx="1722">
                  <c:v>0.59199999999999997</c:v>
                </c:pt>
                <c:pt idx="1723">
                  <c:v>0.59299999999999997</c:v>
                </c:pt>
                <c:pt idx="1724">
                  <c:v>0.60299999999999998</c:v>
                </c:pt>
                <c:pt idx="1725">
                  <c:v>0.63800000000000001</c:v>
                </c:pt>
                <c:pt idx="1726">
                  <c:v>0.64700000000000002</c:v>
                </c:pt>
                <c:pt idx="1727">
                  <c:v>0.64</c:v>
                </c:pt>
                <c:pt idx="1728">
                  <c:v>0.61499999999999999</c:v>
                </c:pt>
                <c:pt idx="1729">
                  <c:v>0.623</c:v>
                </c:pt>
                <c:pt idx="1730">
                  <c:v>0.66300000000000003</c:v>
                </c:pt>
                <c:pt idx="1731">
                  <c:v>0.63900000000000001</c:v>
                </c:pt>
                <c:pt idx="1732">
                  <c:v>0.63900000000000001</c:v>
                </c:pt>
                <c:pt idx="1733">
                  <c:v>0.64900000000000002</c:v>
                </c:pt>
                <c:pt idx="1734">
                  <c:v>0.65800000000000014</c:v>
                </c:pt>
                <c:pt idx="1735">
                  <c:v>0.66300000000000003</c:v>
                </c:pt>
                <c:pt idx="1736">
                  <c:v>0.67099999999999993</c:v>
                </c:pt>
                <c:pt idx="1737">
                  <c:v>0.71699999999999986</c:v>
                </c:pt>
                <c:pt idx="1738">
                  <c:v>0.71899999999999986</c:v>
                </c:pt>
                <c:pt idx="1739">
                  <c:v>0.72500000000000009</c:v>
                </c:pt>
                <c:pt idx="1740">
                  <c:v>0.72500000000000009</c:v>
                </c:pt>
                <c:pt idx="1741">
                  <c:v>0.73699999999999988</c:v>
                </c:pt>
                <c:pt idx="1742">
                  <c:v>0.71499999999999997</c:v>
                </c:pt>
                <c:pt idx="1743">
                  <c:v>0.70600000000000007</c:v>
                </c:pt>
                <c:pt idx="1744">
                  <c:v>0.74900000000000011</c:v>
                </c:pt>
                <c:pt idx="1745">
                  <c:v>0.80500000000000005</c:v>
                </c:pt>
                <c:pt idx="1746">
                  <c:v>0.80099999999999993</c:v>
                </c:pt>
                <c:pt idx="1747">
                  <c:v>0.82299999999999995</c:v>
                </c:pt>
                <c:pt idx="1748">
                  <c:v>0.84299999999999997</c:v>
                </c:pt>
                <c:pt idx="1749">
                  <c:v>0.81400000000000006</c:v>
                </c:pt>
                <c:pt idx="1750">
                  <c:v>0.81400000000000006</c:v>
                </c:pt>
                <c:pt idx="1751">
                  <c:v>0.81400000000000006</c:v>
                </c:pt>
                <c:pt idx="1752">
                  <c:v>0.82499999999999996</c:v>
                </c:pt>
                <c:pt idx="1753">
                  <c:v>0.81799999999999984</c:v>
                </c:pt>
                <c:pt idx="1754">
                  <c:v>0.81200000000000006</c:v>
                </c:pt>
                <c:pt idx="1755">
                  <c:v>0.79600000000000004</c:v>
                </c:pt>
                <c:pt idx="1756">
                  <c:v>0.78399999999999992</c:v>
                </c:pt>
                <c:pt idx="1757">
                  <c:v>0.79699999999999993</c:v>
                </c:pt>
                <c:pt idx="1758">
                  <c:v>0.79099999999999993</c:v>
                </c:pt>
                <c:pt idx="1759">
                  <c:v>0.78799999999999992</c:v>
                </c:pt>
                <c:pt idx="1760">
                  <c:v>0.76</c:v>
                </c:pt>
                <c:pt idx="1761">
                  <c:v>0.75800000000000001</c:v>
                </c:pt>
                <c:pt idx="1762">
                  <c:v>0.752</c:v>
                </c:pt>
                <c:pt idx="1763">
                  <c:v>0.73899999999999999</c:v>
                </c:pt>
                <c:pt idx="1764">
                  <c:v>0.73299999999999987</c:v>
                </c:pt>
                <c:pt idx="1765">
                  <c:v>0.75</c:v>
                </c:pt>
                <c:pt idx="1766">
                  <c:v>0.73199999999999998</c:v>
                </c:pt>
                <c:pt idx="1767">
                  <c:v>0.749</c:v>
                </c:pt>
                <c:pt idx="1768">
                  <c:v>0.73299999999999987</c:v>
                </c:pt>
                <c:pt idx="1769">
                  <c:v>0.74399999999999999</c:v>
                </c:pt>
                <c:pt idx="1770">
                  <c:v>0.74</c:v>
                </c:pt>
                <c:pt idx="1771">
                  <c:v>0.73599999999999999</c:v>
                </c:pt>
                <c:pt idx="1772">
                  <c:v>0.75</c:v>
                </c:pt>
                <c:pt idx="1773">
                  <c:v>0.74</c:v>
                </c:pt>
                <c:pt idx="1774">
                  <c:v>0.7340000000000001</c:v>
                </c:pt>
                <c:pt idx="1775">
                  <c:v>0.72600000000000009</c:v>
                </c:pt>
                <c:pt idx="1776">
                  <c:v>0.73699999999999988</c:v>
                </c:pt>
                <c:pt idx="1777">
                  <c:v>0.7410000000000001</c:v>
                </c:pt>
                <c:pt idx="1778">
                  <c:v>0.77100000000000013</c:v>
                </c:pt>
                <c:pt idx="1779">
                  <c:v>0.76899999999999991</c:v>
                </c:pt>
                <c:pt idx="1780">
                  <c:v>0.76800000000000002</c:v>
                </c:pt>
                <c:pt idx="1781">
                  <c:v>0.76700000000000013</c:v>
                </c:pt>
                <c:pt idx="1782">
                  <c:v>0.7629999999999999</c:v>
                </c:pt>
                <c:pt idx="1783">
                  <c:v>0.79600000000000004</c:v>
                </c:pt>
                <c:pt idx="1784">
                  <c:v>0.79899999999999993</c:v>
                </c:pt>
                <c:pt idx="1785">
                  <c:v>0.81400000000000006</c:v>
                </c:pt>
                <c:pt idx="1786">
                  <c:v>0.79499999999999993</c:v>
                </c:pt>
                <c:pt idx="1787">
                  <c:v>0.77700000000000002</c:v>
                </c:pt>
                <c:pt idx="1788">
                  <c:v>0.79</c:v>
                </c:pt>
                <c:pt idx="1789">
                  <c:v>0.77900000000000014</c:v>
                </c:pt>
                <c:pt idx="1790">
                  <c:v>0.77400000000000002</c:v>
                </c:pt>
                <c:pt idx="1791">
                  <c:v>0.73</c:v>
                </c:pt>
                <c:pt idx="1792">
                  <c:v>0.72800000000000009</c:v>
                </c:pt>
                <c:pt idx="1793">
                  <c:v>0.7320000000000001</c:v>
                </c:pt>
                <c:pt idx="1794">
                  <c:v>0.754</c:v>
                </c:pt>
                <c:pt idx="1795">
                  <c:v>0.73599999999999999</c:v>
                </c:pt>
                <c:pt idx="1796">
                  <c:v>0.72399999999999998</c:v>
                </c:pt>
                <c:pt idx="1797">
                  <c:v>0.73299999999999987</c:v>
                </c:pt>
                <c:pt idx="1798">
                  <c:v>0.69899999999999995</c:v>
                </c:pt>
                <c:pt idx="1799">
                  <c:v>0.69099999999999995</c:v>
                </c:pt>
                <c:pt idx="1800">
                  <c:v>0.64400000000000013</c:v>
                </c:pt>
                <c:pt idx="1801">
                  <c:v>0.62800000000000011</c:v>
                </c:pt>
                <c:pt idx="1802">
                  <c:v>0.625</c:v>
                </c:pt>
                <c:pt idx="1803">
                  <c:v>0.62800000000000011</c:v>
                </c:pt>
                <c:pt idx="1804">
                  <c:v>0.62599999999999989</c:v>
                </c:pt>
                <c:pt idx="1805">
                  <c:v>0.623</c:v>
                </c:pt>
                <c:pt idx="1806">
                  <c:v>0.6140000000000001</c:v>
                </c:pt>
                <c:pt idx="1807">
                  <c:v>0.62599999999999989</c:v>
                </c:pt>
                <c:pt idx="1808">
                  <c:v>0.6429999999999999</c:v>
                </c:pt>
                <c:pt idx="1809">
                  <c:v>0.65500000000000003</c:v>
                </c:pt>
                <c:pt idx="1810">
                  <c:v>0.65200000000000014</c:v>
                </c:pt>
                <c:pt idx="1811">
                  <c:v>0.65699999999999992</c:v>
                </c:pt>
                <c:pt idx="1812">
                  <c:v>0.65399999999999991</c:v>
                </c:pt>
                <c:pt idx="1813">
                  <c:v>0.66599999999999993</c:v>
                </c:pt>
                <c:pt idx="1814">
                  <c:v>0.66599999999999993</c:v>
                </c:pt>
                <c:pt idx="1815">
                  <c:v>0.67299999999999982</c:v>
                </c:pt>
                <c:pt idx="1816">
                  <c:v>0.66900000000000004</c:v>
                </c:pt>
                <c:pt idx="1817">
                  <c:v>0.64599999999999991</c:v>
                </c:pt>
                <c:pt idx="1818">
                  <c:v>0.71500000000000008</c:v>
                </c:pt>
                <c:pt idx="1819">
                  <c:v>0.71699999999999997</c:v>
                </c:pt>
                <c:pt idx="1820">
                  <c:v>0.71599999999999997</c:v>
                </c:pt>
                <c:pt idx="1821">
                  <c:v>0.72399999999999998</c:v>
                </c:pt>
                <c:pt idx="1822">
                  <c:v>0.70799999999999996</c:v>
                </c:pt>
                <c:pt idx="1823">
                  <c:v>0.70699999999999996</c:v>
                </c:pt>
                <c:pt idx="1824">
                  <c:v>0.71199999999999997</c:v>
                </c:pt>
                <c:pt idx="1825">
                  <c:v>0.69800000000000006</c:v>
                </c:pt>
                <c:pt idx="1826">
                  <c:v>0.72899999999999998</c:v>
                </c:pt>
                <c:pt idx="1827">
                  <c:v>0.73100000000000009</c:v>
                </c:pt>
                <c:pt idx="1828">
                  <c:v>0.73699999999999988</c:v>
                </c:pt>
                <c:pt idx="1829">
                  <c:v>0.71800000000000008</c:v>
                </c:pt>
                <c:pt idx="1830">
                  <c:v>0.71800000000000008</c:v>
                </c:pt>
                <c:pt idx="1831">
                  <c:v>0.71699999999999997</c:v>
                </c:pt>
                <c:pt idx="1832">
                  <c:v>0.71899999999999997</c:v>
                </c:pt>
                <c:pt idx="1833">
                  <c:v>0.71499999999999997</c:v>
                </c:pt>
                <c:pt idx="1834">
                  <c:v>0.72099999999999997</c:v>
                </c:pt>
                <c:pt idx="1835">
                  <c:v>0.70899999999999985</c:v>
                </c:pt>
                <c:pt idx="1836">
                  <c:v>0.70000000000000007</c:v>
                </c:pt>
                <c:pt idx="1837">
                  <c:v>0.70799999999999996</c:v>
                </c:pt>
                <c:pt idx="1838">
                  <c:v>0.70099999999999996</c:v>
                </c:pt>
                <c:pt idx="1839">
                  <c:v>0.72499999999999998</c:v>
                </c:pt>
                <c:pt idx="1840">
                  <c:v>0.68800000000000006</c:v>
                </c:pt>
                <c:pt idx="1841">
                  <c:v>0.68400000000000005</c:v>
                </c:pt>
                <c:pt idx="1842">
                  <c:v>0.68700000000000006</c:v>
                </c:pt>
                <c:pt idx="1843">
                  <c:v>0.65299999999999991</c:v>
                </c:pt>
                <c:pt idx="1844">
                  <c:v>0.68799999999999994</c:v>
                </c:pt>
                <c:pt idx="1845">
                  <c:v>0.70299999999999996</c:v>
                </c:pt>
                <c:pt idx="1846">
                  <c:v>0.70699999999999996</c:v>
                </c:pt>
                <c:pt idx="1847">
                  <c:v>0.72199999999999998</c:v>
                </c:pt>
                <c:pt idx="1848">
                  <c:v>0.71600000000000008</c:v>
                </c:pt>
                <c:pt idx="1849">
                  <c:v>0.72599999999999998</c:v>
                </c:pt>
                <c:pt idx="1850">
                  <c:v>0.69700000000000006</c:v>
                </c:pt>
                <c:pt idx="1851">
                  <c:v>0.63700000000000001</c:v>
                </c:pt>
                <c:pt idx="1852">
                  <c:v>0.63800000000000001</c:v>
                </c:pt>
                <c:pt idx="1853">
                  <c:v>0.64</c:v>
                </c:pt>
                <c:pt idx="1854">
                  <c:v>0.59199999999999997</c:v>
                </c:pt>
                <c:pt idx="1855">
                  <c:v>0.59399999999999997</c:v>
                </c:pt>
                <c:pt idx="1856">
                  <c:v>0.58299999999999996</c:v>
                </c:pt>
                <c:pt idx="1857">
                  <c:v>0.55400000000000005</c:v>
                </c:pt>
                <c:pt idx="1858">
                  <c:v>0.53499999999999992</c:v>
                </c:pt>
                <c:pt idx="1859">
                  <c:v>0.53800000000000003</c:v>
                </c:pt>
                <c:pt idx="1860">
                  <c:v>0.5129999999999999</c:v>
                </c:pt>
                <c:pt idx="1861">
                  <c:v>0.504</c:v>
                </c:pt>
                <c:pt idx="1862">
                  <c:v>0.42199999999999999</c:v>
                </c:pt>
                <c:pt idx="1863">
                  <c:v>0.39099999999999996</c:v>
                </c:pt>
                <c:pt idx="1864">
                  <c:v>0.41199999999999992</c:v>
                </c:pt>
                <c:pt idx="1865">
                  <c:v>0.39800000000000002</c:v>
                </c:pt>
                <c:pt idx="1866">
                  <c:v>0.38700000000000001</c:v>
                </c:pt>
                <c:pt idx="1867">
                  <c:v>0.40800000000000003</c:v>
                </c:pt>
                <c:pt idx="1868">
                  <c:v>0.38300000000000006</c:v>
                </c:pt>
                <c:pt idx="1869">
                  <c:v>0.38900000000000001</c:v>
                </c:pt>
                <c:pt idx="1870">
                  <c:v>0.38700000000000001</c:v>
                </c:pt>
                <c:pt idx="1871">
                  <c:v>0.38</c:v>
                </c:pt>
                <c:pt idx="1872">
                  <c:v>0.39199999999999996</c:v>
                </c:pt>
                <c:pt idx="1873">
                  <c:v>0.40499999999999997</c:v>
                </c:pt>
                <c:pt idx="1874">
                  <c:v>0.41299999999999998</c:v>
                </c:pt>
                <c:pt idx="1875">
                  <c:v>0.42199999999999999</c:v>
                </c:pt>
                <c:pt idx="1876">
                  <c:v>0.41399999999999998</c:v>
                </c:pt>
                <c:pt idx="1877">
                  <c:v>0.41199999999999998</c:v>
                </c:pt>
                <c:pt idx="1878">
                  <c:v>0.41200000000000003</c:v>
                </c:pt>
                <c:pt idx="1879">
                  <c:v>0.41400000000000003</c:v>
                </c:pt>
                <c:pt idx="1880">
                  <c:v>0.36699999999999999</c:v>
                </c:pt>
                <c:pt idx="1881">
                  <c:v>0.38200000000000001</c:v>
                </c:pt>
                <c:pt idx="1882">
                  <c:v>0.378</c:v>
                </c:pt>
                <c:pt idx="1883">
                  <c:v>0.39099999999999996</c:v>
                </c:pt>
                <c:pt idx="1884">
                  <c:v>0.35899999999999999</c:v>
                </c:pt>
                <c:pt idx="1885">
                  <c:v>0.374</c:v>
                </c:pt>
                <c:pt idx="1886">
                  <c:v>0.38</c:v>
                </c:pt>
                <c:pt idx="1887">
                  <c:v>0.36599999999999999</c:v>
                </c:pt>
                <c:pt idx="1888">
                  <c:v>0.39100000000000001</c:v>
                </c:pt>
                <c:pt idx="1889">
                  <c:v>0.38600000000000001</c:v>
                </c:pt>
                <c:pt idx="1890">
                  <c:v>0.39500000000000002</c:v>
                </c:pt>
                <c:pt idx="1891">
                  <c:v>0.38900000000000001</c:v>
                </c:pt>
                <c:pt idx="1892">
                  <c:v>0.40900000000000003</c:v>
                </c:pt>
                <c:pt idx="1893">
                  <c:v>0.41500000000000004</c:v>
                </c:pt>
                <c:pt idx="1894">
                  <c:v>0.40499999999999997</c:v>
                </c:pt>
                <c:pt idx="1895">
                  <c:v>0.38600000000000001</c:v>
                </c:pt>
                <c:pt idx="1896">
                  <c:v>0.40400000000000003</c:v>
                </c:pt>
                <c:pt idx="1897">
                  <c:v>0.373</c:v>
                </c:pt>
                <c:pt idx="1898">
                  <c:v>0.38200000000000001</c:v>
                </c:pt>
                <c:pt idx="1899">
                  <c:v>0.374</c:v>
                </c:pt>
                <c:pt idx="1900">
                  <c:v>0.36899999999999999</c:v>
                </c:pt>
                <c:pt idx="1901">
                  <c:v>0.35</c:v>
                </c:pt>
                <c:pt idx="1902">
                  <c:v>0.32499999999999996</c:v>
                </c:pt>
                <c:pt idx="1903">
                  <c:v>0.32100000000000001</c:v>
                </c:pt>
                <c:pt idx="1904">
                  <c:v>0.315</c:v>
                </c:pt>
                <c:pt idx="1905">
                  <c:v>0.307</c:v>
                </c:pt>
                <c:pt idx="1906">
                  <c:v>0.31900000000000001</c:v>
                </c:pt>
                <c:pt idx="1907">
                  <c:v>0.33699999999999997</c:v>
                </c:pt>
                <c:pt idx="1908">
                  <c:v>0.35299999999999998</c:v>
                </c:pt>
                <c:pt idx="1909">
                  <c:v>0.32600000000000001</c:v>
                </c:pt>
                <c:pt idx="1910">
                  <c:v>0.33199999999999996</c:v>
                </c:pt>
                <c:pt idx="1911">
                  <c:v>0.34400000000000003</c:v>
                </c:pt>
                <c:pt idx="1912">
                  <c:v>0.33600000000000002</c:v>
                </c:pt>
                <c:pt idx="1913">
                  <c:v>0.35099999999999998</c:v>
                </c:pt>
                <c:pt idx="1914">
                  <c:v>0.34</c:v>
                </c:pt>
                <c:pt idx="1915">
                  <c:v>0.33200000000000002</c:v>
                </c:pt>
                <c:pt idx="1916">
                  <c:v>0.34400000000000003</c:v>
                </c:pt>
                <c:pt idx="1917">
                  <c:v>0.34799999999999998</c:v>
                </c:pt>
                <c:pt idx="1918">
                  <c:v>0.35</c:v>
                </c:pt>
                <c:pt idx="1919">
                  <c:v>0.34799999999999998</c:v>
                </c:pt>
                <c:pt idx="1920">
                  <c:v>0.33099999999999996</c:v>
                </c:pt>
                <c:pt idx="1921">
                  <c:v>0.34800000000000003</c:v>
                </c:pt>
                <c:pt idx="1922">
                  <c:v>0.35199999999999998</c:v>
                </c:pt>
                <c:pt idx="1923">
                  <c:v>0.34499999999999997</c:v>
                </c:pt>
                <c:pt idx="1924">
                  <c:v>0.35000000000000003</c:v>
                </c:pt>
                <c:pt idx="1925">
                  <c:v>0.35499999999999998</c:v>
                </c:pt>
                <c:pt idx="1926">
                  <c:v>0.34799999999999998</c:v>
                </c:pt>
                <c:pt idx="1927">
                  <c:v>0.37</c:v>
                </c:pt>
                <c:pt idx="1928">
                  <c:v>0.36199999999999999</c:v>
                </c:pt>
                <c:pt idx="1929">
                  <c:v>0.36099999999999999</c:v>
                </c:pt>
                <c:pt idx="1930">
                  <c:v>0.378</c:v>
                </c:pt>
                <c:pt idx="1931">
                  <c:v>0.38400000000000001</c:v>
                </c:pt>
                <c:pt idx="1932">
                  <c:v>0.36699999999999999</c:v>
                </c:pt>
                <c:pt idx="1933">
                  <c:v>0.37</c:v>
                </c:pt>
                <c:pt idx="1934">
                  <c:v>0.39100000000000001</c:v>
                </c:pt>
                <c:pt idx="1935">
                  <c:v>0.41</c:v>
                </c:pt>
                <c:pt idx="1936">
                  <c:v>0.40600000000000003</c:v>
                </c:pt>
                <c:pt idx="1937">
                  <c:v>0.41300000000000003</c:v>
                </c:pt>
                <c:pt idx="1938">
                  <c:v>0.40600000000000003</c:v>
                </c:pt>
                <c:pt idx="1939">
                  <c:v>0.435</c:v>
                </c:pt>
                <c:pt idx="1940">
                  <c:v>0.49</c:v>
                </c:pt>
                <c:pt idx="1941">
                  <c:v>0.50600000000000001</c:v>
                </c:pt>
                <c:pt idx="1942">
                  <c:v>0.501</c:v>
                </c:pt>
                <c:pt idx="1943">
                  <c:v>0.502</c:v>
                </c:pt>
                <c:pt idx="1944">
                  <c:v>0.51700000000000002</c:v>
                </c:pt>
                <c:pt idx="1945">
                  <c:v>0.496</c:v>
                </c:pt>
                <c:pt idx="1946">
                  <c:v>0.53</c:v>
                </c:pt>
                <c:pt idx="1947">
                  <c:v>0.53600000000000003</c:v>
                </c:pt>
                <c:pt idx="1948">
                  <c:v>0.59799999999999998</c:v>
                </c:pt>
                <c:pt idx="1949">
                  <c:v>0.60699999999999998</c:v>
                </c:pt>
                <c:pt idx="1950">
                  <c:v>0.629</c:v>
                </c:pt>
                <c:pt idx="1951">
                  <c:v>0.63100000000000001</c:v>
                </c:pt>
                <c:pt idx="1952">
                  <c:v>0.64300000000000002</c:v>
                </c:pt>
                <c:pt idx="1953">
                  <c:v>0.65599999999999992</c:v>
                </c:pt>
                <c:pt idx="1954">
                  <c:v>0.65900000000000003</c:v>
                </c:pt>
                <c:pt idx="1955">
                  <c:v>0.66900000000000004</c:v>
                </c:pt>
                <c:pt idx="1956">
                  <c:v>0.72399999999999998</c:v>
                </c:pt>
                <c:pt idx="1957">
                  <c:v>0.751</c:v>
                </c:pt>
                <c:pt idx="1958">
                  <c:v>0.76</c:v>
                </c:pt>
                <c:pt idx="1959">
                  <c:v>0.76900000000000002</c:v>
                </c:pt>
                <c:pt idx="1960">
                  <c:v>0.78100000000000003</c:v>
                </c:pt>
                <c:pt idx="1961">
                  <c:v>0.65600000000000003</c:v>
                </c:pt>
                <c:pt idx="1962">
                  <c:v>0.67999999999999994</c:v>
                </c:pt>
                <c:pt idx="1963">
                  <c:v>0.67699999999999994</c:v>
                </c:pt>
                <c:pt idx="1964">
                  <c:v>0.67399999999999993</c:v>
                </c:pt>
                <c:pt idx="1965">
                  <c:v>0.70799999999999996</c:v>
                </c:pt>
                <c:pt idx="1966">
                  <c:v>0.72099999999999997</c:v>
                </c:pt>
                <c:pt idx="1967">
                  <c:v>0.75</c:v>
                </c:pt>
                <c:pt idx="1968">
                  <c:v>0.73199999999999998</c:v>
                </c:pt>
                <c:pt idx="1969">
                  <c:v>0.70499999999999996</c:v>
                </c:pt>
                <c:pt idx="1970">
                  <c:v>0.71399999999999997</c:v>
                </c:pt>
                <c:pt idx="1971">
                  <c:v>0.71499999999999997</c:v>
                </c:pt>
                <c:pt idx="1972">
                  <c:v>0.72399999999999998</c:v>
                </c:pt>
                <c:pt idx="1973">
                  <c:v>0.71199999999999997</c:v>
                </c:pt>
                <c:pt idx="1974">
                  <c:v>0.72200000000000009</c:v>
                </c:pt>
                <c:pt idx="1975">
                  <c:v>0.70599999999999996</c:v>
                </c:pt>
                <c:pt idx="1976">
                  <c:v>0.72</c:v>
                </c:pt>
                <c:pt idx="1977">
                  <c:v>0.69099999999999995</c:v>
                </c:pt>
                <c:pt idx="1978">
                  <c:v>0.71</c:v>
                </c:pt>
                <c:pt idx="1979">
                  <c:v>0.66099999999999992</c:v>
                </c:pt>
                <c:pt idx="1980">
                  <c:v>0.70499999999999996</c:v>
                </c:pt>
                <c:pt idx="1981">
                  <c:v>0.69</c:v>
                </c:pt>
                <c:pt idx="1982">
                  <c:v>0.70199999999999996</c:v>
                </c:pt>
                <c:pt idx="1983">
                  <c:v>0.69100000000000006</c:v>
                </c:pt>
                <c:pt idx="1984">
                  <c:v>0.68500000000000005</c:v>
                </c:pt>
                <c:pt idx="1985">
                  <c:v>0.22</c:v>
                </c:pt>
                <c:pt idx="1986">
                  <c:v>0.221</c:v>
                </c:pt>
                <c:pt idx="1987">
                  <c:v>0.223</c:v>
                </c:pt>
                <c:pt idx="1988">
                  <c:v>0.23599999999999999</c:v>
                </c:pt>
                <c:pt idx="1989">
                  <c:v>0.24100000000000002</c:v>
                </c:pt>
                <c:pt idx="1990">
                  <c:v>0.24299999999999999</c:v>
                </c:pt>
                <c:pt idx="1991">
                  <c:v>0.22600000000000001</c:v>
                </c:pt>
                <c:pt idx="1992">
                  <c:v>0.23499999999999999</c:v>
                </c:pt>
                <c:pt idx="1993">
                  <c:v>0.247</c:v>
                </c:pt>
                <c:pt idx="1994">
                  <c:v>0.23299999999999998</c:v>
                </c:pt>
                <c:pt idx="1995">
                  <c:v>0.23300000000000001</c:v>
                </c:pt>
                <c:pt idx="1996">
                  <c:v>0.23200000000000001</c:v>
                </c:pt>
                <c:pt idx="1997">
                  <c:v>0.22099999999999997</c:v>
                </c:pt>
                <c:pt idx="1998">
                  <c:v>0.21599999999999997</c:v>
                </c:pt>
                <c:pt idx="1999">
                  <c:v>0.185</c:v>
                </c:pt>
                <c:pt idx="2000">
                  <c:v>0.20999999999999996</c:v>
                </c:pt>
                <c:pt idx="2001">
                  <c:v>0.19400000000000001</c:v>
                </c:pt>
                <c:pt idx="2002">
                  <c:v>0.187</c:v>
                </c:pt>
                <c:pt idx="2003">
                  <c:v>0.14800000000000002</c:v>
                </c:pt>
                <c:pt idx="2004">
                  <c:v>0.15299999999999997</c:v>
                </c:pt>
                <c:pt idx="2005">
                  <c:v>0.16900000000000001</c:v>
                </c:pt>
                <c:pt idx="2006">
                  <c:v>0.17899999999999999</c:v>
                </c:pt>
                <c:pt idx="2007">
                  <c:v>0.214</c:v>
                </c:pt>
                <c:pt idx="2008">
                  <c:v>0.20799999999999999</c:v>
                </c:pt>
                <c:pt idx="2009">
                  <c:v>0.215</c:v>
                </c:pt>
                <c:pt idx="2010">
                  <c:v>0.21799999999999997</c:v>
                </c:pt>
                <c:pt idx="2011">
                  <c:v>0.21299999999999999</c:v>
                </c:pt>
                <c:pt idx="2012">
                  <c:v>0.22099999999999997</c:v>
                </c:pt>
                <c:pt idx="2013">
                  <c:v>0.20599999999999999</c:v>
                </c:pt>
                <c:pt idx="2014">
                  <c:v>0.22100000000000003</c:v>
                </c:pt>
                <c:pt idx="2015">
                  <c:v>0.224</c:v>
                </c:pt>
                <c:pt idx="2016">
                  <c:v>0.22600000000000001</c:v>
                </c:pt>
                <c:pt idx="2017">
                  <c:v>0.22300000000000003</c:v>
                </c:pt>
                <c:pt idx="2018">
                  <c:v>0.23</c:v>
                </c:pt>
                <c:pt idx="2019">
                  <c:v>0.21499999999999997</c:v>
                </c:pt>
                <c:pt idx="2020">
                  <c:v>0.21699999999999997</c:v>
                </c:pt>
                <c:pt idx="2021">
                  <c:v>0.21199999999999999</c:v>
                </c:pt>
                <c:pt idx="2022">
                  <c:v>0.20899999999999999</c:v>
                </c:pt>
                <c:pt idx="2023">
                  <c:v>0.21899999999999997</c:v>
                </c:pt>
                <c:pt idx="2024">
                  <c:v>0.20700000000000002</c:v>
                </c:pt>
                <c:pt idx="2025">
                  <c:v>0.20700000000000002</c:v>
                </c:pt>
                <c:pt idx="2026">
                  <c:v>0.20700000000000002</c:v>
                </c:pt>
                <c:pt idx="2027">
                  <c:v>0.19700000000000001</c:v>
                </c:pt>
                <c:pt idx="2028">
                  <c:v>0.19000000000000003</c:v>
                </c:pt>
                <c:pt idx="2029">
                  <c:v>0.18599999999999997</c:v>
                </c:pt>
                <c:pt idx="2030">
                  <c:v>0.18900000000000003</c:v>
                </c:pt>
                <c:pt idx="2031">
                  <c:v>0.18499999999999997</c:v>
                </c:pt>
                <c:pt idx="2032">
                  <c:v>0.15800000000000003</c:v>
                </c:pt>
                <c:pt idx="2033">
                  <c:v>0.15899999999999997</c:v>
                </c:pt>
                <c:pt idx="2034">
                  <c:v>0.15699999999999997</c:v>
                </c:pt>
                <c:pt idx="2035">
                  <c:v>0.16699999999999998</c:v>
                </c:pt>
                <c:pt idx="2036">
                  <c:v>0.18</c:v>
                </c:pt>
                <c:pt idx="2037">
                  <c:v>0.21300000000000002</c:v>
                </c:pt>
                <c:pt idx="2038">
                  <c:v>0.23099999999999998</c:v>
                </c:pt>
                <c:pt idx="2039">
                  <c:v>0.22</c:v>
                </c:pt>
                <c:pt idx="2040">
                  <c:v>0.21100000000000002</c:v>
                </c:pt>
                <c:pt idx="2041">
                  <c:v>0.24099999999999996</c:v>
                </c:pt>
                <c:pt idx="2042">
                  <c:v>0.23600000000000002</c:v>
                </c:pt>
                <c:pt idx="2043">
                  <c:v>0.24900000000000003</c:v>
                </c:pt>
                <c:pt idx="2044">
                  <c:v>0.26900000000000002</c:v>
                </c:pt>
                <c:pt idx="2045">
                  <c:v>0.25600000000000001</c:v>
                </c:pt>
                <c:pt idx="2046">
                  <c:v>0.26100000000000001</c:v>
                </c:pt>
                <c:pt idx="2047">
                  <c:v>0.254</c:v>
                </c:pt>
                <c:pt idx="2048">
                  <c:v>0.253</c:v>
                </c:pt>
                <c:pt idx="2049">
                  <c:v>0.27200000000000002</c:v>
                </c:pt>
                <c:pt idx="2050">
                  <c:v>0.248</c:v>
                </c:pt>
                <c:pt idx="2051">
                  <c:v>0.24400000000000002</c:v>
                </c:pt>
                <c:pt idx="2052">
                  <c:v>0.22799999999999998</c:v>
                </c:pt>
                <c:pt idx="2053">
                  <c:v>0.23199999999999998</c:v>
                </c:pt>
                <c:pt idx="2054">
                  <c:v>0.28200000000000003</c:v>
                </c:pt>
                <c:pt idx="2055">
                  <c:v>0.27400000000000002</c:v>
                </c:pt>
                <c:pt idx="2056">
                  <c:v>0.308</c:v>
                </c:pt>
                <c:pt idx="2057">
                  <c:v>0.28700000000000003</c:v>
                </c:pt>
                <c:pt idx="2058">
                  <c:v>0.28100000000000003</c:v>
                </c:pt>
                <c:pt idx="2059">
                  <c:v>0.30600000000000005</c:v>
                </c:pt>
                <c:pt idx="2060">
                  <c:v>0.26300000000000007</c:v>
                </c:pt>
                <c:pt idx="2061">
                  <c:v>0.26199999999999996</c:v>
                </c:pt>
                <c:pt idx="2062">
                  <c:v>0.27300000000000002</c:v>
                </c:pt>
                <c:pt idx="2063">
                  <c:v>0.28099999999999997</c:v>
                </c:pt>
                <c:pt idx="2064">
                  <c:v>0.25700000000000001</c:v>
                </c:pt>
                <c:pt idx="2065">
                  <c:v>0.26899999999999996</c:v>
                </c:pt>
                <c:pt idx="2066">
                  <c:v>0.253</c:v>
                </c:pt>
                <c:pt idx="2067">
                  <c:v>0.24499999999999994</c:v>
                </c:pt>
                <c:pt idx="2068">
                  <c:v>0.24299999999999994</c:v>
                </c:pt>
                <c:pt idx="2069">
                  <c:v>0.245</c:v>
                </c:pt>
                <c:pt idx="2070">
                  <c:v>0.248</c:v>
                </c:pt>
                <c:pt idx="2071">
                  <c:v>0.26799999999999996</c:v>
                </c:pt>
                <c:pt idx="2072">
                  <c:v>0.248</c:v>
                </c:pt>
                <c:pt idx="2073">
                  <c:v>0.20099999999999996</c:v>
                </c:pt>
                <c:pt idx="2074">
                  <c:v>0.20499999999999996</c:v>
                </c:pt>
                <c:pt idx="2075">
                  <c:v>0.22299999999999998</c:v>
                </c:pt>
                <c:pt idx="2076">
                  <c:v>0.16100000000000003</c:v>
                </c:pt>
                <c:pt idx="2077">
                  <c:v>8.6000000000000076E-2</c:v>
                </c:pt>
                <c:pt idx="2078">
                  <c:v>0.14000000000000001</c:v>
                </c:pt>
                <c:pt idx="2079">
                  <c:v>0.122</c:v>
                </c:pt>
                <c:pt idx="2080">
                  <c:v>0.121</c:v>
                </c:pt>
                <c:pt idx="2081">
                  <c:v>0.11199999999999999</c:v>
                </c:pt>
                <c:pt idx="2082">
                  <c:v>0.13900000000000001</c:v>
                </c:pt>
                <c:pt idx="2083">
                  <c:v>0.12</c:v>
                </c:pt>
                <c:pt idx="2084">
                  <c:v>0.12100000000000011</c:v>
                </c:pt>
                <c:pt idx="2085">
                  <c:v>0.10699999999999998</c:v>
                </c:pt>
                <c:pt idx="2086">
                  <c:v>0.10699999999999998</c:v>
                </c:pt>
                <c:pt idx="2087">
                  <c:v>0.10699999999999998</c:v>
                </c:pt>
                <c:pt idx="2088">
                  <c:v>9.099999999999997E-2</c:v>
                </c:pt>
                <c:pt idx="2089">
                  <c:v>0.15899999999999992</c:v>
                </c:pt>
                <c:pt idx="2090">
                  <c:v>8.4999999999999964E-2</c:v>
                </c:pt>
                <c:pt idx="2091">
                  <c:v>8.4999999999999964E-2</c:v>
                </c:pt>
                <c:pt idx="2092">
                  <c:v>9.4999999999999973E-2</c:v>
                </c:pt>
                <c:pt idx="2093">
                  <c:v>0.128</c:v>
                </c:pt>
                <c:pt idx="2094">
                  <c:v>0.14699999999999991</c:v>
                </c:pt>
                <c:pt idx="2095">
                  <c:v>0.125</c:v>
                </c:pt>
                <c:pt idx="2096">
                  <c:v>0.10699999999999998</c:v>
                </c:pt>
                <c:pt idx="2097">
                  <c:v>8.2999999999999963E-2</c:v>
                </c:pt>
                <c:pt idx="2098">
                  <c:v>8.9999999999999969E-2</c:v>
                </c:pt>
                <c:pt idx="2099">
                  <c:v>0.1090000000000001</c:v>
                </c:pt>
                <c:pt idx="2100">
                  <c:v>0.10899999999999999</c:v>
                </c:pt>
                <c:pt idx="2101">
                  <c:v>0.1130000000000001</c:v>
                </c:pt>
                <c:pt idx="2102">
                  <c:v>0.11599999999999999</c:v>
                </c:pt>
                <c:pt idx="2103">
                  <c:v>0.15000000000000002</c:v>
                </c:pt>
                <c:pt idx="2104">
                  <c:v>0.14600000000000002</c:v>
                </c:pt>
                <c:pt idx="2105">
                  <c:v>8.3999999999999964E-2</c:v>
                </c:pt>
                <c:pt idx="2106">
                  <c:v>0.11799999999999999</c:v>
                </c:pt>
                <c:pt idx="2107">
                  <c:v>0.14000000000000001</c:v>
                </c:pt>
                <c:pt idx="2108">
                  <c:v>0.14399999999999996</c:v>
                </c:pt>
                <c:pt idx="2109">
                  <c:v>0.15100000000000002</c:v>
                </c:pt>
                <c:pt idx="2110">
                  <c:v>0.14499999999999996</c:v>
                </c:pt>
                <c:pt idx="2111">
                  <c:v>0.14800000000000002</c:v>
                </c:pt>
                <c:pt idx="2112">
                  <c:v>0.15900000000000003</c:v>
                </c:pt>
                <c:pt idx="2113">
                  <c:v>0.13500000000000001</c:v>
                </c:pt>
                <c:pt idx="2114">
                  <c:v>0.13800000000000001</c:v>
                </c:pt>
                <c:pt idx="2115">
                  <c:v>0.16100000000000003</c:v>
                </c:pt>
                <c:pt idx="2116">
                  <c:v>0.16300000000000003</c:v>
                </c:pt>
                <c:pt idx="2117">
                  <c:v>0.16200000000000003</c:v>
                </c:pt>
                <c:pt idx="2118">
                  <c:v>0.16000000000000003</c:v>
                </c:pt>
                <c:pt idx="2119">
                  <c:v>0.19199999999999995</c:v>
                </c:pt>
                <c:pt idx="2120">
                  <c:v>0.18499999999999994</c:v>
                </c:pt>
                <c:pt idx="2121">
                  <c:v>0.16900000000000004</c:v>
                </c:pt>
                <c:pt idx="2122">
                  <c:v>0.17300000000000004</c:v>
                </c:pt>
                <c:pt idx="2123">
                  <c:v>0.16000000000000003</c:v>
                </c:pt>
                <c:pt idx="2124">
                  <c:v>0.127</c:v>
                </c:pt>
                <c:pt idx="2125">
                  <c:v>0.1080000000000001</c:v>
                </c:pt>
                <c:pt idx="2126">
                  <c:v>0.13900000000000001</c:v>
                </c:pt>
                <c:pt idx="2127">
                  <c:v>0.13100000000000001</c:v>
                </c:pt>
                <c:pt idx="2128">
                  <c:v>0.16100000000000003</c:v>
                </c:pt>
                <c:pt idx="2129">
                  <c:v>0.16399999999999992</c:v>
                </c:pt>
                <c:pt idx="2130">
                  <c:v>0.20199999999999996</c:v>
                </c:pt>
                <c:pt idx="2131">
                  <c:v>0.17599999999999993</c:v>
                </c:pt>
                <c:pt idx="2132">
                  <c:v>0.19400000000000001</c:v>
                </c:pt>
                <c:pt idx="2133">
                  <c:v>0.192</c:v>
                </c:pt>
                <c:pt idx="2134">
                  <c:v>0.17200000000000004</c:v>
                </c:pt>
                <c:pt idx="2135">
                  <c:v>0.18699999999999994</c:v>
                </c:pt>
                <c:pt idx="2136">
                  <c:v>0.19799999999999995</c:v>
                </c:pt>
                <c:pt idx="2137">
                  <c:v>0.15700000000000003</c:v>
                </c:pt>
                <c:pt idx="2138">
                  <c:v>0.14000000000000001</c:v>
                </c:pt>
                <c:pt idx="2139">
                  <c:v>0.16500000000000004</c:v>
                </c:pt>
                <c:pt idx="2140">
                  <c:v>0.18899999999999995</c:v>
                </c:pt>
                <c:pt idx="2141">
                  <c:v>0.18299999999999994</c:v>
                </c:pt>
                <c:pt idx="2142">
                  <c:v>0.17699999999999994</c:v>
                </c:pt>
                <c:pt idx="2143">
                  <c:v>0.18300000000000005</c:v>
                </c:pt>
                <c:pt idx="2144">
                  <c:v>0.19800000000000006</c:v>
                </c:pt>
                <c:pt idx="2145">
                  <c:v>0.17200000000000004</c:v>
                </c:pt>
                <c:pt idx="2146">
                  <c:v>0.17200000000000004</c:v>
                </c:pt>
                <c:pt idx="2147">
                  <c:v>0.17100000000000004</c:v>
                </c:pt>
                <c:pt idx="2148">
                  <c:v>0.17900000000000005</c:v>
                </c:pt>
                <c:pt idx="2149">
                  <c:v>0.20000000000000007</c:v>
                </c:pt>
                <c:pt idx="2150">
                  <c:v>0.21299999999999997</c:v>
                </c:pt>
                <c:pt idx="2151">
                  <c:v>0.21299999999999997</c:v>
                </c:pt>
                <c:pt idx="2152">
                  <c:v>0.20000000000000007</c:v>
                </c:pt>
                <c:pt idx="2153">
                  <c:v>0.20300000000000007</c:v>
                </c:pt>
                <c:pt idx="2154">
                  <c:v>0.20300000000000007</c:v>
                </c:pt>
                <c:pt idx="2155">
                  <c:v>0.18999999999999995</c:v>
                </c:pt>
                <c:pt idx="2156">
                  <c:v>0.20800000000000007</c:v>
                </c:pt>
                <c:pt idx="2157">
                  <c:v>0.21300000000000008</c:v>
                </c:pt>
                <c:pt idx="2158">
                  <c:v>0.20800000000000007</c:v>
                </c:pt>
                <c:pt idx="2159">
                  <c:v>0.18899999999999995</c:v>
                </c:pt>
                <c:pt idx="2160">
                  <c:v>0.18999999999999995</c:v>
                </c:pt>
                <c:pt idx="2161">
                  <c:v>0.17299999999999993</c:v>
                </c:pt>
                <c:pt idx="2162">
                  <c:v>0.18399999999999994</c:v>
                </c:pt>
                <c:pt idx="2163">
                  <c:v>0.18900000000000006</c:v>
                </c:pt>
                <c:pt idx="2164">
                  <c:v>0.20199999999999996</c:v>
                </c:pt>
                <c:pt idx="2165">
                  <c:v>0.19999999999999996</c:v>
                </c:pt>
                <c:pt idx="2166">
                  <c:v>0.19900000000000007</c:v>
                </c:pt>
                <c:pt idx="2167">
                  <c:v>0.20300000000000007</c:v>
                </c:pt>
                <c:pt idx="2168">
                  <c:v>0.20799999999999996</c:v>
                </c:pt>
                <c:pt idx="2169">
                  <c:v>0.21399999999999997</c:v>
                </c:pt>
                <c:pt idx="2170">
                  <c:v>0.21699999999999997</c:v>
                </c:pt>
                <c:pt idx="2171">
                  <c:v>0.20900000000000007</c:v>
                </c:pt>
                <c:pt idx="2172">
                  <c:v>0.22099999999999997</c:v>
                </c:pt>
                <c:pt idx="2173">
                  <c:v>0.21499999999999986</c:v>
                </c:pt>
                <c:pt idx="2174">
                  <c:v>0.247</c:v>
                </c:pt>
                <c:pt idx="2175">
                  <c:v>0.22399999999999998</c:v>
                </c:pt>
                <c:pt idx="2176">
                  <c:v>0.21099999999999997</c:v>
                </c:pt>
                <c:pt idx="2177">
                  <c:v>0.2330000000000001</c:v>
                </c:pt>
                <c:pt idx="2178">
                  <c:v>0.246</c:v>
                </c:pt>
                <c:pt idx="2179">
                  <c:v>0.25900000000000001</c:v>
                </c:pt>
                <c:pt idx="2180">
                  <c:v>0.27</c:v>
                </c:pt>
                <c:pt idx="2181">
                  <c:v>0.26200000000000001</c:v>
                </c:pt>
                <c:pt idx="2182">
                  <c:v>0.255</c:v>
                </c:pt>
                <c:pt idx="2183">
                  <c:v>0.25900000000000001</c:v>
                </c:pt>
                <c:pt idx="2184">
                  <c:v>0.26400000000000001</c:v>
                </c:pt>
                <c:pt idx="2185">
                  <c:v>0.23599999999999999</c:v>
                </c:pt>
                <c:pt idx="2186">
                  <c:v>0.23499999999999999</c:v>
                </c:pt>
                <c:pt idx="2187">
                  <c:v>0.26700000000000002</c:v>
                </c:pt>
                <c:pt idx="2188">
                  <c:v>0.26800000000000002</c:v>
                </c:pt>
                <c:pt idx="2189">
                  <c:v>0.26900000000000002</c:v>
                </c:pt>
                <c:pt idx="2190">
                  <c:v>0.29799999999999993</c:v>
                </c:pt>
                <c:pt idx="2191">
                  <c:v>0.26200000000000001</c:v>
                </c:pt>
                <c:pt idx="2192">
                  <c:v>0.2639999999999999</c:v>
                </c:pt>
                <c:pt idx="2193">
                  <c:v>0.28500000000000003</c:v>
                </c:pt>
                <c:pt idx="2194">
                  <c:v>0.29100000000000004</c:v>
                </c:pt>
                <c:pt idx="2195">
                  <c:v>0.29499999999999993</c:v>
                </c:pt>
                <c:pt idx="2196">
                  <c:v>0.29799999999999993</c:v>
                </c:pt>
                <c:pt idx="2197">
                  <c:v>0.29899999999999993</c:v>
                </c:pt>
                <c:pt idx="2198">
                  <c:v>0.31799999999999995</c:v>
                </c:pt>
                <c:pt idx="2199">
                  <c:v>0.32299999999999995</c:v>
                </c:pt>
                <c:pt idx="2200">
                  <c:v>0.32699999999999996</c:v>
                </c:pt>
                <c:pt idx="2201">
                  <c:v>0.33999999999999997</c:v>
                </c:pt>
                <c:pt idx="2202">
                  <c:v>0.32299999999999995</c:v>
                </c:pt>
                <c:pt idx="2203">
                  <c:v>0.35599999999999987</c:v>
                </c:pt>
                <c:pt idx="2204">
                  <c:v>0.31399999999999995</c:v>
                </c:pt>
                <c:pt idx="2205">
                  <c:v>0.34399999999999997</c:v>
                </c:pt>
                <c:pt idx="2206">
                  <c:v>0.32300000000000006</c:v>
                </c:pt>
                <c:pt idx="2207">
                  <c:v>0.32699999999999996</c:v>
                </c:pt>
                <c:pt idx="2208">
                  <c:v>0.3640000000000001</c:v>
                </c:pt>
                <c:pt idx="2209">
                  <c:v>0.3630000000000001</c:v>
                </c:pt>
                <c:pt idx="2210">
                  <c:v>0.37699999999999989</c:v>
                </c:pt>
                <c:pt idx="2211">
                  <c:v>0.48599999999999999</c:v>
                </c:pt>
                <c:pt idx="2212">
                  <c:v>0.52399999999999991</c:v>
                </c:pt>
                <c:pt idx="2213">
                  <c:v>0.56199999999999994</c:v>
                </c:pt>
                <c:pt idx="2214">
                  <c:v>0.51999999999999991</c:v>
                </c:pt>
                <c:pt idx="2215">
                  <c:v>0.497</c:v>
                </c:pt>
                <c:pt idx="2216">
                  <c:v>0.47099999999999997</c:v>
                </c:pt>
                <c:pt idx="2217">
                  <c:v>0.52200000000000002</c:v>
                </c:pt>
                <c:pt idx="2218">
                  <c:v>0.56999999999999995</c:v>
                </c:pt>
                <c:pt idx="2219">
                  <c:v>0.55200000000000005</c:v>
                </c:pt>
                <c:pt idx="2220">
                  <c:v>0.46199999999999997</c:v>
                </c:pt>
                <c:pt idx="2221">
                  <c:v>0.47599999999999998</c:v>
                </c:pt>
                <c:pt idx="2222">
                  <c:v>0.49</c:v>
                </c:pt>
                <c:pt idx="2223">
                  <c:v>0.48199999999999998</c:v>
                </c:pt>
                <c:pt idx="2224">
                  <c:v>0.53</c:v>
                </c:pt>
                <c:pt idx="2225">
                  <c:v>0.6180000000000001</c:v>
                </c:pt>
                <c:pt idx="2226">
                  <c:v>0.56999999999999984</c:v>
                </c:pt>
                <c:pt idx="2227">
                  <c:v>0.55599999999999994</c:v>
                </c:pt>
                <c:pt idx="2228">
                  <c:v>0.53299999999999992</c:v>
                </c:pt>
                <c:pt idx="2229">
                  <c:v>0.50900000000000012</c:v>
                </c:pt>
                <c:pt idx="2230">
                  <c:v>0.35000000000000009</c:v>
                </c:pt>
                <c:pt idx="2231">
                  <c:v>0.24299999999999988</c:v>
                </c:pt>
                <c:pt idx="2232">
                  <c:v>0.2410000000000001</c:v>
                </c:pt>
                <c:pt idx="2233">
                  <c:v>0.28000000000000014</c:v>
                </c:pt>
                <c:pt idx="2234">
                  <c:v>0.2340000000000001</c:v>
                </c:pt>
                <c:pt idx="2235">
                  <c:v>0.26300000000000012</c:v>
                </c:pt>
                <c:pt idx="2236">
                  <c:v>0.18599999999999994</c:v>
                </c:pt>
                <c:pt idx="2237">
                  <c:v>0.22399999999999998</c:v>
                </c:pt>
                <c:pt idx="2238">
                  <c:v>0.23599999999999999</c:v>
                </c:pt>
                <c:pt idx="2239">
                  <c:v>0.27999999999999992</c:v>
                </c:pt>
                <c:pt idx="2240">
                  <c:v>0.29000000000000004</c:v>
                </c:pt>
                <c:pt idx="2241">
                  <c:v>0.29499999999999993</c:v>
                </c:pt>
                <c:pt idx="2242">
                  <c:v>0.251</c:v>
                </c:pt>
                <c:pt idx="2243">
                  <c:v>0.29699999999999993</c:v>
                </c:pt>
                <c:pt idx="2244">
                  <c:v>0.25900000000000001</c:v>
                </c:pt>
                <c:pt idx="2245">
                  <c:v>0.28200000000000003</c:v>
                </c:pt>
                <c:pt idx="2246">
                  <c:v>0.252</c:v>
                </c:pt>
                <c:pt idx="2247">
                  <c:v>0.22699999999999998</c:v>
                </c:pt>
                <c:pt idx="2248">
                  <c:v>0.22899999999999998</c:v>
                </c:pt>
                <c:pt idx="2249">
                  <c:v>0.21699999999999997</c:v>
                </c:pt>
                <c:pt idx="2250">
                  <c:v>0.22099999999999997</c:v>
                </c:pt>
                <c:pt idx="2251">
                  <c:v>0.15200000000000002</c:v>
                </c:pt>
                <c:pt idx="2252">
                  <c:v>0.15500000000000003</c:v>
                </c:pt>
                <c:pt idx="2253">
                  <c:v>0.1419999999999999</c:v>
                </c:pt>
                <c:pt idx="2254">
                  <c:v>0.16500000000000004</c:v>
                </c:pt>
                <c:pt idx="2255">
                  <c:v>0.18599999999999994</c:v>
                </c:pt>
                <c:pt idx="2256">
                  <c:v>0.18000000000000005</c:v>
                </c:pt>
                <c:pt idx="2257">
                  <c:v>0.15400000000000003</c:v>
                </c:pt>
                <c:pt idx="2258">
                  <c:v>0.14300000000000002</c:v>
                </c:pt>
                <c:pt idx="2259">
                  <c:v>0.14699999999999996</c:v>
                </c:pt>
                <c:pt idx="2260">
                  <c:v>9.600000000000003E-2</c:v>
                </c:pt>
                <c:pt idx="2261">
                  <c:v>0.15200000000000002</c:v>
                </c:pt>
                <c:pt idx="2262">
                  <c:v>0.187</c:v>
                </c:pt>
                <c:pt idx="2263">
                  <c:v>0.219</c:v>
                </c:pt>
                <c:pt idx="2264">
                  <c:v>0.224</c:v>
                </c:pt>
                <c:pt idx="2265">
                  <c:v>0.23100000000000001</c:v>
                </c:pt>
                <c:pt idx="2266">
                  <c:v>0.22700000000000001</c:v>
                </c:pt>
                <c:pt idx="2267">
                  <c:v>0.219</c:v>
                </c:pt>
                <c:pt idx="2268">
                  <c:v>0.27100000000000002</c:v>
                </c:pt>
                <c:pt idx="2269">
                  <c:v>0.28399999999999997</c:v>
                </c:pt>
                <c:pt idx="2270">
                  <c:v>0.30099999999999999</c:v>
                </c:pt>
                <c:pt idx="2271">
                  <c:v>0.29799999999999999</c:v>
                </c:pt>
                <c:pt idx="2272">
                  <c:v>0.28900000000000003</c:v>
                </c:pt>
                <c:pt idx="2273">
                  <c:v>0.29199999999999998</c:v>
                </c:pt>
                <c:pt idx="2274">
                  <c:v>0.28800000000000003</c:v>
                </c:pt>
                <c:pt idx="2275">
                  <c:v>0.30300000000000005</c:v>
                </c:pt>
                <c:pt idx="2276">
                  <c:v>0.30100000000000005</c:v>
                </c:pt>
                <c:pt idx="2277">
                  <c:v>0.30200000000000005</c:v>
                </c:pt>
                <c:pt idx="2278">
                  <c:v>0.30099999999999999</c:v>
                </c:pt>
                <c:pt idx="2279">
                  <c:v>0.3</c:v>
                </c:pt>
                <c:pt idx="2280">
                  <c:v>0.3</c:v>
                </c:pt>
                <c:pt idx="2281">
                  <c:v>0.3</c:v>
                </c:pt>
                <c:pt idx="2282">
                  <c:v>0.30799999999999994</c:v>
                </c:pt>
                <c:pt idx="2283">
                  <c:v>0.29799999999999999</c:v>
                </c:pt>
                <c:pt idx="2284">
                  <c:v>0.30300000000000005</c:v>
                </c:pt>
                <c:pt idx="2285">
                  <c:v>0.28700000000000003</c:v>
                </c:pt>
                <c:pt idx="2286">
                  <c:v>0.29200000000000004</c:v>
                </c:pt>
                <c:pt idx="2287">
                  <c:v>0.28600000000000003</c:v>
                </c:pt>
                <c:pt idx="2288">
                  <c:v>0.28200000000000003</c:v>
                </c:pt>
                <c:pt idx="2289">
                  <c:v>0.27100000000000002</c:v>
                </c:pt>
                <c:pt idx="2290">
                  <c:v>0.311</c:v>
                </c:pt>
                <c:pt idx="2291">
                  <c:v>0.32</c:v>
                </c:pt>
                <c:pt idx="2292">
                  <c:v>0.29199999999999998</c:v>
                </c:pt>
                <c:pt idx="2293">
                  <c:v>0.25</c:v>
                </c:pt>
                <c:pt idx="2294">
                  <c:v>0.24199999999999999</c:v>
                </c:pt>
                <c:pt idx="2295">
                  <c:v>0.27200000000000002</c:v>
                </c:pt>
                <c:pt idx="2296">
                  <c:v>0.28900000000000003</c:v>
                </c:pt>
                <c:pt idx="2297">
                  <c:v>0.32100000000000006</c:v>
                </c:pt>
                <c:pt idx="2298">
                  <c:v>0.33799999999999997</c:v>
                </c:pt>
                <c:pt idx="2299">
                  <c:v>0.34200000000000003</c:v>
                </c:pt>
                <c:pt idx="2300">
                  <c:v>0.35</c:v>
                </c:pt>
                <c:pt idx="2301">
                  <c:v>0.39500000000000002</c:v>
                </c:pt>
                <c:pt idx="2302">
                  <c:v>0.38500000000000001</c:v>
                </c:pt>
                <c:pt idx="2303">
                  <c:v>0.39900000000000002</c:v>
                </c:pt>
                <c:pt idx="2304">
                  <c:v>0.41200000000000003</c:v>
                </c:pt>
                <c:pt idx="2305">
                  <c:v>0.436</c:v>
                </c:pt>
                <c:pt idx="2306">
                  <c:v>0.45400000000000001</c:v>
                </c:pt>
                <c:pt idx="2307">
                  <c:v>0.45700000000000002</c:v>
                </c:pt>
                <c:pt idx="2308">
                  <c:v>0.44399999999999995</c:v>
                </c:pt>
                <c:pt idx="2309">
                  <c:v>0.46499999999999997</c:v>
                </c:pt>
                <c:pt idx="2310">
                  <c:v>0.47099999999999997</c:v>
                </c:pt>
                <c:pt idx="2311">
                  <c:v>0.46099999999999997</c:v>
                </c:pt>
                <c:pt idx="2312">
                  <c:v>0.44799999999999995</c:v>
                </c:pt>
                <c:pt idx="2313">
                  <c:v>0.42100000000000004</c:v>
                </c:pt>
                <c:pt idx="2314">
                  <c:v>0.437</c:v>
                </c:pt>
                <c:pt idx="2315">
                  <c:v>0.441</c:v>
                </c:pt>
                <c:pt idx="2316">
                  <c:v>0.45300000000000001</c:v>
                </c:pt>
                <c:pt idx="2317">
                  <c:v>0.43900000000000006</c:v>
                </c:pt>
                <c:pt idx="2318">
                  <c:v>0.43800000000000006</c:v>
                </c:pt>
                <c:pt idx="2319">
                  <c:v>0.43700000000000006</c:v>
                </c:pt>
                <c:pt idx="2320">
                  <c:v>0.42400000000000004</c:v>
                </c:pt>
                <c:pt idx="2321">
                  <c:v>0.41900000000000004</c:v>
                </c:pt>
                <c:pt idx="2322">
                  <c:v>0.41700000000000004</c:v>
                </c:pt>
                <c:pt idx="2323">
                  <c:v>0.42400000000000004</c:v>
                </c:pt>
                <c:pt idx="2324">
                  <c:v>0.443</c:v>
                </c:pt>
                <c:pt idx="2325">
                  <c:v>0.44600000000000001</c:v>
                </c:pt>
                <c:pt idx="2326">
                  <c:v>0.42300000000000004</c:v>
                </c:pt>
                <c:pt idx="2327">
                  <c:v>0.40800000000000003</c:v>
                </c:pt>
                <c:pt idx="2328">
                  <c:v>0.29000000000000004</c:v>
                </c:pt>
                <c:pt idx="2329">
                  <c:v>0.377</c:v>
                </c:pt>
                <c:pt idx="2330">
                  <c:v>0.40500000000000003</c:v>
                </c:pt>
                <c:pt idx="2331">
                  <c:v>0.44500000000000001</c:v>
                </c:pt>
                <c:pt idx="2332">
                  <c:v>0.42799999999999994</c:v>
                </c:pt>
                <c:pt idx="2333">
                  <c:v>0.42899999999999999</c:v>
                </c:pt>
                <c:pt idx="2334">
                  <c:v>0.434</c:v>
                </c:pt>
                <c:pt idx="2335">
                  <c:v>0.434</c:v>
                </c:pt>
                <c:pt idx="2336">
                  <c:v>0.46000000000000008</c:v>
                </c:pt>
                <c:pt idx="2337">
                  <c:v>0.53200000000000003</c:v>
                </c:pt>
                <c:pt idx="2338">
                  <c:v>0.53699999999999992</c:v>
                </c:pt>
                <c:pt idx="2339">
                  <c:v>0.55600000000000005</c:v>
                </c:pt>
                <c:pt idx="2340">
                  <c:v>0.55300000000000005</c:v>
                </c:pt>
                <c:pt idx="2341">
                  <c:v>0.54799999999999993</c:v>
                </c:pt>
                <c:pt idx="2342">
                  <c:v>0.58500000000000008</c:v>
                </c:pt>
                <c:pt idx="2343">
                  <c:v>0.59399999999999986</c:v>
                </c:pt>
                <c:pt idx="2344">
                  <c:v>0.57700000000000007</c:v>
                </c:pt>
                <c:pt idx="2345">
                  <c:v>0.59700000000000009</c:v>
                </c:pt>
                <c:pt idx="2346">
                  <c:v>0.55699999999999994</c:v>
                </c:pt>
                <c:pt idx="2347">
                  <c:v>0.55699999999999994</c:v>
                </c:pt>
                <c:pt idx="2348">
                  <c:v>0.56399999999999995</c:v>
                </c:pt>
                <c:pt idx="2349">
                  <c:v>0.56500000000000006</c:v>
                </c:pt>
                <c:pt idx="2350">
                  <c:v>0.52100000000000013</c:v>
                </c:pt>
                <c:pt idx="2351">
                  <c:v>0.52100000000000013</c:v>
                </c:pt>
                <c:pt idx="2352">
                  <c:v>0.52100000000000013</c:v>
                </c:pt>
                <c:pt idx="2353">
                  <c:v>0.54</c:v>
                </c:pt>
                <c:pt idx="2354">
                  <c:v>0.499</c:v>
                </c:pt>
                <c:pt idx="2355">
                  <c:v>0.49600000000000011</c:v>
                </c:pt>
                <c:pt idx="2356">
                  <c:v>0.51900000000000002</c:v>
                </c:pt>
                <c:pt idx="2357">
                  <c:v>0.54</c:v>
                </c:pt>
                <c:pt idx="2358">
                  <c:v>0.53899999999999992</c:v>
                </c:pt>
                <c:pt idx="2359">
                  <c:v>0.53199999999999992</c:v>
                </c:pt>
                <c:pt idx="2360">
                  <c:v>0.51600000000000001</c:v>
                </c:pt>
                <c:pt idx="2361">
                  <c:v>0.5079999999999999</c:v>
                </c:pt>
                <c:pt idx="2362">
                  <c:v>0.54300000000000004</c:v>
                </c:pt>
                <c:pt idx="2363">
                  <c:v>0.56599999999999984</c:v>
                </c:pt>
                <c:pt idx="2364">
                  <c:v>0.56400000000000006</c:v>
                </c:pt>
                <c:pt idx="2365">
                  <c:v>0.52</c:v>
                </c:pt>
                <c:pt idx="2366">
                  <c:v>0.53800000000000003</c:v>
                </c:pt>
                <c:pt idx="2367">
                  <c:v>0.59500000000000008</c:v>
                </c:pt>
                <c:pt idx="2368">
                  <c:v>0.57900000000000007</c:v>
                </c:pt>
                <c:pt idx="2369">
                  <c:v>0.56999999999999995</c:v>
                </c:pt>
                <c:pt idx="2370">
                  <c:v>0.58000000000000007</c:v>
                </c:pt>
                <c:pt idx="2371">
                  <c:v>0.58099999999999996</c:v>
                </c:pt>
                <c:pt idx="2372">
                  <c:v>0.60599999999999998</c:v>
                </c:pt>
                <c:pt idx="2373">
                  <c:v>0.60300000000000009</c:v>
                </c:pt>
                <c:pt idx="2374">
                  <c:v>0.60599999999999987</c:v>
                </c:pt>
                <c:pt idx="2375">
                  <c:v>0.61299999999999988</c:v>
                </c:pt>
                <c:pt idx="2376">
                  <c:v>0.59199999999999986</c:v>
                </c:pt>
                <c:pt idx="2377">
                  <c:v>0.59</c:v>
                </c:pt>
                <c:pt idx="2378">
                  <c:v>0.61899999999999999</c:v>
                </c:pt>
                <c:pt idx="2379">
                  <c:v>0.60099999999999987</c:v>
                </c:pt>
                <c:pt idx="2380">
                  <c:v>0.60799999999999987</c:v>
                </c:pt>
                <c:pt idx="2381">
                  <c:v>0.59499999999999997</c:v>
                </c:pt>
                <c:pt idx="2382">
                  <c:v>0.59899999999999987</c:v>
                </c:pt>
                <c:pt idx="2383">
                  <c:v>0.59900000000000009</c:v>
                </c:pt>
                <c:pt idx="2384">
                  <c:v>0.59599999999999997</c:v>
                </c:pt>
                <c:pt idx="2385">
                  <c:v>0.6070000000000001</c:v>
                </c:pt>
                <c:pt idx="2386">
                  <c:v>0.59599999999999997</c:v>
                </c:pt>
                <c:pt idx="2387">
                  <c:v>0.60100000000000009</c:v>
                </c:pt>
                <c:pt idx="2388">
                  <c:v>0.60899999999999999</c:v>
                </c:pt>
                <c:pt idx="2389">
                  <c:v>0.60399999999999998</c:v>
                </c:pt>
                <c:pt idx="2390">
                  <c:v>0.57300000000000006</c:v>
                </c:pt>
                <c:pt idx="2391">
                  <c:v>0.57999999999999996</c:v>
                </c:pt>
                <c:pt idx="2392">
                  <c:v>0.56099999999999994</c:v>
                </c:pt>
                <c:pt idx="2393">
                  <c:v>0.54999999999999993</c:v>
                </c:pt>
                <c:pt idx="2394">
                  <c:v>0.54500000000000004</c:v>
                </c:pt>
                <c:pt idx="2395">
                  <c:v>0.54600000000000004</c:v>
                </c:pt>
                <c:pt idx="2396">
                  <c:v>0.54099999999999993</c:v>
                </c:pt>
                <c:pt idx="2397">
                  <c:v>0.51100000000000001</c:v>
                </c:pt>
                <c:pt idx="2398">
                  <c:v>0.4880000000000001</c:v>
                </c:pt>
                <c:pt idx="2399">
                  <c:v>0.50400000000000011</c:v>
                </c:pt>
                <c:pt idx="2400">
                  <c:v>0.4900000000000001</c:v>
                </c:pt>
                <c:pt idx="2401">
                  <c:v>0.51600000000000001</c:v>
                </c:pt>
                <c:pt idx="2402">
                  <c:v>0.501</c:v>
                </c:pt>
                <c:pt idx="2403">
                  <c:v>0.47100000000000009</c:v>
                </c:pt>
                <c:pt idx="2404">
                  <c:v>0.48599999999999988</c:v>
                </c:pt>
                <c:pt idx="2405">
                  <c:v>0.505</c:v>
                </c:pt>
                <c:pt idx="2406">
                  <c:v>0.48799999999999999</c:v>
                </c:pt>
                <c:pt idx="2407">
                  <c:v>0.498</c:v>
                </c:pt>
                <c:pt idx="2408">
                  <c:v>0.53800000000000003</c:v>
                </c:pt>
                <c:pt idx="2409">
                  <c:v>0.54500000000000004</c:v>
                </c:pt>
                <c:pt idx="2410">
                  <c:v>0.55400000000000005</c:v>
                </c:pt>
                <c:pt idx="2411">
                  <c:v>0.53799999999999992</c:v>
                </c:pt>
                <c:pt idx="2412">
                  <c:v>0.54099999999999993</c:v>
                </c:pt>
                <c:pt idx="2413">
                  <c:v>0.51900000000000013</c:v>
                </c:pt>
                <c:pt idx="2414">
                  <c:v>0.50800000000000012</c:v>
                </c:pt>
                <c:pt idx="2415">
                  <c:v>0.47899999999999998</c:v>
                </c:pt>
                <c:pt idx="2416">
                  <c:v>0.51600000000000001</c:v>
                </c:pt>
                <c:pt idx="2417">
                  <c:v>0.46900000000000008</c:v>
                </c:pt>
                <c:pt idx="2418">
                  <c:v>0.51200000000000001</c:v>
                </c:pt>
                <c:pt idx="2419">
                  <c:v>0.5069999999999999</c:v>
                </c:pt>
                <c:pt idx="2420">
                  <c:v>0.51400000000000001</c:v>
                </c:pt>
                <c:pt idx="2421">
                  <c:v>0.51700000000000013</c:v>
                </c:pt>
                <c:pt idx="2422">
                  <c:v>0.54600000000000004</c:v>
                </c:pt>
                <c:pt idx="2423">
                  <c:v>0.55099999999999993</c:v>
                </c:pt>
                <c:pt idx="2424">
                  <c:v>0.53800000000000003</c:v>
                </c:pt>
                <c:pt idx="2425">
                  <c:v>0.53400000000000003</c:v>
                </c:pt>
                <c:pt idx="2426">
                  <c:v>0.56100000000000017</c:v>
                </c:pt>
                <c:pt idx="2427">
                  <c:v>0.54699999999999993</c:v>
                </c:pt>
                <c:pt idx="2428">
                  <c:v>0.64900000000000002</c:v>
                </c:pt>
                <c:pt idx="2429">
                  <c:v>0.67100000000000004</c:v>
                </c:pt>
                <c:pt idx="2430">
                  <c:v>0.68899999999999995</c:v>
                </c:pt>
                <c:pt idx="2431">
                  <c:v>0.67600000000000005</c:v>
                </c:pt>
                <c:pt idx="2432">
                  <c:v>0.66900000000000004</c:v>
                </c:pt>
                <c:pt idx="2433">
                  <c:v>0.71999999999999986</c:v>
                </c:pt>
                <c:pt idx="2434">
                  <c:v>0.73799999999999999</c:v>
                </c:pt>
                <c:pt idx="2435">
                  <c:v>0.76100000000000001</c:v>
                </c:pt>
                <c:pt idx="2436">
                  <c:v>0.77600000000000002</c:v>
                </c:pt>
                <c:pt idx="2437">
                  <c:v>0.78</c:v>
                </c:pt>
                <c:pt idx="2438">
                  <c:v>0.79600000000000004</c:v>
                </c:pt>
                <c:pt idx="2439">
                  <c:v>0.82900000000000007</c:v>
                </c:pt>
                <c:pt idx="2440">
                  <c:v>0.84199999999999997</c:v>
                </c:pt>
                <c:pt idx="2441">
                  <c:v>0.82600000000000007</c:v>
                </c:pt>
                <c:pt idx="2442">
                  <c:v>0.84199999999999997</c:v>
                </c:pt>
                <c:pt idx="2443">
                  <c:v>0.85000000000000009</c:v>
                </c:pt>
                <c:pt idx="2444">
                  <c:v>0.8600000000000001</c:v>
                </c:pt>
                <c:pt idx="2445">
                  <c:v>0.8680000000000001</c:v>
                </c:pt>
                <c:pt idx="2446">
                  <c:v>0.84800000000000009</c:v>
                </c:pt>
                <c:pt idx="2447">
                  <c:v>0.85799999999999987</c:v>
                </c:pt>
                <c:pt idx="2448">
                  <c:v>0.83899999999999997</c:v>
                </c:pt>
                <c:pt idx="2449">
                  <c:v>0.82799999999999985</c:v>
                </c:pt>
                <c:pt idx="2450">
                  <c:v>0.86899999999999999</c:v>
                </c:pt>
                <c:pt idx="2451">
                  <c:v>0.82699999999999996</c:v>
                </c:pt>
                <c:pt idx="2452">
                  <c:v>0.80799999999999983</c:v>
                </c:pt>
                <c:pt idx="2453">
                  <c:v>0.77200000000000002</c:v>
                </c:pt>
                <c:pt idx="2454">
                  <c:v>0.77900000000000014</c:v>
                </c:pt>
                <c:pt idx="2455">
                  <c:v>0.78</c:v>
                </c:pt>
                <c:pt idx="2456">
                  <c:v>0.75500000000000012</c:v>
                </c:pt>
                <c:pt idx="2457">
                  <c:v>0.73</c:v>
                </c:pt>
                <c:pt idx="2458">
                  <c:v>0.77</c:v>
                </c:pt>
                <c:pt idx="2459">
                  <c:v>0.77</c:v>
                </c:pt>
                <c:pt idx="2460">
                  <c:v>0.76300000000000012</c:v>
                </c:pt>
                <c:pt idx="2461">
                  <c:v>0.75</c:v>
                </c:pt>
                <c:pt idx="2462">
                  <c:v>0.75600000000000001</c:v>
                </c:pt>
                <c:pt idx="2463">
                  <c:v>0.752</c:v>
                </c:pt>
                <c:pt idx="2464">
                  <c:v>0.79299999999999993</c:v>
                </c:pt>
                <c:pt idx="2465">
                  <c:v>0.78100000000000014</c:v>
                </c:pt>
                <c:pt idx="2466">
                  <c:v>0.80100000000000016</c:v>
                </c:pt>
                <c:pt idx="2467">
                  <c:v>0.76899999999999991</c:v>
                </c:pt>
                <c:pt idx="2468">
                  <c:v>0.7629999999999999</c:v>
                </c:pt>
                <c:pt idx="2469">
                  <c:v>0.78200000000000003</c:v>
                </c:pt>
                <c:pt idx="2470">
                  <c:v>0.79300000000000015</c:v>
                </c:pt>
                <c:pt idx="2471">
                  <c:v>0.79600000000000004</c:v>
                </c:pt>
                <c:pt idx="2472">
                  <c:v>0.78199999999999981</c:v>
                </c:pt>
                <c:pt idx="2473">
                  <c:v>0.77300000000000013</c:v>
                </c:pt>
                <c:pt idx="2474">
                  <c:v>0.76000000000000023</c:v>
                </c:pt>
                <c:pt idx="2475">
                  <c:v>0.7569999999999999</c:v>
                </c:pt>
                <c:pt idx="2476">
                  <c:v>0.75600000000000001</c:v>
                </c:pt>
                <c:pt idx="2477">
                  <c:v>0.7589999999999999</c:v>
                </c:pt>
                <c:pt idx="2478">
                  <c:v>0.76500000000000012</c:v>
                </c:pt>
                <c:pt idx="2479">
                  <c:v>0.77699999999999991</c:v>
                </c:pt>
                <c:pt idx="2480">
                  <c:v>0.75299999999999989</c:v>
                </c:pt>
                <c:pt idx="2481">
                  <c:v>0.80300000000000016</c:v>
                </c:pt>
                <c:pt idx="2482">
                  <c:v>0.7649999999999999</c:v>
                </c:pt>
                <c:pt idx="2483">
                  <c:v>0.71799999999999997</c:v>
                </c:pt>
                <c:pt idx="2484">
                  <c:v>0.71300000000000008</c:v>
                </c:pt>
                <c:pt idx="2485">
                  <c:v>0.69600000000000017</c:v>
                </c:pt>
                <c:pt idx="2486">
                  <c:v>0.72899999999999987</c:v>
                </c:pt>
                <c:pt idx="2487">
                  <c:v>0.69300000000000006</c:v>
                </c:pt>
                <c:pt idx="2488">
                  <c:v>0.68100000000000005</c:v>
                </c:pt>
                <c:pt idx="2489">
                  <c:v>0.7350000000000001</c:v>
                </c:pt>
                <c:pt idx="2490">
                  <c:v>0.7300000000000002</c:v>
                </c:pt>
                <c:pt idx="2491">
                  <c:v>0.7170000000000003</c:v>
                </c:pt>
                <c:pt idx="2492">
                  <c:v>0.7240000000000002</c:v>
                </c:pt>
                <c:pt idx="2493">
                  <c:v>0.7330000000000001</c:v>
                </c:pt>
                <c:pt idx="2494">
                  <c:v>0.73800000000000021</c:v>
                </c:pt>
                <c:pt idx="2495">
                  <c:v>0.77800000000000002</c:v>
                </c:pt>
                <c:pt idx="2496">
                  <c:v>0.77800000000000002</c:v>
                </c:pt>
                <c:pt idx="2497">
                  <c:v>0.7629999999999999</c:v>
                </c:pt>
                <c:pt idx="2498">
                  <c:v>0.82500000000000018</c:v>
                </c:pt>
                <c:pt idx="2499">
                  <c:v>0.79799999999999982</c:v>
                </c:pt>
                <c:pt idx="2500">
                  <c:v>0.83699999999999997</c:v>
                </c:pt>
                <c:pt idx="2501">
                  <c:v>0.80700000000000016</c:v>
                </c:pt>
                <c:pt idx="2502">
                  <c:v>0.85799999999999987</c:v>
                </c:pt>
                <c:pt idx="2503">
                  <c:v>0.85499999999999998</c:v>
                </c:pt>
                <c:pt idx="2504">
                  <c:v>0.83999999999999986</c:v>
                </c:pt>
                <c:pt idx="2505">
                  <c:v>0.85099999999999998</c:v>
                </c:pt>
                <c:pt idx="2506">
                  <c:v>0.85599999999999987</c:v>
                </c:pt>
                <c:pt idx="2507">
                  <c:v>0.82799999999999985</c:v>
                </c:pt>
                <c:pt idx="2508">
                  <c:v>0.88899999999999979</c:v>
                </c:pt>
                <c:pt idx="2509">
                  <c:v>0.89599999999999991</c:v>
                </c:pt>
                <c:pt idx="2510">
                  <c:v>0.89799999999999991</c:v>
                </c:pt>
                <c:pt idx="2511">
                  <c:v>0.90800000000000014</c:v>
                </c:pt>
                <c:pt idx="2512">
                  <c:v>0.9009999999999998</c:v>
                </c:pt>
                <c:pt idx="2513">
                  <c:v>0.875</c:v>
                </c:pt>
                <c:pt idx="2514">
                  <c:v>0.85499999999999998</c:v>
                </c:pt>
                <c:pt idx="2515">
                  <c:v>0.88100000000000001</c:v>
                </c:pt>
                <c:pt idx="2516">
                  <c:v>0.873</c:v>
                </c:pt>
                <c:pt idx="2517">
                  <c:v>0.83800000000000008</c:v>
                </c:pt>
                <c:pt idx="2518">
                  <c:v>0.86699999999999999</c:v>
                </c:pt>
                <c:pt idx="2519">
                  <c:v>0.88699999999999979</c:v>
                </c:pt>
                <c:pt idx="2520">
                  <c:v>0.87600000000000011</c:v>
                </c:pt>
                <c:pt idx="2521">
                  <c:v>0.8580000000000001</c:v>
                </c:pt>
                <c:pt idx="2522">
                  <c:v>0.8580000000000001</c:v>
                </c:pt>
                <c:pt idx="2523">
                  <c:v>0.84599999999999986</c:v>
                </c:pt>
                <c:pt idx="2524">
                  <c:v>0.83999999999999986</c:v>
                </c:pt>
                <c:pt idx="2525">
                  <c:v>0.83099999999999996</c:v>
                </c:pt>
                <c:pt idx="2526">
                  <c:v>0.79</c:v>
                </c:pt>
                <c:pt idx="2527">
                  <c:v>0.80699999999999994</c:v>
                </c:pt>
                <c:pt idx="2528">
                  <c:v>0.78100000000000014</c:v>
                </c:pt>
                <c:pt idx="2529">
                  <c:v>0.81900000000000017</c:v>
                </c:pt>
                <c:pt idx="2530">
                  <c:v>0.81900000000000017</c:v>
                </c:pt>
                <c:pt idx="2531">
                  <c:v>0.81900000000000017</c:v>
                </c:pt>
                <c:pt idx="2532">
                  <c:v>0.82100000000000017</c:v>
                </c:pt>
                <c:pt idx="2533">
                  <c:v>0.84099999999999975</c:v>
                </c:pt>
                <c:pt idx="2534">
                  <c:v>0.79700000000000015</c:v>
                </c:pt>
                <c:pt idx="2535">
                  <c:v>0.81399999999999983</c:v>
                </c:pt>
                <c:pt idx="2536">
                  <c:v>0.80100000000000016</c:v>
                </c:pt>
                <c:pt idx="2537">
                  <c:v>0.79799999999999982</c:v>
                </c:pt>
                <c:pt idx="2538">
                  <c:v>0.79899999999999993</c:v>
                </c:pt>
                <c:pt idx="2539">
                  <c:v>0.82000000000000006</c:v>
                </c:pt>
                <c:pt idx="2540">
                  <c:v>0.8660000000000001</c:v>
                </c:pt>
                <c:pt idx="2541">
                  <c:v>0.85699999999999998</c:v>
                </c:pt>
                <c:pt idx="2542">
                  <c:v>0.86300000000000021</c:v>
                </c:pt>
                <c:pt idx="2543">
                  <c:v>0.54700000000000015</c:v>
                </c:pt>
                <c:pt idx="2544">
                  <c:v>0.56800000000000006</c:v>
                </c:pt>
                <c:pt idx="2545">
                  <c:v>0.56499999999999995</c:v>
                </c:pt>
                <c:pt idx="2546">
                  <c:v>0.60200000000000009</c:v>
                </c:pt>
                <c:pt idx="2547">
                  <c:v>0.59400000000000008</c:v>
                </c:pt>
                <c:pt idx="2548">
                  <c:v>0.60299999999999976</c:v>
                </c:pt>
                <c:pt idx="2549">
                  <c:v>0.62599999999999989</c:v>
                </c:pt>
                <c:pt idx="2550">
                  <c:v>0.60000000000000009</c:v>
                </c:pt>
                <c:pt idx="2551">
                  <c:v>0.60499999999999998</c:v>
                </c:pt>
                <c:pt idx="2552">
                  <c:v>0.61299999999999977</c:v>
                </c:pt>
                <c:pt idx="2553">
                  <c:v>0.62499999999999978</c:v>
                </c:pt>
                <c:pt idx="2554">
                  <c:v>0.627</c:v>
                </c:pt>
                <c:pt idx="2555">
                  <c:v>0.63300000000000001</c:v>
                </c:pt>
                <c:pt idx="2556">
                  <c:v>0.61499999999999977</c:v>
                </c:pt>
                <c:pt idx="2557">
                  <c:v>0.5970000000000002</c:v>
                </c:pt>
                <c:pt idx="2558">
                  <c:v>0.58999999999999986</c:v>
                </c:pt>
                <c:pt idx="2559">
                  <c:v>0.6549999999999998</c:v>
                </c:pt>
                <c:pt idx="2560">
                  <c:v>0.64500000000000024</c:v>
                </c:pt>
                <c:pt idx="2561">
                  <c:v>0.64300000000000024</c:v>
                </c:pt>
                <c:pt idx="2562">
                  <c:v>0.64599999999999991</c:v>
                </c:pt>
                <c:pt idx="2563">
                  <c:v>0.66999999999999993</c:v>
                </c:pt>
                <c:pt idx="2564">
                  <c:v>0.68499999999999983</c:v>
                </c:pt>
                <c:pt idx="2565">
                  <c:v>0.60200000000000009</c:v>
                </c:pt>
                <c:pt idx="2566">
                  <c:v>0.66899999999999982</c:v>
                </c:pt>
                <c:pt idx="2567">
                  <c:v>0.66299999999999981</c:v>
                </c:pt>
                <c:pt idx="2568">
                  <c:v>0.66999999999999993</c:v>
                </c:pt>
                <c:pt idx="2569">
                  <c:v>0.67799999999999994</c:v>
                </c:pt>
                <c:pt idx="2570">
                  <c:v>0.69899999999999984</c:v>
                </c:pt>
                <c:pt idx="2571">
                  <c:v>0.70500000000000007</c:v>
                </c:pt>
                <c:pt idx="2572">
                  <c:v>0.73199999999999998</c:v>
                </c:pt>
                <c:pt idx="2573">
                  <c:v>0.7410000000000001</c:v>
                </c:pt>
                <c:pt idx="2574">
                  <c:v>0.748</c:v>
                </c:pt>
                <c:pt idx="2575">
                  <c:v>0.77200000000000024</c:v>
                </c:pt>
                <c:pt idx="2576">
                  <c:v>0.77800000000000002</c:v>
                </c:pt>
                <c:pt idx="2577">
                  <c:v>0.76000000000000023</c:v>
                </c:pt>
                <c:pt idx="2578">
                  <c:v>0.77499999999999991</c:v>
                </c:pt>
                <c:pt idx="2579">
                  <c:v>0.78800000000000026</c:v>
                </c:pt>
                <c:pt idx="2580">
                  <c:v>0.80700000000000016</c:v>
                </c:pt>
                <c:pt idx="2581">
                  <c:v>0.80500000000000016</c:v>
                </c:pt>
                <c:pt idx="2582">
                  <c:v>0.85200000000000009</c:v>
                </c:pt>
                <c:pt idx="2583">
                  <c:v>0.82500000000000018</c:v>
                </c:pt>
                <c:pt idx="2584">
                  <c:v>0.83799999999999986</c:v>
                </c:pt>
                <c:pt idx="2585">
                  <c:v>0.82800000000000029</c:v>
                </c:pt>
                <c:pt idx="2586">
                  <c:v>0.80200000000000005</c:v>
                </c:pt>
                <c:pt idx="2587">
                  <c:v>0.7699999999999998</c:v>
                </c:pt>
                <c:pt idx="2588">
                  <c:v>0.83500000000000019</c:v>
                </c:pt>
                <c:pt idx="2589">
                  <c:v>0.84499999999999997</c:v>
                </c:pt>
                <c:pt idx="2590">
                  <c:v>0.84699999999999998</c:v>
                </c:pt>
                <c:pt idx="2591">
                  <c:v>0.78300000000000014</c:v>
                </c:pt>
                <c:pt idx="2592">
                  <c:v>0.75600000000000001</c:v>
                </c:pt>
                <c:pt idx="2593">
                  <c:v>0.78600000000000003</c:v>
                </c:pt>
                <c:pt idx="2594">
                  <c:v>0.78499999999999992</c:v>
                </c:pt>
                <c:pt idx="2595">
                  <c:v>0.78899999999999992</c:v>
                </c:pt>
                <c:pt idx="2596">
                  <c:v>0.78800000000000026</c:v>
                </c:pt>
                <c:pt idx="2597">
                  <c:v>0.73699999999999988</c:v>
                </c:pt>
                <c:pt idx="2598">
                  <c:v>0.75400000000000023</c:v>
                </c:pt>
                <c:pt idx="2599">
                  <c:v>0.74899999999999989</c:v>
                </c:pt>
                <c:pt idx="2600">
                  <c:v>0.71199999999999974</c:v>
                </c:pt>
                <c:pt idx="2601">
                  <c:v>0.72300000000000009</c:v>
                </c:pt>
                <c:pt idx="2602">
                  <c:v>0.68100000000000005</c:v>
                </c:pt>
                <c:pt idx="2603">
                  <c:v>0.6180000000000001</c:v>
                </c:pt>
                <c:pt idx="2604">
                  <c:v>0.60200000000000009</c:v>
                </c:pt>
                <c:pt idx="2605">
                  <c:v>0.57199999999999984</c:v>
                </c:pt>
                <c:pt idx="2606">
                  <c:v>0.58599999999999985</c:v>
                </c:pt>
                <c:pt idx="2607">
                  <c:v>0.58299999999999996</c:v>
                </c:pt>
                <c:pt idx="2608">
                  <c:v>0.58299999999999996</c:v>
                </c:pt>
                <c:pt idx="2609">
                  <c:v>0.57899999999999996</c:v>
                </c:pt>
                <c:pt idx="2610">
                  <c:v>0.57099999999999995</c:v>
                </c:pt>
                <c:pt idx="2611">
                  <c:v>0.65700000000000025</c:v>
                </c:pt>
                <c:pt idx="2612">
                  <c:v>0.65700000000000025</c:v>
                </c:pt>
                <c:pt idx="2613">
                  <c:v>0.65700000000000025</c:v>
                </c:pt>
                <c:pt idx="2614">
                  <c:v>0.66700000000000026</c:v>
                </c:pt>
                <c:pt idx="2615">
                  <c:v>0.66399999999999992</c:v>
                </c:pt>
                <c:pt idx="2616">
                  <c:v>0.66000000000000014</c:v>
                </c:pt>
                <c:pt idx="2617">
                  <c:v>0.71399999999999997</c:v>
                </c:pt>
                <c:pt idx="2618">
                  <c:v>0.70299999999999985</c:v>
                </c:pt>
                <c:pt idx="2619">
                  <c:v>0.70799999999999974</c:v>
                </c:pt>
                <c:pt idx="2620">
                  <c:v>0.69499999999999984</c:v>
                </c:pt>
                <c:pt idx="2621">
                  <c:v>0.69399999999999995</c:v>
                </c:pt>
                <c:pt idx="2622">
                  <c:v>0.72499999999999987</c:v>
                </c:pt>
                <c:pt idx="2623">
                  <c:v>0.73199999999999976</c:v>
                </c:pt>
                <c:pt idx="2624">
                  <c:v>0.70500000000000007</c:v>
                </c:pt>
                <c:pt idx="2625">
                  <c:v>0.71100000000000008</c:v>
                </c:pt>
                <c:pt idx="2626">
                  <c:v>0.68499999999999983</c:v>
                </c:pt>
                <c:pt idx="2627">
                  <c:v>0.74199999999999999</c:v>
                </c:pt>
                <c:pt idx="2628">
                  <c:v>0.81900000000000017</c:v>
                </c:pt>
                <c:pt idx="2629">
                  <c:v>0.81600000000000006</c:v>
                </c:pt>
                <c:pt idx="2630">
                  <c:v>0.83299999999999996</c:v>
                </c:pt>
                <c:pt idx="2631">
                  <c:v>0.80100000000000016</c:v>
                </c:pt>
                <c:pt idx="2632">
                  <c:v>0.79799999999999982</c:v>
                </c:pt>
                <c:pt idx="2633">
                  <c:v>0.81599999999999984</c:v>
                </c:pt>
                <c:pt idx="2634">
                  <c:v>0.76600000000000001</c:v>
                </c:pt>
                <c:pt idx="2635">
                  <c:v>0.76600000000000001</c:v>
                </c:pt>
                <c:pt idx="2636">
                  <c:v>0.79100000000000015</c:v>
                </c:pt>
                <c:pt idx="2637">
                  <c:v>0.80799999999999983</c:v>
                </c:pt>
                <c:pt idx="2638">
                  <c:v>0.83200000000000007</c:v>
                </c:pt>
                <c:pt idx="2639">
                  <c:v>0.82999999999999985</c:v>
                </c:pt>
                <c:pt idx="2640">
                  <c:v>0.84600000000000009</c:v>
                </c:pt>
                <c:pt idx="2641">
                  <c:v>0.87100000000000022</c:v>
                </c:pt>
                <c:pt idx="2642">
                  <c:v>0.85799999999999987</c:v>
                </c:pt>
                <c:pt idx="2643">
                  <c:v>0.82000000000000006</c:v>
                </c:pt>
                <c:pt idx="2644">
                  <c:v>0.85299999999999998</c:v>
                </c:pt>
                <c:pt idx="2645">
                  <c:v>0.8420000000000003</c:v>
                </c:pt>
                <c:pt idx="2646">
                  <c:v>0.8899999999999999</c:v>
                </c:pt>
                <c:pt idx="2647">
                  <c:v>0.86899999999999999</c:v>
                </c:pt>
                <c:pt idx="2648">
                  <c:v>0.85999999999999988</c:v>
                </c:pt>
                <c:pt idx="2649">
                  <c:v>0.89399999999999991</c:v>
                </c:pt>
                <c:pt idx="2650">
                  <c:v>0.90100000000000002</c:v>
                </c:pt>
                <c:pt idx="2651">
                  <c:v>0.91199999999999992</c:v>
                </c:pt>
                <c:pt idx="2652">
                  <c:v>0.90800000000000014</c:v>
                </c:pt>
                <c:pt idx="2653">
                  <c:v>0.87500000000000022</c:v>
                </c:pt>
                <c:pt idx="2654">
                  <c:v>0.86899999999999977</c:v>
                </c:pt>
                <c:pt idx="2655">
                  <c:v>0.86299999999999999</c:v>
                </c:pt>
                <c:pt idx="2656">
                  <c:v>0.86499999999999999</c:v>
                </c:pt>
                <c:pt idx="2657">
                  <c:v>0.86699999999999999</c:v>
                </c:pt>
                <c:pt idx="2658">
                  <c:v>0.8580000000000001</c:v>
                </c:pt>
                <c:pt idx="2659">
                  <c:v>0.82699999999999996</c:v>
                </c:pt>
                <c:pt idx="2660">
                  <c:v>0.8450000000000002</c:v>
                </c:pt>
                <c:pt idx="2661">
                  <c:v>0.82399999999999984</c:v>
                </c:pt>
                <c:pt idx="2662">
                  <c:v>0.78699999999999992</c:v>
                </c:pt>
                <c:pt idx="2663">
                  <c:v>0.8</c:v>
                </c:pt>
                <c:pt idx="2664">
                  <c:v>0.84200000000000008</c:v>
                </c:pt>
                <c:pt idx="2665">
                  <c:v>0.83899999999999997</c:v>
                </c:pt>
                <c:pt idx="2666">
                  <c:v>0.83899999999999975</c:v>
                </c:pt>
                <c:pt idx="2667">
                  <c:v>0.89100000000000001</c:v>
                </c:pt>
                <c:pt idx="2668">
                  <c:v>0.89500000000000002</c:v>
                </c:pt>
                <c:pt idx="2669">
                  <c:v>0.90600000000000014</c:v>
                </c:pt>
                <c:pt idx="2670">
                  <c:v>0.88299999999999979</c:v>
                </c:pt>
                <c:pt idx="2671">
                  <c:v>0.91399999999999992</c:v>
                </c:pt>
                <c:pt idx="2672">
                  <c:v>0.89400000000000013</c:v>
                </c:pt>
                <c:pt idx="2673">
                  <c:v>0.90000000000000013</c:v>
                </c:pt>
                <c:pt idx="2674">
                  <c:v>0.93500000000000005</c:v>
                </c:pt>
                <c:pt idx="2675">
                  <c:v>0.93399999999999994</c:v>
                </c:pt>
                <c:pt idx="2676">
                  <c:v>0.88899999999999979</c:v>
                </c:pt>
                <c:pt idx="2677">
                  <c:v>0.89800000000000013</c:v>
                </c:pt>
                <c:pt idx="2678">
                  <c:v>0.87900000000000023</c:v>
                </c:pt>
                <c:pt idx="2679">
                  <c:v>0.81500000000000017</c:v>
                </c:pt>
                <c:pt idx="2680">
                  <c:v>0.77600000000000002</c:v>
                </c:pt>
                <c:pt idx="2681">
                  <c:v>0.79400000000000004</c:v>
                </c:pt>
                <c:pt idx="2682">
                  <c:v>0.76100000000000012</c:v>
                </c:pt>
                <c:pt idx="2683">
                  <c:v>0.7799999999999998</c:v>
                </c:pt>
                <c:pt idx="2684">
                  <c:v>0.80599999999999983</c:v>
                </c:pt>
                <c:pt idx="2685">
                  <c:v>0.7799999999999998</c:v>
                </c:pt>
                <c:pt idx="2686">
                  <c:v>0.74500000000000011</c:v>
                </c:pt>
                <c:pt idx="2687">
                  <c:v>0.7240000000000002</c:v>
                </c:pt>
                <c:pt idx="2688">
                  <c:v>0.7410000000000001</c:v>
                </c:pt>
                <c:pt idx="2689">
                  <c:v>0.77</c:v>
                </c:pt>
                <c:pt idx="2690">
                  <c:v>0.78199999999999981</c:v>
                </c:pt>
                <c:pt idx="2691">
                  <c:v>0.71300000000000008</c:v>
                </c:pt>
                <c:pt idx="2692">
                  <c:v>0.77600000000000025</c:v>
                </c:pt>
                <c:pt idx="2693">
                  <c:v>0.77400000000000002</c:v>
                </c:pt>
                <c:pt idx="2694">
                  <c:v>0.80600000000000005</c:v>
                </c:pt>
                <c:pt idx="2695">
                  <c:v>0.84799999999999986</c:v>
                </c:pt>
                <c:pt idx="2696">
                  <c:v>0.8450000000000002</c:v>
                </c:pt>
                <c:pt idx="2697">
                  <c:v>0.83099999999999996</c:v>
                </c:pt>
                <c:pt idx="2698">
                  <c:v>0.84299999999999997</c:v>
                </c:pt>
                <c:pt idx="2699">
                  <c:v>0.80199999999999982</c:v>
                </c:pt>
                <c:pt idx="2700">
                  <c:v>0.76899999999999991</c:v>
                </c:pt>
                <c:pt idx="2701">
                  <c:v>0.78699999999999992</c:v>
                </c:pt>
                <c:pt idx="2702">
                  <c:v>0.80299999999999994</c:v>
                </c:pt>
                <c:pt idx="2703">
                  <c:v>0.82499999999999996</c:v>
                </c:pt>
                <c:pt idx="2704">
                  <c:v>0.78000000000000025</c:v>
                </c:pt>
                <c:pt idx="2705">
                  <c:v>0.78600000000000003</c:v>
                </c:pt>
                <c:pt idx="2706">
                  <c:v>0.77800000000000025</c:v>
                </c:pt>
                <c:pt idx="2707">
                  <c:v>0.80599999999999983</c:v>
                </c:pt>
                <c:pt idx="2708">
                  <c:v>0.81200000000000028</c:v>
                </c:pt>
                <c:pt idx="2709">
                  <c:v>0.87599999999999989</c:v>
                </c:pt>
                <c:pt idx="2710">
                  <c:v>0.9029999999999998</c:v>
                </c:pt>
                <c:pt idx="2711">
                  <c:v>0.90399999999999991</c:v>
                </c:pt>
                <c:pt idx="2712">
                  <c:v>0.90300000000000002</c:v>
                </c:pt>
                <c:pt idx="2713">
                  <c:v>0.89800000000000013</c:v>
                </c:pt>
                <c:pt idx="2714">
                  <c:v>0.90900000000000025</c:v>
                </c:pt>
                <c:pt idx="2715">
                  <c:v>0.93900000000000006</c:v>
                </c:pt>
                <c:pt idx="2716">
                  <c:v>0.93900000000000006</c:v>
                </c:pt>
                <c:pt idx="2717">
                  <c:v>0.92499999999999982</c:v>
                </c:pt>
                <c:pt idx="2718">
                  <c:v>0.92900000000000005</c:v>
                </c:pt>
                <c:pt idx="2719">
                  <c:v>0.93399999999999994</c:v>
                </c:pt>
                <c:pt idx="2720">
                  <c:v>0.93400000000000016</c:v>
                </c:pt>
                <c:pt idx="2721">
                  <c:v>0.93199999999999994</c:v>
                </c:pt>
                <c:pt idx="2722">
                  <c:v>0.95199999999999996</c:v>
                </c:pt>
                <c:pt idx="2723">
                  <c:v>1.0109999999999999</c:v>
                </c:pt>
                <c:pt idx="2724">
                  <c:v>1.046</c:v>
                </c:pt>
                <c:pt idx="2725">
                  <c:v>1.0319999999999998</c:v>
                </c:pt>
                <c:pt idx="2726">
                  <c:v>1.03</c:v>
                </c:pt>
                <c:pt idx="2727">
                  <c:v>1.042</c:v>
                </c:pt>
                <c:pt idx="2728">
                  <c:v>1.0570000000000002</c:v>
                </c:pt>
                <c:pt idx="2729">
                  <c:v>1.0420000000000003</c:v>
                </c:pt>
                <c:pt idx="2730">
                  <c:v>1.0620000000000001</c:v>
                </c:pt>
                <c:pt idx="2731">
                  <c:v>1.0169999999999997</c:v>
                </c:pt>
                <c:pt idx="2732">
                  <c:v>0.99299999999999988</c:v>
                </c:pt>
                <c:pt idx="2733">
                  <c:v>0.98799999999999999</c:v>
                </c:pt>
                <c:pt idx="2734">
                  <c:v>0.96499999999999986</c:v>
                </c:pt>
                <c:pt idx="2735">
                  <c:v>0.96200000000000019</c:v>
                </c:pt>
                <c:pt idx="2736">
                  <c:v>1.0319999999999998</c:v>
                </c:pt>
                <c:pt idx="2737">
                  <c:v>1.018</c:v>
                </c:pt>
                <c:pt idx="2738">
                  <c:v>0.95899999999999985</c:v>
                </c:pt>
                <c:pt idx="2739">
                  <c:v>0.94900000000000007</c:v>
                </c:pt>
                <c:pt idx="2740">
                  <c:v>0.95499999999999985</c:v>
                </c:pt>
                <c:pt idx="2741">
                  <c:v>0.97499999999999987</c:v>
                </c:pt>
                <c:pt idx="2742">
                  <c:v>0.98999999999999977</c:v>
                </c:pt>
                <c:pt idx="2743">
                  <c:v>0.96600000000000019</c:v>
                </c:pt>
                <c:pt idx="2744">
                  <c:v>0.96300000000000008</c:v>
                </c:pt>
                <c:pt idx="2745">
                  <c:v>0.89900000000000024</c:v>
                </c:pt>
                <c:pt idx="2746">
                  <c:v>0.91799999999999993</c:v>
                </c:pt>
                <c:pt idx="2747">
                  <c:v>0.91900000000000004</c:v>
                </c:pt>
                <c:pt idx="2748">
                  <c:v>0.90900000000000025</c:v>
                </c:pt>
                <c:pt idx="2749">
                  <c:v>0.94300000000000006</c:v>
                </c:pt>
                <c:pt idx="2750">
                  <c:v>0.95400000000000018</c:v>
                </c:pt>
                <c:pt idx="2751">
                  <c:v>0.94399999999999995</c:v>
                </c:pt>
                <c:pt idx="2752">
                  <c:v>0.93199999999999994</c:v>
                </c:pt>
                <c:pt idx="2753">
                  <c:v>0.90599999999999969</c:v>
                </c:pt>
                <c:pt idx="2754">
                  <c:v>0.83800000000000008</c:v>
                </c:pt>
                <c:pt idx="2755">
                  <c:v>0.8580000000000001</c:v>
                </c:pt>
                <c:pt idx="2756">
                  <c:v>0.86699999999999999</c:v>
                </c:pt>
                <c:pt idx="2757">
                  <c:v>0.86899999999999999</c:v>
                </c:pt>
                <c:pt idx="2758">
                  <c:v>0.83699999999999997</c:v>
                </c:pt>
                <c:pt idx="2759">
                  <c:v>0.84400000000000031</c:v>
                </c:pt>
                <c:pt idx="2760">
                  <c:v>0.87000000000000011</c:v>
                </c:pt>
                <c:pt idx="2761">
                  <c:v>0.87199999999999989</c:v>
                </c:pt>
                <c:pt idx="2762">
                  <c:v>0.85999999999999988</c:v>
                </c:pt>
                <c:pt idx="2763">
                  <c:v>0.90500000000000003</c:v>
                </c:pt>
                <c:pt idx="2764">
                  <c:v>0.99299999999999988</c:v>
                </c:pt>
                <c:pt idx="2765">
                  <c:v>0.99399999999999999</c:v>
                </c:pt>
                <c:pt idx="2766">
                  <c:v>0.97799999999999976</c:v>
                </c:pt>
                <c:pt idx="2767">
                  <c:v>0.97300000000000009</c:v>
                </c:pt>
                <c:pt idx="2768">
                  <c:v>1.0269999999999999</c:v>
                </c:pt>
                <c:pt idx="2769">
                  <c:v>1.0680000000000001</c:v>
                </c:pt>
                <c:pt idx="2770">
                  <c:v>1.1140000000000001</c:v>
                </c:pt>
                <c:pt idx="2771">
                  <c:v>1.1109999999999998</c:v>
                </c:pt>
                <c:pt idx="2772">
                  <c:v>1.091</c:v>
                </c:pt>
                <c:pt idx="2773">
                  <c:v>1.1020000000000001</c:v>
                </c:pt>
                <c:pt idx="2774">
                  <c:v>1.1160000000000001</c:v>
                </c:pt>
                <c:pt idx="2775">
                  <c:v>1.1179999999999999</c:v>
                </c:pt>
                <c:pt idx="2776">
                  <c:v>1.1730000000000003</c:v>
                </c:pt>
                <c:pt idx="2777">
                  <c:v>1.1700000000000002</c:v>
                </c:pt>
                <c:pt idx="2778">
                  <c:v>1.177</c:v>
                </c:pt>
                <c:pt idx="2779">
                  <c:v>1.2969999999999999</c:v>
                </c:pt>
                <c:pt idx="2780">
                  <c:v>1.2459999999999998</c:v>
                </c:pt>
                <c:pt idx="2781">
                  <c:v>1.31</c:v>
                </c:pt>
                <c:pt idx="2782">
                  <c:v>1.3559999999999999</c:v>
                </c:pt>
                <c:pt idx="2783">
                  <c:v>1.3469999999999998</c:v>
                </c:pt>
                <c:pt idx="2784">
                  <c:v>1.3669999999999998</c:v>
                </c:pt>
                <c:pt idx="2785">
                  <c:v>1.4169999999999998</c:v>
                </c:pt>
                <c:pt idx="2786">
                  <c:v>1.44</c:v>
                </c:pt>
                <c:pt idx="2787">
                  <c:v>1.4550000000000001</c:v>
                </c:pt>
                <c:pt idx="2788">
                  <c:v>1.4530000000000001</c:v>
                </c:pt>
                <c:pt idx="2789">
                  <c:v>1.506</c:v>
                </c:pt>
                <c:pt idx="2790">
                  <c:v>1.5110000000000001</c:v>
                </c:pt>
                <c:pt idx="2791">
                  <c:v>1.5429999999999997</c:v>
                </c:pt>
                <c:pt idx="2792">
                  <c:v>1.5549999999999999</c:v>
                </c:pt>
                <c:pt idx="2793">
                  <c:v>1.5319999999999998</c:v>
                </c:pt>
                <c:pt idx="2794">
                  <c:v>1.5559999999999998</c:v>
                </c:pt>
                <c:pt idx="2795">
                  <c:v>1.5660000000000001</c:v>
                </c:pt>
                <c:pt idx="2796">
                  <c:v>1.5250000000000001</c:v>
                </c:pt>
                <c:pt idx="2797">
                  <c:v>1.5449999999999999</c:v>
                </c:pt>
                <c:pt idx="2798">
                  <c:v>1.5959999999999999</c:v>
                </c:pt>
                <c:pt idx="2799">
                  <c:v>1.607</c:v>
                </c:pt>
                <c:pt idx="2800">
                  <c:v>1.6300000000000001</c:v>
                </c:pt>
                <c:pt idx="2801">
                  <c:v>1.617</c:v>
                </c:pt>
                <c:pt idx="2802">
                  <c:v>1.6110000000000002</c:v>
                </c:pt>
                <c:pt idx="2803">
                  <c:v>1.6</c:v>
                </c:pt>
                <c:pt idx="2804">
                  <c:v>1.6020000000000001</c:v>
                </c:pt>
                <c:pt idx="2805">
                  <c:v>1.6180000000000001</c:v>
                </c:pt>
                <c:pt idx="2806">
                  <c:v>1.619</c:v>
                </c:pt>
                <c:pt idx="2807">
                  <c:v>1.64</c:v>
                </c:pt>
                <c:pt idx="2808">
                  <c:v>1.5509999999999999</c:v>
                </c:pt>
                <c:pt idx="2809">
                  <c:v>1.5859999999999999</c:v>
                </c:pt>
                <c:pt idx="2810">
                  <c:v>1.5509999999999999</c:v>
                </c:pt>
                <c:pt idx="2811">
                  <c:v>1.5690000000000002</c:v>
                </c:pt>
                <c:pt idx="2812">
                  <c:v>1.57</c:v>
                </c:pt>
                <c:pt idx="2813">
                  <c:v>1.6160000000000001</c:v>
                </c:pt>
                <c:pt idx="2814">
                  <c:v>1.5629999999999999</c:v>
                </c:pt>
                <c:pt idx="2815">
                  <c:v>1.51</c:v>
                </c:pt>
                <c:pt idx="2816">
                  <c:v>1.5020000000000002</c:v>
                </c:pt>
                <c:pt idx="2817">
                  <c:v>1.5100000000000002</c:v>
                </c:pt>
                <c:pt idx="2818">
                  <c:v>1.5630000000000002</c:v>
                </c:pt>
                <c:pt idx="2819">
                  <c:v>1.5670000000000002</c:v>
                </c:pt>
                <c:pt idx="2820">
                  <c:v>0.70199999999999996</c:v>
                </c:pt>
                <c:pt idx="2821">
                  <c:v>0.72299999999999986</c:v>
                </c:pt>
                <c:pt idx="2822">
                  <c:v>0.75800000000000001</c:v>
                </c:pt>
                <c:pt idx="2823">
                  <c:v>0.75399999999999978</c:v>
                </c:pt>
                <c:pt idx="2824">
                  <c:v>0.81699999999999995</c:v>
                </c:pt>
                <c:pt idx="2825">
                  <c:v>0.84499999999999997</c:v>
                </c:pt>
                <c:pt idx="2826">
                  <c:v>0.78999999999999981</c:v>
                </c:pt>
                <c:pt idx="2827">
                  <c:v>0.81099999999999994</c:v>
                </c:pt>
                <c:pt idx="2828">
                  <c:v>0.80100000000000016</c:v>
                </c:pt>
                <c:pt idx="2829">
                  <c:v>0.69900000000000007</c:v>
                </c:pt>
                <c:pt idx="2830">
                  <c:v>0.67999999999999994</c:v>
                </c:pt>
                <c:pt idx="2831">
                  <c:v>0.69099999999999984</c:v>
                </c:pt>
                <c:pt idx="2832">
                  <c:v>0.59600000000000009</c:v>
                </c:pt>
                <c:pt idx="2833">
                  <c:v>0.54899999999999993</c:v>
                </c:pt>
                <c:pt idx="2834">
                  <c:v>0.496</c:v>
                </c:pt>
                <c:pt idx="2835">
                  <c:v>0.4720000000000002</c:v>
                </c:pt>
                <c:pt idx="2836">
                  <c:v>0.48399999999999999</c:v>
                </c:pt>
                <c:pt idx="2837">
                  <c:v>0.46500000000000008</c:v>
                </c:pt>
                <c:pt idx="2838">
                  <c:v>0.5089999999999999</c:v>
                </c:pt>
                <c:pt idx="2839">
                  <c:v>0.55299999999999994</c:v>
                </c:pt>
                <c:pt idx="2840">
                  <c:v>0.57500000000000018</c:v>
                </c:pt>
                <c:pt idx="2841">
                  <c:v>0.56499999999999995</c:v>
                </c:pt>
                <c:pt idx="2842">
                  <c:v>0.56600000000000028</c:v>
                </c:pt>
                <c:pt idx="2843">
                  <c:v>0.55000000000000027</c:v>
                </c:pt>
                <c:pt idx="2844">
                  <c:v>0.58200000000000007</c:v>
                </c:pt>
                <c:pt idx="2845">
                  <c:v>0.51</c:v>
                </c:pt>
                <c:pt idx="2846">
                  <c:v>0.47999999999999976</c:v>
                </c:pt>
                <c:pt idx="2847">
                  <c:v>0.44600000000000017</c:v>
                </c:pt>
                <c:pt idx="2848">
                  <c:v>0.41999999999999993</c:v>
                </c:pt>
                <c:pt idx="2849">
                  <c:v>0.42700000000000027</c:v>
                </c:pt>
                <c:pt idx="2850">
                  <c:v>0.47300000000000009</c:v>
                </c:pt>
                <c:pt idx="2851">
                  <c:v>0.55099999999999993</c:v>
                </c:pt>
                <c:pt idx="2852">
                  <c:v>0.58900000000000019</c:v>
                </c:pt>
                <c:pt idx="2853">
                  <c:v>0.58899999999999997</c:v>
                </c:pt>
                <c:pt idx="2854">
                  <c:v>0.58300000000000018</c:v>
                </c:pt>
                <c:pt idx="2855">
                  <c:v>0.60399999999999987</c:v>
                </c:pt>
                <c:pt idx="2856">
                  <c:v>0.55300000000000016</c:v>
                </c:pt>
                <c:pt idx="2857">
                  <c:v>0.59600000000000009</c:v>
                </c:pt>
                <c:pt idx="2858">
                  <c:v>0.58999999999999986</c:v>
                </c:pt>
                <c:pt idx="2859">
                  <c:v>0.61299999999999977</c:v>
                </c:pt>
                <c:pt idx="2860">
                  <c:v>0.58299999999999996</c:v>
                </c:pt>
                <c:pt idx="2861">
                  <c:v>0.60000000000000009</c:v>
                </c:pt>
                <c:pt idx="2862">
                  <c:v>0.68000000000000016</c:v>
                </c:pt>
                <c:pt idx="2863">
                  <c:v>0.65699999999999981</c:v>
                </c:pt>
                <c:pt idx="2864">
                  <c:v>0.63100000000000001</c:v>
                </c:pt>
                <c:pt idx="2865">
                  <c:v>0.63400000000000012</c:v>
                </c:pt>
                <c:pt idx="2866">
                  <c:v>0.69900000000000007</c:v>
                </c:pt>
                <c:pt idx="2867">
                  <c:v>0.72899999999999987</c:v>
                </c:pt>
                <c:pt idx="2868">
                  <c:v>0.87299999999999978</c:v>
                </c:pt>
                <c:pt idx="2869">
                  <c:v>0.87299999999999978</c:v>
                </c:pt>
                <c:pt idx="2870">
                  <c:v>0.88000000000000012</c:v>
                </c:pt>
                <c:pt idx="2871">
                  <c:v>0.90700000000000003</c:v>
                </c:pt>
                <c:pt idx="2872">
                  <c:v>0.79800000000000004</c:v>
                </c:pt>
                <c:pt idx="2873">
                  <c:v>0.79800000000000004</c:v>
                </c:pt>
                <c:pt idx="2874">
                  <c:v>0.79800000000000004</c:v>
                </c:pt>
                <c:pt idx="2875">
                  <c:v>0.79999999999999982</c:v>
                </c:pt>
                <c:pt idx="2876">
                  <c:v>0.80200000000000005</c:v>
                </c:pt>
                <c:pt idx="2877">
                  <c:v>0.80599999999999983</c:v>
                </c:pt>
                <c:pt idx="2878">
                  <c:v>0.84400000000000008</c:v>
                </c:pt>
                <c:pt idx="2879">
                  <c:v>0.87999999999999967</c:v>
                </c:pt>
                <c:pt idx="2880">
                  <c:v>0.89999999999999991</c:v>
                </c:pt>
                <c:pt idx="2881">
                  <c:v>0.90500000000000003</c:v>
                </c:pt>
                <c:pt idx="2882">
                  <c:v>0.92499999999999982</c:v>
                </c:pt>
                <c:pt idx="2883">
                  <c:v>0.93699999999999983</c:v>
                </c:pt>
                <c:pt idx="2884">
                  <c:v>0.94100000000000006</c:v>
                </c:pt>
                <c:pt idx="2885">
                  <c:v>0.94899999999999984</c:v>
                </c:pt>
                <c:pt idx="2886">
                  <c:v>0.93100000000000005</c:v>
                </c:pt>
                <c:pt idx="2887">
                  <c:v>0.88700000000000001</c:v>
                </c:pt>
                <c:pt idx="2888">
                  <c:v>0.86899999999999999</c:v>
                </c:pt>
                <c:pt idx="2889">
                  <c:v>0.84899999999999998</c:v>
                </c:pt>
                <c:pt idx="2890">
                  <c:v>0.89600000000000013</c:v>
                </c:pt>
                <c:pt idx="2891">
                  <c:v>0.92899999999999983</c:v>
                </c:pt>
                <c:pt idx="2892">
                  <c:v>0.93700000000000006</c:v>
                </c:pt>
                <c:pt idx="2893">
                  <c:v>0.88300000000000001</c:v>
                </c:pt>
                <c:pt idx="2894">
                  <c:v>0.92999999999999994</c:v>
                </c:pt>
                <c:pt idx="2895">
                  <c:v>0.91599999999999993</c:v>
                </c:pt>
                <c:pt idx="2896">
                  <c:v>0.94100000000000006</c:v>
                </c:pt>
                <c:pt idx="2897">
                  <c:v>0.93200000000000016</c:v>
                </c:pt>
                <c:pt idx="2898">
                  <c:v>0.96199999999999997</c:v>
                </c:pt>
                <c:pt idx="2899">
                  <c:v>1.008</c:v>
                </c:pt>
                <c:pt idx="2900">
                  <c:v>1.0259999999999998</c:v>
                </c:pt>
                <c:pt idx="2901">
                  <c:v>1.0259999999999998</c:v>
                </c:pt>
                <c:pt idx="2902">
                  <c:v>1.034</c:v>
                </c:pt>
                <c:pt idx="2903">
                  <c:v>1.0499999999999998</c:v>
                </c:pt>
                <c:pt idx="2904">
                  <c:v>1.0459999999999998</c:v>
                </c:pt>
                <c:pt idx="2905">
                  <c:v>1.0220000000000002</c:v>
                </c:pt>
                <c:pt idx="2906">
                  <c:v>1.0459999999999998</c:v>
                </c:pt>
                <c:pt idx="2907">
                  <c:v>1.0329999999999999</c:v>
                </c:pt>
                <c:pt idx="2908">
                  <c:v>1.0210000000000001</c:v>
                </c:pt>
                <c:pt idx="2909">
                  <c:v>1.0270000000000001</c:v>
                </c:pt>
                <c:pt idx="2910">
                  <c:v>1.0309999999999999</c:v>
                </c:pt>
                <c:pt idx="2911">
                  <c:v>1.0410000000000001</c:v>
                </c:pt>
                <c:pt idx="2912">
                  <c:v>1.042</c:v>
                </c:pt>
                <c:pt idx="2913">
                  <c:v>1.034</c:v>
                </c:pt>
                <c:pt idx="2914">
                  <c:v>1.0290000000000001</c:v>
                </c:pt>
                <c:pt idx="2915">
                  <c:v>0.95199999999999996</c:v>
                </c:pt>
                <c:pt idx="2916">
                  <c:v>0.89700000000000002</c:v>
                </c:pt>
                <c:pt idx="2917">
                  <c:v>0.91500000000000026</c:v>
                </c:pt>
                <c:pt idx="2918">
                  <c:v>0.94100000000000006</c:v>
                </c:pt>
                <c:pt idx="2919">
                  <c:v>0.875</c:v>
                </c:pt>
                <c:pt idx="2920">
                  <c:v>0.875</c:v>
                </c:pt>
                <c:pt idx="2921">
                  <c:v>0.85800000000000032</c:v>
                </c:pt>
                <c:pt idx="2922">
                  <c:v>0.85400000000000009</c:v>
                </c:pt>
                <c:pt idx="2923">
                  <c:v>0.92700000000000027</c:v>
                </c:pt>
                <c:pt idx="2924">
                  <c:v>0.98099999999999987</c:v>
                </c:pt>
                <c:pt idx="2925">
                  <c:v>1.089</c:v>
                </c:pt>
                <c:pt idx="2926">
                  <c:v>1.0640000000000001</c:v>
                </c:pt>
                <c:pt idx="2927">
                  <c:v>1.0799999999999998</c:v>
                </c:pt>
                <c:pt idx="2928">
                  <c:v>1.1089999999999998</c:v>
                </c:pt>
                <c:pt idx="2929">
                  <c:v>1.1319999999999999</c:v>
                </c:pt>
                <c:pt idx="2930">
                  <c:v>1.129</c:v>
                </c:pt>
                <c:pt idx="2931">
                  <c:v>1.1820000000000002</c:v>
                </c:pt>
                <c:pt idx="2932">
                  <c:v>1.1770000000000003</c:v>
                </c:pt>
                <c:pt idx="2933">
                  <c:v>1.173</c:v>
                </c:pt>
                <c:pt idx="2934">
                  <c:v>1.1769999999999998</c:v>
                </c:pt>
                <c:pt idx="2935">
                  <c:v>1.1889999999999998</c:v>
                </c:pt>
                <c:pt idx="2936">
                  <c:v>1.1689999999999998</c:v>
                </c:pt>
                <c:pt idx="2937">
                  <c:v>1.1759999999999997</c:v>
                </c:pt>
                <c:pt idx="2938">
                  <c:v>1.0719999999999998</c:v>
                </c:pt>
                <c:pt idx="2939">
                  <c:v>1.1100000000000001</c:v>
                </c:pt>
                <c:pt idx="2940">
                  <c:v>1.1149999999999998</c:v>
                </c:pt>
                <c:pt idx="2941">
                  <c:v>1.2000000000000002</c:v>
                </c:pt>
                <c:pt idx="2942">
                  <c:v>1.194</c:v>
                </c:pt>
                <c:pt idx="2943">
                  <c:v>1.2</c:v>
                </c:pt>
                <c:pt idx="2944">
                  <c:v>1.1780000000000002</c:v>
                </c:pt>
                <c:pt idx="2945">
                  <c:v>1.214</c:v>
                </c:pt>
                <c:pt idx="2946">
                  <c:v>1.2930000000000001</c:v>
                </c:pt>
                <c:pt idx="2947">
                  <c:v>1.2869999999999999</c:v>
                </c:pt>
                <c:pt idx="2948">
                  <c:v>1.357</c:v>
                </c:pt>
                <c:pt idx="2949">
                  <c:v>1.3680000000000001</c:v>
                </c:pt>
                <c:pt idx="2950">
                  <c:v>1.4149999999999998</c:v>
                </c:pt>
                <c:pt idx="2951">
                  <c:v>1.3739999999999999</c:v>
                </c:pt>
                <c:pt idx="2952">
                  <c:v>1.4480000000000002</c:v>
                </c:pt>
                <c:pt idx="2953">
                  <c:v>1.5920000000000003</c:v>
                </c:pt>
                <c:pt idx="2954">
                  <c:v>1.546</c:v>
                </c:pt>
                <c:pt idx="2955">
                  <c:v>1.6450000000000002</c:v>
                </c:pt>
                <c:pt idx="2956">
                  <c:v>1.6620000000000001</c:v>
                </c:pt>
                <c:pt idx="2957">
                  <c:v>1.6140000000000003</c:v>
                </c:pt>
                <c:pt idx="2958">
                  <c:v>1.675</c:v>
                </c:pt>
                <c:pt idx="2959">
                  <c:v>1.6139999999999999</c:v>
                </c:pt>
                <c:pt idx="2960">
                  <c:v>1.647</c:v>
                </c:pt>
                <c:pt idx="2961">
                  <c:v>1.6310000000000002</c:v>
                </c:pt>
                <c:pt idx="2962">
                  <c:v>1.593</c:v>
                </c:pt>
                <c:pt idx="2963">
                  <c:v>1.496</c:v>
                </c:pt>
                <c:pt idx="2964">
                  <c:v>1.5430000000000001</c:v>
                </c:pt>
                <c:pt idx="2965">
                  <c:v>1.5850000000000002</c:v>
                </c:pt>
                <c:pt idx="2966">
                  <c:v>1.581</c:v>
                </c:pt>
                <c:pt idx="2967">
                  <c:v>1.59</c:v>
                </c:pt>
                <c:pt idx="2968">
                  <c:v>1.6419999999999999</c:v>
                </c:pt>
                <c:pt idx="2969">
                  <c:v>1.7459999999999998</c:v>
                </c:pt>
                <c:pt idx="2970">
                  <c:v>1.9159999999999999</c:v>
                </c:pt>
                <c:pt idx="2971">
                  <c:v>1.7089999999999999</c:v>
                </c:pt>
                <c:pt idx="2972">
                  <c:v>1.8820000000000001</c:v>
                </c:pt>
                <c:pt idx="2973">
                  <c:v>1.8420000000000001</c:v>
                </c:pt>
                <c:pt idx="2974">
                  <c:v>1.9410000000000001</c:v>
                </c:pt>
                <c:pt idx="2975">
                  <c:v>1.9410000000000001</c:v>
                </c:pt>
                <c:pt idx="2976">
                  <c:v>1.87</c:v>
                </c:pt>
                <c:pt idx="2977">
                  <c:v>1.8010000000000002</c:v>
                </c:pt>
                <c:pt idx="2978">
                  <c:v>1.8760000000000001</c:v>
                </c:pt>
                <c:pt idx="2979">
                  <c:v>1.8839999999999999</c:v>
                </c:pt>
                <c:pt idx="2980">
                  <c:v>1.9829999999999999</c:v>
                </c:pt>
                <c:pt idx="2981">
                  <c:v>2.016</c:v>
                </c:pt>
                <c:pt idx="2982">
                  <c:v>2.0140000000000002</c:v>
                </c:pt>
                <c:pt idx="2983">
                  <c:v>2.04</c:v>
                </c:pt>
                <c:pt idx="2984">
                  <c:v>2.1219999999999999</c:v>
                </c:pt>
                <c:pt idx="2985">
                  <c:v>2.077</c:v>
                </c:pt>
                <c:pt idx="2986">
                  <c:v>2.0599999999999996</c:v>
                </c:pt>
                <c:pt idx="2987">
                  <c:v>2.0779999999999998</c:v>
                </c:pt>
                <c:pt idx="2988">
                  <c:v>2.0460000000000003</c:v>
                </c:pt>
                <c:pt idx="2989">
                  <c:v>2.1440000000000001</c:v>
                </c:pt>
                <c:pt idx="2990">
                  <c:v>2.15</c:v>
                </c:pt>
                <c:pt idx="2991">
                  <c:v>2.16</c:v>
                </c:pt>
                <c:pt idx="2992">
                  <c:v>2.1379999999999999</c:v>
                </c:pt>
                <c:pt idx="2993">
                  <c:v>2.089</c:v>
                </c:pt>
                <c:pt idx="2994">
                  <c:v>2.0990000000000002</c:v>
                </c:pt>
                <c:pt idx="2995">
                  <c:v>2.1520000000000001</c:v>
                </c:pt>
                <c:pt idx="2996">
                  <c:v>2.0389999999999997</c:v>
                </c:pt>
                <c:pt idx="2997">
                  <c:v>1.9750000000000001</c:v>
                </c:pt>
                <c:pt idx="2998">
                  <c:v>1.8859999999999999</c:v>
                </c:pt>
                <c:pt idx="2999">
                  <c:v>1.9149999999999998</c:v>
                </c:pt>
                <c:pt idx="3000">
                  <c:v>1.9140000000000001</c:v>
                </c:pt>
                <c:pt idx="3001">
                  <c:v>1.9889999999999999</c:v>
                </c:pt>
                <c:pt idx="3002">
                  <c:v>1.9359999999999997</c:v>
                </c:pt>
                <c:pt idx="3003">
                  <c:v>1.9969999999999999</c:v>
                </c:pt>
                <c:pt idx="3004">
                  <c:v>2.0380000000000003</c:v>
                </c:pt>
                <c:pt idx="3005">
                  <c:v>1.9209999999999998</c:v>
                </c:pt>
                <c:pt idx="3006">
                  <c:v>1.968</c:v>
                </c:pt>
                <c:pt idx="3007">
                  <c:v>1.87</c:v>
                </c:pt>
                <c:pt idx="3008">
                  <c:v>1.9870000000000001</c:v>
                </c:pt>
                <c:pt idx="3009">
                  <c:v>2.1440000000000001</c:v>
                </c:pt>
                <c:pt idx="3010">
                  <c:v>2.133</c:v>
                </c:pt>
                <c:pt idx="3011">
                  <c:v>2.0949999999999998</c:v>
                </c:pt>
                <c:pt idx="3012">
                  <c:v>2.09</c:v>
                </c:pt>
                <c:pt idx="3013">
                  <c:v>2.1510000000000002</c:v>
                </c:pt>
                <c:pt idx="3014">
                  <c:v>2.2709999999999999</c:v>
                </c:pt>
                <c:pt idx="3015">
                  <c:v>2.2619999999999996</c:v>
                </c:pt>
                <c:pt idx="3016">
                  <c:v>2.2220000000000004</c:v>
                </c:pt>
                <c:pt idx="3017">
                  <c:v>2.27</c:v>
                </c:pt>
                <c:pt idx="3018">
                  <c:v>2.3260000000000001</c:v>
                </c:pt>
                <c:pt idx="3019">
                  <c:v>2.3309999999999995</c:v>
                </c:pt>
                <c:pt idx="3020">
                  <c:v>2.4729999999999999</c:v>
                </c:pt>
                <c:pt idx="3021">
                  <c:v>2.4699999999999998</c:v>
                </c:pt>
                <c:pt idx="3022">
                  <c:v>2.407</c:v>
                </c:pt>
                <c:pt idx="3023">
                  <c:v>2.3359999999999999</c:v>
                </c:pt>
                <c:pt idx="3024">
                  <c:v>2.1930000000000001</c:v>
                </c:pt>
                <c:pt idx="3025">
                  <c:v>2.3259999999999996</c:v>
                </c:pt>
                <c:pt idx="3026">
                  <c:v>2.3090000000000002</c:v>
                </c:pt>
                <c:pt idx="3027">
                  <c:v>2.2309999999999999</c:v>
                </c:pt>
                <c:pt idx="3028">
                  <c:v>2.137</c:v>
                </c:pt>
                <c:pt idx="3029">
                  <c:v>2.2060000000000004</c:v>
                </c:pt>
                <c:pt idx="3030">
                  <c:v>2.2320000000000002</c:v>
                </c:pt>
                <c:pt idx="3031">
                  <c:v>2.2559999999999998</c:v>
                </c:pt>
                <c:pt idx="3032">
                  <c:v>2.1720000000000002</c:v>
                </c:pt>
                <c:pt idx="3033">
                  <c:v>2.1139999999999999</c:v>
                </c:pt>
                <c:pt idx="3034">
                  <c:v>2.121</c:v>
                </c:pt>
                <c:pt idx="3035">
                  <c:v>2.0449999999999999</c:v>
                </c:pt>
                <c:pt idx="3036">
                  <c:v>2.0270000000000001</c:v>
                </c:pt>
                <c:pt idx="3037">
                  <c:v>2.0659999999999998</c:v>
                </c:pt>
                <c:pt idx="3038">
                  <c:v>2.0569999999999999</c:v>
                </c:pt>
                <c:pt idx="3039">
                  <c:v>1.889</c:v>
                </c:pt>
                <c:pt idx="3040">
                  <c:v>2</c:v>
                </c:pt>
                <c:pt idx="3041">
                  <c:v>1.9909999999999999</c:v>
                </c:pt>
                <c:pt idx="3042">
                  <c:v>2.0339999999999998</c:v>
                </c:pt>
                <c:pt idx="3043">
                  <c:v>2.085</c:v>
                </c:pt>
                <c:pt idx="3044">
                  <c:v>2.0060000000000002</c:v>
                </c:pt>
                <c:pt idx="3045">
                  <c:v>1.9849999999999999</c:v>
                </c:pt>
                <c:pt idx="3046">
                  <c:v>2.012</c:v>
                </c:pt>
                <c:pt idx="3047">
                  <c:v>1.9610000000000001</c:v>
                </c:pt>
                <c:pt idx="3048">
                  <c:v>2.0139999999999998</c:v>
                </c:pt>
                <c:pt idx="3049">
                  <c:v>2.0839999999999996</c:v>
                </c:pt>
                <c:pt idx="3050">
                  <c:v>1.9970000000000001</c:v>
                </c:pt>
                <c:pt idx="3051">
                  <c:v>2.0039999999999996</c:v>
                </c:pt>
                <c:pt idx="3052">
                  <c:v>1.9610000000000001</c:v>
                </c:pt>
                <c:pt idx="3053">
                  <c:v>1.9430000000000001</c:v>
                </c:pt>
                <c:pt idx="3054">
                  <c:v>1.9760000000000002</c:v>
                </c:pt>
                <c:pt idx="3055">
                  <c:v>1.9649999999999999</c:v>
                </c:pt>
                <c:pt idx="3056">
                  <c:v>1.9170000000000003</c:v>
                </c:pt>
                <c:pt idx="3057">
                  <c:v>1.9249999999999998</c:v>
                </c:pt>
                <c:pt idx="3058">
                  <c:v>2.0699999999999998</c:v>
                </c:pt>
                <c:pt idx="3059">
                  <c:v>1.996</c:v>
                </c:pt>
                <c:pt idx="3060">
                  <c:v>1.996</c:v>
                </c:pt>
                <c:pt idx="3061">
                  <c:v>1.996</c:v>
                </c:pt>
                <c:pt idx="3062">
                  <c:v>1.9830000000000001</c:v>
                </c:pt>
                <c:pt idx="3063">
                  <c:v>1.9659999999999997</c:v>
                </c:pt>
                <c:pt idx="3064">
                  <c:v>1.9889999999999999</c:v>
                </c:pt>
                <c:pt idx="3065">
                  <c:v>1.9970000000000001</c:v>
                </c:pt>
                <c:pt idx="3066">
                  <c:v>1.9939999999999998</c:v>
                </c:pt>
                <c:pt idx="3067">
                  <c:v>1.9689999999999999</c:v>
                </c:pt>
                <c:pt idx="3068">
                  <c:v>1.919</c:v>
                </c:pt>
                <c:pt idx="3069">
                  <c:v>1.883</c:v>
                </c:pt>
                <c:pt idx="3070">
                  <c:v>2.0419999999999998</c:v>
                </c:pt>
                <c:pt idx="3071">
                  <c:v>1.9970000000000001</c:v>
                </c:pt>
                <c:pt idx="3072">
                  <c:v>1.9269999999999998</c:v>
                </c:pt>
                <c:pt idx="3073">
                  <c:v>1.911</c:v>
                </c:pt>
                <c:pt idx="3074">
                  <c:v>1.9160000000000004</c:v>
                </c:pt>
                <c:pt idx="3075">
                  <c:v>1.9060000000000001</c:v>
                </c:pt>
                <c:pt idx="3076">
                  <c:v>1.9909999999999999</c:v>
                </c:pt>
                <c:pt idx="3077">
                  <c:v>2.0030000000000001</c:v>
                </c:pt>
                <c:pt idx="3078">
                  <c:v>2.1269999999999998</c:v>
                </c:pt>
                <c:pt idx="3079">
                  <c:v>2.1639999999999997</c:v>
                </c:pt>
                <c:pt idx="3080">
                  <c:v>2.12</c:v>
                </c:pt>
                <c:pt idx="3081">
                  <c:v>2.0940000000000003</c:v>
                </c:pt>
                <c:pt idx="3082">
                  <c:v>2.133</c:v>
                </c:pt>
                <c:pt idx="3083">
                  <c:v>2.1049999999999995</c:v>
                </c:pt>
                <c:pt idx="3084">
                  <c:v>2.0120000000000005</c:v>
                </c:pt>
                <c:pt idx="3085">
                  <c:v>2.0329999999999999</c:v>
                </c:pt>
                <c:pt idx="3086">
                  <c:v>2.0529999999999999</c:v>
                </c:pt>
                <c:pt idx="3087">
                  <c:v>2.1690000000000005</c:v>
                </c:pt>
                <c:pt idx="3088">
                  <c:v>2.27</c:v>
                </c:pt>
                <c:pt idx="3089">
                  <c:v>2.2359999999999998</c:v>
                </c:pt>
                <c:pt idx="3090">
                  <c:v>2.2040000000000006</c:v>
                </c:pt>
                <c:pt idx="3091">
                  <c:v>2.5360000000000005</c:v>
                </c:pt>
                <c:pt idx="3092">
                  <c:v>2.62</c:v>
                </c:pt>
                <c:pt idx="3093">
                  <c:v>2.5950000000000002</c:v>
                </c:pt>
                <c:pt idx="3094">
                  <c:v>2.57</c:v>
                </c:pt>
                <c:pt idx="3095">
                  <c:v>2.6129999999999995</c:v>
                </c:pt>
                <c:pt idx="3096">
                  <c:v>2.6850000000000001</c:v>
                </c:pt>
                <c:pt idx="3097">
                  <c:v>2.673</c:v>
                </c:pt>
                <c:pt idx="3098">
                  <c:v>2.649</c:v>
                </c:pt>
                <c:pt idx="3099">
                  <c:v>2.6520000000000001</c:v>
                </c:pt>
                <c:pt idx="3100">
                  <c:v>2.6829999999999998</c:v>
                </c:pt>
                <c:pt idx="3101">
                  <c:v>2.5660000000000003</c:v>
                </c:pt>
                <c:pt idx="3102">
                  <c:v>2.6429999999999998</c:v>
                </c:pt>
                <c:pt idx="3103">
                  <c:v>2.6310000000000002</c:v>
                </c:pt>
                <c:pt idx="3104">
                  <c:v>2.6909999999999998</c:v>
                </c:pt>
                <c:pt idx="3105">
                  <c:v>2.6680000000000001</c:v>
                </c:pt>
                <c:pt idx="3106">
                  <c:v>2.7600000000000002</c:v>
                </c:pt>
                <c:pt idx="3107">
                  <c:v>2.7710000000000004</c:v>
                </c:pt>
                <c:pt idx="3108">
                  <c:v>2.8539999999999996</c:v>
                </c:pt>
                <c:pt idx="3109">
                  <c:v>2.8859999999999997</c:v>
                </c:pt>
                <c:pt idx="3110">
                  <c:v>2.827</c:v>
                </c:pt>
                <c:pt idx="3111">
                  <c:v>2.8200000000000003</c:v>
                </c:pt>
                <c:pt idx="3112">
                  <c:v>2.7959999999999998</c:v>
                </c:pt>
                <c:pt idx="3113">
                  <c:v>2.7529999999999997</c:v>
                </c:pt>
                <c:pt idx="3114">
                  <c:v>2.7749999999999995</c:v>
                </c:pt>
                <c:pt idx="3115">
                  <c:v>2.8139999999999996</c:v>
                </c:pt>
                <c:pt idx="3116">
                  <c:v>2.8330000000000002</c:v>
                </c:pt>
                <c:pt idx="3117">
                  <c:v>2.8680000000000003</c:v>
                </c:pt>
                <c:pt idx="3118">
                  <c:v>2.9260000000000002</c:v>
                </c:pt>
                <c:pt idx="3119">
                  <c:v>2.9369999999999998</c:v>
                </c:pt>
                <c:pt idx="3120">
                  <c:v>2.9280000000000004</c:v>
                </c:pt>
                <c:pt idx="3121">
                  <c:v>2.8760000000000003</c:v>
                </c:pt>
                <c:pt idx="3122">
                  <c:v>2.907</c:v>
                </c:pt>
                <c:pt idx="3123">
                  <c:v>2.8250000000000002</c:v>
                </c:pt>
                <c:pt idx="3124">
                  <c:v>2.8820000000000001</c:v>
                </c:pt>
                <c:pt idx="3125">
                  <c:v>2.9450000000000003</c:v>
                </c:pt>
                <c:pt idx="3126">
                  <c:v>2.9340000000000002</c:v>
                </c:pt>
                <c:pt idx="3127">
                  <c:v>2.8179999999999996</c:v>
                </c:pt>
                <c:pt idx="3128">
                  <c:v>2.9460000000000002</c:v>
                </c:pt>
                <c:pt idx="3129">
                  <c:v>2.8730000000000002</c:v>
                </c:pt>
                <c:pt idx="3130">
                  <c:v>2.8499999999999996</c:v>
                </c:pt>
                <c:pt idx="3131">
                  <c:v>2.8670000000000004</c:v>
                </c:pt>
                <c:pt idx="3132">
                  <c:v>2.8159999999999998</c:v>
                </c:pt>
                <c:pt idx="3133">
                  <c:v>2.7960000000000003</c:v>
                </c:pt>
                <c:pt idx="3134">
                  <c:v>2.8090000000000002</c:v>
                </c:pt>
                <c:pt idx="3135">
                  <c:v>2.8090000000000002</c:v>
                </c:pt>
                <c:pt idx="3136">
                  <c:v>2.8440000000000003</c:v>
                </c:pt>
                <c:pt idx="3137">
                  <c:v>2.883</c:v>
                </c:pt>
                <c:pt idx="3138">
                  <c:v>2.8679999999999999</c:v>
                </c:pt>
                <c:pt idx="3139">
                  <c:v>3.0060000000000002</c:v>
                </c:pt>
                <c:pt idx="3140">
                  <c:v>3.0199999999999996</c:v>
                </c:pt>
                <c:pt idx="3141">
                  <c:v>2.9399999999999995</c:v>
                </c:pt>
                <c:pt idx="3142">
                  <c:v>2.835</c:v>
                </c:pt>
                <c:pt idx="3143">
                  <c:v>2.6870000000000003</c:v>
                </c:pt>
                <c:pt idx="3144">
                  <c:v>2.698</c:v>
                </c:pt>
                <c:pt idx="3145">
                  <c:v>2.6239999999999997</c:v>
                </c:pt>
                <c:pt idx="3146">
                  <c:v>2.726</c:v>
                </c:pt>
                <c:pt idx="3147">
                  <c:v>2.6819999999999999</c:v>
                </c:pt>
                <c:pt idx="3148">
                  <c:v>2.6559999999999997</c:v>
                </c:pt>
                <c:pt idx="3149">
                  <c:v>2.5369999999999999</c:v>
                </c:pt>
                <c:pt idx="3150">
                  <c:v>2.6730000000000005</c:v>
                </c:pt>
                <c:pt idx="3151">
                  <c:v>2.6420000000000003</c:v>
                </c:pt>
                <c:pt idx="3152">
                  <c:v>2.5910000000000002</c:v>
                </c:pt>
                <c:pt idx="3153">
                  <c:v>2.5120000000000005</c:v>
                </c:pt>
                <c:pt idx="3154">
                  <c:v>2.5489999999999999</c:v>
                </c:pt>
                <c:pt idx="3155">
                  <c:v>2.5289999999999999</c:v>
                </c:pt>
                <c:pt idx="3156">
                  <c:v>2.5830000000000002</c:v>
                </c:pt>
                <c:pt idx="3157">
                  <c:v>2.5930000000000004</c:v>
                </c:pt>
                <c:pt idx="3158">
                  <c:v>2.5869999999999997</c:v>
                </c:pt>
                <c:pt idx="3159">
                  <c:v>2.093</c:v>
                </c:pt>
                <c:pt idx="3160">
                  <c:v>2.0989999999999998</c:v>
                </c:pt>
                <c:pt idx="3161">
                  <c:v>2.4810000000000008</c:v>
                </c:pt>
                <c:pt idx="3162">
                  <c:v>2.4060000000000006</c:v>
                </c:pt>
                <c:pt idx="3163">
                  <c:v>2.1749999999999998</c:v>
                </c:pt>
                <c:pt idx="3164">
                  <c:v>2.089</c:v>
                </c:pt>
                <c:pt idx="3165">
                  <c:v>2.2290000000000001</c:v>
                </c:pt>
                <c:pt idx="3166">
                  <c:v>2.1900000000000004</c:v>
                </c:pt>
                <c:pt idx="3167">
                  <c:v>2.2400000000000002</c:v>
                </c:pt>
                <c:pt idx="3168">
                  <c:v>2.2180000000000004</c:v>
                </c:pt>
                <c:pt idx="3169">
                  <c:v>2.1829999999999998</c:v>
                </c:pt>
                <c:pt idx="3170">
                  <c:v>2.1480000000000001</c:v>
                </c:pt>
                <c:pt idx="3171">
                  <c:v>2.0470000000000002</c:v>
                </c:pt>
                <c:pt idx="3172">
                  <c:v>2.0970000000000004</c:v>
                </c:pt>
                <c:pt idx="3173">
                  <c:v>2.1179999999999999</c:v>
                </c:pt>
                <c:pt idx="3174">
                  <c:v>1.9390000000000001</c:v>
                </c:pt>
                <c:pt idx="3175">
                  <c:v>1.766</c:v>
                </c:pt>
                <c:pt idx="3176">
                  <c:v>1.8029999999999999</c:v>
                </c:pt>
                <c:pt idx="3177">
                  <c:v>1.9</c:v>
                </c:pt>
                <c:pt idx="3178">
                  <c:v>1.9180000000000001</c:v>
                </c:pt>
                <c:pt idx="3179">
                  <c:v>1.8719999999999999</c:v>
                </c:pt>
                <c:pt idx="3180">
                  <c:v>1.883</c:v>
                </c:pt>
                <c:pt idx="3181">
                  <c:v>1.8839999999999999</c:v>
                </c:pt>
                <c:pt idx="3182">
                  <c:v>1.8040000000000003</c:v>
                </c:pt>
                <c:pt idx="3183">
                  <c:v>1.8260000000000001</c:v>
                </c:pt>
                <c:pt idx="3184">
                  <c:v>1.7629999999999999</c:v>
                </c:pt>
                <c:pt idx="3185">
                  <c:v>1.698</c:v>
                </c:pt>
                <c:pt idx="3186">
                  <c:v>1.7889999999999997</c:v>
                </c:pt>
                <c:pt idx="3187">
                  <c:v>1.8189999999999995</c:v>
                </c:pt>
                <c:pt idx="3188">
                  <c:v>1.782</c:v>
                </c:pt>
                <c:pt idx="3189">
                  <c:v>1.9380000000000002</c:v>
                </c:pt>
                <c:pt idx="3190">
                  <c:v>1.9990000000000001</c:v>
                </c:pt>
                <c:pt idx="3191">
                  <c:v>2.02</c:v>
                </c:pt>
                <c:pt idx="3192">
                  <c:v>2.1229999999999998</c:v>
                </c:pt>
                <c:pt idx="3193">
                  <c:v>2.165</c:v>
                </c:pt>
                <c:pt idx="3194">
                  <c:v>2.1320000000000001</c:v>
                </c:pt>
                <c:pt idx="3195">
                  <c:v>2.0350000000000001</c:v>
                </c:pt>
                <c:pt idx="3196">
                  <c:v>1.944</c:v>
                </c:pt>
                <c:pt idx="3197">
                  <c:v>1.9420000000000002</c:v>
                </c:pt>
                <c:pt idx="3198">
                  <c:v>2.0070000000000001</c:v>
                </c:pt>
                <c:pt idx="3199">
                  <c:v>2.0699999999999998</c:v>
                </c:pt>
                <c:pt idx="3200">
                  <c:v>2.1219999999999999</c:v>
                </c:pt>
                <c:pt idx="3201">
                  <c:v>2.105</c:v>
                </c:pt>
                <c:pt idx="3202">
                  <c:v>2.0569999999999999</c:v>
                </c:pt>
                <c:pt idx="3203">
                  <c:v>2.0350000000000001</c:v>
                </c:pt>
                <c:pt idx="3204">
                  <c:v>2.0289999999999999</c:v>
                </c:pt>
                <c:pt idx="3205">
                  <c:v>1.9840000000000002</c:v>
                </c:pt>
                <c:pt idx="3206">
                  <c:v>1.9159999999999999</c:v>
                </c:pt>
                <c:pt idx="3207">
                  <c:v>2.0070000000000001</c:v>
                </c:pt>
                <c:pt idx="3208">
                  <c:v>2.0979999999999999</c:v>
                </c:pt>
                <c:pt idx="3209">
                  <c:v>2.0680000000000001</c:v>
                </c:pt>
                <c:pt idx="3210">
                  <c:v>2.0110000000000001</c:v>
                </c:pt>
                <c:pt idx="3211">
                  <c:v>2.0010000000000003</c:v>
                </c:pt>
                <c:pt idx="3212">
                  <c:v>1.9890000000000001</c:v>
                </c:pt>
                <c:pt idx="3213">
                  <c:v>1.996</c:v>
                </c:pt>
                <c:pt idx="3214">
                  <c:v>2.0359999999999996</c:v>
                </c:pt>
                <c:pt idx="3215">
                  <c:v>1.9040000000000004</c:v>
                </c:pt>
                <c:pt idx="3216">
                  <c:v>1.81</c:v>
                </c:pt>
                <c:pt idx="3217">
                  <c:v>1.8530000000000002</c:v>
                </c:pt>
                <c:pt idx="3218">
                  <c:v>1.8280000000000003</c:v>
                </c:pt>
                <c:pt idx="3219">
                  <c:v>1.859</c:v>
                </c:pt>
                <c:pt idx="3220">
                  <c:v>1.8000000000000003</c:v>
                </c:pt>
                <c:pt idx="3221">
                  <c:v>1.7960000000000003</c:v>
                </c:pt>
                <c:pt idx="3222">
                  <c:v>1.7829999999999999</c:v>
                </c:pt>
                <c:pt idx="3223">
                  <c:v>1.8370000000000002</c:v>
                </c:pt>
                <c:pt idx="3224">
                  <c:v>1.8660000000000001</c:v>
                </c:pt>
                <c:pt idx="3225">
                  <c:v>1.8619999999999997</c:v>
                </c:pt>
                <c:pt idx="3226">
                  <c:v>1.8460000000000001</c:v>
                </c:pt>
                <c:pt idx="3227">
                  <c:v>1.8320000000000003</c:v>
                </c:pt>
                <c:pt idx="3228">
                  <c:v>1.8599999999999999</c:v>
                </c:pt>
                <c:pt idx="3229">
                  <c:v>1.835</c:v>
                </c:pt>
                <c:pt idx="3230">
                  <c:v>1.8570000000000002</c:v>
                </c:pt>
                <c:pt idx="3231">
                  <c:v>1.827</c:v>
                </c:pt>
                <c:pt idx="3232">
                  <c:v>1.8450000000000002</c:v>
                </c:pt>
                <c:pt idx="3233">
                  <c:v>1.8089999999999997</c:v>
                </c:pt>
                <c:pt idx="3234">
                  <c:v>1.8029999999999999</c:v>
                </c:pt>
                <c:pt idx="3235">
                  <c:v>1.786</c:v>
                </c:pt>
                <c:pt idx="3236">
                  <c:v>1.7230000000000003</c:v>
                </c:pt>
                <c:pt idx="3237">
                  <c:v>1.7140000000000004</c:v>
                </c:pt>
                <c:pt idx="3238">
                  <c:v>1.6839999999999997</c:v>
                </c:pt>
                <c:pt idx="3239">
                  <c:v>1.6189999999999998</c:v>
                </c:pt>
                <c:pt idx="3240">
                  <c:v>1.5700000000000003</c:v>
                </c:pt>
                <c:pt idx="3241">
                  <c:v>1.4899999999999998</c:v>
                </c:pt>
                <c:pt idx="3242">
                  <c:v>1.4579999999999997</c:v>
                </c:pt>
                <c:pt idx="3243">
                  <c:v>1.4700000000000002</c:v>
                </c:pt>
                <c:pt idx="3244">
                  <c:v>1.5109999999999997</c:v>
                </c:pt>
                <c:pt idx="3245">
                  <c:v>1.3329999999999997</c:v>
                </c:pt>
                <c:pt idx="3246">
                  <c:v>1.387</c:v>
                </c:pt>
                <c:pt idx="3247">
                  <c:v>1.496</c:v>
                </c:pt>
                <c:pt idx="3248">
                  <c:v>1.5030000000000001</c:v>
                </c:pt>
                <c:pt idx="3249">
                  <c:v>1.5330000000000004</c:v>
                </c:pt>
                <c:pt idx="3250">
                  <c:v>1.4820000000000002</c:v>
                </c:pt>
                <c:pt idx="3251">
                  <c:v>1.4460000000000002</c:v>
                </c:pt>
                <c:pt idx="3252">
                  <c:v>1.4810000000000003</c:v>
                </c:pt>
                <c:pt idx="3253">
                  <c:v>1.4990000000000001</c:v>
                </c:pt>
                <c:pt idx="3254">
                  <c:v>1.4969999999999999</c:v>
                </c:pt>
                <c:pt idx="3255">
                  <c:v>1.2870000000000004</c:v>
                </c:pt>
                <c:pt idx="3256">
                  <c:v>1.2490000000000006</c:v>
                </c:pt>
                <c:pt idx="3257">
                  <c:v>1.2390000000000003</c:v>
                </c:pt>
                <c:pt idx="3258">
                  <c:v>1.2129999999999996</c:v>
                </c:pt>
                <c:pt idx="3259">
                  <c:v>1.2160000000000002</c:v>
                </c:pt>
                <c:pt idx="3260">
                  <c:v>1.1879999999999997</c:v>
                </c:pt>
                <c:pt idx="3261">
                  <c:v>1.2029999999999998</c:v>
                </c:pt>
                <c:pt idx="3262">
                  <c:v>1.2969999999999997</c:v>
                </c:pt>
                <c:pt idx="3263">
                  <c:v>1.2959999999999998</c:v>
                </c:pt>
                <c:pt idx="3264">
                  <c:v>1.3490000000000006</c:v>
                </c:pt>
                <c:pt idx="3265">
                  <c:v>1.3220000000000001</c:v>
                </c:pt>
                <c:pt idx="3266">
                  <c:v>1.3039999999999994</c:v>
                </c:pt>
                <c:pt idx="3267">
                  <c:v>1.2690000000000001</c:v>
                </c:pt>
                <c:pt idx="3268">
                  <c:v>1.3089999999999997</c:v>
                </c:pt>
                <c:pt idx="3269">
                  <c:v>1.3090000000000002</c:v>
                </c:pt>
                <c:pt idx="3270">
                  <c:v>1.2969999999999997</c:v>
                </c:pt>
                <c:pt idx="3271">
                  <c:v>1.3159999999999998</c:v>
                </c:pt>
                <c:pt idx="3272">
                  <c:v>1.1849999999999996</c:v>
                </c:pt>
                <c:pt idx="3273">
                  <c:v>1.1450000000000005</c:v>
                </c:pt>
                <c:pt idx="3274">
                  <c:v>1.17</c:v>
                </c:pt>
                <c:pt idx="3275">
                  <c:v>1.1530000000000005</c:v>
                </c:pt>
                <c:pt idx="3276">
                  <c:v>1.1159999999999997</c:v>
                </c:pt>
                <c:pt idx="3277">
                  <c:v>1.1630000000000003</c:v>
                </c:pt>
                <c:pt idx="3278">
                  <c:v>1.129</c:v>
                </c:pt>
                <c:pt idx="3279">
                  <c:v>1.1739999999999999</c:v>
                </c:pt>
                <c:pt idx="3280">
                  <c:v>1.161</c:v>
                </c:pt>
                <c:pt idx="3281">
                  <c:v>1.1680000000000001</c:v>
                </c:pt>
                <c:pt idx="3282">
                  <c:v>1.1969999999999996</c:v>
                </c:pt>
                <c:pt idx="3283">
                  <c:v>1.1890000000000001</c:v>
                </c:pt>
                <c:pt idx="3284">
                  <c:v>1.1960000000000002</c:v>
                </c:pt>
                <c:pt idx="3285">
                  <c:v>1.1740000000000004</c:v>
                </c:pt>
                <c:pt idx="3286">
                  <c:v>1.1979999999999995</c:v>
                </c:pt>
                <c:pt idx="3287">
                  <c:v>1.1839999999999997</c:v>
                </c:pt>
                <c:pt idx="3288">
                  <c:v>1.1999999999999997</c:v>
                </c:pt>
                <c:pt idx="3289">
                  <c:v>1.1820000000000004</c:v>
                </c:pt>
                <c:pt idx="3290">
                  <c:v>1.1579999999999999</c:v>
                </c:pt>
                <c:pt idx="3291">
                  <c:v>1.1379999999999999</c:v>
                </c:pt>
                <c:pt idx="3292">
                  <c:v>1.1400000000000001</c:v>
                </c:pt>
                <c:pt idx="3293">
                  <c:v>1.1519999999999997</c:v>
                </c:pt>
                <c:pt idx="3294">
                  <c:v>1.1429999999999998</c:v>
                </c:pt>
                <c:pt idx="3295">
                  <c:v>1.1460000000000004</c:v>
                </c:pt>
                <c:pt idx="3296">
                  <c:v>1.1669999999999998</c:v>
                </c:pt>
                <c:pt idx="3297">
                  <c:v>1.1560000000000006</c:v>
                </c:pt>
                <c:pt idx="3298">
                  <c:v>1.1739999999999999</c:v>
                </c:pt>
                <c:pt idx="3299">
                  <c:v>1.1040000000000005</c:v>
                </c:pt>
                <c:pt idx="3300">
                  <c:v>1.1110000000000002</c:v>
                </c:pt>
                <c:pt idx="3301">
                  <c:v>1.1040000000000001</c:v>
                </c:pt>
                <c:pt idx="3302">
                  <c:v>1.105</c:v>
                </c:pt>
                <c:pt idx="3303">
                  <c:v>1.1310000000000002</c:v>
                </c:pt>
                <c:pt idx="3304">
                  <c:v>1.1249999999999996</c:v>
                </c:pt>
                <c:pt idx="3305">
                  <c:v>1.1259999999999999</c:v>
                </c:pt>
                <c:pt idx="3306">
                  <c:v>1.0760000000000001</c:v>
                </c:pt>
                <c:pt idx="3307">
                  <c:v>1.0969999999999995</c:v>
                </c:pt>
                <c:pt idx="3308">
                  <c:v>1.1470000000000002</c:v>
                </c:pt>
                <c:pt idx="3309">
                  <c:v>1.0950000000000002</c:v>
                </c:pt>
                <c:pt idx="3310">
                  <c:v>1.0950000000000002</c:v>
                </c:pt>
                <c:pt idx="3311">
                  <c:v>1.0950000000000002</c:v>
                </c:pt>
                <c:pt idx="3312">
                  <c:v>1.1120000000000001</c:v>
                </c:pt>
                <c:pt idx="3313">
                  <c:v>1.0700000000000003</c:v>
                </c:pt>
                <c:pt idx="3314">
                  <c:v>1.1309999999999998</c:v>
                </c:pt>
                <c:pt idx="3315">
                  <c:v>1.0510000000000002</c:v>
                </c:pt>
                <c:pt idx="3316">
                  <c:v>0.98699999999999966</c:v>
                </c:pt>
                <c:pt idx="3317">
                  <c:v>0.97499999999999964</c:v>
                </c:pt>
                <c:pt idx="3318">
                  <c:v>0.9520000000000004</c:v>
                </c:pt>
                <c:pt idx="3319">
                  <c:v>0.98599999999999977</c:v>
                </c:pt>
                <c:pt idx="3320">
                  <c:v>0.68199999999999994</c:v>
                </c:pt>
                <c:pt idx="3321">
                  <c:v>0.74199999999999999</c:v>
                </c:pt>
                <c:pt idx="3322">
                  <c:v>0.7330000000000001</c:v>
                </c:pt>
                <c:pt idx="3323">
                  <c:v>0.77099999999999991</c:v>
                </c:pt>
                <c:pt idx="3324">
                  <c:v>0.79499999999999993</c:v>
                </c:pt>
                <c:pt idx="3325">
                  <c:v>0.79099999999999993</c:v>
                </c:pt>
                <c:pt idx="3326">
                  <c:v>0.81</c:v>
                </c:pt>
                <c:pt idx="3327">
                  <c:v>0.82399999999999984</c:v>
                </c:pt>
                <c:pt idx="3328">
                  <c:v>0.83099999999999996</c:v>
                </c:pt>
                <c:pt idx="3329">
                  <c:v>0.87299999999999978</c:v>
                </c:pt>
                <c:pt idx="3330">
                  <c:v>0.8839999999999999</c:v>
                </c:pt>
                <c:pt idx="3331">
                  <c:v>0.91900000000000004</c:v>
                </c:pt>
                <c:pt idx="3332">
                  <c:v>0.92700000000000005</c:v>
                </c:pt>
                <c:pt idx="3333">
                  <c:v>0.90600000000000014</c:v>
                </c:pt>
                <c:pt idx="3334">
                  <c:v>0.92999999999999972</c:v>
                </c:pt>
                <c:pt idx="3335">
                  <c:v>0.97500000000000009</c:v>
                </c:pt>
                <c:pt idx="3336">
                  <c:v>0.99500000000000011</c:v>
                </c:pt>
                <c:pt idx="3337">
                  <c:v>1.073</c:v>
                </c:pt>
                <c:pt idx="3338">
                  <c:v>1.0259999999999998</c:v>
                </c:pt>
                <c:pt idx="3339">
                  <c:v>0.93699999999999983</c:v>
                </c:pt>
                <c:pt idx="3340">
                  <c:v>0.94999999999999973</c:v>
                </c:pt>
                <c:pt idx="3341">
                  <c:v>0.9139999999999997</c:v>
                </c:pt>
                <c:pt idx="3342">
                  <c:v>0.87299999999999978</c:v>
                </c:pt>
                <c:pt idx="3343">
                  <c:v>0.8580000000000001</c:v>
                </c:pt>
                <c:pt idx="3344">
                  <c:v>0.89100000000000001</c:v>
                </c:pt>
                <c:pt idx="3345">
                  <c:v>0.89000000000000012</c:v>
                </c:pt>
                <c:pt idx="3346">
                  <c:v>0.83699999999999974</c:v>
                </c:pt>
                <c:pt idx="3347">
                  <c:v>0.96700000000000008</c:v>
                </c:pt>
                <c:pt idx="3348">
                  <c:v>0.98499999999999988</c:v>
                </c:pt>
                <c:pt idx="3349">
                  <c:v>0.99299999999999988</c:v>
                </c:pt>
                <c:pt idx="3350">
                  <c:v>1.012</c:v>
                </c:pt>
                <c:pt idx="3351">
                  <c:v>1.0329999999999999</c:v>
                </c:pt>
                <c:pt idx="3352">
                  <c:v>1.0339999999999998</c:v>
                </c:pt>
                <c:pt idx="3353">
                  <c:v>1.0449999999999999</c:v>
                </c:pt>
                <c:pt idx="3354">
                  <c:v>1.0299999999999998</c:v>
                </c:pt>
                <c:pt idx="3355">
                  <c:v>1.0170000000000003</c:v>
                </c:pt>
                <c:pt idx="3356">
                  <c:v>1.0279999999999996</c:v>
                </c:pt>
                <c:pt idx="3357">
                  <c:v>1.0050000000000003</c:v>
                </c:pt>
                <c:pt idx="3358">
                  <c:v>0.98199999999999976</c:v>
                </c:pt>
                <c:pt idx="3359">
                  <c:v>0.97599999999999953</c:v>
                </c:pt>
                <c:pt idx="3360">
                  <c:v>0.9870000000000001</c:v>
                </c:pt>
                <c:pt idx="3361">
                  <c:v>0.98999999999999977</c:v>
                </c:pt>
                <c:pt idx="3362">
                  <c:v>0.98199999999999976</c:v>
                </c:pt>
                <c:pt idx="3363">
                  <c:v>0.98799999999999955</c:v>
                </c:pt>
                <c:pt idx="3364">
                  <c:v>0.97799999999999976</c:v>
                </c:pt>
                <c:pt idx="3365">
                  <c:v>0.99499999999999966</c:v>
                </c:pt>
                <c:pt idx="3366">
                  <c:v>1.0130000000000003</c:v>
                </c:pt>
                <c:pt idx="3367">
                  <c:v>1.0420000000000003</c:v>
                </c:pt>
                <c:pt idx="3368">
                  <c:v>1.0230000000000001</c:v>
                </c:pt>
                <c:pt idx="3369">
                  <c:v>1.1309999999999998</c:v>
                </c:pt>
                <c:pt idx="3370">
                  <c:v>1.1200000000000001</c:v>
                </c:pt>
                <c:pt idx="3371">
                  <c:v>1.08</c:v>
                </c:pt>
                <c:pt idx="3372">
                  <c:v>1.0860000000000003</c:v>
                </c:pt>
                <c:pt idx="3373">
                  <c:v>1.1150000000000002</c:v>
                </c:pt>
                <c:pt idx="3374">
                  <c:v>1.1659999999999999</c:v>
                </c:pt>
                <c:pt idx="3375">
                  <c:v>1.1449999999999996</c:v>
                </c:pt>
                <c:pt idx="3376">
                  <c:v>1.1670000000000003</c:v>
                </c:pt>
                <c:pt idx="3377">
                  <c:v>1.1880000000000002</c:v>
                </c:pt>
                <c:pt idx="3378">
                  <c:v>1.1970000000000001</c:v>
                </c:pt>
                <c:pt idx="3379">
                  <c:v>1.2250000000000001</c:v>
                </c:pt>
                <c:pt idx="3380">
                  <c:v>1.2529999999999997</c:v>
                </c:pt>
                <c:pt idx="3381">
                  <c:v>1.2150000000000003</c:v>
                </c:pt>
                <c:pt idx="3382">
                  <c:v>1.1960000000000002</c:v>
                </c:pt>
                <c:pt idx="3383">
                  <c:v>1.2119999999999997</c:v>
                </c:pt>
                <c:pt idx="3384">
                  <c:v>1.2430000000000003</c:v>
                </c:pt>
                <c:pt idx="3385">
                  <c:v>1.2129999999999996</c:v>
                </c:pt>
                <c:pt idx="3386">
                  <c:v>1.1869999999999998</c:v>
                </c:pt>
                <c:pt idx="3387">
                  <c:v>1.1699999999999995</c:v>
                </c:pt>
                <c:pt idx="3388">
                  <c:v>1.1760000000000002</c:v>
                </c:pt>
                <c:pt idx="3389">
                  <c:v>1.1819999999999999</c:v>
                </c:pt>
                <c:pt idx="3390">
                  <c:v>1.1749999999999998</c:v>
                </c:pt>
                <c:pt idx="3391">
                  <c:v>1.1889999999999996</c:v>
                </c:pt>
                <c:pt idx="3392">
                  <c:v>1.1720000000000006</c:v>
                </c:pt>
                <c:pt idx="3393">
                  <c:v>1.1920000000000002</c:v>
                </c:pt>
                <c:pt idx="3394">
                  <c:v>1.1679999999999997</c:v>
                </c:pt>
                <c:pt idx="3395">
                  <c:v>1.1909999999999998</c:v>
                </c:pt>
                <c:pt idx="3396">
                  <c:v>1.1810000000000005</c:v>
                </c:pt>
                <c:pt idx="3397">
                  <c:v>1.1779999999999999</c:v>
                </c:pt>
                <c:pt idx="3398">
                  <c:v>1.1819999999999999</c:v>
                </c:pt>
                <c:pt idx="3399">
                  <c:v>1.1880000000000002</c:v>
                </c:pt>
                <c:pt idx="3400">
                  <c:v>1.1920000000000002</c:v>
                </c:pt>
                <c:pt idx="3401">
                  <c:v>1.1889999999999996</c:v>
                </c:pt>
                <c:pt idx="3402">
                  <c:v>1.222</c:v>
                </c:pt>
                <c:pt idx="3403">
                  <c:v>1.2250000000000005</c:v>
                </c:pt>
                <c:pt idx="3404">
                  <c:v>1.2279999999999998</c:v>
                </c:pt>
                <c:pt idx="3405">
                  <c:v>1.2189999999999999</c:v>
                </c:pt>
                <c:pt idx="3406">
                  <c:v>1.2210000000000001</c:v>
                </c:pt>
                <c:pt idx="3407">
                  <c:v>1.19</c:v>
                </c:pt>
                <c:pt idx="3408">
                  <c:v>1.2040000000000002</c:v>
                </c:pt>
                <c:pt idx="3409">
                  <c:v>1.2479999999999998</c:v>
                </c:pt>
                <c:pt idx="3410">
                  <c:v>1.266</c:v>
                </c:pt>
                <c:pt idx="3411">
                  <c:v>1.2960000000000003</c:v>
                </c:pt>
                <c:pt idx="3412">
                  <c:v>1.3430000000000004</c:v>
                </c:pt>
                <c:pt idx="3413">
                  <c:v>1.3840000000000003</c:v>
                </c:pt>
                <c:pt idx="3414">
                  <c:v>1.3329999999999997</c:v>
                </c:pt>
                <c:pt idx="3415">
                  <c:v>1.3220000000000001</c:v>
                </c:pt>
                <c:pt idx="3416">
                  <c:v>1.302</c:v>
                </c:pt>
                <c:pt idx="3417">
                  <c:v>1.234</c:v>
                </c:pt>
                <c:pt idx="3418">
                  <c:v>1.3010000000000002</c:v>
                </c:pt>
                <c:pt idx="3419">
                  <c:v>1.2560000000000002</c:v>
                </c:pt>
                <c:pt idx="3420">
                  <c:v>1.25</c:v>
                </c:pt>
                <c:pt idx="3421">
                  <c:v>1.2709999999999999</c:v>
                </c:pt>
                <c:pt idx="3422">
                  <c:v>1.323</c:v>
                </c:pt>
                <c:pt idx="3423">
                  <c:v>1.286</c:v>
                </c:pt>
                <c:pt idx="3424">
                  <c:v>1.306</c:v>
                </c:pt>
                <c:pt idx="3425">
                  <c:v>1.3210000000000002</c:v>
                </c:pt>
                <c:pt idx="3426">
                  <c:v>1.37</c:v>
                </c:pt>
                <c:pt idx="3427">
                  <c:v>1.3460000000000001</c:v>
                </c:pt>
                <c:pt idx="3428">
                  <c:v>1.3180000000000001</c:v>
                </c:pt>
                <c:pt idx="3429">
                  <c:v>1.3199999999999998</c:v>
                </c:pt>
                <c:pt idx="3430">
                  <c:v>1.31</c:v>
                </c:pt>
                <c:pt idx="3431">
                  <c:v>1.298</c:v>
                </c:pt>
                <c:pt idx="3432">
                  <c:v>1.2729999999999997</c:v>
                </c:pt>
                <c:pt idx="3433">
                  <c:v>1.262</c:v>
                </c:pt>
                <c:pt idx="3434">
                  <c:v>1.2570000000000001</c:v>
                </c:pt>
                <c:pt idx="3435">
                  <c:v>1.2430000000000003</c:v>
                </c:pt>
                <c:pt idx="3436">
                  <c:v>1.2279999999999998</c:v>
                </c:pt>
                <c:pt idx="3437">
                  <c:v>1.226</c:v>
                </c:pt>
                <c:pt idx="3438">
                  <c:v>1.246</c:v>
                </c:pt>
                <c:pt idx="3439">
                  <c:v>1.2849999999999997</c:v>
                </c:pt>
                <c:pt idx="3440">
                  <c:v>1.2759999999999998</c:v>
                </c:pt>
                <c:pt idx="3441">
                  <c:v>1.2949999999999999</c:v>
                </c:pt>
                <c:pt idx="3442">
                  <c:v>1.3130000000000002</c:v>
                </c:pt>
                <c:pt idx="3443">
                  <c:v>1.3319999999999999</c:v>
                </c:pt>
                <c:pt idx="3444">
                  <c:v>1.3650000000000002</c:v>
                </c:pt>
                <c:pt idx="3445">
                  <c:v>1.3599999999999999</c:v>
                </c:pt>
                <c:pt idx="3446">
                  <c:v>1.3759999999999999</c:v>
                </c:pt>
                <c:pt idx="3447">
                  <c:v>1.3740000000000001</c:v>
                </c:pt>
                <c:pt idx="3448">
                  <c:v>1.4100000000000001</c:v>
                </c:pt>
                <c:pt idx="3449">
                  <c:v>1.3940000000000001</c:v>
                </c:pt>
                <c:pt idx="3450">
                  <c:v>1.4129999999999998</c:v>
                </c:pt>
                <c:pt idx="3451">
                  <c:v>1.42</c:v>
                </c:pt>
                <c:pt idx="3452">
                  <c:v>1.4119999999999999</c:v>
                </c:pt>
                <c:pt idx="3453">
                  <c:v>1.379</c:v>
                </c:pt>
                <c:pt idx="3454">
                  <c:v>1.3720000000000003</c:v>
                </c:pt>
                <c:pt idx="3455">
                  <c:v>1.3340000000000001</c:v>
                </c:pt>
                <c:pt idx="3456">
                  <c:v>1.3479999999999999</c:v>
                </c:pt>
                <c:pt idx="3457">
                  <c:v>1.3779999999999997</c:v>
                </c:pt>
                <c:pt idx="3458">
                  <c:v>1.3839999999999999</c:v>
                </c:pt>
                <c:pt idx="3459">
                  <c:v>1.3809999999999998</c:v>
                </c:pt>
                <c:pt idx="3460">
                  <c:v>1.3439999999999999</c:v>
                </c:pt>
                <c:pt idx="3461">
                  <c:v>1.363</c:v>
                </c:pt>
                <c:pt idx="3462">
                  <c:v>1.2899999999999996</c:v>
                </c:pt>
                <c:pt idx="3463">
                  <c:v>1.2370000000000001</c:v>
                </c:pt>
                <c:pt idx="3464">
                  <c:v>1.2479999999999998</c:v>
                </c:pt>
                <c:pt idx="3465">
                  <c:v>1.2549999999999999</c:v>
                </c:pt>
                <c:pt idx="3466">
                  <c:v>1.234</c:v>
                </c:pt>
                <c:pt idx="3467">
                  <c:v>1.2749999999999999</c:v>
                </c:pt>
                <c:pt idx="3468">
                  <c:v>1.27</c:v>
                </c:pt>
                <c:pt idx="3469">
                  <c:v>1.246</c:v>
                </c:pt>
                <c:pt idx="3470">
                  <c:v>1.3210000000000002</c:v>
                </c:pt>
                <c:pt idx="3471">
                  <c:v>1.33</c:v>
                </c:pt>
                <c:pt idx="3472">
                  <c:v>1.38</c:v>
                </c:pt>
                <c:pt idx="3473">
                  <c:v>1.3860000000000001</c:v>
                </c:pt>
                <c:pt idx="3474">
                  <c:v>1.363</c:v>
                </c:pt>
                <c:pt idx="3475">
                  <c:v>1.3719999999999999</c:v>
                </c:pt>
                <c:pt idx="3476">
                  <c:v>1.3850000000000002</c:v>
                </c:pt>
                <c:pt idx="3477">
                  <c:v>1.4249999999999998</c:v>
                </c:pt>
                <c:pt idx="3478">
                  <c:v>1.4699999999999998</c:v>
                </c:pt>
                <c:pt idx="3479">
                  <c:v>1.4680000000000004</c:v>
                </c:pt>
                <c:pt idx="3480">
                  <c:v>1.4119999999999999</c:v>
                </c:pt>
                <c:pt idx="3481">
                  <c:v>1.4220000000000002</c:v>
                </c:pt>
                <c:pt idx="3482">
                  <c:v>1.4159999999999999</c:v>
                </c:pt>
                <c:pt idx="3483">
                  <c:v>1.3409999999999997</c:v>
                </c:pt>
                <c:pt idx="3484">
                  <c:v>1.278</c:v>
                </c:pt>
                <c:pt idx="3485">
                  <c:v>1.2650000000000001</c:v>
                </c:pt>
                <c:pt idx="3486">
                  <c:v>1.2670000000000003</c:v>
                </c:pt>
                <c:pt idx="3487">
                  <c:v>1.2690000000000001</c:v>
                </c:pt>
                <c:pt idx="3488">
                  <c:v>1.2759999999999998</c:v>
                </c:pt>
                <c:pt idx="3489">
                  <c:v>1.2730000000000001</c:v>
                </c:pt>
                <c:pt idx="3490">
                  <c:v>1.254</c:v>
                </c:pt>
                <c:pt idx="3491">
                  <c:v>1.266</c:v>
                </c:pt>
                <c:pt idx="3492">
                  <c:v>1.2610000000000001</c:v>
                </c:pt>
                <c:pt idx="3493">
                  <c:v>1.2160000000000002</c:v>
                </c:pt>
                <c:pt idx="3494">
                  <c:v>1.214</c:v>
                </c:pt>
                <c:pt idx="3495">
                  <c:v>1.2069999999999999</c:v>
                </c:pt>
                <c:pt idx="3496">
                  <c:v>1.206</c:v>
                </c:pt>
                <c:pt idx="3497">
                  <c:v>1.202</c:v>
                </c:pt>
                <c:pt idx="3498">
                  <c:v>1.2009999999999996</c:v>
                </c:pt>
                <c:pt idx="3499">
                  <c:v>1.1779999999999999</c:v>
                </c:pt>
                <c:pt idx="3500">
                  <c:v>1.202</c:v>
                </c:pt>
                <c:pt idx="3501">
                  <c:v>1.181</c:v>
                </c:pt>
                <c:pt idx="3502">
                  <c:v>1.157</c:v>
                </c:pt>
                <c:pt idx="3503">
                  <c:v>1.1640000000000001</c:v>
                </c:pt>
                <c:pt idx="3504">
                  <c:v>1.2119999999999997</c:v>
                </c:pt>
                <c:pt idx="3505">
                  <c:v>1.258</c:v>
                </c:pt>
                <c:pt idx="3506">
                  <c:v>1.2730000000000001</c:v>
                </c:pt>
                <c:pt idx="3507">
                  <c:v>1.2760000000000002</c:v>
                </c:pt>
                <c:pt idx="3508">
                  <c:v>1.2749999999999999</c:v>
                </c:pt>
                <c:pt idx="3509">
                  <c:v>1.2770000000000001</c:v>
                </c:pt>
                <c:pt idx="3510">
                  <c:v>1.2829999999999999</c:v>
                </c:pt>
                <c:pt idx="3511">
                  <c:v>1.2610000000000001</c:v>
                </c:pt>
                <c:pt idx="3512">
                  <c:v>1.2590000000000003</c:v>
                </c:pt>
                <c:pt idx="3513">
                  <c:v>1.2829999999999999</c:v>
                </c:pt>
                <c:pt idx="3514">
                  <c:v>1.3130000000000002</c:v>
                </c:pt>
                <c:pt idx="3515">
                  <c:v>1.2930000000000001</c:v>
                </c:pt>
                <c:pt idx="3516">
                  <c:v>1.2949999999999999</c:v>
                </c:pt>
                <c:pt idx="3517">
                  <c:v>1.3280000000000003</c:v>
                </c:pt>
                <c:pt idx="3518">
                  <c:v>1.3380000000000001</c:v>
                </c:pt>
                <c:pt idx="3519">
                  <c:v>1.3699999999999997</c:v>
                </c:pt>
                <c:pt idx="3520">
                  <c:v>1.351</c:v>
                </c:pt>
                <c:pt idx="3521">
                  <c:v>1.3530000000000002</c:v>
                </c:pt>
                <c:pt idx="3522">
                  <c:v>1.3559999999999999</c:v>
                </c:pt>
                <c:pt idx="3523">
                  <c:v>1.367</c:v>
                </c:pt>
                <c:pt idx="3524">
                  <c:v>1.3580000000000001</c:v>
                </c:pt>
                <c:pt idx="3525">
                  <c:v>1.3319999999999999</c:v>
                </c:pt>
                <c:pt idx="3526">
                  <c:v>1.3290000000000002</c:v>
                </c:pt>
                <c:pt idx="3527">
                  <c:v>1.282</c:v>
                </c:pt>
                <c:pt idx="3528">
                  <c:v>1.2449999999999997</c:v>
                </c:pt>
                <c:pt idx="3529">
                  <c:v>1.2189999999999999</c:v>
                </c:pt>
                <c:pt idx="3530">
                  <c:v>1.2679999999999998</c:v>
                </c:pt>
                <c:pt idx="3531">
                  <c:v>1.2960000000000003</c:v>
                </c:pt>
                <c:pt idx="3532">
                  <c:v>1.2870000000000004</c:v>
                </c:pt>
                <c:pt idx="3533">
                  <c:v>1.3090000000000002</c:v>
                </c:pt>
                <c:pt idx="3534">
                  <c:v>1.3370000000000002</c:v>
                </c:pt>
                <c:pt idx="3535">
                  <c:v>1.3460000000000001</c:v>
                </c:pt>
                <c:pt idx="3536">
                  <c:v>1.331</c:v>
                </c:pt>
                <c:pt idx="3537">
                  <c:v>1.3859999999999997</c:v>
                </c:pt>
                <c:pt idx="3538">
                  <c:v>1.4180000000000001</c:v>
                </c:pt>
                <c:pt idx="3539">
                  <c:v>1.3879999999999999</c:v>
                </c:pt>
                <c:pt idx="3540">
                  <c:v>1.37</c:v>
                </c:pt>
                <c:pt idx="3541">
                  <c:v>1.266</c:v>
                </c:pt>
                <c:pt idx="3542">
                  <c:v>1.2870000000000004</c:v>
                </c:pt>
                <c:pt idx="3543">
                  <c:v>1.2870000000000004</c:v>
                </c:pt>
                <c:pt idx="3544">
                  <c:v>1.27</c:v>
                </c:pt>
                <c:pt idx="3545">
                  <c:v>1.2730000000000001</c:v>
                </c:pt>
                <c:pt idx="3546">
                  <c:v>1.2679999999999998</c:v>
                </c:pt>
                <c:pt idx="3547">
                  <c:v>1.302</c:v>
                </c:pt>
                <c:pt idx="3548">
                  <c:v>1.3330000000000002</c:v>
                </c:pt>
                <c:pt idx="3549">
                  <c:v>1.3030000000000004</c:v>
                </c:pt>
                <c:pt idx="3550">
                  <c:v>1.2810000000000001</c:v>
                </c:pt>
                <c:pt idx="3551">
                  <c:v>1.2719999999999998</c:v>
                </c:pt>
                <c:pt idx="3552">
                  <c:v>1.2320000000000002</c:v>
                </c:pt>
                <c:pt idx="3553">
                  <c:v>1.1600000000000001</c:v>
                </c:pt>
                <c:pt idx="3554">
                  <c:v>1.1739999999999999</c:v>
                </c:pt>
                <c:pt idx="3555">
                  <c:v>1.169</c:v>
                </c:pt>
                <c:pt idx="3556">
                  <c:v>1.1190000000000002</c:v>
                </c:pt>
                <c:pt idx="3557">
                  <c:v>0.95099999999999962</c:v>
                </c:pt>
                <c:pt idx="3558">
                  <c:v>1.0150000000000001</c:v>
                </c:pt>
                <c:pt idx="3559">
                  <c:v>0.96999999999999975</c:v>
                </c:pt>
                <c:pt idx="3560">
                  <c:v>1.0819999999999999</c:v>
                </c:pt>
                <c:pt idx="3561">
                  <c:v>1.1039999999999996</c:v>
                </c:pt>
                <c:pt idx="3562">
                  <c:v>0.94399999999999995</c:v>
                </c:pt>
                <c:pt idx="3563">
                  <c:v>0.95599999999999996</c:v>
                </c:pt>
                <c:pt idx="3564">
                  <c:v>0.8660000000000001</c:v>
                </c:pt>
                <c:pt idx="3565">
                  <c:v>0.84200000000000008</c:v>
                </c:pt>
                <c:pt idx="3566">
                  <c:v>0.90700000000000003</c:v>
                </c:pt>
                <c:pt idx="3567">
                  <c:v>0.89400000000000013</c:v>
                </c:pt>
                <c:pt idx="3568">
                  <c:v>0.93400000000000016</c:v>
                </c:pt>
                <c:pt idx="3569">
                  <c:v>0.90900000000000025</c:v>
                </c:pt>
                <c:pt idx="3570">
                  <c:v>0.88200000000000012</c:v>
                </c:pt>
                <c:pt idx="3571">
                  <c:v>0.89299999999999979</c:v>
                </c:pt>
                <c:pt idx="3572">
                  <c:v>0.81999999999999984</c:v>
                </c:pt>
                <c:pt idx="3573">
                  <c:v>0.8620000000000001</c:v>
                </c:pt>
                <c:pt idx="3574">
                  <c:v>0.84400000000000031</c:v>
                </c:pt>
                <c:pt idx="3575">
                  <c:v>0.82899999999999974</c:v>
                </c:pt>
                <c:pt idx="3576">
                  <c:v>0.79999999999999982</c:v>
                </c:pt>
                <c:pt idx="3577">
                  <c:v>0.79800000000000004</c:v>
                </c:pt>
                <c:pt idx="3578">
                  <c:v>0.80600000000000005</c:v>
                </c:pt>
                <c:pt idx="3579">
                  <c:v>0.81300000000000017</c:v>
                </c:pt>
                <c:pt idx="3580">
                  <c:v>0.83200000000000029</c:v>
                </c:pt>
                <c:pt idx="3581">
                  <c:v>0.871</c:v>
                </c:pt>
                <c:pt idx="3582">
                  <c:v>0.85399999999999965</c:v>
                </c:pt>
                <c:pt idx="3583">
                  <c:v>0.85400000000000009</c:v>
                </c:pt>
                <c:pt idx="3584">
                  <c:v>0.879</c:v>
                </c:pt>
                <c:pt idx="3585">
                  <c:v>0.88099999999999978</c:v>
                </c:pt>
                <c:pt idx="3586">
                  <c:v>0.84099999999999975</c:v>
                </c:pt>
                <c:pt idx="3587">
                  <c:v>0.84200000000000008</c:v>
                </c:pt>
                <c:pt idx="3588">
                  <c:v>0.8490000000000002</c:v>
                </c:pt>
                <c:pt idx="3589">
                  <c:v>0.84899999999999975</c:v>
                </c:pt>
                <c:pt idx="3590">
                  <c:v>0.84800000000000031</c:v>
                </c:pt>
                <c:pt idx="3591">
                  <c:v>0.85400000000000009</c:v>
                </c:pt>
                <c:pt idx="3592">
                  <c:v>0.88999999999999968</c:v>
                </c:pt>
                <c:pt idx="3593">
                  <c:v>0.8839999999999999</c:v>
                </c:pt>
                <c:pt idx="3594">
                  <c:v>0.88400000000000034</c:v>
                </c:pt>
                <c:pt idx="3595">
                  <c:v>0.879</c:v>
                </c:pt>
                <c:pt idx="3596">
                  <c:v>0.86800000000000033</c:v>
                </c:pt>
                <c:pt idx="3597">
                  <c:v>0.86499999999999977</c:v>
                </c:pt>
                <c:pt idx="3598">
                  <c:v>0.86700000000000044</c:v>
                </c:pt>
                <c:pt idx="3599">
                  <c:v>0.871</c:v>
                </c:pt>
                <c:pt idx="3600">
                  <c:v>0.88100000000000023</c:v>
                </c:pt>
                <c:pt idx="3601">
                  <c:v>0.88600000000000056</c:v>
                </c:pt>
                <c:pt idx="3602">
                  <c:v>0.88599999999999968</c:v>
                </c:pt>
                <c:pt idx="3603">
                  <c:v>0.89899999999999958</c:v>
                </c:pt>
                <c:pt idx="3604">
                  <c:v>0.89100000000000001</c:v>
                </c:pt>
                <c:pt idx="3605">
                  <c:v>0.89599999999999946</c:v>
                </c:pt>
                <c:pt idx="3606">
                  <c:v>0.92099999999999937</c:v>
                </c:pt>
                <c:pt idx="3607">
                  <c:v>0.92600000000000016</c:v>
                </c:pt>
                <c:pt idx="3608">
                  <c:v>0.91799999999999971</c:v>
                </c:pt>
                <c:pt idx="3609">
                  <c:v>0.91400000000000015</c:v>
                </c:pt>
                <c:pt idx="3610">
                  <c:v>0.92900000000000027</c:v>
                </c:pt>
                <c:pt idx="3611">
                  <c:v>0.93000000000000016</c:v>
                </c:pt>
                <c:pt idx="3612">
                  <c:v>0.88200000000000056</c:v>
                </c:pt>
                <c:pt idx="3613">
                  <c:v>0.86800000000000033</c:v>
                </c:pt>
                <c:pt idx="3614">
                  <c:v>0.83299999999999974</c:v>
                </c:pt>
                <c:pt idx="3615">
                  <c:v>0.86299999999999955</c:v>
                </c:pt>
                <c:pt idx="3616">
                  <c:v>0.83700000000000019</c:v>
                </c:pt>
                <c:pt idx="3617">
                  <c:v>0.84600000000000009</c:v>
                </c:pt>
                <c:pt idx="3618">
                  <c:v>0.83999999999999986</c:v>
                </c:pt>
                <c:pt idx="3619">
                  <c:v>0.85000000000000009</c:v>
                </c:pt>
                <c:pt idx="3620">
                  <c:v>0.86599999999999966</c:v>
                </c:pt>
                <c:pt idx="3621">
                  <c:v>0.81500000000000039</c:v>
                </c:pt>
                <c:pt idx="3622">
                  <c:v>0.88099999999999978</c:v>
                </c:pt>
                <c:pt idx="3623">
                  <c:v>0.92199999999999971</c:v>
                </c:pt>
                <c:pt idx="3624">
                  <c:v>0.91100000000000003</c:v>
                </c:pt>
                <c:pt idx="3625">
                  <c:v>0.89299999999999979</c:v>
                </c:pt>
                <c:pt idx="3626">
                  <c:v>0.83800000000000052</c:v>
                </c:pt>
                <c:pt idx="3627">
                  <c:v>0.82699999999999996</c:v>
                </c:pt>
                <c:pt idx="3628">
                  <c:v>0.83200000000000029</c:v>
                </c:pt>
                <c:pt idx="3629">
                  <c:v>0.83999999999999986</c:v>
                </c:pt>
                <c:pt idx="3630">
                  <c:v>0.84200000000000008</c:v>
                </c:pt>
                <c:pt idx="3631">
                  <c:v>0.84899999999999975</c:v>
                </c:pt>
                <c:pt idx="3632">
                  <c:v>0.83999999999999986</c:v>
                </c:pt>
                <c:pt idx="3633">
                  <c:v>0.82000000000000028</c:v>
                </c:pt>
                <c:pt idx="3634">
                  <c:v>0.80200000000000005</c:v>
                </c:pt>
                <c:pt idx="3635">
                  <c:v>0.83000000000000007</c:v>
                </c:pt>
                <c:pt idx="3636">
                  <c:v>0.83499999999999996</c:v>
                </c:pt>
                <c:pt idx="3637">
                  <c:v>0.82000000000000028</c:v>
                </c:pt>
                <c:pt idx="3638">
                  <c:v>0.7889999999999997</c:v>
                </c:pt>
                <c:pt idx="3639">
                  <c:v>0.80499999999999972</c:v>
                </c:pt>
                <c:pt idx="3640">
                  <c:v>0.80699999999999994</c:v>
                </c:pt>
                <c:pt idx="3641">
                  <c:v>0.79999999999999982</c:v>
                </c:pt>
                <c:pt idx="3642">
                  <c:v>0.78800000000000026</c:v>
                </c:pt>
                <c:pt idx="3643">
                  <c:v>0.78199999999999958</c:v>
                </c:pt>
                <c:pt idx="3644">
                  <c:v>0.74900000000000011</c:v>
                </c:pt>
                <c:pt idx="3645">
                  <c:v>0.70400000000000063</c:v>
                </c:pt>
                <c:pt idx="3646">
                  <c:v>0.73200000000000021</c:v>
                </c:pt>
                <c:pt idx="3647">
                  <c:v>0.76100000000000056</c:v>
                </c:pt>
                <c:pt idx="3648">
                  <c:v>0.75800000000000001</c:v>
                </c:pt>
                <c:pt idx="3649">
                  <c:v>0.79199999999999982</c:v>
                </c:pt>
                <c:pt idx="3650">
                  <c:v>0.81100000000000039</c:v>
                </c:pt>
              </c:numCache>
            </c:numRef>
          </c:val>
          <c:smooth val="0"/>
          <c:extLst>
            <c:ext xmlns:c16="http://schemas.microsoft.com/office/drawing/2014/chart" uri="{C3380CC4-5D6E-409C-BE32-E72D297353CC}">
              <c16:uniqueId val="{00000001-5B40-4C57-9C52-F12B07C5FA73}"/>
            </c:ext>
          </c:extLst>
        </c:ser>
        <c:ser>
          <c:idx val="2"/>
          <c:order val="2"/>
          <c:tx>
            <c:strRef>
              <c:f>Hárok1!$D$1</c:f>
              <c:strCache>
                <c:ptCount val="1"/>
                <c:pt idx="0">
                  <c:v>10-ročný výnos DE</c:v>
                </c:pt>
              </c:strCache>
            </c:strRef>
          </c:tx>
          <c:spPr>
            <a:ln w="28575" cap="rnd">
              <a:solidFill>
                <a:schemeClr val="accent1"/>
              </a:solidFill>
              <a:round/>
            </a:ln>
            <a:effectLst/>
          </c:spPr>
          <c:marker>
            <c:symbol val="none"/>
          </c:marker>
          <c:cat>
            <c:numRef>
              <c:f>Hárok1!$A$2:$A$3652</c:f>
              <c:numCache>
                <c:formatCode>m/d/yyyy</c:formatCode>
                <c:ptCount val="3651"/>
                <c:pt idx="0">
                  <c:v>45289</c:v>
                </c:pt>
                <c:pt idx="1">
                  <c:v>45288</c:v>
                </c:pt>
                <c:pt idx="2">
                  <c:v>45287</c:v>
                </c:pt>
                <c:pt idx="3">
                  <c:v>45286</c:v>
                </c:pt>
                <c:pt idx="4">
                  <c:v>45285</c:v>
                </c:pt>
                <c:pt idx="5">
                  <c:v>45282</c:v>
                </c:pt>
                <c:pt idx="6">
                  <c:v>45281</c:v>
                </c:pt>
                <c:pt idx="7">
                  <c:v>45280</c:v>
                </c:pt>
                <c:pt idx="8">
                  <c:v>45279</c:v>
                </c:pt>
                <c:pt idx="9">
                  <c:v>45278</c:v>
                </c:pt>
                <c:pt idx="10">
                  <c:v>45275</c:v>
                </c:pt>
                <c:pt idx="11">
                  <c:v>45274</c:v>
                </c:pt>
                <c:pt idx="12">
                  <c:v>45273</c:v>
                </c:pt>
                <c:pt idx="13">
                  <c:v>45272</c:v>
                </c:pt>
                <c:pt idx="14">
                  <c:v>45271</c:v>
                </c:pt>
                <c:pt idx="15">
                  <c:v>45268</c:v>
                </c:pt>
                <c:pt idx="16">
                  <c:v>45267</c:v>
                </c:pt>
                <c:pt idx="17">
                  <c:v>45266</c:v>
                </c:pt>
                <c:pt idx="18">
                  <c:v>45265</c:v>
                </c:pt>
                <c:pt idx="19">
                  <c:v>45264</c:v>
                </c:pt>
                <c:pt idx="20">
                  <c:v>45261</c:v>
                </c:pt>
                <c:pt idx="21">
                  <c:v>45260</c:v>
                </c:pt>
                <c:pt idx="22">
                  <c:v>45259</c:v>
                </c:pt>
                <c:pt idx="23">
                  <c:v>45258</c:v>
                </c:pt>
                <c:pt idx="24">
                  <c:v>45257</c:v>
                </c:pt>
                <c:pt idx="25">
                  <c:v>45254</c:v>
                </c:pt>
                <c:pt idx="26">
                  <c:v>45253</c:v>
                </c:pt>
                <c:pt idx="27">
                  <c:v>45252</c:v>
                </c:pt>
                <c:pt idx="28">
                  <c:v>45251</c:v>
                </c:pt>
                <c:pt idx="29">
                  <c:v>45250</c:v>
                </c:pt>
                <c:pt idx="30">
                  <c:v>45247</c:v>
                </c:pt>
                <c:pt idx="31">
                  <c:v>45246</c:v>
                </c:pt>
                <c:pt idx="32">
                  <c:v>45245</c:v>
                </c:pt>
                <c:pt idx="33">
                  <c:v>45244</c:v>
                </c:pt>
                <c:pt idx="34">
                  <c:v>45243</c:v>
                </c:pt>
                <c:pt idx="35">
                  <c:v>45240</c:v>
                </c:pt>
                <c:pt idx="36">
                  <c:v>45239</c:v>
                </c:pt>
                <c:pt idx="37">
                  <c:v>45238</c:v>
                </c:pt>
                <c:pt idx="38">
                  <c:v>45237</c:v>
                </c:pt>
                <c:pt idx="39">
                  <c:v>45236</c:v>
                </c:pt>
                <c:pt idx="40">
                  <c:v>45233</c:v>
                </c:pt>
                <c:pt idx="41">
                  <c:v>45232</c:v>
                </c:pt>
                <c:pt idx="42">
                  <c:v>45231</c:v>
                </c:pt>
                <c:pt idx="43">
                  <c:v>45230</c:v>
                </c:pt>
                <c:pt idx="44">
                  <c:v>45229</c:v>
                </c:pt>
                <c:pt idx="45">
                  <c:v>45226</c:v>
                </c:pt>
                <c:pt idx="46">
                  <c:v>45225</c:v>
                </c:pt>
                <c:pt idx="47">
                  <c:v>45224</c:v>
                </c:pt>
                <c:pt idx="48">
                  <c:v>45223</c:v>
                </c:pt>
                <c:pt idx="49">
                  <c:v>45222</c:v>
                </c:pt>
                <c:pt idx="50">
                  <c:v>45219</c:v>
                </c:pt>
                <c:pt idx="51">
                  <c:v>45218</c:v>
                </c:pt>
                <c:pt idx="52">
                  <c:v>45217</c:v>
                </c:pt>
                <c:pt idx="53">
                  <c:v>45216</c:v>
                </c:pt>
                <c:pt idx="54">
                  <c:v>45215</c:v>
                </c:pt>
                <c:pt idx="55">
                  <c:v>45212</c:v>
                </c:pt>
                <c:pt idx="56">
                  <c:v>45211</c:v>
                </c:pt>
                <c:pt idx="57">
                  <c:v>45210</c:v>
                </c:pt>
                <c:pt idx="58">
                  <c:v>45209</c:v>
                </c:pt>
                <c:pt idx="59">
                  <c:v>45208</c:v>
                </c:pt>
                <c:pt idx="60">
                  <c:v>45205</c:v>
                </c:pt>
                <c:pt idx="61">
                  <c:v>45204</c:v>
                </c:pt>
                <c:pt idx="62">
                  <c:v>45203</c:v>
                </c:pt>
                <c:pt idx="63">
                  <c:v>45202</c:v>
                </c:pt>
                <c:pt idx="64">
                  <c:v>45201</c:v>
                </c:pt>
                <c:pt idx="65">
                  <c:v>45198</c:v>
                </c:pt>
                <c:pt idx="66">
                  <c:v>45197</c:v>
                </c:pt>
                <c:pt idx="67">
                  <c:v>45196</c:v>
                </c:pt>
                <c:pt idx="68">
                  <c:v>45195</c:v>
                </c:pt>
                <c:pt idx="69">
                  <c:v>45194</c:v>
                </c:pt>
                <c:pt idx="70">
                  <c:v>45191</c:v>
                </c:pt>
                <c:pt idx="71">
                  <c:v>45190</c:v>
                </c:pt>
                <c:pt idx="72">
                  <c:v>45189</c:v>
                </c:pt>
                <c:pt idx="73">
                  <c:v>45188</c:v>
                </c:pt>
                <c:pt idx="74">
                  <c:v>45187</c:v>
                </c:pt>
                <c:pt idx="75">
                  <c:v>45184</c:v>
                </c:pt>
                <c:pt idx="76">
                  <c:v>45183</c:v>
                </c:pt>
                <c:pt idx="77">
                  <c:v>45182</c:v>
                </c:pt>
                <c:pt idx="78">
                  <c:v>45181</c:v>
                </c:pt>
                <c:pt idx="79">
                  <c:v>45180</c:v>
                </c:pt>
                <c:pt idx="80">
                  <c:v>45177</c:v>
                </c:pt>
                <c:pt idx="81">
                  <c:v>45176</c:v>
                </c:pt>
                <c:pt idx="82">
                  <c:v>45175</c:v>
                </c:pt>
                <c:pt idx="83">
                  <c:v>45174</c:v>
                </c:pt>
                <c:pt idx="84">
                  <c:v>45173</c:v>
                </c:pt>
                <c:pt idx="85">
                  <c:v>45170</c:v>
                </c:pt>
                <c:pt idx="86">
                  <c:v>45169</c:v>
                </c:pt>
                <c:pt idx="87">
                  <c:v>45168</c:v>
                </c:pt>
                <c:pt idx="88">
                  <c:v>45167</c:v>
                </c:pt>
                <c:pt idx="89">
                  <c:v>45166</c:v>
                </c:pt>
                <c:pt idx="90">
                  <c:v>45163</c:v>
                </c:pt>
                <c:pt idx="91">
                  <c:v>45162</c:v>
                </c:pt>
                <c:pt idx="92">
                  <c:v>45161</c:v>
                </c:pt>
                <c:pt idx="93">
                  <c:v>45160</c:v>
                </c:pt>
                <c:pt idx="94">
                  <c:v>45159</c:v>
                </c:pt>
                <c:pt idx="95">
                  <c:v>45156</c:v>
                </c:pt>
                <c:pt idx="96">
                  <c:v>45155</c:v>
                </c:pt>
                <c:pt idx="97">
                  <c:v>45154</c:v>
                </c:pt>
                <c:pt idx="98">
                  <c:v>45153</c:v>
                </c:pt>
                <c:pt idx="99">
                  <c:v>45152</c:v>
                </c:pt>
                <c:pt idx="100">
                  <c:v>45149</c:v>
                </c:pt>
                <c:pt idx="101">
                  <c:v>45148</c:v>
                </c:pt>
                <c:pt idx="102">
                  <c:v>45147</c:v>
                </c:pt>
                <c:pt idx="103">
                  <c:v>45146</c:v>
                </c:pt>
                <c:pt idx="104">
                  <c:v>45145</c:v>
                </c:pt>
                <c:pt idx="105">
                  <c:v>45142</c:v>
                </c:pt>
                <c:pt idx="106">
                  <c:v>45141</c:v>
                </c:pt>
                <c:pt idx="107">
                  <c:v>45140</c:v>
                </c:pt>
                <c:pt idx="108">
                  <c:v>45139</c:v>
                </c:pt>
                <c:pt idx="109">
                  <c:v>45138</c:v>
                </c:pt>
                <c:pt idx="110">
                  <c:v>45135</c:v>
                </c:pt>
                <c:pt idx="111">
                  <c:v>45134</c:v>
                </c:pt>
                <c:pt idx="112">
                  <c:v>45133</c:v>
                </c:pt>
                <c:pt idx="113">
                  <c:v>45132</c:v>
                </c:pt>
                <c:pt idx="114">
                  <c:v>45131</c:v>
                </c:pt>
                <c:pt idx="115">
                  <c:v>45128</c:v>
                </c:pt>
                <c:pt idx="116">
                  <c:v>45127</c:v>
                </c:pt>
                <c:pt idx="117">
                  <c:v>45126</c:v>
                </c:pt>
                <c:pt idx="118">
                  <c:v>45125</c:v>
                </c:pt>
                <c:pt idx="119">
                  <c:v>45124</c:v>
                </c:pt>
                <c:pt idx="120">
                  <c:v>45121</c:v>
                </c:pt>
                <c:pt idx="121">
                  <c:v>45120</c:v>
                </c:pt>
                <c:pt idx="122">
                  <c:v>45119</c:v>
                </c:pt>
                <c:pt idx="123">
                  <c:v>45118</c:v>
                </c:pt>
                <c:pt idx="124">
                  <c:v>45117</c:v>
                </c:pt>
                <c:pt idx="125">
                  <c:v>45114</c:v>
                </c:pt>
                <c:pt idx="126">
                  <c:v>45113</c:v>
                </c:pt>
                <c:pt idx="127">
                  <c:v>45112</c:v>
                </c:pt>
                <c:pt idx="128">
                  <c:v>45111</c:v>
                </c:pt>
                <c:pt idx="129">
                  <c:v>45110</c:v>
                </c:pt>
                <c:pt idx="130">
                  <c:v>45107</c:v>
                </c:pt>
                <c:pt idx="131">
                  <c:v>45106</c:v>
                </c:pt>
                <c:pt idx="132">
                  <c:v>45105</c:v>
                </c:pt>
                <c:pt idx="133">
                  <c:v>45104</c:v>
                </c:pt>
                <c:pt idx="134">
                  <c:v>45103</c:v>
                </c:pt>
                <c:pt idx="135">
                  <c:v>45100</c:v>
                </c:pt>
                <c:pt idx="136">
                  <c:v>45099</c:v>
                </c:pt>
                <c:pt idx="137">
                  <c:v>45098</c:v>
                </c:pt>
                <c:pt idx="138">
                  <c:v>45097</c:v>
                </c:pt>
                <c:pt idx="139">
                  <c:v>45096</c:v>
                </c:pt>
                <c:pt idx="140">
                  <c:v>45093</c:v>
                </c:pt>
                <c:pt idx="141">
                  <c:v>45092</c:v>
                </c:pt>
                <c:pt idx="142">
                  <c:v>45091</c:v>
                </c:pt>
                <c:pt idx="143">
                  <c:v>45090</c:v>
                </c:pt>
                <c:pt idx="144">
                  <c:v>45089</c:v>
                </c:pt>
                <c:pt idx="145">
                  <c:v>45086</c:v>
                </c:pt>
                <c:pt idx="146">
                  <c:v>45085</c:v>
                </c:pt>
                <c:pt idx="147">
                  <c:v>45084</c:v>
                </c:pt>
                <c:pt idx="148">
                  <c:v>45083</c:v>
                </c:pt>
                <c:pt idx="149">
                  <c:v>45082</c:v>
                </c:pt>
                <c:pt idx="150">
                  <c:v>45079</c:v>
                </c:pt>
                <c:pt idx="151">
                  <c:v>45078</c:v>
                </c:pt>
                <c:pt idx="152">
                  <c:v>45077</c:v>
                </c:pt>
                <c:pt idx="153">
                  <c:v>45076</c:v>
                </c:pt>
                <c:pt idx="154">
                  <c:v>45075</c:v>
                </c:pt>
                <c:pt idx="155">
                  <c:v>45072</c:v>
                </c:pt>
                <c:pt idx="156">
                  <c:v>45071</c:v>
                </c:pt>
                <c:pt idx="157">
                  <c:v>45070</c:v>
                </c:pt>
                <c:pt idx="158">
                  <c:v>45069</c:v>
                </c:pt>
                <c:pt idx="159">
                  <c:v>45068</c:v>
                </c:pt>
                <c:pt idx="160">
                  <c:v>45065</c:v>
                </c:pt>
                <c:pt idx="161">
                  <c:v>45064</c:v>
                </c:pt>
                <c:pt idx="162">
                  <c:v>45063</c:v>
                </c:pt>
                <c:pt idx="163">
                  <c:v>45062</c:v>
                </c:pt>
                <c:pt idx="164">
                  <c:v>45061</c:v>
                </c:pt>
                <c:pt idx="165">
                  <c:v>45058</c:v>
                </c:pt>
                <c:pt idx="166">
                  <c:v>45057</c:v>
                </c:pt>
                <c:pt idx="167">
                  <c:v>45056</c:v>
                </c:pt>
                <c:pt idx="168">
                  <c:v>45055</c:v>
                </c:pt>
                <c:pt idx="169">
                  <c:v>45054</c:v>
                </c:pt>
                <c:pt idx="170">
                  <c:v>45051</c:v>
                </c:pt>
                <c:pt idx="171">
                  <c:v>45050</c:v>
                </c:pt>
                <c:pt idx="172">
                  <c:v>45049</c:v>
                </c:pt>
                <c:pt idx="173">
                  <c:v>45048</c:v>
                </c:pt>
                <c:pt idx="174">
                  <c:v>45047</c:v>
                </c:pt>
                <c:pt idx="175">
                  <c:v>45044</c:v>
                </c:pt>
                <c:pt idx="176">
                  <c:v>45043</c:v>
                </c:pt>
                <c:pt idx="177">
                  <c:v>45042</c:v>
                </c:pt>
                <c:pt idx="178">
                  <c:v>45041</c:v>
                </c:pt>
                <c:pt idx="179">
                  <c:v>45040</c:v>
                </c:pt>
                <c:pt idx="180">
                  <c:v>45037</c:v>
                </c:pt>
                <c:pt idx="181">
                  <c:v>45036</c:v>
                </c:pt>
                <c:pt idx="182">
                  <c:v>45035</c:v>
                </c:pt>
                <c:pt idx="183">
                  <c:v>45034</c:v>
                </c:pt>
                <c:pt idx="184">
                  <c:v>45033</c:v>
                </c:pt>
                <c:pt idx="185">
                  <c:v>45030</c:v>
                </c:pt>
                <c:pt idx="186">
                  <c:v>45029</c:v>
                </c:pt>
                <c:pt idx="187">
                  <c:v>45028</c:v>
                </c:pt>
                <c:pt idx="188">
                  <c:v>45027</c:v>
                </c:pt>
                <c:pt idx="189">
                  <c:v>45026</c:v>
                </c:pt>
                <c:pt idx="190">
                  <c:v>45023</c:v>
                </c:pt>
                <c:pt idx="191">
                  <c:v>45022</c:v>
                </c:pt>
                <c:pt idx="192">
                  <c:v>45021</c:v>
                </c:pt>
                <c:pt idx="193">
                  <c:v>45020</c:v>
                </c:pt>
                <c:pt idx="194">
                  <c:v>45019</c:v>
                </c:pt>
                <c:pt idx="195">
                  <c:v>45016</c:v>
                </c:pt>
                <c:pt idx="196">
                  <c:v>45015</c:v>
                </c:pt>
                <c:pt idx="197">
                  <c:v>45014</c:v>
                </c:pt>
                <c:pt idx="198">
                  <c:v>45013</c:v>
                </c:pt>
                <c:pt idx="199">
                  <c:v>45012</c:v>
                </c:pt>
                <c:pt idx="200">
                  <c:v>45009</c:v>
                </c:pt>
                <c:pt idx="201">
                  <c:v>45008</c:v>
                </c:pt>
                <c:pt idx="202">
                  <c:v>45007</c:v>
                </c:pt>
                <c:pt idx="203">
                  <c:v>45006</c:v>
                </c:pt>
                <c:pt idx="204">
                  <c:v>45005</c:v>
                </c:pt>
                <c:pt idx="205">
                  <c:v>45002</c:v>
                </c:pt>
                <c:pt idx="206">
                  <c:v>45001</c:v>
                </c:pt>
                <c:pt idx="207">
                  <c:v>45000</c:v>
                </c:pt>
                <c:pt idx="208">
                  <c:v>44999</c:v>
                </c:pt>
                <c:pt idx="209">
                  <c:v>44998</c:v>
                </c:pt>
                <c:pt idx="210">
                  <c:v>44995</c:v>
                </c:pt>
                <c:pt idx="211">
                  <c:v>44994</c:v>
                </c:pt>
                <c:pt idx="212">
                  <c:v>44993</c:v>
                </c:pt>
                <c:pt idx="213">
                  <c:v>44992</c:v>
                </c:pt>
                <c:pt idx="214">
                  <c:v>44991</c:v>
                </c:pt>
                <c:pt idx="215">
                  <c:v>44988</c:v>
                </c:pt>
                <c:pt idx="216">
                  <c:v>44987</c:v>
                </c:pt>
                <c:pt idx="217">
                  <c:v>44986</c:v>
                </c:pt>
                <c:pt idx="218">
                  <c:v>44985</c:v>
                </c:pt>
                <c:pt idx="219">
                  <c:v>44984</c:v>
                </c:pt>
                <c:pt idx="220">
                  <c:v>44981</c:v>
                </c:pt>
                <c:pt idx="221">
                  <c:v>44980</c:v>
                </c:pt>
                <c:pt idx="222">
                  <c:v>44979</c:v>
                </c:pt>
                <c:pt idx="223">
                  <c:v>44978</c:v>
                </c:pt>
                <c:pt idx="224">
                  <c:v>44977</c:v>
                </c:pt>
                <c:pt idx="225">
                  <c:v>44974</c:v>
                </c:pt>
                <c:pt idx="226">
                  <c:v>44973</c:v>
                </c:pt>
                <c:pt idx="227">
                  <c:v>44972</c:v>
                </c:pt>
                <c:pt idx="228">
                  <c:v>44971</c:v>
                </c:pt>
                <c:pt idx="229">
                  <c:v>44970</c:v>
                </c:pt>
                <c:pt idx="230">
                  <c:v>44967</c:v>
                </c:pt>
                <c:pt idx="231">
                  <c:v>44966</c:v>
                </c:pt>
                <c:pt idx="232">
                  <c:v>44965</c:v>
                </c:pt>
                <c:pt idx="233">
                  <c:v>44964</c:v>
                </c:pt>
                <c:pt idx="234">
                  <c:v>44963</c:v>
                </c:pt>
                <c:pt idx="235">
                  <c:v>44960</c:v>
                </c:pt>
                <c:pt idx="236">
                  <c:v>44959</c:v>
                </c:pt>
                <c:pt idx="237">
                  <c:v>44958</c:v>
                </c:pt>
                <c:pt idx="238">
                  <c:v>44957</c:v>
                </c:pt>
                <c:pt idx="239">
                  <c:v>44956</c:v>
                </c:pt>
                <c:pt idx="240">
                  <c:v>44953</c:v>
                </c:pt>
                <c:pt idx="241">
                  <c:v>44952</c:v>
                </c:pt>
                <c:pt idx="242">
                  <c:v>44951</c:v>
                </c:pt>
                <c:pt idx="243">
                  <c:v>44950</c:v>
                </c:pt>
                <c:pt idx="244">
                  <c:v>44949</c:v>
                </c:pt>
                <c:pt idx="245">
                  <c:v>44946</c:v>
                </c:pt>
                <c:pt idx="246">
                  <c:v>44945</c:v>
                </c:pt>
                <c:pt idx="247">
                  <c:v>44944</c:v>
                </c:pt>
                <c:pt idx="248">
                  <c:v>44943</c:v>
                </c:pt>
                <c:pt idx="249">
                  <c:v>44942</c:v>
                </c:pt>
                <c:pt idx="250">
                  <c:v>44939</c:v>
                </c:pt>
                <c:pt idx="251">
                  <c:v>44938</c:v>
                </c:pt>
                <c:pt idx="252">
                  <c:v>44937</c:v>
                </c:pt>
                <c:pt idx="253">
                  <c:v>44936</c:v>
                </c:pt>
                <c:pt idx="254">
                  <c:v>44935</c:v>
                </c:pt>
                <c:pt idx="255">
                  <c:v>44932</c:v>
                </c:pt>
                <c:pt idx="256">
                  <c:v>44931</c:v>
                </c:pt>
                <c:pt idx="257">
                  <c:v>44930</c:v>
                </c:pt>
                <c:pt idx="258">
                  <c:v>44929</c:v>
                </c:pt>
                <c:pt idx="259">
                  <c:v>44928</c:v>
                </c:pt>
                <c:pt idx="260">
                  <c:v>44925</c:v>
                </c:pt>
                <c:pt idx="261">
                  <c:v>44924</c:v>
                </c:pt>
                <c:pt idx="262">
                  <c:v>44923</c:v>
                </c:pt>
                <c:pt idx="263">
                  <c:v>44922</c:v>
                </c:pt>
                <c:pt idx="264">
                  <c:v>44921</c:v>
                </c:pt>
                <c:pt idx="265">
                  <c:v>44918</c:v>
                </c:pt>
                <c:pt idx="266">
                  <c:v>44917</c:v>
                </c:pt>
                <c:pt idx="267">
                  <c:v>44916</c:v>
                </c:pt>
                <c:pt idx="268">
                  <c:v>44915</c:v>
                </c:pt>
                <c:pt idx="269">
                  <c:v>44914</c:v>
                </c:pt>
                <c:pt idx="270">
                  <c:v>44911</c:v>
                </c:pt>
                <c:pt idx="271">
                  <c:v>44910</c:v>
                </c:pt>
                <c:pt idx="272">
                  <c:v>44909</c:v>
                </c:pt>
                <c:pt idx="273">
                  <c:v>44908</c:v>
                </c:pt>
                <c:pt idx="274">
                  <c:v>44907</c:v>
                </c:pt>
                <c:pt idx="275">
                  <c:v>44904</c:v>
                </c:pt>
                <c:pt idx="276">
                  <c:v>44903</c:v>
                </c:pt>
                <c:pt idx="277">
                  <c:v>44902</c:v>
                </c:pt>
                <c:pt idx="278">
                  <c:v>44901</c:v>
                </c:pt>
                <c:pt idx="279">
                  <c:v>44900</c:v>
                </c:pt>
                <c:pt idx="280">
                  <c:v>44897</c:v>
                </c:pt>
                <c:pt idx="281">
                  <c:v>44896</c:v>
                </c:pt>
                <c:pt idx="282">
                  <c:v>44895</c:v>
                </c:pt>
                <c:pt idx="283">
                  <c:v>44894</c:v>
                </c:pt>
                <c:pt idx="284">
                  <c:v>44893</c:v>
                </c:pt>
                <c:pt idx="285">
                  <c:v>44890</c:v>
                </c:pt>
                <c:pt idx="286">
                  <c:v>44889</c:v>
                </c:pt>
                <c:pt idx="287">
                  <c:v>44888</c:v>
                </c:pt>
                <c:pt idx="288">
                  <c:v>44887</c:v>
                </c:pt>
                <c:pt idx="289">
                  <c:v>44886</c:v>
                </c:pt>
                <c:pt idx="290">
                  <c:v>44883</c:v>
                </c:pt>
                <c:pt idx="291">
                  <c:v>44882</c:v>
                </c:pt>
                <c:pt idx="292">
                  <c:v>44881</c:v>
                </c:pt>
                <c:pt idx="293">
                  <c:v>44880</c:v>
                </c:pt>
                <c:pt idx="294">
                  <c:v>44879</c:v>
                </c:pt>
                <c:pt idx="295">
                  <c:v>44876</c:v>
                </c:pt>
                <c:pt idx="296">
                  <c:v>44875</c:v>
                </c:pt>
                <c:pt idx="297">
                  <c:v>44874</c:v>
                </c:pt>
                <c:pt idx="298">
                  <c:v>44873</c:v>
                </c:pt>
                <c:pt idx="299">
                  <c:v>44872</c:v>
                </c:pt>
                <c:pt idx="300">
                  <c:v>44869</c:v>
                </c:pt>
                <c:pt idx="301">
                  <c:v>44868</c:v>
                </c:pt>
                <c:pt idx="302">
                  <c:v>44867</c:v>
                </c:pt>
                <c:pt idx="303">
                  <c:v>44866</c:v>
                </c:pt>
                <c:pt idx="304">
                  <c:v>44865</c:v>
                </c:pt>
                <c:pt idx="305">
                  <c:v>44862</c:v>
                </c:pt>
                <c:pt idx="306">
                  <c:v>44861</c:v>
                </c:pt>
                <c:pt idx="307">
                  <c:v>44860</c:v>
                </c:pt>
                <c:pt idx="308">
                  <c:v>44859</c:v>
                </c:pt>
                <c:pt idx="309">
                  <c:v>44858</c:v>
                </c:pt>
                <c:pt idx="310">
                  <c:v>44855</c:v>
                </c:pt>
                <c:pt idx="311">
                  <c:v>44854</c:v>
                </c:pt>
                <c:pt idx="312">
                  <c:v>44853</c:v>
                </c:pt>
                <c:pt idx="313">
                  <c:v>44852</c:v>
                </c:pt>
                <c:pt idx="314">
                  <c:v>44851</c:v>
                </c:pt>
                <c:pt idx="315">
                  <c:v>44848</c:v>
                </c:pt>
                <c:pt idx="316">
                  <c:v>44847</c:v>
                </c:pt>
                <c:pt idx="317">
                  <c:v>44846</c:v>
                </c:pt>
                <c:pt idx="318">
                  <c:v>44845</c:v>
                </c:pt>
                <c:pt idx="319">
                  <c:v>44844</c:v>
                </c:pt>
                <c:pt idx="320">
                  <c:v>44841</c:v>
                </c:pt>
                <c:pt idx="321">
                  <c:v>44840</c:v>
                </c:pt>
                <c:pt idx="322">
                  <c:v>44839</c:v>
                </c:pt>
                <c:pt idx="323">
                  <c:v>44838</c:v>
                </c:pt>
                <c:pt idx="324">
                  <c:v>44837</c:v>
                </c:pt>
                <c:pt idx="325">
                  <c:v>44834</c:v>
                </c:pt>
                <c:pt idx="326">
                  <c:v>44833</c:v>
                </c:pt>
                <c:pt idx="327">
                  <c:v>44832</c:v>
                </c:pt>
                <c:pt idx="328">
                  <c:v>44831</c:v>
                </c:pt>
                <c:pt idx="329">
                  <c:v>44830</c:v>
                </c:pt>
                <c:pt idx="330">
                  <c:v>44827</c:v>
                </c:pt>
                <c:pt idx="331">
                  <c:v>44826</c:v>
                </c:pt>
                <c:pt idx="332">
                  <c:v>44825</c:v>
                </c:pt>
                <c:pt idx="333">
                  <c:v>44824</c:v>
                </c:pt>
                <c:pt idx="334">
                  <c:v>44823</c:v>
                </c:pt>
                <c:pt idx="335">
                  <c:v>44820</c:v>
                </c:pt>
                <c:pt idx="336">
                  <c:v>44819</c:v>
                </c:pt>
                <c:pt idx="337">
                  <c:v>44818</c:v>
                </c:pt>
                <c:pt idx="338">
                  <c:v>44817</c:v>
                </c:pt>
                <c:pt idx="339">
                  <c:v>44816</c:v>
                </c:pt>
                <c:pt idx="340">
                  <c:v>44813</c:v>
                </c:pt>
                <c:pt idx="341">
                  <c:v>44812</c:v>
                </c:pt>
                <c:pt idx="342">
                  <c:v>44811</c:v>
                </c:pt>
                <c:pt idx="343">
                  <c:v>44810</c:v>
                </c:pt>
                <c:pt idx="344">
                  <c:v>44809</c:v>
                </c:pt>
                <c:pt idx="345">
                  <c:v>44806</c:v>
                </c:pt>
                <c:pt idx="346">
                  <c:v>44805</c:v>
                </c:pt>
                <c:pt idx="347">
                  <c:v>44804</c:v>
                </c:pt>
                <c:pt idx="348">
                  <c:v>44803</c:v>
                </c:pt>
                <c:pt idx="349">
                  <c:v>44802</c:v>
                </c:pt>
                <c:pt idx="350">
                  <c:v>44799</c:v>
                </c:pt>
                <c:pt idx="351">
                  <c:v>44798</c:v>
                </c:pt>
                <c:pt idx="352">
                  <c:v>44797</c:v>
                </c:pt>
                <c:pt idx="353">
                  <c:v>44796</c:v>
                </c:pt>
                <c:pt idx="354">
                  <c:v>44795</c:v>
                </c:pt>
                <c:pt idx="355">
                  <c:v>44792</c:v>
                </c:pt>
                <c:pt idx="356">
                  <c:v>44791</c:v>
                </c:pt>
                <c:pt idx="357">
                  <c:v>44790</c:v>
                </c:pt>
                <c:pt idx="358">
                  <c:v>44789</c:v>
                </c:pt>
                <c:pt idx="359">
                  <c:v>44788</c:v>
                </c:pt>
                <c:pt idx="360">
                  <c:v>44785</c:v>
                </c:pt>
                <c:pt idx="361">
                  <c:v>44784</c:v>
                </c:pt>
                <c:pt idx="362">
                  <c:v>44783</c:v>
                </c:pt>
                <c:pt idx="363">
                  <c:v>44782</c:v>
                </c:pt>
                <c:pt idx="364">
                  <c:v>44781</c:v>
                </c:pt>
                <c:pt idx="365">
                  <c:v>44778</c:v>
                </c:pt>
                <c:pt idx="366">
                  <c:v>44777</c:v>
                </c:pt>
                <c:pt idx="367">
                  <c:v>44776</c:v>
                </c:pt>
                <c:pt idx="368">
                  <c:v>44775</c:v>
                </c:pt>
                <c:pt idx="369">
                  <c:v>44774</c:v>
                </c:pt>
                <c:pt idx="370">
                  <c:v>44771</c:v>
                </c:pt>
                <c:pt idx="371">
                  <c:v>44770</c:v>
                </c:pt>
                <c:pt idx="372">
                  <c:v>44769</c:v>
                </c:pt>
                <c:pt idx="373">
                  <c:v>44768</c:v>
                </c:pt>
                <c:pt idx="374">
                  <c:v>44767</c:v>
                </c:pt>
                <c:pt idx="375">
                  <c:v>44764</c:v>
                </c:pt>
                <c:pt idx="376">
                  <c:v>44763</c:v>
                </c:pt>
                <c:pt idx="377">
                  <c:v>44762</c:v>
                </c:pt>
                <c:pt idx="378">
                  <c:v>44761</c:v>
                </c:pt>
                <c:pt idx="379">
                  <c:v>44760</c:v>
                </c:pt>
                <c:pt idx="380">
                  <c:v>44757</c:v>
                </c:pt>
                <c:pt idx="381">
                  <c:v>44756</c:v>
                </c:pt>
                <c:pt idx="382">
                  <c:v>44755</c:v>
                </c:pt>
                <c:pt idx="383">
                  <c:v>44754</c:v>
                </c:pt>
                <c:pt idx="384">
                  <c:v>44753</c:v>
                </c:pt>
                <c:pt idx="385">
                  <c:v>44750</c:v>
                </c:pt>
                <c:pt idx="386">
                  <c:v>44749</c:v>
                </c:pt>
                <c:pt idx="387">
                  <c:v>44748</c:v>
                </c:pt>
                <c:pt idx="388">
                  <c:v>44747</c:v>
                </c:pt>
                <c:pt idx="389">
                  <c:v>44746</c:v>
                </c:pt>
                <c:pt idx="390">
                  <c:v>44743</c:v>
                </c:pt>
                <c:pt idx="391">
                  <c:v>44742</c:v>
                </c:pt>
                <c:pt idx="392">
                  <c:v>44741</c:v>
                </c:pt>
                <c:pt idx="393">
                  <c:v>44740</c:v>
                </c:pt>
                <c:pt idx="394">
                  <c:v>44739</c:v>
                </c:pt>
                <c:pt idx="395">
                  <c:v>44736</c:v>
                </c:pt>
                <c:pt idx="396">
                  <c:v>44735</c:v>
                </c:pt>
                <c:pt idx="397">
                  <c:v>44734</c:v>
                </c:pt>
                <c:pt idx="398">
                  <c:v>44733</c:v>
                </c:pt>
                <c:pt idx="399">
                  <c:v>44732</c:v>
                </c:pt>
                <c:pt idx="400">
                  <c:v>44729</c:v>
                </c:pt>
                <c:pt idx="401">
                  <c:v>44728</c:v>
                </c:pt>
                <c:pt idx="402">
                  <c:v>44727</c:v>
                </c:pt>
                <c:pt idx="403">
                  <c:v>44726</c:v>
                </c:pt>
                <c:pt idx="404">
                  <c:v>44725</c:v>
                </c:pt>
                <c:pt idx="405">
                  <c:v>44722</c:v>
                </c:pt>
                <c:pt idx="406">
                  <c:v>44721</c:v>
                </c:pt>
                <c:pt idx="407">
                  <c:v>44720</c:v>
                </c:pt>
                <c:pt idx="408">
                  <c:v>44719</c:v>
                </c:pt>
                <c:pt idx="409">
                  <c:v>44718</c:v>
                </c:pt>
                <c:pt idx="410">
                  <c:v>44715</c:v>
                </c:pt>
                <c:pt idx="411">
                  <c:v>44714</c:v>
                </c:pt>
                <c:pt idx="412">
                  <c:v>44713</c:v>
                </c:pt>
                <c:pt idx="413">
                  <c:v>44712</c:v>
                </c:pt>
                <c:pt idx="414">
                  <c:v>44711</c:v>
                </c:pt>
                <c:pt idx="415">
                  <c:v>44708</c:v>
                </c:pt>
                <c:pt idx="416">
                  <c:v>44707</c:v>
                </c:pt>
                <c:pt idx="417">
                  <c:v>44706</c:v>
                </c:pt>
                <c:pt idx="418">
                  <c:v>44705</c:v>
                </c:pt>
                <c:pt idx="419">
                  <c:v>44704</c:v>
                </c:pt>
                <c:pt idx="420">
                  <c:v>44701</c:v>
                </c:pt>
                <c:pt idx="421">
                  <c:v>44700</c:v>
                </c:pt>
                <c:pt idx="422">
                  <c:v>44699</c:v>
                </c:pt>
                <c:pt idx="423">
                  <c:v>44698</c:v>
                </c:pt>
                <c:pt idx="424">
                  <c:v>44697</c:v>
                </c:pt>
                <c:pt idx="425">
                  <c:v>44694</c:v>
                </c:pt>
                <c:pt idx="426">
                  <c:v>44693</c:v>
                </c:pt>
                <c:pt idx="427">
                  <c:v>44692</c:v>
                </c:pt>
                <c:pt idx="428">
                  <c:v>44691</c:v>
                </c:pt>
                <c:pt idx="429">
                  <c:v>44690</c:v>
                </c:pt>
                <c:pt idx="430">
                  <c:v>44687</c:v>
                </c:pt>
                <c:pt idx="431">
                  <c:v>44686</c:v>
                </c:pt>
                <c:pt idx="432">
                  <c:v>44685</c:v>
                </c:pt>
                <c:pt idx="433">
                  <c:v>44684</c:v>
                </c:pt>
                <c:pt idx="434">
                  <c:v>44683</c:v>
                </c:pt>
                <c:pt idx="435">
                  <c:v>44680</c:v>
                </c:pt>
                <c:pt idx="436">
                  <c:v>44679</c:v>
                </c:pt>
                <c:pt idx="437">
                  <c:v>44678</c:v>
                </c:pt>
                <c:pt idx="438">
                  <c:v>44677</c:v>
                </c:pt>
                <c:pt idx="439">
                  <c:v>44676</c:v>
                </c:pt>
                <c:pt idx="440">
                  <c:v>44673</c:v>
                </c:pt>
                <c:pt idx="441">
                  <c:v>44672</c:v>
                </c:pt>
                <c:pt idx="442">
                  <c:v>44671</c:v>
                </c:pt>
                <c:pt idx="443">
                  <c:v>44670</c:v>
                </c:pt>
                <c:pt idx="444">
                  <c:v>44669</c:v>
                </c:pt>
                <c:pt idx="445">
                  <c:v>44666</c:v>
                </c:pt>
                <c:pt idx="446">
                  <c:v>44665</c:v>
                </c:pt>
                <c:pt idx="447">
                  <c:v>44664</c:v>
                </c:pt>
                <c:pt idx="448">
                  <c:v>44663</c:v>
                </c:pt>
                <c:pt idx="449">
                  <c:v>44662</c:v>
                </c:pt>
                <c:pt idx="450">
                  <c:v>44659</c:v>
                </c:pt>
                <c:pt idx="451">
                  <c:v>44658</c:v>
                </c:pt>
                <c:pt idx="452">
                  <c:v>44657</c:v>
                </c:pt>
                <c:pt idx="453">
                  <c:v>44656</c:v>
                </c:pt>
                <c:pt idx="454">
                  <c:v>44655</c:v>
                </c:pt>
                <c:pt idx="455">
                  <c:v>44652</c:v>
                </c:pt>
                <c:pt idx="456">
                  <c:v>44651</c:v>
                </c:pt>
                <c:pt idx="457">
                  <c:v>44650</c:v>
                </c:pt>
                <c:pt idx="458">
                  <c:v>44649</c:v>
                </c:pt>
                <c:pt idx="459">
                  <c:v>44648</c:v>
                </c:pt>
                <c:pt idx="460">
                  <c:v>44645</c:v>
                </c:pt>
                <c:pt idx="461">
                  <c:v>44644</c:v>
                </c:pt>
                <c:pt idx="462">
                  <c:v>44643</c:v>
                </c:pt>
                <c:pt idx="463">
                  <c:v>44642</c:v>
                </c:pt>
                <c:pt idx="464">
                  <c:v>44641</c:v>
                </c:pt>
                <c:pt idx="465">
                  <c:v>44638</c:v>
                </c:pt>
                <c:pt idx="466">
                  <c:v>44637</c:v>
                </c:pt>
                <c:pt idx="467">
                  <c:v>44636</c:v>
                </c:pt>
                <c:pt idx="468">
                  <c:v>44635</c:v>
                </c:pt>
                <c:pt idx="469">
                  <c:v>44634</c:v>
                </c:pt>
                <c:pt idx="470">
                  <c:v>44631</c:v>
                </c:pt>
                <c:pt idx="471">
                  <c:v>44630</c:v>
                </c:pt>
                <c:pt idx="472">
                  <c:v>44629</c:v>
                </c:pt>
                <c:pt idx="473">
                  <c:v>44628</c:v>
                </c:pt>
                <c:pt idx="474">
                  <c:v>44627</c:v>
                </c:pt>
                <c:pt idx="475">
                  <c:v>44624</c:v>
                </c:pt>
                <c:pt idx="476">
                  <c:v>44623</c:v>
                </c:pt>
                <c:pt idx="477">
                  <c:v>44622</c:v>
                </c:pt>
                <c:pt idx="478">
                  <c:v>44621</c:v>
                </c:pt>
                <c:pt idx="479">
                  <c:v>44620</c:v>
                </c:pt>
                <c:pt idx="480">
                  <c:v>44617</c:v>
                </c:pt>
                <c:pt idx="481">
                  <c:v>44616</c:v>
                </c:pt>
                <c:pt idx="482">
                  <c:v>44615</c:v>
                </c:pt>
                <c:pt idx="483">
                  <c:v>44614</c:v>
                </c:pt>
                <c:pt idx="484">
                  <c:v>44613</c:v>
                </c:pt>
                <c:pt idx="485">
                  <c:v>44610</c:v>
                </c:pt>
                <c:pt idx="486">
                  <c:v>44609</c:v>
                </c:pt>
                <c:pt idx="487">
                  <c:v>44608</c:v>
                </c:pt>
                <c:pt idx="488">
                  <c:v>44607</c:v>
                </c:pt>
                <c:pt idx="489">
                  <c:v>44606</c:v>
                </c:pt>
                <c:pt idx="490">
                  <c:v>44603</c:v>
                </c:pt>
                <c:pt idx="491">
                  <c:v>44602</c:v>
                </c:pt>
                <c:pt idx="492">
                  <c:v>44601</c:v>
                </c:pt>
                <c:pt idx="493">
                  <c:v>44600</c:v>
                </c:pt>
                <c:pt idx="494">
                  <c:v>44599</c:v>
                </c:pt>
                <c:pt idx="495">
                  <c:v>44596</c:v>
                </c:pt>
                <c:pt idx="496">
                  <c:v>44595</c:v>
                </c:pt>
                <c:pt idx="497">
                  <c:v>44594</c:v>
                </c:pt>
                <c:pt idx="498">
                  <c:v>44593</c:v>
                </c:pt>
                <c:pt idx="499">
                  <c:v>44592</c:v>
                </c:pt>
                <c:pt idx="500">
                  <c:v>44589</c:v>
                </c:pt>
                <c:pt idx="501">
                  <c:v>44588</c:v>
                </c:pt>
                <c:pt idx="502">
                  <c:v>44587</c:v>
                </c:pt>
                <c:pt idx="503">
                  <c:v>44586</c:v>
                </c:pt>
                <c:pt idx="504">
                  <c:v>44585</c:v>
                </c:pt>
                <c:pt idx="505">
                  <c:v>44582</c:v>
                </c:pt>
                <c:pt idx="506">
                  <c:v>44581</c:v>
                </c:pt>
                <c:pt idx="507">
                  <c:v>44580</c:v>
                </c:pt>
                <c:pt idx="508">
                  <c:v>44579</c:v>
                </c:pt>
                <c:pt idx="509">
                  <c:v>44578</c:v>
                </c:pt>
                <c:pt idx="510">
                  <c:v>44575</c:v>
                </c:pt>
                <c:pt idx="511">
                  <c:v>44574</c:v>
                </c:pt>
                <c:pt idx="512">
                  <c:v>44573</c:v>
                </c:pt>
                <c:pt idx="513">
                  <c:v>44572</c:v>
                </c:pt>
                <c:pt idx="514">
                  <c:v>44571</c:v>
                </c:pt>
                <c:pt idx="515">
                  <c:v>44568</c:v>
                </c:pt>
                <c:pt idx="516">
                  <c:v>44567</c:v>
                </c:pt>
                <c:pt idx="517">
                  <c:v>44566</c:v>
                </c:pt>
                <c:pt idx="518">
                  <c:v>44565</c:v>
                </c:pt>
                <c:pt idx="519">
                  <c:v>44564</c:v>
                </c:pt>
                <c:pt idx="520">
                  <c:v>44561</c:v>
                </c:pt>
                <c:pt idx="521">
                  <c:v>44560</c:v>
                </c:pt>
                <c:pt idx="522">
                  <c:v>44559</c:v>
                </c:pt>
                <c:pt idx="523">
                  <c:v>44558</c:v>
                </c:pt>
                <c:pt idx="524">
                  <c:v>44557</c:v>
                </c:pt>
                <c:pt idx="525">
                  <c:v>44554</c:v>
                </c:pt>
                <c:pt idx="526">
                  <c:v>44553</c:v>
                </c:pt>
                <c:pt idx="527">
                  <c:v>44552</c:v>
                </c:pt>
                <c:pt idx="528">
                  <c:v>44551</c:v>
                </c:pt>
                <c:pt idx="529">
                  <c:v>44550</c:v>
                </c:pt>
                <c:pt idx="530">
                  <c:v>44547</c:v>
                </c:pt>
                <c:pt idx="531">
                  <c:v>44546</c:v>
                </c:pt>
                <c:pt idx="532">
                  <c:v>44545</c:v>
                </c:pt>
                <c:pt idx="533">
                  <c:v>44544</c:v>
                </c:pt>
                <c:pt idx="534">
                  <c:v>44543</c:v>
                </c:pt>
                <c:pt idx="535">
                  <c:v>44540</c:v>
                </c:pt>
                <c:pt idx="536">
                  <c:v>44539</c:v>
                </c:pt>
                <c:pt idx="537">
                  <c:v>44538</c:v>
                </c:pt>
                <c:pt idx="538">
                  <c:v>44537</c:v>
                </c:pt>
                <c:pt idx="539">
                  <c:v>44536</c:v>
                </c:pt>
                <c:pt idx="540">
                  <c:v>44533</c:v>
                </c:pt>
                <c:pt idx="541">
                  <c:v>44532</c:v>
                </c:pt>
                <c:pt idx="542">
                  <c:v>44531</c:v>
                </c:pt>
                <c:pt idx="543">
                  <c:v>44530</c:v>
                </c:pt>
                <c:pt idx="544">
                  <c:v>44529</c:v>
                </c:pt>
                <c:pt idx="545">
                  <c:v>44526</c:v>
                </c:pt>
                <c:pt idx="546">
                  <c:v>44525</c:v>
                </c:pt>
                <c:pt idx="547">
                  <c:v>44524</c:v>
                </c:pt>
                <c:pt idx="548">
                  <c:v>44523</c:v>
                </c:pt>
                <c:pt idx="549">
                  <c:v>44522</c:v>
                </c:pt>
                <c:pt idx="550">
                  <c:v>44519</c:v>
                </c:pt>
                <c:pt idx="551">
                  <c:v>44518</c:v>
                </c:pt>
                <c:pt idx="552">
                  <c:v>44517</c:v>
                </c:pt>
                <c:pt idx="553">
                  <c:v>44516</c:v>
                </c:pt>
                <c:pt idx="554">
                  <c:v>44515</c:v>
                </c:pt>
                <c:pt idx="555">
                  <c:v>44512</c:v>
                </c:pt>
                <c:pt idx="556">
                  <c:v>44511</c:v>
                </c:pt>
                <c:pt idx="557">
                  <c:v>44510</c:v>
                </c:pt>
                <c:pt idx="558">
                  <c:v>44509</c:v>
                </c:pt>
                <c:pt idx="559">
                  <c:v>44508</c:v>
                </c:pt>
                <c:pt idx="560">
                  <c:v>44505</c:v>
                </c:pt>
                <c:pt idx="561">
                  <c:v>44504</c:v>
                </c:pt>
                <c:pt idx="562">
                  <c:v>44503</c:v>
                </c:pt>
                <c:pt idx="563">
                  <c:v>44502</c:v>
                </c:pt>
                <c:pt idx="564">
                  <c:v>44501</c:v>
                </c:pt>
                <c:pt idx="565">
                  <c:v>44498</c:v>
                </c:pt>
                <c:pt idx="566">
                  <c:v>44497</c:v>
                </c:pt>
                <c:pt idx="567">
                  <c:v>44496</c:v>
                </c:pt>
                <c:pt idx="568">
                  <c:v>44495</c:v>
                </c:pt>
                <c:pt idx="569">
                  <c:v>44494</c:v>
                </c:pt>
                <c:pt idx="570">
                  <c:v>44491</c:v>
                </c:pt>
                <c:pt idx="571">
                  <c:v>44490</c:v>
                </c:pt>
                <c:pt idx="572">
                  <c:v>44489</c:v>
                </c:pt>
                <c:pt idx="573">
                  <c:v>44488</c:v>
                </c:pt>
                <c:pt idx="574">
                  <c:v>44487</c:v>
                </c:pt>
                <c:pt idx="575">
                  <c:v>44484</c:v>
                </c:pt>
                <c:pt idx="576">
                  <c:v>44483</c:v>
                </c:pt>
                <c:pt idx="577">
                  <c:v>44482</c:v>
                </c:pt>
                <c:pt idx="578">
                  <c:v>44481</c:v>
                </c:pt>
                <c:pt idx="579">
                  <c:v>44480</c:v>
                </c:pt>
                <c:pt idx="580">
                  <c:v>44477</c:v>
                </c:pt>
                <c:pt idx="581">
                  <c:v>44476</c:v>
                </c:pt>
                <c:pt idx="582">
                  <c:v>44475</c:v>
                </c:pt>
                <c:pt idx="583">
                  <c:v>44474</c:v>
                </c:pt>
                <c:pt idx="584">
                  <c:v>44473</c:v>
                </c:pt>
                <c:pt idx="585">
                  <c:v>44470</c:v>
                </c:pt>
                <c:pt idx="586">
                  <c:v>44469</c:v>
                </c:pt>
                <c:pt idx="587">
                  <c:v>44468</c:v>
                </c:pt>
                <c:pt idx="588">
                  <c:v>44467</c:v>
                </c:pt>
                <c:pt idx="589">
                  <c:v>44466</c:v>
                </c:pt>
                <c:pt idx="590">
                  <c:v>44463</c:v>
                </c:pt>
                <c:pt idx="591">
                  <c:v>44462</c:v>
                </c:pt>
                <c:pt idx="592">
                  <c:v>44461</c:v>
                </c:pt>
                <c:pt idx="593">
                  <c:v>44460</c:v>
                </c:pt>
                <c:pt idx="594">
                  <c:v>44459</c:v>
                </c:pt>
                <c:pt idx="595">
                  <c:v>44456</c:v>
                </c:pt>
                <c:pt idx="596">
                  <c:v>44455</c:v>
                </c:pt>
                <c:pt idx="597">
                  <c:v>44454</c:v>
                </c:pt>
                <c:pt idx="598">
                  <c:v>44453</c:v>
                </c:pt>
                <c:pt idx="599">
                  <c:v>44452</c:v>
                </c:pt>
                <c:pt idx="600">
                  <c:v>44449</c:v>
                </c:pt>
                <c:pt idx="601">
                  <c:v>44448</c:v>
                </c:pt>
                <c:pt idx="602">
                  <c:v>44447</c:v>
                </c:pt>
                <c:pt idx="603">
                  <c:v>44446</c:v>
                </c:pt>
                <c:pt idx="604">
                  <c:v>44445</c:v>
                </c:pt>
                <c:pt idx="605">
                  <c:v>44442</c:v>
                </c:pt>
                <c:pt idx="606">
                  <c:v>44441</c:v>
                </c:pt>
                <c:pt idx="607">
                  <c:v>44440</c:v>
                </c:pt>
                <c:pt idx="608">
                  <c:v>44439</c:v>
                </c:pt>
                <c:pt idx="609">
                  <c:v>44438</c:v>
                </c:pt>
                <c:pt idx="610">
                  <c:v>44435</c:v>
                </c:pt>
                <c:pt idx="611">
                  <c:v>44434</c:v>
                </c:pt>
                <c:pt idx="612">
                  <c:v>44433</c:v>
                </c:pt>
                <c:pt idx="613">
                  <c:v>44432</c:v>
                </c:pt>
                <c:pt idx="614">
                  <c:v>44431</c:v>
                </c:pt>
                <c:pt idx="615">
                  <c:v>44428</c:v>
                </c:pt>
                <c:pt idx="616">
                  <c:v>44427</c:v>
                </c:pt>
                <c:pt idx="617">
                  <c:v>44426</c:v>
                </c:pt>
                <c:pt idx="618">
                  <c:v>44425</c:v>
                </c:pt>
                <c:pt idx="619">
                  <c:v>44424</c:v>
                </c:pt>
                <c:pt idx="620">
                  <c:v>44421</c:v>
                </c:pt>
                <c:pt idx="621">
                  <c:v>44420</c:v>
                </c:pt>
                <c:pt idx="622">
                  <c:v>44419</c:v>
                </c:pt>
                <c:pt idx="623">
                  <c:v>44418</c:v>
                </c:pt>
                <c:pt idx="624">
                  <c:v>44417</c:v>
                </c:pt>
                <c:pt idx="625">
                  <c:v>44414</c:v>
                </c:pt>
                <c:pt idx="626">
                  <c:v>44413</c:v>
                </c:pt>
                <c:pt idx="627">
                  <c:v>44412</c:v>
                </c:pt>
                <c:pt idx="628">
                  <c:v>44411</c:v>
                </c:pt>
                <c:pt idx="629">
                  <c:v>44410</c:v>
                </c:pt>
                <c:pt idx="630">
                  <c:v>44407</c:v>
                </c:pt>
                <c:pt idx="631">
                  <c:v>44406</c:v>
                </c:pt>
                <c:pt idx="632">
                  <c:v>44405</c:v>
                </c:pt>
                <c:pt idx="633">
                  <c:v>44404</c:v>
                </c:pt>
                <c:pt idx="634">
                  <c:v>44403</c:v>
                </c:pt>
                <c:pt idx="635">
                  <c:v>44400</c:v>
                </c:pt>
                <c:pt idx="636">
                  <c:v>44399</c:v>
                </c:pt>
                <c:pt idx="637">
                  <c:v>44398</c:v>
                </c:pt>
                <c:pt idx="638">
                  <c:v>44397</c:v>
                </c:pt>
                <c:pt idx="639">
                  <c:v>44396</c:v>
                </c:pt>
                <c:pt idx="640">
                  <c:v>44393</c:v>
                </c:pt>
                <c:pt idx="641">
                  <c:v>44392</c:v>
                </c:pt>
                <c:pt idx="642">
                  <c:v>44391</c:v>
                </c:pt>
                <c:pt idx="643">
                  <c:v>44390</c:v>
                </c:pt>
                <c:pt idx="644">
                  <c:v>44389</c:v>
                </c:pt>
                <c:pt idx="645">
                  <c:v>44386</c:v>
                </c:pt>
                <c:pt idx="646">
                  <c:v>44385</c:v>
                </c:pt>
                <c:pt idx="647">
                  <c:v>44384</c:v>
                </c:pt>
                <c:pt idx="648">
                  <c:v>44383</c:v>
                </c:pt>
                <c:pt idx="649">
                  <c:v>44382</c:v>
                </c:pt>
                <c:pt idx="650">
                  <c:v>44379</c:v>
                </c:pt>
                <c:pt idx="651">
                  <c:v>44378</c:v>
                </c:pt>
                <c:pt idx="652">
                  <c:v>44377</c:v>
                </c:pt>
                <c:pt idx="653">
                  <c:v>44376</c:v>
                </c:pt>
                <c:pt idx="654">
                  <c:v>44375</c:v>
                </c:pt>
                <c:pt idx="655">
                  <c:v>44372</c:v>
                </c:pt>
                <c:pt idx="656">
                  <c:v>44371</c:v>
                </c:pt>
                <c:pt idx="657">
                  <c:v>44370</c:v>
                </c:pt>
                <c:pt idx="658">
                  <c:v>44369</c:v>
                </c:pt>
                <c:pt idx="659">
                  <c:v>44368</c:v>
                </c:pt>
                <c:pt idx="660">
                  <c:v>44365</c:v>
                </c:pt>
                <c:pt idx="661">
                  <c:v>44364</c:v>
                </c:pt>
                <c:pt idx="662">
                  <c:v>44363</c:v>
                </c:pt>
                <c:pt idx="663">
                  <c:v>44362</c:v>
                </c:pt>
                <c:pt idx="664">
                  <c:v>44361</c:v>
                </c:pt>
                <c:pt idx="665">
                  <c:v>44358</c:v>
                </c:pt>
                <c:pt idx="666">
                  <c:v>44357</c:v>
                </c:pt>
                <c:pt idx="667">
                  <c:v>44356</c:v>
                </c:pt>
                <c:pt idx="668">
                  <c:v>44355</c:v>
                </c:pt>
                <c:pt idx="669">
                  <c:v>44354</c:v>
                </c:pt>
                <c:pt idx="670">
                  <c:v>44351</c:v>
                </c:pt>
                <c:pt idx="671">
                  <c:v>44350</c:v>
                </c:pt>
                <c:pt idx="672">
                  <c:v>44349</c:v>
                </c:pt>
                <c:pt idx="673">
                  <c:v>44348</c:v>
                </c:pt>
                <c:pt idx="674">
                  <c:v>44347</c:v>
                </c:pt>
                <c:pt idx="675">
                  <c:v>44344</c:v>
                </c:pt>
                <c:pt idx="676">
                  <c:v>44343</c:v>
                </c:pt>
                <c:pt idx="677">
                  <c:v>44342</c:v>
                </c:pt>
                <c:pt idx="678">
                  <c:v>44341</c:v>
                </c:pt>
                <c:pt idx="679">
                  <c:v>44340</c:v>
                </c:pt>
                <c:pt idx="680">
                  <c:v>44337</c:v>
                </c:pt>
                <c:pt idx="681">
                  <c:v>44336</c:v>
                </c:pt>
                <c:pt idx="682">
                  <c:v>44335</c:v>
                </c:pt>
                <c:pt idx="683">
                  <c:v>44334</c:v>
                </c:pt>
                <c:pt idx="684">
                  <c:v>44333</c:v>
                </c:pt>
                <c:pt idx="685">
                  <c:v>44330</c:v>
                </c:pt>
                <c:pt idx="686">
                  <c:v>44329</c:v>
                </c:pt>
                <c:pt idx="687">
                  <c:v>44328</c:v>
                </c:pt>
                <c:pt idx="688">
                  <c:v>44327</c:v>
                </c:pt>
                <c:pt idx="689">
                  <c:v>44326</c:v>
                </c:pt>
                <c:pt idx="690">
                  <c:v>44323</c:v>
                </c:pt>
                <c:pt idx="691">
                  <c:v>44322</c:v>
                </c:pt>
                <c:pt idx="692">
                  <c:v>44321</c:v>
                </c:pt>
                <c:pt idx="693">
                  <c:v>44320</c:v>
                </c:pt>
                <c:pt idx="694">
                  <c:v>44319</c:v>
                </c:pt>
                <c:pt idx="695">
                  <c:v>44316</c:v>
                </c:pt>
                <c:pt idx="696">
                  <c:v>44315</c:v>
                </c:pt>
                <c:pt idx="697">
                  <c:v>44314</c:v>
                </c:pt>
                <c:pt idx="698">
                  <c:v>44313</c:v>
                </c:pt>
                <c:pt idx="699">
                  <c:v>44312</c:v>
                </c:pt>
                <c:pt idx="700">
                  <c:v>44309</c:v>
                </c:pt>
                <c:pt idx="701">
                  <c:v>44308</c:v>
                </c:pt>
                <c:pt idx="702">
                  <c:v>44307</c:v>
                </c:pt>
                <c:pt idx="703">
                  <c:v>44306</c:v>
                </c:pt>
                <c:pt idx="704">
                  <c:v>44305</c:v>
                </c:pt>
                <c:pt idx="705">
                  <c:v>44302</c:v>
                </c:pt>
                <c:pt idx="706">
                  <c:v>44301</c:v>
                </c:pt>
                <c:pt idx="707">
                  <c:v>44300</c:v>
                </c:pt>
                <c:pt idx="708">
                  <c:v>44299</c:v>
                </c:pt>
                <c:pt idx="709">
                  <c:v>44298</c:v>
                </c:pt>
                <c:pt idx="710">
                  <c:v>44295</c:v>
                </c:pt>
                <c:pt idx="711">
                  <c:v>44294</c:v>
                </c:pt>
                <c:pt idx="712">
                  <c:v>44293</c:v>
                </c:pt>
                <c:pt idx="713">
                  <c:v>44292</c:v>
                </c:pt>
                <c:pt idx="714">
                  <c:v>44291</c:v>
                </c:pt>
                <c:pt idx="715">
                  <c:v>44288</c:v>
                </c:pt>
                <c:pt idx="716">
                  <c:v>44287</c:v>
                </c:pt>
                <c:pt idx="717">
                  <c:v>44286</c:v>
                </c:pt>
                <c:pt idx="718">
                  <c:v>44285</c:v>
                </c:pt>
                <c:pt idx="719">
                  <c:v>44284</c:v>
                </c:pt>
                <c:pt idx="720">
                  <c:v>44281</c:v>
                </c:pt>
                <c:pt idx="721">
                  <c:v>44280</c:v>
                </c:pt>
                <c:pt idx="722">
                  <c:v>44279</c:v>
                </c:pt>
                <c:pt idx="723">
                  <c:v>44278</c:v>
                </c:pt>
                <c:pt idx="724">
                  <c:v>44277</c:v>
                </c:pt>
                <c:pt idx="725">
                  <c:v>44274</c:v>
                </c:pt>
                <c:pt idx="726">
                  <c:v>44273</c:v>
                </c:pt>
                <c:pt idx="727">
                  <c:v>44272</c:v>
                </c:pt>
                <c:pt idx="728">
                  <c:v>44271</c:v>
                </c:pt>
                <c:pt idx="729">
                  <c:v>44270</c:v>
                </c:pt>
                <c:pt idx="730">
                  <c:v>44267</c:v>
                </c:pt>
                <c:pt idx="731">
                  <c:v>44266</c:v>
                </c:pt>
                <c:pt idx="732">
                  <c:v>44265</c:v>
                </c:pt>
                <c:pt idx="733">
                  <c:v>44264</c:v>
                </c:pt>
                <c:pt idx="734">
                  <c:v>44263</c:v>
                </c:pt>
                <c:pt idx="735">
                  <c:v>44260</c:v>
                </c:pt>
                <c:pt idx="736">
                  <c:v>44259</c:v>
                </c:pt>
                <c:pt idx="737">
                  <c:v>44258</c:v>
                </c:pt>
                <c:pt idx="738">
                  <c:v>44257</c:v>
                </c:pt>
                <c:pt idx="739">
                  <c:v>44256</c:v>
                </c:pt>
                <c:pt idx="740">
                  <c:v>44253</c:v>
                </c:pt>
                <c:pt idx="741">
                  <c:v>44252</c:v>
                </c:pt>
                <c:pt idx="742">
                  <c:v>44251</c:v>
                </c:pt>
                <c:pt idx="743">
                  <c:v>44250</c:v>
                </c:pt>
                <c:pt idx="744">
                  <c:v>44249</c:v>
                </c:pt>
                <c:pt idx="745">
                  <c:v>44246</c:v>
                </c:pt>
                <c:pt idx="746">
                  <c:v>44245</c:v>
                </c:pt>
                <c:pt idx="747">
                  <c:v>44244</c:v>
                </c:pt>
                <c:pt idx="748">
                  <c:v>44243</c:v>
                </c:pt>
                <c:pt idx="749">
                  <c:v>44242</c:v>
                </c:pt>
                <c:pt idx="750">
                  <c:v>44239</c:v>
                </c:pt>
                <c:pt idx="751">
                  <c:v>44238</c:v>
                </c:pt>
                <c:pt idx="752">
                  <c:v>44237</c:v>
                </c:pt>
                <c:pt idx="753">
                  <c:v>44236</c:v>
                </c:pt>
                <c:pt idx="754">
                  <c:v>44235</c:v>
                </c:pt>
                <c:pt idx="755">
                  <c:v>44232</c:v>
                </c:pt>
                <c:pt idx="756">
                  <c:v>44231</c:v>
                </c:pt>
                <c:pt idx="757">
                  <c:v>44230</c:v>
                </c:pt>
                <c:pt idx="758">
                  <c:v>44229</c:v>
                </c:pt>
                <c:pt idx="759">
                  <c:v>44228</c:v>
                </c:pt>
                <c:pt idx="760">
                  <c:v>44225</c:v>
                </c:pt>
                <c:pt idx="761">
                  <c:v>44224</c:v>
                </c:pt>
                <c:pt idx="762">
                  <c:v>44223</c:v>
                </c:pt>
                <c:pt idx="763">
                  <c:v>44222</c:v>
                </c:pt>
                <c:pt idx="764">
                  <c:v>44221</c:v>
                </c:pt>
                <c:pt idx="765">
                  <c:v>44218</c:v>
                </c:pt>
                <c:pt idx="766">
                  <c:v>44217</c:v>
                </c:pt>
                <c:pt idx="767">
                  <c:v>44216</c:v>
                </c:pt>
                <c:pt idx="768">
                  <c:v>44215</c:v>
                </c:pt>
                <c:pt idx="769">
                  <c:v>44214</c:v>
                </c:pt>
                <c:pt idx="770">
                  <c:v>44211</c:v>
                </c:pt>
                <c:pt idx="771">
                  <c:v>44210</c:v>
                </c:pt>
                <c:pt idx="772">
                  <c:v>44209</c:v>
                </c:pt>
                <c:pt idx="773">
                  <c:v>44208</c:v>
                </c:pt>
                <c:pt idx="774">
                  <c:v>44207</c:v>
                </c:pt>
                <c:pt idx="775">
                  <c:v>44204</c:v>
                </c:pt>
                <c:pt idx="776">
                  <c:v>44203</c:v>
                </c:pt>
                <c:pt idx="777">
                  <c:v>44202</c:v>
                </c:pt>
                <c:pt idx="778">
                  <c:v>44201</c:v>
                </c:pt>
                <c:pt idx="779">
                  <c:v>44200</c:v>
                </c:pt>
                <c:pt idx="780">
                  <c:v>44197</c:v>
                </c:pt>
                <c:pt idx="781">
                  <c:v>44196</c:v>
                </c:pt>
                <c:pt idx="782">
                  <c:v>44195</c:v>
                </c:pt>
                <c:pt idx="783">
                  <c:v>44194</c:v>
                </c:pt>
                <c:pt idx="784">
                  <c:v>44193</c:v>
                </c:pt>
                <c:pt idx="785">
                  <c:v>44190</c:v>
                </c:pt>
                <c:pt idx="786">
                  <c:v>44189</c:v>
                </c:pt>
                <c:pt idx="787">
                  <c:v>44188</c:v>
                </c:pt>
                <c:pt idx="788">
                  <c:v>44187</c:v>
                </c:pt>
                <c:pt idx="789">
                  <c:v>44186</c:v>
                </c:pt>
                <c:pt idx="790">
                  <c:v>44183</c:v>
                </c:pt>
                <c:pt idx="791">
                  <c:v>44182</c:v>
                </c:pt>
                <c:pt idx="792">
                  <c:v>44181</c:v>
                </c:pt>
                <c:pt idx="793">
                  <c:v>44180</c:v>
                </c:pt>
                <c:pt idx="794">
                  <c:v>44179</c:v>
                </c:pt>
                <c:pt idx="795">
                  <c:v>44176</c:v>
                </c:pt>
                <c:pt idx="796">
                  <c:v>44175</c:v>
                </c:pt>
                <c:pt idx="797">
                  <c:v>44174</c:v>
                </c:pt>
                <c:pt idx="798">
                  <c:v>44173</c:v>
                </c:pt>
                <c:pt idx="799">
                  <c:v>44172</c:v>
                </c:pt>
                <c:pt idx="800">
                  <c:v>44169</c:v>
                </c:pt>
                <c:pt idx="801">
                  <c:v>44168</c:v>
                </c:pt>
                <c:pt idx="802">
                  <c:v>44167</c:v>
                </c:pt>
                <c:pt idx="803">
                  <c:v>44166</c:v>
                </c:pt>
                <c:pt idx="804">
                  <c:v>44165</c:v>
                </c:pt>
                <c:pt idx="805">
                  <c:v>44162</c:v>
                </c:pt>
                <c:pt idx="806">
                  <c:v>44161</c:v>
                </c:pt>
                <c:pt idx="807">
                  <c:v>44160</c:v>
                </c:pt>
                <c:pt idx="808">
                  <c:v>44159</c:v>
                </c:pt>
                <c:pt idx="809">
                  <c:v>44158</c:v>
                </c:pt>
                <c:pt idx="810">
                  <c:v>44155</c:v>
                </c:pt>
                <c:pt idx="811">
                  <c:v>44154</c:v>
                </c:pt>
                <c:pt idx="812">
                  <c:v>44153</c:v>
                </c:pt>
                <c:pt idx="813">
                  <c:v>44152</c:v>
                </c:pt>
                <c:pt idx="814">
                  <c:v>44151</c:v>
                </c:pt>
                <c:pt idx="815">
                  <c:v>44148</c:v>
                </c:pt>
                <c:pt idx="816">
                  <c:v>44147</c:v>
                </c:pt>
                <c:pt idx="817">
                  <c:v>44146</c:v>
                </c:pt>
                <c:pt idx="818">
                  <c:v>44145</c:v>
                </c:pt>
                <c:pt idx="819">
                  <c:v>44144</c:v>
                </c:pt>
                <c:pt idx="820">
                  <c:v>44141</c:v>
                </c:pt>
                <c:pt idx="821">
                  <c:v>44140</c:v>
                </c:pt>
                <c:pt idx="822">
                  <c:v>44139</c:v>
                </c:pt>
                <c:pt idx="823">
                  <c:v>44138</c:v>
                </c:pt>
                <c:pt idx="824">
                  <c:v>44137</c:v>
                </c:pt>
                <c:pt idx="825">
                  <c:v>44134</c:v>
                </c:pt>
                <c:pt idx="826">
                  <c:v>44133</c:v>
                </c:pt>
                <c:pt idx="827">
                  <c:v>44132</c:v>
                </c:pt>
                <c:pt idx="828">
                  <c:v>44131</c:v>
                </c:pt>
                <c:pt idx="829">
                  <c:v>44130</c:v>
                </c:pt>
                <c:pt idx="830">
                  <c:v>44127</c:v>
                </c:pt>
                <c:pt idx="831">
                  <c:v>44126</c:v>
                </c:pt>
                <c:pt idx="832">
                  <c:v>44125</c:v>
                </c:pt>
                <c:pt idx="833">
                  <c:v>44124</c:v>
                </c:pt>
                <c:pt idx="834">
                  <c:v>44123</c:v>
                </c:pt>
                <c:pt idx="835">
                  <c:v>44120</c:v>
                </c:pt>
                <c:pt idx="836">
                  <c:v>44119</c:v>
                </c:pt>
                <c:pt idx="837">
                  <c:v>44118</c:v>
                </c:pt>
                <c:pt idx="838">
                  <c:v>44117</c:v>
                </c:pt>
                <c:pt idx="839">
                  <c:v>44116</c:v>
                </c:pt>
                <c:pt idx="840">
                  <c:v>44113</c:v>
                </c:pt>
                <c:pt idx="841">
                  <c:v>44112</c:v>
                </c:pt>
                <c:pt idx="842">
                  <c:v>44111</c:v>
                </c:pt>
                <c:pt idx="843">
                  <c:v>44110</c:v>
                </c:pt>
                <c:pt idx="844">
                  <c:v>44109</c:v>
                </c:pt>
                <c:pt idx="845">
                  <c:v>44106</c:v>
                </c:pt>
                <c:pt idx="846">
                  <c:v>44105</c:v>
                </c:pt>
                <c:pt idx="847">
                  <c:v>44104</c:v>
                </c:pt>
                <c:pt idx="848">
                  <c:v>44103</c:v>
                </c:pt>
                <c:pt idx="849">
                  <c:v>44102</c:v>
                </c:pt>
                <c:pt idx="850">
                  <c:v>44099</c:v>
                </c:pt>
                <c:pt idx="851">
                  <c:v>44098</c:v>
                </c:pt>
                <c:pt idx="852">
                  <c:v>44097</c:v>
                </c:pt>
                <c:pt idx="853">
                  <c:v>44096</c:v>
                </c:pt>
                <c:pt idx="854">
                  <c:v>44095</c:v>
                </c:pt>
                <c:pt idx="855">
                  <c:v>44092</c:v>
                </c:pt>
                <c:pt idx="856">
                  <c:v>44091</c:v>
                </c:pt>
                <c:pt idx="857">
                  <c:v>44090</c:v>
                </c:pt>
                <c:pt idx="858">
                  <c:v>44089</c:v>
                </c:pt>
                <c:pt idx="859">
                  <c:v>44088</c:v>
                </c:pt>
                <c:pt idx="860">
                  <c:v>44085</c:v>
                </c:pt>
                <c:pt idx="861">
                  <c:v>44084</c:v>
                </c:pt>
                <c:pt idx="862">
                  <c:v>44083</c:v>
                </c:pt>
                <c:pt idx="863">
                  <c:v>44082</c:v>
                </c:pt>
                <c:pt idx="864">
                  <c:v>44081</c:v>
                </c:pt>
                <c:pt idx="865">
                  <c:v>44078</c:v>
                </c:pt>
                <c:pt idx="866">
                  <c:v>44077</c:v>
                </c:pt>
                <c:pt idx="867">
                  <c:v>44076</c:v>
                </c:pt>
                <c:pt idx="868">
                  <c:v>44075</c:v>
                </c:pt>
                <c:pt idx="869">
                  <c:v>44074</c:v>
                </c:pt>
                <c:pt idx="870">
                  <c:v>44071</c:v>
                </c:pt>
                <c:pt idx="871">
                  <c:v>44070</c:v>
                </c:pt>
                <c:pt idx="872">
                  <c:v>44069</c:v>
                </c:pt>
                <c:pt idx="873">
                  <c:v>44068</c:v>
                </c:pt>
                <c:pt idx="874">
                  <c:v>44067</c:v>
                </c:pt>
                <c:pt idx="875">
                  <c:v>44064</c:v>
                </c:pt>
                <c:pt idx="876">
                  <c:v>44063</c:v>
                </c:pt>
                <c:pt idx="877">
                  <c:v>44062</c:v>
                </c:pt>
                <c:pt idx="878">
                  <c:v>44061</c:v>
                </c:pt>
                <c:pt idx="879">
                  <c:v>44060</c:v>
                </c:pt>
                <c:pt idx="880">
                  <c:v>44057</c:v>
                </c:pt>
                <c:pt idx="881">
                  <c:v>44056</c:v>
                </c:pt>
                <c:pt idx="882">
                  <c:v>44055</c:v>
                </c:pt>
                <c:pt idx="883">
                  <c:v>44054</c:v>
                </c:pt>
                <c:pt idx="884">
                  <c:v>44053</c:v>
                </c:pt>
                <c:pt idx="885">
                  <c:v>44050</c:v>
                </c:pt>
                <c:pt idx="886">
                  <c:v>44049</c:v>
                </c:pt>
                <c:pt idx="887">
                  <c:v>44048</c:v>
                </c:pt>
                <c:pt idx="888">
                  <c:v>44047</c:v>
                </c:pt>
                <c:pt idx="889">
                  <c:v>44046</c:v>
                </c:pt>
                <c:pt idx="890">
                  <c:v>44043</c:v>
                </c:pt>
                <c:pt idx="891">
                  <c:v>44042</c:v>
                </c:pt>
                <c:pt idx="892">
                  <c:v>44041</c:v>
                </c:pt>
                <c:pt idx="893">
                  <c:v>44040</c:v>
                </c:pt>
                <c:pt idx="894">
                  <c:v>44039</c:v>
                </c:pt>
                <c:pt idx="895">
                  <c:v>44036</c:v>
                </c:pt>
                <c:pt idx="896">
                  <c:v>44035</c:v>
                </c:pt>
                <c:pt idx="897">
                  <c:v>44034</c:v>
                </c:pt>
                <c:pt idx="898">
                  <c:v>44033</c:v>
                </c:pt>
                <c:pt idx="899">
                  <c:v>44032</c:v>
                </c:pt>
                <c:pt idx="900">
                  <c:v>44029</c:v>
                </c:pt>
                <c:pt idx="901">
                  <c:v>44028</c:v>
                </c:pt>
                <c:pt idx="902">
                  <c:v>44027</c:v>
                </c:pt>
                <c:pt idx="903">
                  <c:v>44026</c:v>
                </c:pt>
                <c:pt idx="904">
                  <c:v>44025</c:v>
                </c:pt>
                <c:pt idx="905">
                  <c:v>44022</c:v>
                </c:pt>
                <c:pt idx="906">
                  <c:v>44021</c:v>
                </c:pt>
                <c:pt idx="907">
                  <c:v>44020</c:v>
                </c:pt>
                <c:pt idx="908">
                  <c:v>44019</c:v>
                </c:pt>
                <c:pt idx="909">
                  <c:v>44018</c:v>
                </c:pt>
                <c:pt idx="910">
                  <c:v>44015</c:v>
                </c:pt>
                <c:pt idx="911">
                  <c:v>44014</c:v>
                </c:pt>
                <c:pt idx="912">
                  <c:v>44013</c:v>
                </c:pt>
                <c:pt idx="913">
                  <c:v>44012</c:v>
                </c:pt>
                <c:pt idx="914">
                  <c:v>44011</c:v>
                </c:pt>
                <c:pt idx="915">
                  <c:v>44008</c:v>
                </c:pt>
                <c:pt idx="916">
                  <c:v>44007</c:v>
                </c:pt>
                <c:pt idx="917">
                  <c:v>44006</c:v>
                </c:pt>
                <c:pt idx="918">
                  <c:v>44005</c:v>
                </c:pt>
                <c:pt idx="919">
                  <c:v>44004</c:v>
                </c:pt>
                <c:pt idx="920">
                  <c:v>44001</c:v>
                </c:pt>
                <c:pt idx="921">
                  <c:v>44000</c:v>
                </c:pt>
                <c:pt idx="922">
                  <c:v>43999</c:v>
                </c:pt>
                <c:pt idx="923">
                  <c:v>43998</c:v>
                </c:pt>
                <c:pt idx="924">
                  <c:v>43997</c:v>
                </c:pt>
                <c:pt idx="925">
                  <c:v>43994</c:v>
                </c:pt>
                <c:pt idx="926">
                  <c:v>43993</c:v>
                </c:pt>
                <c:pt idx="927">
                  <c:v>43992</c:v>
                </c:pt>
                <c:pt idx="928">
                  <c:v>43991</c:v>
                </c:pt>
                <c:pt idx="929">
                  <c:v>43990</c:v>
                </c:pt>
                <c:pt idx="930">
                  <c:v>43987</c:v>
                </c:pt>
                <c:pt idx="931">
                  <c:v>43986</c:v>
                </c:pt>
                <c:pt idx="932">
                  <c:v>43985</c:v>
                </c:pt>
                <c:pt idx="933">
                  <c:v>43984</c:v>
                </c:pt>
                <c:pt idx="934">
                  <c:v>43983</c:v>
                </c:pt>
                <c:pt idx="935">
                  <c:v>43980</c:v>
                </c:pt>
                <c:pt idx="936">
                  <c:v>43979</c:v>
                </c:pt>
                <c:pt idx="937">
                  <c:v>43978</c:v>
                </c:pt>
                <c:pt idx="938">
                  <c:v>43977</c:v>
                </c:pt>
                <c:pt idx="939">
                  <c:v>43976</c:v>
                </c:pt>
                <c:pt idx="940">
                  <c:v>43973</c:v>
                </c:pt>
                <c:pt idx="941">
                  <c:v>43972</c:v>
                </c:pt>
                <c:pt idx="942">
                  <c:v>43971</c:v>
                </c:pt>
                <c:pt idx="943">
                  <c:v>43970</c:v>
                </c:pt>
                <c:pt idx="944">
                  <c:v>43969</c:v>
                </c:pt>
                <c:pt idx="945">
                  <c:v>43966</c:v>
                </c:pt>
                <c:pt idx="946">
                  <c:v>43965</c:v>
                </c:pt>
                <c:pt idx="947">
                  <c:v>43964</c:v>
                </c:pt>
                <c:pt idx="948">
                  <c:v>43963</c:v>
                </c:pt>
                <c:pt idx="949">
                  <c:v>43962</c:v>
                </c:pt>
                <c:pt idx="950">
                  <c:v>43959</c:v>
                </c:pt>
                <c:pt idx="951">
                  <c:v>43958</c:v>
                </c:pt>
                <c:pt idx="952">
                  <c:v>43957</c:v>
                </c:pt>
                <c:pt idx="953">
                  <c:v>43956</c:v>
                </c:pt>
                <c:pt idx="954">
                  <c:v>43955</c:v>
                </c:pt>
                <c:pt idx="955">
                  <c:v>43952</c:v>
                </c:pt>
                <c:pt idx="956">
                  <c:v>43951</c:v>
                </c:pt>
                <c:pt idx="957">
                  <c:v>43950</c:v>
                </c:pt>
                <c:pt idx="958">
                  <c:v>43949</c:v>
                </c:pt>
                <c:pt idx="959">
                  <c:v>43948</c:v>
                </c:pt>
                <c:pt idx="960">
                  <c:v>43945</c:v>
                </c:pt>
                <c:pt idx="961">
                  <c:v>43944</c:v>
                </c:pt>
                <c:pt idx="962">
                  <c:v>43943</c:v>
                </c:pt>
                <c:pt idx="963">
                  <c:v>43942</c:v>
                </c:pt>
                <c:pt idx="964">
                  <c:v>43941</c:v>
                </c:pt>
                <c:pt idx="965">
                  <c:v>43938</c:v>
                </c:pt>
                <c:pt idx="966">
                  <c:v>43937</c:v>
                </c:pt>
                <c:pt idx="967">
                  <c:v>43936</c:v>
                </c:pt>
                <c:pt idx="968">
                  <c:v>43935</c:v>
                </c:pt>
                <c:pt idx="969">
                  <c:v>43934</c:v>
                </c:pt>
                <c:pt idx="970">
                  <c:v>43931</c:v>
                </c:pt>
                <c:pt idx="971">
                  <c:v>43930</c:v>
                </c:pt>
                <c:pt idx="972">
                  <c:v>43929</c:v>
                </c:pt>
                <c:pt idx="973">
                  <c:v>43928</c:v>
                </c:pt>
                <c:pt idx="974">
                  <c:v>43927</c:v>
                </c:pt>
                <c:pt idx="975">
                  <c:v>43924</c:v>
                </c:pt>
                <c:pt idx="976">
                  <c:v>43923</c:v>
                </c:pt>
                <c:pt idx="977">
                  <c:v>43922</c:v>
                </c:pt>
                <c:pt idx="978">
                  <c:v>43921</c:v>
                </c:pt>
                <c:pt idx="979">
                  <c:v>43920</c:v>
                </c:pt>
                <c:pt idx="980">
                  <c:v>43917</c:v>
                </c:pt>
                <c:pt idx="981">
                  <c:v>43916</c:v>
                </c:pt>
                <c:pt idx="982">
                  <c:v>43915</c:v>
                </c:pt>
                <c:pt idx="983">
                  <c:v>43914</c:v>
                </c:pt>
                <c:pt idx="984">
                  <c:v>43913</c:v>
                </c:pt>
                <c:pt idx="985">
                  <c:v>43910</c:v>
                </c:pt>
                <c:pt idx="986">
                  <c:v>43909</c:v>
                </c:pt>
                <c:pt idx="987">
                  <c:v>43908</c:v>
                </c:pt>
                <c:pt idx="988">
                  <c:v>43907</c:v>
                </c:pt>
                <c:pt idx="989">
                  <c:v>43906</c:v>
                </c:pt>
                <c:pt idx="990">
                  <c:v>43903</c:v>
                </c:pt>
                <c:pt idx="991">
                  <c:v>43902</c:v>
                </c:pt>
                <c:pt idx="992">
                  <c:v>43901</c:v>
                </c:pt>
                <c:pt idx="993">
                  <c:v>43900</c:v>
                </c:pt>
                <c:pt idx="994">
                  <c:v>43899</c:v>
                </c:pt>
                <c:pt idx="995">
                  <c:v>43896</c:v>
                </c:pt>
                <c:pt idx="996">
                  <c:v>43895</c:v>
                </c:pt>
                <c:pt idx="997">
                  <c:v>43894</c:v>
                </c:pt>
                <c:pt idx="998">
                  <c:v>43893</c:v>
                </c:pt>
                <c:pt idx="999">
                  <c:v>43892</c:v>
                </c:pt>
                <c:pt idx="1000">
                  <c:v>43889</c:v>
                </c:pt>
                <c:pt idx="1001">
                  <c:v>43888</c:v>
                </c:pt>
                <c:pt idx="1002">
                  <c:v>43887</c:v>
                </c:pt>
                <c:pt idx="1003">
                  <c:v>43886</c:v>
                </c:pt>
                <c:pt idx="1004">
                  <c:v>43885</c:v>
                </c:pt>
                <c:pt idx="1005">
                  <c:v>43882</c:v>
                </c:pt>
                <c:pt idx="1006">
                  <c:v>43881</c:v>
                </c:pt>
                <c:pt idx="1007">
                  <c:v>43880</c:v>
                </c:pt>
                <c:pt idx="1008">
                  <c:v>43879</c:v>
                </c:pt>
                <c:pt idx="1009">
                  <c:v>43878</c:v>
                </c:pt>
                <c:pt idx="1010">
                  <c:v>43875</c:v>
                </c:pt>
                <c:pt idx="1011">
                  <c:v>43874</c:v>
                </c:pt>
                <c:pt idx="1012">
                  <c:v>43873</c:v>
                </c:pt>
                <c:pt idx="1013">
                  <c:v>43872</c:v>
                </c:pt>
                <c:pt idx="1014">
                  <c:v>43871</c:v>
                </c:pt>
                <c:pt idx="1015">
                  <c:v>43868</c:v>
                </c:pt>
                <c:pt idx="1016">
                  <c:v>43867</c:v>
                </c:pt>
                <c:pt idx="1017">
                  <c:v>43866</c:v>
                </c:pt>
                <c:pt idx="1018">
                  <c:v>43865</c:v>
                </c:pt>
                <c:pt idx="1019">
                  <c:v>43864</c:v>
                </c:pt>
                <c:pt idx="1020">
                  <c:v>43861</c:v>
                </c:pt>
                <c:pt idx="1021">
                  <c:v>43860</c:v>
                </c:pt>
                <c:pt idx="1022">
                  <c:v>43859</c:v>
                </c:pt>
                <c:pt idx="1023">
                  <c:v>43858</c:v>
                </c:pt>
                <c:pt idx="1024">
                  <c:v>43857</c:v>
                </c:pt>
                <c:pt idx="1025">
                  <c:v>43854</c:v>
                </c:pt>
                <c:pt idx="1026">
                  <c:v>43853</c:v>
                </c:pt>
                <c:pt idx="1027">
                  <c:v>43852</c:v>
                </c:pt>
                <c:pt idx="1028">
                  <c:v>43851</c:v>
                </c:pt>
                <c:pt idx="1029">
                  <c:v>43850</c:v>
                </c:pt>
                <c:pt idx="1030">
                  <c:v>43847</c:v>
                </c:pt>
                <c:pt idx="1031">
                  <c:v>43846</c:v>
                </c:pt>
                <c:pt idx="1032">
                  <c:v>43845</c:v>
                </c:pt>
                <c:pt idx="1033">
                  <c:v>43844</c:v>
                </c:pt>
                <c:pt idx="1034">
                  <c:v>43843</c:v>
                </c:pt>
                <c:pt idx="1035">
                  <c:v>43840</c:v>
                </c:pt>
                <c:pt idx="1036">
                  <c:v>43839</c:v>
                </c:pt>
                <c:pt idx="1037">
                  <c:v>43838</c:v>
                </c:pt>
                <c:pt idx="1038">
                  <c:v>43837</c:v>
                </c:pt>
                <c:pt idx="1039">
                  <c:v>43836</c:v>
                </c:pt>
                <c:pt idx="1040">
                  <c:v>43833</c:v>
                </c:pt>
                <c:pt idx="1041">
                  <c:v>43832</c:v>
                </c:pt>
                <c:pt idx="1042">
                  <c:v>43831</c:v>
                </c:pt>
                <c:pt idx="1043">
                  <c:v>43830</c:v>
                </c:pt>
                <c:pt idx="1044">
                  <c:v>43829</c:v>
                </c:pt>
                <c:pt idx="1045">
                  <c:v>43826</c:v>
                </c:pt>
                <c:pt idx="1046">
                  <c:v>43825</c:v>
                </c:pt>
                <c:pt idx="1047">
                  <c:v>43824</c:v>
                </c:pt>
                <c:pt idx="1048">
                  <c:v>43823</c:v>
                </c:pt>
                <c:pt idx="1049">
                  <c:v>43822</c:v>
                </c:pt>
                <c:pt idx="1050">
                  <c:v>43819</c:v>
                </c:pt>
                <c:pt idx="1051">
                  <c:v>43818</c:v>
                </c:pt>
                <c:pt idx="1052">
                  <c:v>43817</c:v>
                </c:pt>
                <c:pt idx="1053">
                  <c:v>43816</c:v>
                </c:pt>
                <c:pt idx="1054">
                  <c:v>43815</c:v>
                </c:pt>
                <c:pt idx="1055">
                  <c:v>43812</c:v>
                </c:pt>
                <c:pt idx="1056">
                  <c:v>43811</c:v>
                </c:pt>
                <c:pt idx="1057">
                  <c:v>43810</c:v>
                </c:pt>
                <c:pt idx="1058">
                  <c:v>43809</c:v>
                </c:pt>
                <c:pt idx="1059">
                  <c:v>43808</c:v>
                </c:pt>
                <c:pt idx="1060">
                  <c:v>43805</c:v>
                </c:pt>
                <c:pt idx="1061">
                  <c:v>43804</c:v>
                </c:pt>
                <c:pt idx="1062">
                  <c:v>43803</c:v>
                </c:pt>
                <c:pt idx="1063">
                  <c:v>43802</c:v>
                </c:pt>
                <c:pt idx="1064">
                  <c:v>43801</c:v>
                </c:pt>
                <c:pt idx="1065">
                  <c:v>43798</c:v>
                </c:pt>
                <c:pt idx="1066">
                  <c:v>43797</c:v>
                </c:pt>
                <c:pt idx="1067">
                  <c:v>43796</c:v>
                </c:pt>
                <c:pt idx="1068">
                  <c:v>43795</c:v>
                </c:pt>
                <c:pt idx="1069">
                  <c:v>43794</c:v>
                </c:pt>
                <c:pt idx="1070">
                  <c:v>43791</c:v>
                </c:pt>
                <c:pt idx="1071">
                  <c:v>43790</c:v>
                </c:pt>
                <c:pt idx="1072">
                  <c:v>43789</c:v>
                </c:pt>
                <c:pt idx="1073">
                  <c:v>43788</c:v>
                </c:pt>
                <c:pt idx="1074">
                  <c:v>43787</c:v>
                </c:pt>
                <c:pt idx="1075">
                  <c:v>43784</c:v>
                </c:pt>
                <c:pt idx="1076">
                  <c:v>43783</c:v>
                </c:pt>
                <c:pt idx="1077">
                  <c:v>43782</c:v>
                </c:pt>
                <c:pt idx="1078">
                  <c:v>43781</c:v>
                </c:pt>
                <c:pt idx="1079">
                  <c:v>43780</c:v>
                </c:pt>
                <c:pt idx="1080">
                  <c:v>43777</c:v>
                </c:pt>
                <c:pt idx="1081">
                  <c:v>43776</c:v>
                </c:pt>
                <c:pt idx="1082">
                  <c:v>43775</c:v>
                </c:pt>
                <c:pt idx="1083">
                  <c:v>43774</c:v>
                </c:pt>
                <c:pt idx="1084">
                  <c:v>43773</c:v>
                </c:pt>
                <c:pt idx="1085">
                  <c:v>43770</c:v>
                </c:pt>
                <c:pt idx="1086">
                  <c:v>43769</c:v>
                </c:pt>
                <c:pt idx="1087">
                  <c:v>43768</c:v>
                </c:pt>
                <c:pt idx="1088">
                  <c:v>43767</c:v>
                </c:pt>
                <c:pt idx="1089">
                  <c:v>43766</c:v>
                </c:pt>
                <c:pt idx="1090">
                  <c:v>43763</c:v>
                </c:pt>
                <c:pt idx="1091">
                  <c:v>43762</c:v>
                </c:pt>
                <c:pt idx="1092">
                  <c:v>43761</c:v>
                </c:pt>
                <c:pt idx="1093">
                  <c:v>43760</c:v>
                </c:pt>
                <c:pt idx="1094">
                  <c:v>43759</c:v>
                </c:pt>
                <c:pt idx="1095">
                  <c:v>43756</c:v>
                </c:pt>
                <c:pt idx="1096">
                  <c:v>43755</c:v>
                </c:pt>
                <c:pt idx="1097">
                  <c:v>43754</c:v>
                </c:pt>
                <c:pt idx="1098">
                  <c:v>43753</c:v>
                </c:pt>
                <c:pt idx="1099">
                  <c:v>43752</c:v>
                </c:pt>
                <c:pt idx="1100">
                  <c:v>43749</c:v>
                </c:pt>
                <c:pt idx="1101">
                  <c:v>43748</c:v>
                </c:pt>
                <c:pt idx="1102">
                  <c:v>43747</c:v>
                </c:pt>
                <c:pt idx="1103">
                  <c:v>43746</c:v>
                </c:pt>
                <c:pt idx="1104">
                  <c:v>43745</c:v>
                </c:pt>
                <c:pt idx="1105">
                  <c:v>43742</c:v>
                </c:pt>
                <c:pt idx="1106">
                  <c:v>43741</c:v>
                </c:pt>
                <c:pt idx="1107">
                  <c:v>43740</c:v>
                </c:pt>
                <c:pt idx="1108">
                  <c:v>43739</c:v>
                </c:pt>
                <c:pt idx="1109">
                  <c:v>43738</c:v>
                </c:pt>
                <c:pt idx="1110">
                  <c:v>43735</c:v>
                </c:pt>
                <c:pt idx="1111">
                  <c:v>43734</c:v>
                </c:pt>
                <c:pt idx="1112">
                  <c:v>43733</c:v>
                </c:pt>
                <c:pt idx="1113">
                  <c:v>43732</c:v>
                </c:pt>
                <c:pt idx="1114">
                  <c:v>43731</c:v>
                </c:pt>
                <c:pt idx="1115">
                  <c:v>43728</c:v>
                </c:pt>
                <c:pt idx="1116">
                  <c:v>43727</c:v>
                </c:pt>
                <c:pt idx="1117">
                  <c:v>43726</c:v>
                </c:pt>
                <c:pt idx="1118">
                  <c:v>43725</c:v>
                </c:pt>
                <c:pt idx="1119">
                  <c:v>43724</c:v>
                </c:pt>
                <c:pt idx="1120">
                  <c:v>43721</c:v>
                </c:pt>
                <c:pt idx="1121">
                  <c:v>43720</c:v>
                </c:pt>
                <c:pt idx="1122">
                  <c:v>43719</c:v>
                </c:pt>
                <c:pt idx="1123">
                  <c:v>43718</c:v>
                </c:pt>
                <c:pt idx="1124">
                  <c:v>43717</c:v>
                </c:pt>
                <c:pt idx="1125">
                  <c:v>43714</c:v>
                </c:pt>
                <c:pt idx="1126">
                  <c:v>43713</c:v>
                </c:pt>
                <c:pt idx="1127">
                  <c:v>43712</c:v>
                </c:pt>
                <c:pt idx="1128">
                  <c:v>43711</c:v>
                </c:pt>
                <c:pt idx="1129">
                  <c:v>43710</c:v>
                </c:pt>
                <c:pt idx="1130">
                  <c:v>43707</c:v>
                </c:pt>
                <c:pt idx="1131">
                  <c:v>43706</c:v>
                </c:pt>
                <c:pt idx="1132">
                  <c:v>43705</c:v>
                </c:pt>
                <c:pt idx="1133">
                  <c:v>43704</c:v>
                </c:pt>
                <c:pt idx="1134">
                  <c:v>43703</c:v>
                </c:pt>
                <c:pt idx="1135">
                  <c:v>43700</c:v>
                </c:pt>
                <c:pt idx="1136">
                  <c:v>43699</c:v>
                </c:pt>
                <c:pt idx="1137">
                  <c:v>43698</c:v>
                </c:pt>
                <c:pt idx="1138">
                  <c:v>43697</c:v>
                </c:pt>
                <c:pt idx="1139">
                  <c:v>43696</c:v>
                </c:pt>
                <c:pt idx="1140">
                  <c:v>43693</c:v>
                </c:pt>
                <c:pt idx="1141">
                  <c:v>43692</c:v>
                </c:pt>
                <c:pt idx="1142">
                  <c:v>43691</c:v>
                </c:pt>
                <c:pt idx="1143">
                  <c:v>43690</c:v>
                </c:pt>
                <c:pt idx="1144">
                  <c:v>43689</c:v>
                </c:pt>
                <c:pt idx="1145">
                  <c:v>43686</c:v>
                </c:pt>
                <c:pt idx="1146">
                  <c:v>43685</c:v>
                </c:pt>
                <c:pt idx="1147">
                  <c:v>43684</c:v>
                </c:pt>
                <c:pt idx="1148">
                  <c:v>43683</c:v>
                </c:pt>
                <c:pt idx="1149">
                  <c:v>43682</c:v>
                </c:pt>
                <c:pt idx="1150">
                  <c:v>43679</c:v>
                </c:pt>
                <c:pt idx="1151">
                  <c:v>43678</c:v>
                </c:pt>
                <c:pt idx="1152">
                  <c:v>43677</c:v>
                </c:pt>
                <c:pt idx="1153">
                  <c:v>43676</c:v>
                </c:pt>
                <c:pt idx="1154">
                  <c:v>43675</c:v>
                </c:pt>
                <c:pt idx="1155">
                  <c:v>43672</c:v>
                </c:pt>
                <c:pt idx="1156">
                  <c:v>43671</c:v>
                </c:pt>
                <c:pt idx="1157">
                  <c:v>43670</c:v>
                </c:pt>
                <c:pt idx="1158">
                  <c:v>43669</c:v>
                </c:pt>
                <c:pt idx="1159">
                  <c:v>43668</c:v>
                </c:pt>
                <c:pt idx="1160">
                  <c:v>43665</c:v>
                </c:pt>
                <c:pt idx="1161">
                  <c:v>43664</c:v>
                </c:pt>
                <c:pt idx="1162">
                  <c:v>43663</c:v>
                </c:pt>
                <c:pt idx="1163">
                  <c:v>43662</c:v>
                </c:pt>
                <c:pt idx="1164">
                  <c:v>43661</c:v>
                </c:pt>
                <c:pt idx="1165">
                  <c:v>43658</c:v>
                </c:pt>
                <c:pt idx="1166">
                  <c:v>43657</c:v>
                </c:pt>
                <c:pt idx="1167">
                  <c:v>43656</c:v>
                </c:pt>
                <c:pt idx="1168">
                  <c:v>43655</c:v>
                </c:pt>
                <c:pt idx="1169">
                  <c:v>43654</c:v>
                </c:pt>
                <c:pt idx="1170">
                  <c:v>43651</c:v>
                </c:pt>
                <c:pt idx="1171">
                  <c:v>43650</c:v>
                </c:pt>
                <c:pt idx="1172">
                  <c:v>43649</c:v>
                </c:pt>
                <c:pt idx="1173">
                  <c:v>43648</c:v>
                </c:pt>
                <c:pt idx="1174">
                  <c:v>43647</c:v>
                </c:pt>
                <c:pt idx="1175">
                  <c:v>43644</c:v>
                </c:pt>
                <c:pt idx="1176">
                  <c:v>43643</c:v>
                </c:pt>
                <c:pt idx="1177">
                  <c:v>43642</c:v>
                </c:pt>
                <c:pt idx="1178">
                  <c:v>43641</c:v>
                </c:pt>
                <c:pt idx="1179">
                  <c:v>43640</c:v>
                </c:pt>
                <c:pt idx="1180">
                  <c:v>43637</c:v>
                </c:pt>
                <c:pt idx="1181">
                  <c:v>43636</c:v>
                </c:pt>
                <c:pt idx="1182">
                  <c:v>43635</c:v>
                </c:pt>
                <c:pt idx="1183">
                  <c:v>43634</c:v>
                </c:pt>
                <c:pt idx="1184">
                  <c:v>43633</c:v>
                </c:pt>
                <c:pt idx="1185">
                  <c:v>43630</c:v>
                </c:pt>
                <c:pt idx="1186">
                  <c:v>43629</c:v>
                </c:pt>
                <c:pt idx="1187">
                  <c:v>43628</c:v>
                </c:pt>
                <c:pt idx="1188">
                  <c:v>43627</c:v>
                </c:pt>
                <c:pt idx="1189">
                  <c:v>43626</c:v>
                </c:pt>
                <c:pt idx="1190">
                  <c:v>43623</c:v>
                </c:pt>
                <c:pt idx="1191">
                  <c:v>43622</c:v>
                </c:pt>
                <c:pt idx="1192">
                  <c:v>43621</c:v>
                </c:pt>
                <c:pt idx="1193">
                  <c:v>43620</c:v>
                </c:pt>
                <c:pt idx="1194">
                  <c:v>43619</c:v>
                </c:pt>
                <c:pt idx="1195">
                  <c:v>43616</c:v>
                </c:pt>
                <c:pt idx="1196">
                  <c:v>43615</c:v>
                </c:pt>
                <c:pt idx="1197">
                  <c:v>43614</c:v>
                </c:pt>
                <c:pt idx="1198">
                  <c:v>43613</c:v>
                </c:pt>
                <c:pt idx="1199">
                  <c:v>43612</c:v>
                </c:pt>
                <c:pt idx="1200">
                  <c:v>43609</c:v>
                </c:pt>
                <c:pt idx="1201">
                  <c:v>43608</c:v>
                </c:pt>
                <c:pt idx="1202">
                  <c:v>43607</c:v>
                </c:pt>
                <c:pt idx="1203">
                  <c:v>43606</c:v>
                </c:pt>
                <c:pt idx="1204">
                  <c:v>43605</c:v>
                </c:pt>
                <c:pt idx="1205">
                  <c:v>43602</c:v>
                </c:pt>
                <c:pt idx="1206">
                  <c:v>43601</c:v>
                </c:pt>
                <c:pt idx="1207">
                  <c:v>43600</c:v>
                </c:pt>
                <c:pt idx="1208">
                  <c:v>43599</c:v>
                </c:pt>
                <c:pt idx="1209">
                  <c:v>43598</c:v>
                </c:pt>
                <c:pt idx="1210">
                  <c:v>43595</c:v>
                </c:pt>
                <c:pt idx="1211">
                  <c:v>43594</c:v>
                </c:pt>
                <c:pt idx="1212">
                  <c:v>43593</c:v>
                </c:pt>
                <c:pt idx="1213">
                  <c:v>43592</c:v>
                </c:pt>
                <c:pt idx="1214">
                  <c:v>43591</c:v>
                </c:pt>
                <c:pt idx="1215">
                  <c:v>43588</c:v>
                </c:pt>
                <c:pt idx="1216">
                  <c:v>43587</c:v>
                </c:pt>
                <c:pt idx="1217">
                  <c:v>43586</c:v>
                </c:pt>
                <c:pt idx="1218">
                  <c:v>43585</c:v>
                </c:pt>
                <c:pt idx="1219">
                  <c:v>43584</c:v>
                </c:pt>
                <c:pt idx="1220">
                  <c:v>43581</c:v>
                </c:pt>
                <c:pt idx="1221">
                  <c:v>43580</c:v>
                </c:pt>
                <c:pt idx="1222">
                  <c:v>43579</c:v>
                </c:pt>
                <c:pt idx="1223">
                  <c:v>43578</c:v>
                </c:pt>
                <c:pt idx="1224">
                  <c:v>43577</c:v>
                </c:pt>
                <c:pt idx="1225">
                  <c:v>43574</c:v>
                </c:pt>
                <c:pt idx="1226">
                  <c:v>43573</c:v>
                </c:pt>
                <c:pt idx="1227">
                  <c:v>43572</c:v>
                </c:pt>
                <c:pt idx="1228">
                  <c:v>43571</c:v>
                </c:pt>
                <c:pt idx="1229">
                  <c:v>43570</c:v>
                </c:pt>
                <c:pt idx="1230">
                  <c:v>43567</c:v>
                </c:pt>
                <c:pt idx="1231">
                  <c:v>43566</c:v>
                </c:pt>
                <c:pt idx="1232">
                  <c:v>43565</c:v>
                </c:pt>
                <c:pt idx="1233">
                  <c:v>43564</c:v>
                </c:pt>
                <c:pt idx="1234">
                  <c:v>43563</c:v>
                </c:pt>
                <c:pt idx="1235">
                  <c:v>43560</c:v>
                </c:pt>
                <c:pt idx="1236">
                  <c:v>43559</c:v>
                </c:pt>
                <c:pt idx="1237">
                  <c:v>43558</c:v>
                </c:pt>
                <c:pt idx="1238">
                  <c:v>43557</c:v>
                </c:pt>
                <c:pt idx="1239">
                  <c:v>43556</c:v>
                </c:pt>
                <c:pt idx="1240">
                  <c:v>43553</c:v>
                </c:pt>
                <c:pt idx="1241">
                  <c:v>43552</c:v>
                </c:pt>
                <c:pt idx="1242">
                  <c:v>43551</c:v>
                </c:pt>
                <c:pt idx="1243">
                  <c:v>43550</c:v>
                </c:pt>
                <c:pt idx="1244">
                  <c:v>43549</c:v>
                </c:pt>
                <c:pt idx="1245">
                  <c:v>43546</c:v>
                </c:pt>
                <c:pt idx="1246">
                  <c:v>43545</c:v>
                </c:pt>
                <c:pt idx="1247">
                  <c:v>43544</c:v>
                </c:pt>
                <c:pt idx="1248">
                  <c:v>43543</c:v>
                </c:pt>
                <c:pt idx="1249">
                  <c:v>43542</c:v>
                </c:pt>
                <c:pt idx="1250">
                  <c:v>43539</c:v>
                </c:pt>
                <c:pt idx="1251">
                  <c:v>43538</c:v>
                </c:pt>
                <c:pt idx="1252">
                  <c:v>43537</c:v>
                </c:pt>
                <c:pt idx="1253">
                  <c:v>43536</c:v>
                </c:pt>
                <c:pt idx="1254">
                  <c:v>43535</c:v>
                </c:pt>
                <c:pt idx="1255">
                  <c:v>43532</c:v>
                </c:pt>
                <c:pt idx="1256">
                  <c:v>43531</c:v>
                </c:pt>
                <c:pt idx="1257">
                  <c:v>43530</c:v>
                </c:pt>
                <c:pt idx="1258">
                  <c:v>43529</c:v>
                </c:pt>
                <c:pt idx="1259">
                  <c:v>43528</c:v>
                </c:pt>
                <c:pt idx="1260">
                  <c:v>43525</c:v>
                </c:pt>
                <c:pt idx="1261">
                  <c:v>43524</c:v>
                </c:pt>
                <c:pt idx="1262">
                  <c:v>43523</c:v>
                </c:pt>
                <c:pt idx="1263">
                  <c:v>43522</c:v>
                </c:pt>
                <c:pt idx="1264">
                  <c:v>43521</c:v>
                </c:pt>
                <c:pt idx="1265">
                  <c:v>43518</c:v>
                </c:pt>
                <c:pt idx="1266">
                  <c:v>43517</c:v>
                </c:pt>
                <c:pt idx="1267">
                  <c:v>43516</c:v>
                </c:pt>
                <c:pt idx="1268">
                  <c:v>43515</c:v>
                </c:pt>
                <c:pt idx="1269">
                  <c:v>43514</c:v>
                </c:pt>
                <c:pt idx="1270">
                  <c:v>43511</c:v>
                </c:pt>
                <c:pt idx="1271">
                  <c:v>43510</c:v>
                </c:pt>
                <c:pt idx="1272">
                  <c:v>43509</c:v>
                </c:pt>
                <c:pt idx="1273">
                  <c:v>43508</c:v>
                </c:pt>
                <c:pt idx="1274">
                  <c:v>43507</c:v>
                </c:pt>
                <c:pt idx="1275">
                  <c:v>43504</c:v>
                </c:pt>
                <c:pt idx="1276">
                  <c:v>43503</c:v>
                </c:pt>
                <c:pt idx="1277">
                  <c:v>43502</c:v>
                </c:pt>
                <c:pt idx="1278">
                  <c:v>43501</c:v>
                </c:pt>
                <c:pt idx="1279">
                  <c:v>43500</c:v>
                </c:pt>
                <c:pt idx="1280">
                  <c:v>43497</c:v>
                </c:pt>
                <c:pt idx="1281">
                  <c:v>43496</c:v>
                </c:pt>
                <c:pt idx="1282">
                  <c:v>43495</c:v>
                </c:pt>
                <c:pt idx="1283">
                  <c:v>43494</c:v>
                </c:pt>
                <c:pt idx="1284">
                  <c:v>43493</c:v>
                </c:pt>
                <c:pt idx="1285">
                  <c:v>43490</c:v>
                </c:pt>
                <c:pt idx="1286">
                  <c:v>43489</c:v>
                </c:pt>
                <c:pt idx="1287">
                  <c:v>43488</c:v>
                </c:pt>
                <c:pt idx="1288">
                  <c:v>43487</c:v>
                </c:pt>
                <c:pt idx="1289">
                  <c:v>43486</c:v>
                </c:pt>
                <c:pt idx="1290">
                  <c:v>43483</c:v>
                </c:pt>
                <c:pt idx="1291">
                  <c:v>43482</c:v>
                </c:pt>
                <c:pt idx="1292">
                  <c:v>43481</c:v>
                </c:pt>
                <c:pt idx="1293">
                  <c:v>43480</c:v>
                </c:pt>
                <c:pt idx="1294">
                  <c:v>43479</c:v>
                </c:pt>
                <c:pt idx="1295">
                  <c:v>43476</c:v>
                </c:pt>
                <c:pt idx="1296">
                  <c:v>43475</c:v>
                </c:pt>
                <c:pt idx="1297">
                  <c:v>43474</c:v>
                </c:pt>
                <c:pt idx="1298">
                  <c:v>43473</c:v>
                </c:pt>
                <c:pt idx="1299">
                  <c:v>43472</c:v>
                </c:pt>
                <c:pt idx="1300">
                  <c:v>43469</c:v>
                </c:pt>
                <c:pt idx="1301">
                  <c:v>43468</c:v>
                </c:pt>
                <c:pt idx="1302">
                  <c:v>43467</c:v>
                </c:pt>
                <c:pt idx="1303">
                  <c:v>43466</c:v>
                </c:pt>
                <c:pt idx="1304">
                  <c:v>43465</c:v>
                </c:pt>
                <c:pt idx="1305">
                  <c:v>43462</c:v>
                </c:pt>
                <c:pt idx="1306">
                  <c:v>43461</c:v>
                </c:pt>
                <c:pt idx="1307">
                  <c:v>43460</c:v>
                </c:pt>
                <c:pt idx="1308">
                  <c:v>43459</c:v>
                </c:pt>
                <c:pt idx="1309">
                  <c:v>43458</c:v>
                </c:pt>
                <c:pt idx="1310">
                  <c:v>43455</c:v>
                </c:pt>
                <c:pt idx="1311">
                  <c:v>43454</c:v>
                </c:pt>
                <c:pt idx="1312">
                  <c:v>43453</c:v>
                </c:pt>
                <c:pt idx="1313">
                  <c:v>43452</c:v>
                </c:pt>
                <c:pt idx="1314">
                  <c:v>43451</c:v>
                </c:pt>
                <c:pt idx="1315">
                  <c:v>43448</c:v>
                </c:pt>
                <c:pt idx="1316">
                  <c:v>43447</c:v>
                </c:pt>
                <c:pt idx="1317">
                  <c:v>43446</c:v>
                </c:pt>
                <c:pt idx="1318">
                  <c:v>43445</c:v>
                </c:pt>
                <c:pt idx="1319">
                  <c:v>43444</c:v>
                </c:pt>
                <c:pt idx="1320">
                  <c:v>43441</c:v>
                </c:pt>
                <c:pt idx="1321">
                  <c:v>43440</c:v>
                </c:pt>
                <c:pt idx="1322">
                  <c:v>43439</c:v>
                </c:pt>
                <c:pt idx="1323">
                  <c:v>43438</c:v>
                </c:pt>
                <c:pt idx="1324">
                  <c:v>43437</c:v>
                </c:pt>
                <c:pt idx="1325">
                  <c:v>43434</c:v>
                </c:pt>
                <c:pt idx="1326">
                  <c:v>43433</c:v>
                </c:pt>
                <c:pt idx="1327">
                  <c:v>43432</c:v>
                </c:pt>
                <c:pt idx="1328">
                  <c:v>43431</c:v>
                </c:pt>
                <c:pt idx="1329">
                  <c:v>43430</c:v>
                </c:pt>
                <c:pt idx="1330">
                  <c:v>43427</c:v>
                </c:pt>
                <c:pt idx="1331">
                  <c:v>43426</c:v>
                </c:pt>
                <c:pt idx="1332">
                  <c:v>43425</c:v>
                </c:pt>
                <c:pt idx="1333">
                  <c:v>43424</c:v>
                </c:pt>
                <c:pt idx="1334">
                  <c:v>43423</c:v>
                </c:pt>
                <c:pt idx="1335">
                  <c:v>43420</c:v>
                </c:pt>
                <c:pt idx="1336">
                  <c:v>43419</c:v>
                </c:pt>
                <c:pt idx="1337">
                  <c:v>43418</c:v>
                </c:pt>
                <c:pt idx="1338">
                  <c:v>43417</c:v>
                </c:pt>
                <c:pt idx="1339">
                  <c:v>43416</c:v>
                </c:pt>
                <c:pt idx="1340">
                  <c:v>43413</c:v>
                </c:pt>
                <c:pt idx="1341">
                  <c:v>43412</c:v>
                </c:pt>
                <c:pt idx="1342">
                  <c:v>43411</c:v>
                </c:pt>
                <c:pt idx="1343">
                  <c:v>43410</c:v>
                </c:pt>
                <c:pt idx="1344">
                  <c:v>43409</c:v>
                </c:pt>
                <c:pt idx="1345">
                  <c:v>43406</c:v>
                </c:pt>
                <c:pt idx="1346">
                  <c:v>43405</c:v>
                </c:pt>
                <c:pt idx="1347">
                  <c:v>43404</c:v>
                </c:pt>
                <c:pt idx="1348">
                  <c:v>43403</c:v>
                </c:pt>
                <c:pt idx="1349">
                  <c:v>43402</c:v>
                </c:pt>
                <c:pt idx="1350">
                  <c:v>43399</c:v>
                </c:pt>
                <c:pt idx="1351">
                  <c:v>43398</c:v>
                </c:pt>
                <c:pt idx="1352">
                  <c:v>43397</c:v>
                </c:pt>
                <c:pt idx="1353">
                  <c:v>43396</c:v>
                </c:pt>
                <c:pt idx="1354">
                  <c:v>43395</c:v>
                </c:pt>
                <c:pt idx="1355">
                  <c:v>43392</c:v>
                </c:pt>
                <c:pt idx="1356">
                  <c:v>43391</c:v>
                </c:pt>
                <c:pt idx="1357">
                  <c:v>43390</c:v>
                </c:pt>
                <c:pt idx="1358">
                  <c:v>43389</c:v>
                </c:pt>
                <c:pt idx="1359">
                  <c:v>43388</c:v>
                </c:pt>
                <c:pt idx="1360">
                  <c:v>43385</c:v>
                </c:pt>
                <c:pt idx="1361">
                  <c:v>43384</c:v>
                </c:pt>
                <c:pt idx="1362">
                  <c:v>43383</c:v>
                </c:pt>
                <c:pt idx="1363">
                  <c:v>43382</c:v>
                </c:pt>
                <c:pt idx="1364">
                  <c:v>43381</c:v>
                </c:pt>
                <c:pt idx="1365">
                  <c:v>43378</c:v>
                </c:pt>
                <c:pt idx="1366">
                  <c:v>43377</c:v>
                </c:pt>
                <c:pt idx="1367">
                  <c:v>43376</c:v>
                </c:pt>
                <c:pt idx="1368">
                  <c:v>43375</c:v>
                </c:pt>
                <c:pt idx="1369">
                  <c:v>43374</c:v>
                </c:pt>
                <c:pt idx="1370">
                  <c:v>43371</c:v>
                </c:pt>
                <c:pt idx="1371">
                  <c:v>43370</c:v>
                </c:pt>
                <c:pt idx="1372">
                  <c:v>43369</c:v>
                </c:pt>
                <c:pt idx="1373">
                  <c:v>43368</c:v>
                </c:pt>
                <c:pt idx="1374">
                  <c:v>43367</c:v>
                </c:pt>
                <c:pt idx="1375">
                  <c:v>43364</c:v>
                </c:pt>
                <c:pt idx="1376">
                  <c:v>43363</c:v>
                </c:pt>
                <c:pt idx="1377">
                  <c:v>43362</c:v>
                </c:pt>
                <c:pt idx="1378">
                  <c:v>43361</c:v>
                </c:pt>
                <c:pt idx="1379">
                  <c:v>43360</c:v>
                </c:pt>
                <c:pt idx="1380">
                  <c:v>43357</c:v>
                </c:pt>
                <c:pt idx="1381">
                  <c:v>43356</c:v>
                </c:pt>
                <c:pt idx="1382">
                  <c:v>43355</c:v>
                </c:pt>
                <c:pt idx="1383">
                  <c:v>43354</c:v>
                </c:pt>
                <c:pt idx="1384">
                  <c:v>43353</c:v>
                </c:pt>
                <c:pt idx="1385">
                  <c:v>43350</c:v>
                </c:pt>
                <c:pt idx="1386">
                  <c:v>43349</c:v>
                </c:pt>
                <c:pt idx="1387">
                  <c:v>43348</c:v>
                </c:pt>
                <c:pt idx="1388">
                  <c:v>43347</c:v>
                </c:pt>
                <c:pt idx="1389">
                  <c:v>43346</c:v>
                </c:pt>
                <c:pt idx="1390">
                  <c:v>43343</c:v>
                </c:pt>
                <c:pt idx="1391">
                  <c:v>43342</c:v>
                </c:pt>
                <c:pt idx="1392">
                  <c:v>43341</c:v>
                </c:pt>
                <c:pt idx="1393">
                  <c:v>43340</c:v>
                </c:pt>
                <c:pt idx="1394">
                  <c:v>43339</c:v>
                </c:pt>
                <c:pt idx="1395">
                  <c:v>43336</c:v>
                </c:pt>
                <c:pt idx="1396">
                  <c:v>43335</c:v>
                </c:pt>
                <c:pt idx="1397">
                  <c:v>43334</c:v>
                </c:pt>
                <c:pt idx="1398">
                  <c:v>43333</c:v>
                </c:pt>
                <c:pt idx="1399">
                  <c:v>43332</c:v>
                </c:pt>
                <c:pt idx="1400">
                  <c:v>43329</c:v>
                </c:pt>
                <c:pt idx="1401">
                  <c:v>43328</c:v>
                </c:pt>
                <c:pt idx="1402">
                  <c:v>43327</c:v>
                </c:pt>
                <c:pt idx="1403">
                  <c:v>43326</c:v>
                </c:pt>
                <c:pt idx="1404">
                  <c:v>43325</c:v>
                </c:pt>
                <c:pt idx="1405">
                  <c:v>43322</c:v>
                </c:pt>
                <c:pt idx="1406">
                  <c:v>43321</c:v>
                </c:pt>
                <c:pt idx="1407">
                  <c:v>43320</c:v>
                </c:pt>
                <c:pt idx="1408">
                  <c:v>43319</c:v>
                </c:pt>
                <c:pt idx="1409">
                  <c:v>43318</c:v>
                </c:pt>
                <c:pt idx="1410">
                  <c:v>43315</c:v>
                </c:pt>
                <c:pt idx="1411">
                  <c:v>43314</c:v>
                </c:pt>
                <c:pt idx="1412">
                  <c:v>43313</c:v>
                </c:pt>
                <c:pt idx="1413">
                  <c:v>43312</c:v>
                </c:pt>
                <c:pt idx="1414">
                  <c:v>43311</c:v>
                </c:pt>
                <c:pt idx="1415">
                  <c:v>43308</c:v>
                </c:pt>
                <c:pt idx="1416">
                  <c:v>43307</c:v>
                </c:pt>
                <c:pt idx="1417">
                  <c:v>43306</c:v>
                </c:pt>
                <c:pt idx="1418">
                  <c:v>43305</c:v>
                </c:pt>
                <c:pt idx="1419">
                  <c:v>43304</c:v>
                </c:pt>
                <c:pt idx="1420">
                  <c:v>43301</c:v>
                </c:pt>
                <c:pt idx="1421">
                  <c:v>43300</c:v>
                </c:pt>
                <c:pt idx="1422">
                  <c:v>43299</c:v>
                </c:pt>
                <c:pt idx="1423">
                  <c:v>43298</c:v>
                </c:pt>
                <c:pt idx="1424">
                  <c:v>43297</c:v>
                </c:pt>
                <c:pt idx="1425">
                  <c:v>43294</c:v>
                </c:pt>
                <c:pt idx="1426">
                  <c:v>43293</c:v>
                </c:pt>
                <c:pt idx="1427">
                  <c:v>43292</c:v>
                </c:pt>
                <c:pt idx="1428">
                  <c:v>43291</c:v>
                </c:pt>
                <c:pt idx="1429">
                  <c:v>43290</c:v>
                </c:pt>
                <c:pt idx="1430">
                  <c:v>43287</c:v>
                </c:pt>
                <c:pt idx="1431">
                  <c:v>43286</c:v>
                </c:pt>
                <c:pt idx="1432">
                  <c:v>43285</c:v>
                </c:pt>
                <c:pt idx="1433">
                  <c:v>43284</c:v>
                </c:pt>
                <c:pt idx="1434">
                  <c:v>43283</c:v>
                </c:pt>
                <c:pt idx="1435">
                  <c:v>43280</c:v>
                </c:pt>
                <c:pt idx="1436">
                  <c:v>43279</c:v>
                </c:pt>
                <c:pt idx="1437">
                  <c:v>43278</c:v>
                </c:pt>
                <c:pt idx="1438">
                  <c:v>43277</c:v>
                </c:pt>
                <c:pt idx="1439">
                  <c:v>43276</c:v>
                </c:pt>
                <c:pt idx="1440">
                  <c:v>43273</c:v>
                </c:pt>
                <c:pt idx="1441">
                  <c:v>43272</c:v>
                </c:pt>
                <c:pt idx="1442">
                  <c:v>43271</c:v>
                </c:pt>
                <c:pt idx="1443">
                  <c:v>43270</c:v>
                </c:pt>
                <c:pt idx="1444">
                  <c:v>43269</c:v>
                </c:pt>
                <c:pt idx="1445">
                  <c:v>43266</c:v>
                </c:pt>
                <c:pt idx="1446">
                  <c:v>43265</c:v>
                </c:pt>
                <c:pt idx="1447">
                  <c:v>43264</c:v>
                </c:pt>
                <c:pt idx="1448">
                  <c:v>43263</c:v>
                </c:pt>
                <c:pt idx="1449">
                  <c:v>43262</c:v>
                </c:pt>
                <c:pt idx="1450">
                  <c:v>43259</c:v>
                </c:pt>
                <c:pt idx="1451">
                  <c:v>43258</c:v>
                </c:pt>
                <c:pt idx="1452">
                  <c:v>43257</c:v>
                </c:pt>
                <c:pt idx="1453">
                  <c:v>43256</c:v>
                </c:pt>
                <c:pt idx="1454">
                  <c:v>43255</c:v>
                </c:pt>
                <c:pt idx="1455">
                  <c:v>43252</c:v>
                </c:pt>
                <c:pt idx="1456">
                  <c:v>43251</c:v>
                </c:pt>
                <c:pt idx="1457">
                  <c:v>43250</c:v>
                </c:pt>
                <c:pt idx="1458">
                  <c:v>43249</c:v>
                </c:pt>
                <c:pt idx="1459">
                  <c:v>43248</c:v>
                </c:pt>
                <c:pt idx="1460">
                  <c:v>43245</c:v>
                </c:pt>
                <c:pt idx="1461">
                  <c:v>43244</c:v>
                </c:pt>
                <c:pt idx="1462">
                  <c:v>43243</c:v>
                </c:pt>
                <c:pt idx="1463">
                  <c:v>43242</c:v>
                </c:pt>
                <c:pt idx="1464">
                  <c:v>43241</c:v>
                </c:pt>
                <c:pt idx="1465">
                  <c:v>43238</c:v>
                </c:pt>
                <c:pt idx="1466">
                  <c:v>43237</c:v>
                </c:pt>
                <c:pt idx="1467">
                  <c:v>43236</c:v>
                </c:pt>
                <c:pt idx="1468">
                  <c:v>43235</c:v>
                </c:pt>
                <c:pt idx="1469">
                  <c:v>43234</c:v>
                </c:pt>
                <c:pt idx="1470">
                  <c:v>43231</c:v>
                </c:pt>
                <c:pt idx="1471">
                  <c:v>43230</c:v>
                </c:pt>
                <c:pt idx="1472">
                  <c:v>43229</c:v>
                </c:pt>
                <c:pt idx="1473">
                  <c:v>43228</c:v>
                </c:pt>
                <c:pt idx="1474">
                  <c:v>43227</c:v>
                </c:pt>
                <c:pt idx="1475">
                  <c:v>43224</c:v>
                </c:pt>
                <c:pt idx="1476">
                  <c:v>43223</c:v>
                </c:pt>
                <c:pt idx="1477">
                  <c:v>43222</c:v>
                </c:pt>
                <c:pt idx="1478">
                  <c:v>43221</c:v>
                </c:pt>
                <c:pt idx="1479">
                  <c:v>43220</c:v>
                </c:pt>
                <c:pt idx="1480">
                  <c:v>43217</c:v>
                </c:pt>
                <c:pt idx="1481">
                  <c:v>43216</c:v>
                </c:pt>
                <c:pt idx="1482">
                  <c:v>43215</c:v>
                </c:pt>
                <c:pt idx="1483">
                  <c:v>43214</c:v>
                </c:pt>
                <c:pt idx="1484">
                  <c:v>43213</c:v>
                </c:pt>
                <c:pt idx="1485">
                  <c:v>43210</c:v>
                </c:pt>
                <c:pt idx="1486">
                  <c:v>43209</c:v>
                </c:pt>
                <c:pt idx="1487">
                  <c:v>43208</c:v>
                </c:pt>
                <c:pt idx="1488">
                  <c:v>43207</c:v>
                </c:pt>
                <c:pt idx="1489">
                  <c:v>43206</c:v>
                </c:pt>
                <c:pt idx="1490">
                  <c:v>43203</c:v>
                </c:pt>
                <c:pt idx="1491">
                  <c:v>43202</c:v>
                </c:pt>
                <c:pt idx="1492">
                  <c:v>43201</c:v>
                </c:pt>
                <c:pt idx="1493">
                  <c:v>43200</c:v>
                </c:pt>
                <c:pt idx="1494">
                  <c:v>43199</c:v>
                </c:pt>
                <c:pt idx="1495">
                  <c:v>43196</c:v>
                </c:pt>
                <c:pt idx="1496">
                  <c:v>43195</c:v>
                </c:pt>
                <c:pt idx="1497">
                  <c:v>43194</c:v>
                </c:pt>
                <c:pt idx="1498">
                  <c:v>43193</c:v>
                </c:pt>
                <c:pt idx="1499">
                  <c:v>43192</c:v>
                </c:pt>
                <c:pt idx="1500">
                  <c:v>43189</c:v>
                </c:pt>
                <c:pt idx="1501">
                  <c:v>43188</c:v>
                </c:pt>
                <c:pt idx="1502">
                  <c:v>43187</c:v>
                </c:pt>
                <c:pt idx="1503">
                  <c:v>43186</c:v>
                </c:pt>
                <c:pt idx="1504">
                  <c:v>43185</c:v>
                </c:pt>
                <c:pt idx="1505">
                  <c:v>43182</c:v>
                </c:pt>
                <c:pt idx="1506">
                  <c:v>43181</c:v>
                </c:pt>
                <c:pt idx="1507">
                  <c:v>43180</c:v>
                </c:pt>
                <c:pt idx="1508">
                  <c:v>43179</c:v>
                </c:pt>
                <c:pt idx="1509">
                  <c:v>43178</c:v>
                </c:pt>
                <c:pt idx="1510">
                  <c:v>43175</c:v>
                </c:pt>
                <c:pt idx="1511">
                  <c:v>43174</c:v>
                </c:pt>
                <c:pt idx="1512">
                  <c:v>43173</c:v>
                </c:pt>
                <c:pt idx="1513">
                  <c:v>43172</c:v>
                </c:pt>
                <c:pt idx="1514">
                  <c:v>43171</c:v>
                </c:pt>
                <c:pt idx="1515">
                  <c:v>43168</c:v>
                </c:pt>
                <c:pt idx="1516">
                  <c:v>43167</c:v>
                </c:pt>
                <c:pt idx="1517">
                  <c:v>43166</c:v>
                </c:pt>
                <c:pt idx="1518">
                  <c:v>43165</c:v>
                </c:pt>
                <c:pt idx="1519">
                  <c:v>43164</c:v>
                </c:pt>
                <c:pt idx="1520">
                  <c:v>43161</c:v>
                </c:pt>
                <c:pt idx="1521">
                  <c:v>43160</c:v>
                </c:pt>
                <c:pt idx="1522">
                  <c:v>43159</c:v>
                </c:pt>
                <c:pt idx="1523">
                  <c:v>43158</c:v>
                </c:pt>
                <c:pt idx="1524">
                  <c:v>43157</c:v>
                </c:pt>
                <c:pt idx="1525">
                  <c:v>43154</c:v>
                </c:pt>
                <c:pt idx="1526">
                  <c:v>43153</c:v>
                </c:pt>
                <c:pt idx="1527">
                  <c:v>43152</c:v>
                </c:pt>
                <c:pt idx="1528">
                  <c:v>43151</c:v>
                </c:pt>
                <c:pt idx="1529">
                  <c:v>43150</c:v>
                </c:pt>
                <c:pt idx="1530">
                  <c:v>43147</c:v>
                </c:pt>
                <c:pt idx="1531">
                  <c:v>43146</c:v>
                </c:pt>
                <c:pt idx="1532">
                  <c:v>43145</c:v>
                </c:pt>
                <c:pt idx="1533">
                  <c:v>43144</c:v>
                </c:pt>
                <c:pt idx="1534">
                  <c:v>43143</c:v>
                </c:pt>
                <c:pt idx="1535">
                  <c:v>43140</c:v>
                </c:pt>
                <c:pt idx="1536">
                  <c:v>43139</c:v>
                </c:pt>
                <c:pt idx="1537">
                  <c:v>43138</c:v>
                </c:pt>
                <c:pt idx="1538">
                  <c:v>43137</c:v>
                </c:pt>
                <c:pt idx="1539">
                  <c:v>43136</c:v>
                </c:pt>
                <c:pt idx="1540">
                  <c:v>43133</c:v>
                </c:pt>
                <c:pt idx="1541">
                  <c:v>43132</c:v>
                </c:pt>
                <c:pt idx="1542">
                  <c:v>43131</c:v>
                </c:pt>
                <c:pt idx="1543">
                  <c:v>43130</c:v>
                </c:pt>
                <c:pt idx="1544">
                  <c:v>43129</c:v>
                </c:pt>
                <c:pt idx="1545">
                  <c:v>43126</c:v>
                </c:pt>
                <c:pt idx="1546">
                  <c:v>43125</c:v>
                </c:pt>
                <c:pt idx="1547">
                  <c:v>43124</c:v>
                </c:pt>
                <c:pt idx="1548">
                  <c:v>43123</c:v>
                </c:pt>
                <c:pt idx="1549">
                  <c:v>43122</c:v>
                </c:pt>
                <c:pt idx="1550">
                  <c:v>43119</c:v>
                </c:pt>
                <c:pt idx="1551">
                  <c:v>43118</c:v>
                </c:pt>
                <c:pt idx="1552">
                  <c:v>43117</c:v>
                </c:pt>
                <c:pt idx="1553">
                  <c:v>43116</c:v>
                </c:pt>
                <c:pt idx="1554">
                  <c:v>43115</c:v>
                </c:pt>
                <c:pt idx="1555">
                  <c:v>43112</c:v>
                </c:pt>
                <c:pt idx="1556">
                  <c:v>43111</c:v>
                </c:pt>
                <c:pt idx="1557">
                  <c:v>43110</c:v>
                </c:pt>
                <c:pt idx="1558">
                  <c:v>43109</c:v>
                </c:pt>
                <c:pt idx="1559">
                  <c:v>43108</c:v>
                </c:pt>
                <c:pt idx="1560">
                  <c:v>43105</c:v>
                </c:pt>
                <c:pt idx="1561">
                  <c:v>43104</c:v>
                </c:pt>
                <c:pt idx="1562">
                  <c:v>43103</c:v>
                </c:pt>
                <c:pt idx="1563">
                  <c:v>43102</c:v>
                </c:pt>
                <c:pt idx="1564">
                  <c:v>43101</c:v>
                </c:pt>
                <c:pt idx="1565">
                  <c:v>43098</c:v>
                </c:pt>
                <c:pt idx="1566">
                  <c:v>43097</c:v>
                </c:pt>
                <c:pt idx="1567">
                  <c:v>43096</c:v>
                </c:pt>
                <c:pt idx="1568">
                  <c:v>43095</c:v>
                </c:pt>
                <c:pt idx="1569">
                  <c:v>43094</c:v>
                </c:pt>
                <c:pt idx="1570">
                  <c:v>43091</c:v>
                </c:pt>
                <c:pt idx="1571">
                  <c:v>43090</c:v>
                </c:pt>
                <c:pt idx="1572">
                  <c:v>43089</c:v>
                </c:pt>
                <c:pt idx="1573">
                  <c:v>43088</c:v>
                </c:pt>
                <c:pt idx="1574">
                  <c:v>43087</c:v>
                </c:pt>
                <c:pt idx="1575">
                  <c:v>43084</c:v>
                </c:pt>
                <c:pt idx="1576">
                  <c:v>43083</c:v>
                </c:pt>
                <c:pt idx="1577">
                  <c:v>43082</c:v>
                </c:pt>
                <c:pt idx="1578">
                  <c:v>43081</c:v>
                </c:pt>
                <c:pt idx="1579">
                  <c:v>43080</c:v>
                </c:pt>
                <c:pt idx="1580">
                  <c:v>43077</c:v>
                </c:pt>
                <c:pt idx="1581">
                  <c:v>43076</c:v>
                </c:pt>
                <c:pt idx="1582">
                  <c:v>43075</c:v>
                </c:pt>
                <c:pt idx="1583">
                  <c:v>43074</c:v>
                </c:pt>
                <c:pt idx="1584">
                  <c:v>43073</c:v>
                </c:pt>
                <c:pt idx="1585">
                  <c:v>43070</c:v>
                </c:pt>
                <c:pt idx="1586">
                  <c:v>43069</c:v>
                </c:pt>
                <c:pt idx="1587">
                  <c:v>43068</c:v>
                </c:pt>
                <c:pt idx="1588">
                  <c:v>43067</c:v>
                </c:pt>
                <c:pt idx="1589">
                  <c:v>43066</c:v>
                </c:pt>
                <c:pt idx="1590">
                  <c:v>43063</c:v>
                </c:pt>
                <c:pt idx="1591">
                  <c:v>43062</c:v>
                </c:pt>
                <c:pt idx="1592">
                  <c:v>43061</c:v>
                </c:pt>
                <c:pt idx="1593">
                  <c:v>43060</c:v>
                </c:pt>
                <c:pt idx="1594">
                  <c:v>43059</c:v>
                </c:pt>
                <c:pt idx="1595">
                  <c:v>43056</c:v>
                </c:pt>
                <c:pt idx="1596">
                  <c:v>43055</c:v>
                </c:pt>
                <c:pt idx="1597">
                  <c:v>43054</c:v>
                </c:pt>
                <c:pt idx="1598">
                  <c:v>43053</c:v>
                </c:pt>
                <c:pt idx="1599">
                  <c:v>43052</c:v>
                </c:pt>
                <c:pt idx="1600">
                  <c:v>43049</c:v>
                </c:pt>
                <c:pt idx="1601">
                  <c:v>43048</c:v>
                </c:pt>
                <c:pt idx="1602">
                  <c:v>43047</c:v>
                </c:pt>
                <c:pt idx="1603">
                  <c:v>43046</c:v>
                </c:pt>
                <c:pt idx="1604">
                  <c:v>43045</c:v>
                </c:pt>
                <c:pt idx="1605">
                  <c:v>43042</c:v>
                </c:pt>
                <c:pt idx="1606">
                  <c:v>43041</c:v>
                </c:pt>
                <c:pt idx="1607">
                  <c:v>43040</c:v>
                </c:pt>
                <c:pt idx="1608">
                  <c:v>43039</c:v>
                </c:pt>
                <c:pt idx="1609">
                  <c:v>43038</c:v>
                </c:pt>
                <c:pt idx="1610">
                  <c:v>43035</c:v>
                </c:pt>
                <c:pt idx="1611">
                  <c:v>43034</c:v>
                </c:pt>
                <c:pt idx="1612">
                  <c:v>43033</c:v>
                </c:pt>
                <c:pt idx="1613">
                  <c:v>43032</c:v>
                </c:pt>
                <c:pt idx="1614">
                  <c:v>43031</c:v>
                </c:pt>
                <c:pt idx="1615">
                  <c:v>43028</c:v>
                </c:pt>
                <c:pt idx="1616">
                  <c:v>43027</c:v>
                </c:pt>
                <c:pt idx="1617">
                  <c:v>43026</c:v>
                </c:pt>
                <c:pt idx="1618">
                  <c:v>43025</c:v>
                </c:pt>
                <c:pt idx="1619">
                  <c:v>43024</c:v>
                </c:pt>
                <c:pt idx="1620">
                  <c:v>43021</c:v>
                </c:pt>
                <c:pt idx="1621">
                  <c:v>43020</c:v>
                </c:pt>
                <c:pt idx="1622">
                  <c:v>43019</c:v>
                </c:pt>
                <c:pt idx="1623">
                  <c:v>43018</c:v>
                </c:pt>
                <c:pt idx="1624">
                  <c:v>43017</c:v>
                </c:pt>
                <c:pt idx="1625">
                  <c:v>43014</c:v>
                </c:pt>
                <c:pt idx="1626">
                  <c:v>43013</c:v>
                </c:pt>
                <c:pt idx="1627">
                  <c:v>43012</c:v>
                </c:pt>
                <c:pt idx="1628">
                  <c:v>43011</c:v>
                </c:pt>
                <c:pt idx="1629">
                  <c:v>43010</c:v>
                </c:pt>
                <c:pt idx="1630">
                  <c:v>43007</c:v>
                </c:pt>
                <c:pt idx="1631">
                  <c:v>43006</c:v>
                </c:pt>
                <c:pt idx="1632">
                  <c:v>43005</c:v>
                </c:pt>
                <c:pt idx="1633">
                  <c:v>43004</c:v>
                </c:pt>
                <c:pt idx="1634">
                  <c:v>43003</c:v>
                </c:pt>
                <c:pt idx="1635">
                  <c:v>43000</c:v>
                </c:pt>
                <c:pt idx="1636">
                  <c:v>42999</c:v>
                </c:pt>
                <c:pt idx="1637">
                  <c:v>42998</c:v>
                </c:pt>
                <c:pt idx="1638">
                  <c:v>42997</c:v>
                </c:pt>
                <c:pt idx="1639">
                  <c:v>42996</c:v>
                </c:pt>
                <c:pt idx="1640">
                  <c:v>42993</c:v>
                </c:pt>
                <c:pt idx="1641">
                  <c:v>42992</c:v>
                </c:pt>
                <c:pt idx="1642">
                  <c:v>42991</c:v>
                </c:pt>
                <c:pt idx="1643">
                  <c:v>42990</c:v>
                </c:pt>
                <c:pt idx="1644">
                  <c:v>42989</c:v>
                </c:pt>
                <c:pt idx="1645">
                  <c:v>42986</c:v>
                </c:pt>
                <c:pt idx="1646">
                  <c:v>42985</c:v>
                </c:pt>
                <c:pt idx="1647">
                  <c:v>42984</c:v>
                </c:pt>
                <c:pt idx="1648">
                  <c:v>42983</c:v>
                </c:pt>
                <c:pt idx="1649">
                  <c:v>42982</c:v>
                </c:pt>
                <c:pt idx="1650">
                  <c:v>42979</c:v>
                </c:pt>
                <c:pt idx="1651">
                  <c:v>42978</c:v>
                </c:pt>
                <c:pt idx="1652">
                  <c:v>42977</c:v>
                </c:pt>
                <c:pt idx="1653">
                  <c:v>42976</c:v>
                </c:pt>
                <c:pt idx="1654">
                  <c:v>42975</c:v>
                </c:pt>
                <c:pt idx="1655">
                  <c:v>42972</c:v>
                </c:pt>
                <c:pt idx="1656">
                  <c:v>42971</c:v>
                </c:pt>
                <c:pt idx="1657">
                  <c:v>42970</c:v>
                </c:pt>
                <c:pt idx="1658">
                  <c:v>42969</c:v>
                </c:pt>
                <c:pt idx="1659">
                  <c:v>42968</c:v>
                </c:pt>
                <c:pt idx="1660">
                  <c:v>42965</c:v>
                </c:pt>
                <c:pt idx="1661">
                  <c:v>42964</c:v>
                </c:pt>
                <c:pt idx="1662">
                  <c:v>42963</c:v>
                </c:pt>
                <c:pt idx="1663">
                  <c:v>42962</c:v>
                </c:pt>
                <c:pt idx="1664">
                  <c:v>42961</c:v>
                </c:pt>
                <c:pt idx="1665">
                  <c:v>42958</c:v>
                </c:pt>
                <c:pt idx="1666">
                  <c:v>42957</c:v>
                </c:pt>
                <c:pt idx="1667">
                  <c:v>42956</c:v>
                </c:pt>
                <c:pt idx="1668">
                  <c:v>42955</c:v>
                </c:pt>
                <c:pt idx="1669">
                  <c:v>42954</c:v>
                </c:pt>
                <c:pt idx="1670">
                  <c:v>42951</c:v>
                </c:pt>
                <c:pt idx="1671">
                  <c:v>42950</c:v>
                </c:pt>
                <c:pt idx="1672">
                  <c:v>42949</c:v>
                </c:pt>
                <c:pt idx="1673">
                  <c:v>42948</c:v>
                </c:pt>
                <c:pt idx="1674">
                  <c:v>42947</c:v>
                </c:pt>
                <c:pt idx="1675">
                  <c:v>42944</c:v>
                </c:pt>
                <c:pt idx="1676">
                  <c:v>42943</c:v>
                </c:pt>
                <c:pt idx="1677">
                  <c:v>42942</c:v>
                </c:pt>
                <c:pt idx="1678">
                  <c:v>42941</c:v>
                </c:pt>
                <c:pt idx="1679">
                  <c:v>42940</c:v>
                </c:pt>
                <c:pt idx="1680">
                  <c:v>42937</c:v>
                </c:pt>
                <c:pt idx="1681">
                  <c:v>42936</c:v>
                </c:pt>
                <c:pt idx="1682">
                  <c:v>42935</c:v>
                </c:pt>
                <c:pt idx="1683">
                  <c:v>42934</c:v>
                </c:pt>
                <c:pt idx="1684">
                  <c:v>42933</c:v>
                </c:pt>
                <c:pt idx="1685">
                  <c:v>42930</c:v>
                </c:pt>
                <c:pt idx="1686">
                  <c:v>42929</c:v>
                </c:pt>
                <c:pt idx="1687">
                  <c:v>42928</c:v>
                </c:pt>
                <c:pt idx="1688">
                  <c:v>42927</c:v>
                </c:pt>
                <c:pt idx="1689">
                  <c:v>42926</c:v>
                </c:pt>
                <c:pt idx="1690">
                  <c:v>42923</c:v>
                </c:pt>
                <c:pt idx="1691">
                  <c:v>42922</c:v>
                </c:pt>
                <c:pt idx="1692">
                  <c:v>42921</c:v>
                </c:pt>
                <c:pt idx="1693">
                  <c:v>42920</c:v>
                </c:pt>
                <c:pt idx="1694">
                  <c:v>42919</c:v>
                </c:pt>
                <c:pt idx="1695">
                  <c:v>42916</c:v>
                </c:pt>
                <c:pt idx="1696">
                  <c:v>42915</c:v>
                </c:pt>
                <c:pt idx="1697">
                  <c:v>42914</c:v>
                </c:pt>
                <c:pt idx="1698">
                  <c:v>42913</c:v>
                </c:pt>
                <c:pt idx="1699">
                  <c:v>42912</c:v>
                </c:pt>
                <c:pt idx="1700">
                  <c:v>42909</c:v>
                </c:pt>
                <c:pt idx="1701">
                  <c:v>42908</c:v>
                </c:pt>
                <c:pt idx="1702">
                  <c:v>42907</c:v>
                </c:pt>
                <c:pt idx="1703">
                  <c:v>42906</c:v>
                </c:pt>
                <c:pt idx="1704">
                  <c:v>42905</c:v>
                </c:pt>
                <c:pt idx="1705">
                  <c:v>42902</c:v>
                </c:pt>
                <c:pt idx="1706">
                  <c:v>42901</c:v>
                </c:pt>
                <c:pt idx="1707">
                  <c:v>42900</c:v>
                </c:pt>
                <c:pt idx="1708">
                  <c:v>42899</c:v>
                </c:pt>
                <c:pt idx="1709">
                  <c:v>42898</c:v>
                </c:pt>
                <c:pt idx="1710">
                  <c:v>42895</c:v>
                </c:pt>
                <c:pt idx="1711">
                  <c:v>42894</c:v>
                </c:pt>
                <c:pt idx="1712">
                  <c:v>42893</c:v>
                </c:pt>
                <c:pt idx="1713">
                  <c:v>42892</c:v>
                </c:pt>
                <c:pt idx="1714">
                  <c:v>42891</c:v>
                </c:pt>
                <c:pt idx="1715">
                  <c:v>42888</c:v>
                </c:pt>
                <c:pt idx="1716">
                  <c:v>42887</c:v>
                </c:pt>
                <c:pt idx="1717">
                  <c:v>42886</c:v>
                </c:pt>
                <c:pt idx="1718">
                  <c:v>42885</c:v>
                </c:pt>
                <c:pt idx="1719">
                  <c:v>42884</c:v>
                </c:pt>
                <c:pt idx="1720">
                  <c:v>42881</c:v>
                </c:pt>
                <c:pt idx="1721">
                  <c:v>42880</c:v>
                </c:pt>
                <c:pt idx="1722">
                  <c:v>42879</c:v>
                </c:pt>
                <c:pt idx="1723">
                  <c:v>42878</c:v>
                </c:pt>
                <c:pt idx="1724">
                  <c:v>42877</c:v>
                </c:pt>
                <c:pt idx="1725">
                  <c:v>42874</c:v>
                </c:pt>
                <c:pt idx="1726">
                  <c:v>42873</c:v>
                </c:pt>
                <c:pt idx="1727">
                  <c:v>42872</c:v>
                </c:pt>
                <c:pt idx="1728">
                  <c:v>42871</c:v>
                </c:pt>
                <c:pt idx="1729">
                  <c:v>42870</c:v>
                </c:pt>
                <c:pt idx="1730">
                  <c:v>42867</c:v>
                </c:pt>
                <c:pt idx="1731">
                  <c:v>42866</c:v>
                </c:pt>
                <c:pt idx="1732">
                  <c:v>42865</c:v>
                </c:pt>
                <c:pt idx="1733">
                  <c:v>42864</c:v>
                </c:pt>
                <c:pt idx="1734">
                  <c:v>42863</c:v>
                </c:pt>
                <c:pt idx="1735">
                  <c:v>42860</c:v>
                </c:pt>
                <c:pt idx="1736">
                  <c:v>42859</c:v>
                </c:pt>
                <c:pt idx="1737">
                  <c:v>42858</c:v>
                </c:pt>
                <c:pt idx="1738">
                  <c:v>42857</c:v>
                </c:pt>
                <c:pt idx="1739">
                  <c:v>42856</c:v>
                </c:pt>
                <c:pt idx="1740">
                  <c:v>42853</c:v>
                </c:pt>
                <c:pt idx="1741">
                  <c:v>42852</c:v>
                </c:pt>
                <c:pt idx="1742">
                  <c:v>42851</c:v>
                </c:pt>
                <c:pt idx="1743">
                  <c:v>42850</c:v>
                </c:pt>
                <c:pt idx="1744">
                  <c:v>42849</c:v>
                </c:pt>
                <c:pt idx="1745">
                  <c:v>42846</c:v>
                </c:pt>
                <c:pt idx="1746">
                  <c:v>42845</c:v>
                </c:pt>
                <c:pt idx="1747">
                  <c:v>42844</c:v>
                </c:pt>
                <c:pt idx="1748">
                  <c:v>42843</c:v>
                </c:pt>
                <c:pt idx="1749">
                  <c:v>42842</c:v>
                </c:pt>
                <c:pt idx="1750">
                  <c:v>42839</c:v>
                </c:pt>
                <c:pt idx="1751">
                  <c:v>42838</c:v>
                </c:pt>
                <c:pt idx="1752">
                  <c:v>42837</c:v>
                </c:pt>
                <c:pt idx="1753">
                  <c:v>42836</c:v>
                </c:pt>
                <c:pt idx="1754">
                  <c:v>42835</c:v>
                </c:pt>
                <c:pt idx="1755">
                  <c:v>42832</c:v>
                </c:pt>
                <c:pt idx="1756">
                  <c:v>42831</c:v>
                </c:pt>
                <c:pt idx="1757">
                  <c:v>42830</c:v>
                </c:pt>
                <c:pt idx="1758">
                  <c:v>42829</c:v>
                </c:pt>
                <c:pt idx="1759">
                  <c:v>42828</c:v>
                </c:pt>
                <c:pt idx="1760">
                  <c:v>42825</c:v>
                </c:pt>
                <c:pt idx="1761">
                  <c:v>42824</c:v>
                </c:pt>
                <c:pt idx="1762">
                  <c:v>42823</c:v>
                </c:pt>
                <c:pt idx="1763">
                  <c:v>42822</c:v>
                </c:pt>
                <c:pt idx="1764">
                  <c:v>42821</c:v>
                </c:pt>
                <c:pt idx="1765">
                  <c:v>42818</c:v>
                </c:pt>
                <c:pt idx="1766">
                  <c:v>42817</c:v>
                </c:pt>
                <c:pt idx="1767">
                  <c:v>42816</c:v>
                </c:pt>
                <c:pt idx="1768">
                  <c:v>42815</c:v>
                </c:pt>
                <c:pt idx="1769">
                  <c:v>42814</c:v>
                </c:pt>
                <c:pt idx="1770">
                  <c:v>42811</c:v>
                </c:pt>
                <c:pt idx="1771">
                  <c:v>42810</c:v>
                </c:pt>
                <c:pt idx="1772">
                  <c:v>42809</c:v>
                </c:pt>
                <c:pt idx="1773">
                  <c:v>42808</c:v>
                </c:pt>
                <c:pt idx="1774">
                  <c:v>42807</c:v>
                </c:pt>
                <c:pt idx="1775">
                  <c:v>42804</c:v>
                </c:pt>
                <c:pt idx="1776">
                  <c:v>42803</c:v>
                </c:pt>
                <c:pt idx="1777">
                  <c:v>42802</c:v>
                </c:pt>
                <c:pt idx="1778">
                  <c:v>42801</c:v>
                </c:pt>
                <c:pt idx="1779">
                  <c:v>42800</c:v>
                </c:pt>
                <c:pt idx="1780">
                  <c:v>42797</c:v>
                </c:pt>
                <c:pt idx="1781">
                  <c:v>42796</c:v>
                </c:pt>
                <c:pt idx="1782">
                  <c:v>42795</c:v>
                </c:pt>
                <c:pt idx="1783">
                  <c:v>42794</c:v>
                </c:pt>
                <c:pt idx="1784">
                  <c:v>42793</c:v>
                </c:pt>
                <c:pt idx="1785">
                  <c:v>42790</c:v>
                </c:pt>
                <c:pt idx="1786">
                  <c:v>42789</c:v>
                </c:pt>
                <c:pt idx="1787">
                  <c:v>42788</c:v>
                </c:pt>
                <c:pt idx="1788">
                  <c:v>42787</c:v>
                </c:pt>
                <c:pt idx="1789">
                  <c:v>42786</c:v>
                </c:pt>
                <c:pt idx="1790">
                  <c:v>42783</c:v>
                </c:pt>
                <c:pt idx="1791">
                  <c:v>42782</c:v>
                </c:pt>
                <c:pt idx="1792">
                  <c:v>42781</c:v>
                </c:pt>
                <c:pt idx="1793">
                  <c:v>42780</c:v>
                </c:pt>
                <c:pt idx="1794">
                  <c:v>42779</c:v>
                </c:pt>
                <c:pt idx="1795">
                  <c:v>42776</c:v>
                </c:pt>
                <c:pt idx="1796">
                  <c:v>42775</c:v>
                </c:pt>
                <c:pt idx="1797">
                  <c:v>42774</c:v>
                </c:pt>
                <c:pt idx="1798">
                  <c:v>42773</c:v>
                </c:pt>
                <c:pt idx="1799">
                  <c:v>42772</c:v>
                </c:pt>
                <c:pt idx="1800">
                  <c:v>42769</c:v>
                </c:pt>
                <c:pt idx="1801">
                  <c:v>42768</c:v>
                </c:pt>
                <c:pt idx="1802">
                  <c:v>42767</c:v>
                </c:pt>
                <c:pt idx="1803">
                  <c:v>42766</c:v>
                </c:pt>
                <c:pt idx="1804">
                  <c:v>42765</c:v>
                </c:pt>
                <c:pt idx="1805">
                  <c:v>42762</c:v>
                </c:pt>
                <c:pt idx="1806">
                  <c:v>42761</c:v>
                </c:pt>
                <c:pt idx="1807">
                  <c:v>42760</c:v>
                </c:pt>
                <c:pt idx="1808">
                  <c:v>42759</c:v>
                </c:pt>
                <c:pt idx="1809">
                  <c:v>42758</c:v>
                </c:pt>
                <c:pt idx="1810">
                  <c:v>42755</c:v>
                </c:pt>
                <c:pt idx="1811">
                  <c:v>42754</c:v>
                </c:pt>
                <c:pt idx="1812">
                  <c:v>42753</c:v>
                </c:pt>
                <c:pt idx="1813">
                  <c:v>42752</c:v>
                </c:pt>
                <c:pt idx="1814">
                  <c:v>42751</c:v>
                </c:pt>
                <c:pt idx="1815">
                  <c:v>42748</c:v>
                </c:pt>
                <c:pt idx="1816">
                  <c:v>42747</c:v>
                </c:pt>
                <c:pt idx="1817">
                  <c:v>42746</c:v>
                </c:pt>
                <c:pt idx="1818">
                  <c:v>42745</c:v>
                </c:pt>
                <c:pt idx="1819">
                  <c:v>42744</c:v>
                </c:pt>
                <c:pt idx="1820">
                  <c:v>42741</c:v>
                </c:pt>
                <c:pt idx="1821">
                  <c:v>42740</c:v>
                </c:pt>
                <c:pt idx="1822">
                  <c:v>42739</c:v>
                </c:pt>
                <c:pt idx="1823">
                  <c:v>42738</c:v>
                </c:pt>
                <c:pt idx="1824">
                  <c:v>42737</c:v>
                </c:pt>
                <c:pt idx="1825">
                  <c:v>42734</c:v>
                </c:pt>
                <c:pt idx="1826">
                  <c:v>42733</c:v>
                </c:pt>
                <c:pt idx="1827">
                  <c:v>42732</c:v>
                </c:pt>
                <c:pt idx="1828">
                  <c:v>42731</c:v>
                </c:pt>
                <c:pt idx="1829">
                  <c:v>42730</c:v>
                </c:pt>
                <c:pt idx="1830">
                  <c:v>42727</c:v>
                </c:pt>
                <c:pt idx="1831">
                  <c:v>42726</c:v>
                </c:pt>
                <c:pt idx="1832">
                  <c:v>42725</c:v>
                </c:pt>
                <c:pt idx="1833">
                  <c:v>42724</c:v>
                </c:pt>
                <c:pt idx="1834">
                  <c:v>42723</c:v>
                </c:pt>
                <c:pt idx="1835">
                  <c:v>42720</c:v>
                </c:pt>
                <c:pt idx="1836">
                  <c:v>42719</c:v>
                </c:pt>
                <c:pt idx="1837">
                  <c:v>42718</c:v>
                </c:pt>
                <c:pt idx="1838">
                  <c:v>42717</c:v>
                </c:pt>
                <c:pt idx="1839">
                  <c:v>42716</c:v>
                </c:pt>
                <c:pt idx="1840">
                  <c:v>42713</c:v>
                </c:pt>
                <c:pt idx="1841">
                  <c:v>42712</c:v>
                </c:pt>
                <c:pt idx="1842">
                  <c:v>42711</c:v>
                </c:pt>
                <c:pt idx="1843">
                  <c:v>42710</c:v>
                </c:pt>
                <c:pt idx="1844">
                  <c:v>42709</c:v>
                </c:pt>
                <c:pt idx="1845">
                  <c:v>42706</c:v>
                </c:pt>
                <c:pt idx="1846">
                  <c:v>42705</c:v>
                </c:pt>
                <c:pt idx="1847">
                  <c:v>42704</c:v>
                </c:pt>
                <c:pt idx="1848">
                  <c:v>42703</c:v>
                </c:pt>
                <c:pt idx="1849">
                  <c:v>42702</c:v>
                </c:pt>
                <c:pt idx="1850">
                  <c:v>42699</c:v>
                </c:pt>
                <c:pt idx="1851">
                  <c:v>42698</c:v>
                </c:pt>
                <c:pt idx="1852">
                  <c:v>42697</c:v>
                </c:pt>
                <c:pt idx="1853">
                  <c:v>42696</c:v>
                </c:pt>
                <c:pt idx="1854">
                  <c:v>42695</c:v>
                </c:pt>
                <c:pt idx="1855">
                  <c:v>42692</c:v>
                </c:pt>
                <c:pt idx="1856">
                  <c:v>42691</c:v>
                </c:pt>
                <c:pt idx="1857">
                  <c:v>42690</c:v>
                </c:pt>
                <c:pt idx="1858">
                  <c:v>42689</c:v>
                </c:pt>
                <c:pt idx="1859">
                  <c:v>42688</c:v>
                </c:pt>
                <c:pt idx="1860">
                  <c:v>42685</c:v>
                </c:pt>
                <c:pt idx="1861">
                  <c:v>42684</c:v>
                </c:pt>
                <c:pt idx="1862">
                  <c:v>42683</c:v>
                </c:pt>
                <c:pt idx="1863">
                  <c:v>42682</c:v>
                </c:pt>
                <c:pt idx="1864">
                  <c:v>42681</c:v>
                </c:pt>
                <c:pt idx="1865">
                  <c:v>42678</c:v>
                </c:pt>
                <c:pt idx="1866">
                  <c:v>42677</c:v>
                </c:pt>
                <c:pt idx="1867">
                  <c:v>42676</c:v>
                </c:pt>
                <c:pt idx="1868">
                  <c:v>42675</c:v>
                </c:pt>
                <c:pt idx="1869">
                  <c:v>42674</c:v>
                </c:pt>
                <c:pt idx="1870">
                  <c:v>42671</c:v>
                </c:pt>
                <c:pt idx="1871">
                  <c:v>42670</c:v>
                </c:pt>
                <c:pt idx="1872">
                  <c:v>42669</c:v>
                </c:pt>
                <c:pt idx="1873">
                  <c:v>42668</c:v>
                </c:pt>
                <c:pt idx="1874">
                  <c:v>42667</c:v>
                </c:pt>
                <c:pt idx="1875">
                  <c:v>42664</c:v>
                </c:pt>
                <c:pt idx="1876">
                  <c:v>42663</c:v>
                </c:pt>
                <c:pt idx="1877">
                  <c:v>42662</c:v>
                </c:pt>
                <c:pt idx="1878">
                  <c:v>42661</c:v>
                </c:pt>
                <c:pt idx="1879">
                  <c:v>42660</c:v>
                </c:pt>
                <c:pt idx="1880">
                  <c:v>42657</c:v>
                </c:pt>
                <c:pt idx="1881">
                  <c:v>42656</c:v>
                </c:pt>
                <c:pt idx="1882">
                  <c:v>42655</c:v>
                </c:pt>
                <c:pt idx="1883">
                  <c:v>42654</c:v>
                </c:pt>
                <c:pt idx="1884">
                  <c:v>42653</c:v>
                </c:pt>
                <c:pt idx="1885">
                  <c:v>42650</c:v>
                </c:pt>
                <c:pt idx="1886">
                  <c:v>42649</c:v>
                </c:pt>
                <c:pt idx="1887">
                  <c:v>42648</c:v>
                </c:pt>
                <c:pt idx="1888">
                  <c:v>42647</c:v>
                </c:pt>
                <c:pt idx="1889">
                  <c:v>42646</c:v>
                </c:pt>
                <c:pt idx="1890">
                  <c:v>42643</c:v>
                </c:pt>
                <c:pt idx="1891">
                  <c:v>42642</c:v>
                </c:pt>
                <c:pt idx="1892">
                  <c:v>42641</c:v>
                </c:pt>
                <c:pt idx="1893">
                  <c:v>42640</c:v>
                </c:pt>
                <c:pt idx="1894">
                  <c:v>42639</c:v>
                </c:pt>
                <c:pt idx="1895">
                  <c:v>42636</c:v>
                </c:pt>
                <c:pt idx="1896">
                  <c:v>42635</c:v>
                </c:pt>
                <c:pt idx="1897">
                  <c:v>42634</c:v>
                </c:pt>
                <c:pt idx="1898">
                  <c:v>42633</c:v>
                </c:pt>
                <c:pt idx="1899">
                  <c:v>42632</c:v>
                </c:pt>
                <c:pt idx="1900">
                  <c:v>42629</c:v>
                </c:pt>
                <c:pt idx="1901">
                  <c:v>42628</c:v>
                </c:pt>
                <c:pt idx="1902">
                  <c:v>42627</c:v>
                </c:pt>
                <c:pt idx="1903">
                  <c:v>42626</c:v>
                </c:pt>
                <c:pt idx="1904">
                  <c:v>42625</c:v>
                </c:pt>
                <c:pt idx="1905">
                  <c:v>42622</c:v>
                </c:pt>
                <c:pt idx="1906">
                  <c:v>42621</c:v>
                </c:pt>
                <c:pt idx="1907">
                  <c:v>42620</c:v>
                </c:pt>
                <c:pt idx="1908">
                  <c:v>42619</c:v>
                </c:pt>
                <c:pt idx="1909">
                  <c:v>42618</c:v>
                </c:pt>
                <c:pt idx="1910">
                  <c:v>42615</c:v>
                </c:pt>
                <c:pt idx="1911">
                  <c:v>42614</c:v>
                </c:pt>
                <c:pt idx="1912">
                  <c:v>42613</c:v>
                </c:pt>
                <c:pt idx="1913">
                  <c:v>42612</c:v>
                </c:pt>
                <c:pt idx="1914">
                  <c:v>42611</c:v>
                </c:pt>
                <c:pt idx="1915">
                  <c:v>42608</c:v>
                </c:pt>
                <c:pt idx="1916">
                  <c:v>42607</c:v>
                </c:pt>
                <c:pt idx="1917">
                  <c:v>42606</c:v>
                </c:pt>
                <c:pt idx="1918">
                  <c:v>42605</c:v>
                </c:pt>
                <c:pt idx="1919">
                  <c:v>42604</c:v>
                </c:pt>
                <c:pt idx="1920">
                  <c:v>42601</c:v>
                </c:pt>
                <c:pt idx="1921">
                  <c:v>42600</c:v>
                </c:pt>
                <c:pt idx="1922">
                  <c:v>42599</c:v>
                </c:pt>
                <c:pt idx="1923">
                  <c:v>42598</c:v>
                </c:pt>
                <c:pt idx="1924">
                  <c:v>42597</c:v>
                </c:pt>
                <c:pt idx="1925">
                  <c:v>42594</c:v>
                </c:pt>
                <c:pt idx="1926">
                  <c:v>42593</c:v>
                </c:pt>
                <c:pt idx="1927">
                  <c:v>42592</c:v>
                </c:pt>
                <c:pt idx="1928">
                  <c:v>42591</c:v>
                </c:pt>
                <c:pt idx="1929">
                  <c:v>42590</c:v>
                </c:pt>
                <c:pt idx="1930">
                  <c:v>42587</c:v>
                </c:pt>
                <c:pt idx="1931">
                  <c:v>42586</c:v>
                </c:pt>
                <c:pt idx="1932">
                  <c:v>42585</c:v>
                </c:pt>
                <c:pt idx="1933">
                  <c:v>42584</c:v>
                </c:pt>
                <c:pt idx="1934">
                  <c:v>42583</c:v>
                </c:pt>
                <c:pt idx="1935">
                  <c:v>42580</c:v>
                </c:pt>
                <c:pt idx="1936">
                  <c:v>42579</c:v>
                </c:pt>
                <c:pt idx="1937">
                  <c:v>42578</c:v>
                </c:pt>
                <c:pt idx="1938">
                  <c:v>42577</c:v>
                </c:pt>
                <c:pt idx="1939">
                  <c:v>42576</c:v>
                </c:pt>
                <c:pt idx="1940">
                  <c:v>42573</c:v>
                </c:pt>
                <c:pt idx="1941">
                  <c:v>42572</c:v>
                </c:pt>
                <c:pt idx="1942">
                  <c:v>42571</c:v>
                </c:pt>
                <c:pt idx="1943">
                  <c:v>42570</c:v>
                </c:pt>
                <c:pt idx="1944">
                  <c:v>42569</c:v>
                </c:pt>
                <c:pt idx="1945">
                  <c:v>42566</c:v>
                </c:pt>
                <c:pt idx="1946">
                  <c:v>42565</c:v>
                </c:pt>
                <c:pt idx="1947">
                  <c:v>42564</c:v>
                </c:pt>
                <c:pt idx="1948">
                  <c:v>42563</c:v>
                </c:pt>
                <c:pt idx="1949">
                  <c:v>42562</c:v>
                </c:pt>
                <c:pt idx="1950">
                  <c:v>42559</c:v>
                </c:pt>
                <c:pt idx="1951">
                  <c:v>42558</c:v>
                </c:pt>
                <c:pt idx="1952">
                  <c:v>42557</c:v>
                </c:pt>
                <c:pt idx="1953">
                  <c:v>42556</c:v>
                </c:pt>
                <c:pt idx="1954">
                  <c:v>42555</c:v>
                </c:pt>
                <c:pt idx="1955">
                  <c:v>42552</c:v>
                </c:pt>
                <c:pt idx="1956">
                  <c:v>42551</c:v>
                </c:pt>
                <c:pt idx="1957">
                  <c:v>42550</c:v>
                </c:pt>
                <c:pt idx="1958">
                  <c:v>42549</c:v>
                </c:pt>
                <c:pt idx="1959">
                  <c:v>42548</c:v>
                </c:pt>
                <c:pt idx="1960">
                  <c:v>42545</c:v>
                </c:pt>
                <c:pt idx="1961">
                  <c:v>42544</c:v>
                </c:pt>
                <c:pt idx="1962">
                  <c:v>42543</c:v>
                </c:pt>
                <c:pt idx="1963">
                  <c:v>42542</c:v>
                </c:pt>
                <c:pt idx="1964">
                  <c:v>42541</c:v>
                </c:pt>
                <c:pt idx="1965">
                  <c:v>42538</c:v>
                </c:pt>
                <c:pt idx="1966">
                  <c:v>42537</c:v>
                </c:pt>
                <c:pt idx="1967">
                  <c:v>42536</c:v>
                </c:pt>
                <c:pt idx="1968">
                  <c:v>42535</c:v>
                </c:pt>
                <c:pt idx="1969">
                  <c:v>42534</c:v>
                </c:pt>
                <c:pt idx="1970">
                  <c:v>42531</c:v>
                </c:pt>
                <c:pt idx="1971">
                  <c:v>42530</c:v>
                </c:pt>
                <c:pt idx="1972">
                  <c:v>42529</c:v>
                </c:pt>
                <c:pt idx="1973">
                  <c:v>42528</c:v>
                </c:pt>
                <c:pt idx="1974">
                  <c:v>42527</c:v>
                </c:pt>
                <c:pt idx="1975">
                  <c:v>42524</c:v>
                </c:pt>
                <c:pt idx="1976">
                  <c:v>42523</c:v>
                </c:pt>
                <c:pt idx="1977">
                  <c:v>42522</c:v>
                </c:pt>
                <c:pt idx="1978">
                  <c:v>42521</c:v>
                </c:pt>
                <c:pt idx="1979">
                  <c:v>42520</c:v>
                </c:pt>
                <c:pt idx="1980">
                  <c:v>42517</c:v>
                </c:pt>
                <c:pt idx="1981">
                  <c:v>42516</c:v>
                </c:pt>
                <c:pt idx="1982">
                  <c:v>42515</c:v>
                </c:pt>
                <c:pt idx="1983">
                  <c:v>42514</c:v>
                </c:pt>
                <c:pt idx="1984">
                  <c:v>42513</c:v>
                </c:pt>
                <c:pt idx="1985">
                  <c:v>42510</c:v>
                </c:pt>
                <c:pt idx="1986">
                  <c:v>42509</c:v>
                </c:pt>
                <c:pt idx="1987">
                  <c:v>42508</c:v>
                </c:pt>
                <c:pt idx="1988">
                  <c:v>42507</c:v>
                </c:pt>
                <c:pt idx="1989">
                  <c:v>42506</c:v>
                </c:pt>
                <c:pt idx="1990">
                  <c:v>42503</c:v>
                </c:pt>
                <c:pt idx="1991">
                  <c:v>42502</c:v>
                </c:pt>
                <c:pt idx="1992">
                  <c:v>42501</c:v>
                </c:pt>
                <c:pt idx="1993">
                  <c:v>42500</c:v>
                </c:pt>
                <c:pt idx="1994">
                  <c:v>42499</c:v>
                </c:pt>
                <c:pt idx="1995">
                  <c:v>42496</c:v>
                </c:pt>
                <c:pt idx="1996">
                  <c:v>42495</c:v>
                </c:pt>
                <c:pt idx="1997">
                  <c:v>42494</c:v>
                </c:pt>
                <c:pt idx="1998">
                  <c:v>42493</c:v>
                </c:pt>
                <c:pt idx="1999">
                  <c:v>42492</c:v>
                </c:pt>
                <c:pt idx="2000">
                  <c:v>42489</c:v>
                </c:pt>
                <c:pt idx="2001">
                  <c:v>42488</c:v>
                </c:pt>
                <c:pt idx="2002">
                  <c:v>42487</c:v>
                </c:pt>
                <c:pt idx="2003">
                  <c:v>42486</c:v>
                </c:pt>
                <c:pt idx="2004">
                  <c:v>42485</c:v>
                </c:pt>
                <c:pt idx="2005">
                  <c:v>42482</c:v>
                </c:pt>
                <c:pt idx="2006">
                  <c:v>42481</c:v>
                </c:pt>
                <c:pt idx="2007">
                  <c:v>42480</c:v>
                </c:pt>
                <c:pt idx="2008">
                  <c:v>42479</c:v>
                </c:pt>
                <c:pt idx="2009">
                  <c:v>42478</c:v>
                </c:pt>
                <c:pt idx="2010">
                  <c:v>42475</c:v>
                </c:pt>
                <c:pt idx="2011">
                  <c:v>42474</c:v>
                </c:pt>
                <c:pt idx="2012">
                  <c:v>42473</c:v>
                </c:pt>
                <c:pt idx="2013">
                  <c:v>42472</c:v>
                </c:pt>
                <c:pt idx="2014">
                  <c:v>42471</c:v>
                </c:pt>
                <c:pt idx="2015">
                  <c:v>42468</c:v>
                </c:pt>
                <c:pt idx="2016">
                  <c:v>42467</c:v>
                </c:pt>
                <c:pt idx="2017">
                  <c:v>42466</c:v>
                </c:pt>
                <c:pt idx="2018">
                  <c:v>42465</c:v>
                </c:pt>
                <c:pt idx="2019">
                  <c:v>42464</c:v>
                </c:pt>
                <c:pt idx="2020">
                  <c:v>42461</c:v>
                </c:pt>
                <c:pt idx="2021">
                  <c:v>42460</c:v>
                </c:pt>
                <c:pt idx="2022">
                  <c:v>42459</c:v>
                </c:pt>
                <c:pt idx="2023">
                  <c:v>42458</c:v>
                </c:pt>
                <c:pt idx="2024">
                  <c:v>42457</c:v>
                </c:pt>
                <c:pt idx="2025">
                  <c:v>42454</c:v>
                </c:pt>
                <c:pt idx="2026">
                  <c:v>42453</c:v>
                </c:pt>
                <c:pt idx="2027">
                  <c:v>42452</c:v>
                </c:pt>
                <c:pt idx="2028">
                  <c:v>42451</c:v>
                </c:pt>
                <c:pt idx="2029">
                  <c:v>42450</c:v>
                </c:pt>
                <c:pt idx="2030">
                  <c:v>42447</c:v>
                </c:pt>
                <c:pt idx="2031">
                  <c:v>42446</c:v>
                </c:pt>
                <c:pt idx="2032">
                  <c:v>42445</c:v>
                </c:pt>
                <c:pt idx="2033">
                  <c:v>42444</c:v>
                </c:pt>
                <c:pt idx="2034">
                  <c:v>42443</c:v>
                </c:pt>
                <c:pt idx="2035">
                  <c:v>42440</c:v>
                </c:pt>
                <c:pt idx="2036">
                  <c:v>42439</c:v>
                </c:pt>
                <c:pt idx="2037">
                  <c:v>42438</c:v>
                </c:pt>
                <c:pt idx="2038">
                  <c:v>42437</c:v>
                </c:pt>
                <c:pt idx="2039">
                  <c:v>42436</c:v>
                </c:pt>
                <c:pt idx="2040">
                  <c:v>42433</c:v>
                </c:pt>
                <c:pt idx="2041">
                  <c:v>42432</c:v>
                </c:pt>
                <c:pt idx="2042">
                  <c:v>42431</c:v>
                </c:pt>
                <c:pt idx="2043">
                  <c:v>42430</c:v>
                </c:pt>
                <c:pt idx="2044">
                  <c:v>42429</c:v>
                </c:pt>
                <c:pt idx="2045">
                  <c:v>42426</c:v>
                </c:pt>
                <c:pt idx="2046">
                  <c:v>42425</c:v>
                </c:pt>
                <c:pt idx="2047">
                  <c:v>42424</c:v>
                </c:pt>
                <c:pt idx="2048">
                  <c:v>42423</c:v>
                </c:pt>
                <c:pt idx="2049">
                  <c:v>42422</c:v>
                </c:pt>
                <c:pt idx="2050">
                  <c:v>42419</c:v>
                </c:pt>
                <c:pt idx="2051">
                  <c:v>42418</c:v>
                </c:pt>
                <c:pt idx="2052">
                  <c:v>42417</c:v>
                </c:pt>
                <c:pt idx="2053">
                  <c:v>42416</c:v>
                </c:pt>
                <c:pt idx="2054">
                  <c:v>42415</c:v>
                </c:pt>
                <c:pt idx="2055">
                  <c:v>42412</c:v>
                </c:pt>
                <c:pt idx="2056">
                  <c:v>42411</c:v>
                </c:pt>
                <c:pt idx="2057">
                  <c:v>42410</c:v>
                </c:pt>
                <c:pt idx="2058">
                  <c:v>42409</c:v>
                </c:pt>
                <c:pt idx="2059">
                  <c:v>42408</c:v>
                </c:pt>
                <c:pt idx="2060">
                  <c:v>42405</c:v>
                </c:pt>
                <c:pt idx="2061">
                  <c:v>42404</c:v>
                </c:pt>
                <c:pt idx="2062">
                  <c:v>42403</c:v>
                </c:pt>
                <c:pt idx="2063">
                  <c:v>42402</c:v>
                </c:pt>
                <c:pt idx="2064">
                  <c:v>42401</c:v>
                </c:pt>
                <c:pt idx="2065">
                  <c:v>42398</c:v>
                </c:pt>
                <c:pt idx="2066">
                  <c:v>42397</c:v>
                </c:pt>
                <c:pt idx="2067">
                  <c:v>42396</c:v>
                </c:pt>
                <c:pt idx="2068">
                  <c:v>42395</c:v>
                </c:pt>
                <c:pt idx="2069">
                  <c:v>42394</c:v>
                </c:pt>
                <c:pt idx="2070">
                  <c:v>42391</c:v>
                </c:pt>
                <c:pt idx="2071">
                  <c:v>42390</c:v>
                </c:pt>
                <c:pt idx="2072">
                  <c:v>42389</c:v>
                </c:pt>
                <c:pt idx="2073">
                  <c:v>42388</c:v>
                </c:pt>
                <c:pt idx="2074">
                  <c:v>42387</c:v>
                </c:pt>
                <c:pt idx="2075">
                  <c:v>42384</c:v>
                </c:pt>
                <c:pt idx="2076">
                  <c:v>42383</c:v>
                </c:pt>
                <c:pt idx="2077">
                  <c:v>42382</c:v>
                </c:pt>
                <c:pt idx="2078">
                  <c:v>42381</c:v>
                </c:pt>
                <c:pt idx="2079">
                  <c:v>42380</c:v>
                </c:pt>
                <c:pt idx="2080">
                  <c:v>42377</c:v>
                </c:pt>
                <c:pt idx="2081">
                  <c:v>42376</c:v>
                </c:pt>
                <c:pt idx="2082">
                  <c:v>42375</c:v>
                </c:pt>
                <c:pt idx="2083">
                  <c:v>42374</c:v>
                </c:pt>
                <c:pt idx="2084">
                  <c:v>42373</c:v>
                </c:pt>
                <c:pt idx="2085">
                  <c:v>42370</c:v>
                </c:pt>
                <c:pt idx="2086">
                  <c:v>42369</c:v>
                </c:pt>
                <c:pt idx="2087">
                  <c:v>42368</c:v>
                </c:pt>
                <c:pt idx="2088">
                  <c:v>42367</c:v>
                </c:pt>
                <c:pt idx="2089">
                  <c:v>42366</c:v>
                </c:pt>
                <c:pt idx="2090">
                  <c:v>42363</c:v>
                </c:pt>
                <c:pt idx="2091">
                  <c:v>42362</c:v>
                </c:pt>
                <c:pt idx="2092">
                  <c:v>42361</c:v>
                </c:pt>
                <c:pt idx="2093">
                  <c:v>42360</c:v>
                </c:pt>
                <c:pt idx="2094">
                  <c:v>42359</c:v>
                </c:pt>
                <c:pt idx="2095">
                  <c:v>42356</c:v>
                </c:pt>
                <c:pt idx="2096">
                  <c:v>42355</c:v>
                </c:pt>
                <c:pt idx="2097">
                  <c:v>42354</c:v>
                </c:pt>
                <c:pt idx="2098">
                  <c:v>42353</c:v>
                </c:pt>
                <c:pt idx="2099">
                  <c:v>42352</c:v>
                </c:pt>
                <c:pt idx="2100">
                  <c:v>42349</c:v>
                </c:pt>
                <c:pt idx="2101">
                  <c:v>42348</c:v>
                </c:pt>
                <c:pt idx="2102">
                  <c:v>42347</c:v>
                </c:pt>
                <c:pt idx="2103">
                  <c:v>42346</c:v>
                </c:pt>
                <c:pt idx="2104">
                  <c:v>42345</c:v>
                </c:pt>
                <c:pt idx="2105">
                  <c:v>42342</c:v>
                </c:pt>
                <c:pt idx="2106">
                  <c:v>42341</c:v>
                </c:pt>
                <c:pt idx="2107">
                  <c:v>42340</c:v>
                </c:pt>
                <c:pt idx="2108">
                  <c:v>42339</c:v>
                </c:pt>
                <c:pt idx="2109">
                  <c:v>42338</c:v>
                </c:pt>
                <c:pt idx="2110">
                  <c:v>42335</c:v>
                </c:pt>
                <c:pt idx="2111">
                  <c:v>42334</c:v>
                </c:pt>
                <c:pt idx="2112">
                  <c:v>42333</c:v>
                </c:pt>
                <c:pt idx="2113">
                  <c:v>42332</c:v>
                </c:pt>
                <c:pt idx="2114">
                  <c:v>42331</c:v>
                </c:pt>
                <c:pt idx="2115">
                  <c:v>42328</c:v>
                </c:pt>
                <c:pt idx="2116">
                  <c:v>42327</c:v>
                </c:pt>
                <c:pt idx="2117">
                  <c:v>42326</c:v>
                </c:pt>
                <c:pt idx="2118">
                  <c:v>42325</c:v>
                </c:pt>
                <c:pt idx="2119">
                  <c:v>42324</c:v>
                </c:pt>
                <c:pt idx="2120">
                  <c:v>42321</c:v>
                </c:pt>
                <c:pt idx="2121">
                  <c:v>42320</c:v>
                </c:pt>
                <c:pt idx="2122">
                  <c:v>42319</c:v>
                </c:pt>
                <c:pt idx="2123">
                  <c:v>42318</c:v>
                </c:pt>
                <c:pt idx="2124">
                  <c:v>42317</c:v>
                </c:pt>
                <c:pt idx="2125">
                  <c:v>42314</c:v>
                </c:pt>
                <c:pt idx="2126">
                  <c:v>42313</c:v>
                </c:pt>
                <c:pt idx="2127">
                  <c:v>42312</c:v>
                </c:pt>
                <c:pt idx="2128">
                  <c:v>42311</c:v>
                </c:pt>
                <c:pt idx="2129">
                  <c:v>42310</c:v>
                </c:pt>
                <c:pt idx="2130">
                  <c:v>42307</c:v>
                </c:pt>
                <c:pt idx="2131">
                  <c:v>42306</c:v>
                </c:pt>
                <c:pt idx="2132">
                  <c:v>42305</c:v>
                </c:pt>
                <c:pt idx="2133">
                  <c:v>42304</c:v>
                </c:pt>
                <c:pt idx="2134">
                  <c:v>42303</c:v>
                </c:pt>
                <c:pt idx="2135">
                  <c:v>42300</c:v>
                </c:pt>
                <c:pt idx="2136">
                  <c:v>42299</c:v>
                </c:pt>
                <c:pt idx="2137">
                  <c:v>42298</c:v>
                </c:pt>
                <c:pt idx="2138">
                  <c:v>42297</c:v>
                </c:pt>
                <c:pt idx="2139">
                  <c:v>42296</c:v>
                </c:pt>
                <c:pt idx="2140">
                  <c:v>42293</c:v>
                </c:pt>
                <c:pt idx="2141">
                  <c:v>42292</c:v>
                </c:pt>
                <c:pt idx="2142">
                  <c:v>42291</c:v>
                </c:pt>
                <c:pt idx="2143">
                  <c:v>42290</c:v>
                </c:pt>
                <c:pt idx="2144">
                  <c:v>42289</c:v>
                </c:pt>
                <c:pt idx="2145">
                  <c:v>42286</c:v>
                </c:pt>
                <c:pt idx="2146">
                  <c:v>42285</c:v>
                </c:pt>
                <c:pt idx="2147">
                  <c:v>42284</c:v>
                </c:pt>
                <c:pt idx="2148">
                  <c:v>42283</c:v>
                </c:pt>
                <c:pt idx="2149">
                  <c:v>42282</c:v>
                </c:pt>
                <c:pt idx="2150">
                  <c:v>42279</c:v>
                </c:pt>
                <c:pt idx="2151">
                  <c:v>42278</c:v>
                </c:pt>
                <c:pt idx="2152">
                  <c:v>42277</c:v>
                </c:pt>
                <c:pt idx="2153">
                  <c:v>42276</c:v>
                </c:pt>
                <c:pt idx="2154">
                  <c:v>42275</c:v>
                </c:pt>
                <c:pt idx="2155">
                  <c:v>42272</c:v>
                </c:pt>
                <c:pt idx="2156">
                  <c:v>42271</c:v>
                </c:pt>
                <c:pt idx="2157">
                  <c:v>42270</c:v>
                </c:pt>
                <c:pt idx="2158">
                  <c:v>42269</c:v>
                </c:pt>
                <c:pt idx="2159">
                  <c:v>42268</c:v>
                </c:pt>
                <c:pt idx="2160">
                  <c:v>42265</c:v>
                </c:pt>
                <c:pt idx="2161">
                  <c:v>42264</c:v>
                </c:pt>
                <c:pt idx="2162">
                  <c:v>42263</c:v>
                </c:pt>
                <c:pt idx="2163">
                  <c:v>42262</c:v>
                </c:pt>
                <c:pt idx="2164">
                  <c:v>42261</c:v>
                </c:pt>
                <c:pt idx="2165">
                  <c:v>42258</c:v>
                </c:pt>
                <c:pt idx="2166">
                  <c:v>42257</c:v>
                </c:pt>
                <c:pt idx="2167">
                  <c:v>42256</c:v>
                </c:pt>
                <c:pt idx="2168">
                  <c:v>42255</c:v>
                </c:pt>
                <c:pt idx="2169">
                  <c:v>42254</c:v>
                </c:pt>
                <c:pt idx="2170">
                  <c:v>42251</c:v>
                </c:pt>
                <c:pt idx="2171">
                  <c:v>42250</c:v>
                </c:pt>
                <c:pt idx="2172">
                  <c:v>42249</c:v>
                </c:pt>
                <c:pt idx="2173">
                  <c:v>42248</c:v>
                </c:pt>
                <c:pt idx="2174">
                  <c:v>42247</c:v>
                </c:pt>
                <c:pt idx="2175">
                  <c:v>42244</c:v>
                </c:pt>
                <c:pt idx="2176">
                  <c:v>42243</c:v>
                </c:pt>
                <c:pt idx="2177">
                  <c:v>42242</c:v>
                </c:pt>
                <c:pt idx="2178">
                  <c:v>42241</c:v>
                </c:pt>
                <c:pt idx="2179">
                  <c:v>42240</c:v>
                </c:pt>
                <c:pt idx="2180">
                  <c:v>42237</c:v>
                </c:pt>
                <c:pt idx="2181">
                  <c:v>42236</c:v>
                </c:pt>
                <c:pt idx="2182">
                  <c:v>42235</c:v>
                </c:pt>
                <c:pt idx="2183">
                  <c:v>42234</c:v>
                </c:pt>
                <c:pt idx="2184">
                  <c:v>42233</c:v>
                </c:pt>
                <c:pt idx="2185">
                  <c:v>42230</c:v>
                </c:pt>
                <c:pt idx="2186">
                  <c:v>42229</c:v>
                </c:pt>
                <c:pt idx="2187">
                  <c:v>42228</c:v>
                </c:pt>
                <c:pt idx="2188">
                  <c:v>42227</c:v>
                </c:pt>
                <c:pt idx="2189">
                  <c:v>42226</c:v>
                </c:pt>
                <c:pt idx="2190">
                  <c:v>42223</c:v>
                </c:pt>
                <c:pt idx="2191">
                  <c:v>42222</c:v>
                </c:pt>
                <c:pt idx="2192">
                  <c:v>42221</c:v>
                </c:pt>
                <c:pt idx="2193">
                  <c:v>42220</c:v>
                </c:pt>
                <c:pt idx="2194">
                  <c:v>42219</c:v>
                </c:pt>
                <c:pt idx="2195">
                  <c:v>42216</c:v>
                </c:pt>
                <c:pt idx="2196">
                  <c:v>42215</c:v>
                </c:pt>
                <c:pt idx="2197">
                  <c:v>42214</c:v>
                </c:pt>
                <c:pt idx="2198">
                  <c:v>42213</c:v>
                </c:pt>
                <c:pt idx="2199">
                  <c:v>42212</c:v>
                </c:pt>
                <c:pt idx="2200">
                  <c:v>42209</c:v>
                </c:pt>
                <c:pt idx="2201">
                  <c:v>42208</c:v>
                </c:pt>
                <c:pt idx="2202">
                  <c:v>42207</c:v>
                </c:pt>
                <c:pt idx="2203">
                  <c:v>42206</c:v>
                </c:pt>
                <c:pt idx="2204">
                  <c:v>42205</c:v>
                </c:pt>
                <c:pt idx="2205">
                  <c:v>42202</c:v>
                </c:pt>
                <c:pt idx="2206">
                  <c:v>42201</c:v>
                </c:pt>
                <c:pt idx="2207">
                  <c:v>42200</c:v>
                </c:pt>
                <c:pt idx="2208">
                  <c:v>42199</c:v>
                </c:pt>
                <c:pt idx="2209">
                  <c:v>42198</c:v>
                </c:pt>
                <c:pt idx="2210">
                  <c:v>42195</c:v>
                </c:pt>
                <c:pt idx="2211">
                  <c:v>42194</c:v>
                </c:pt>
                <c:pt idx="2212">
                  <c:v>42193</c:v>
                </c:pt>
                <c:pt idx="2213">
                  <c:v>42192</c:v>
                </c:pt>
                <c:pt idx="2214">
                  <c:v>42191</c:v>
                </c:pt>
                <c:pt idx="2215">
                  <c:v>42188</c:v>
                </c:pt>
                <c:pt idx="2216">
                  <c:v>42187</c:v>
                </c:pt>
                <c:pt idx="2217">
                  <c:v>42186</c:v>
                </c:pt>
                <c:pt idx="2218">
                  <c:v>42185</c:v>
                </c:pt>
                <c:pt idx="2219">
                  <c:v>42184</c:v>
                </c:pt>
                <c:pt idx="2220">
                  <c:v>42181</c:v>
                </c:pt>
                <c:pt idx="2221">
                  <c:v>42180</c:v>
                </c:pt>
                <c:pt idx="2222">
                  <c:v>42179</c:v>
                </c:pt>
                <c:pt idx="2223">
                  <c:v>42178</c:v>
                </c:pt>
                <c:pt idx="2224">
                  <c:v>42177</c:v>
                </c:pt>
                <c:pt idx="2225">
                  <c:v>42174</c:v>
                </c:pt>
                <c:pt idx="2226">
                  <c:v>42173</c:v>
                </c:pt>
                <c:pt idx="2227">
                  <c:v>42172</c:v>
                </c:pt>
                <c:pt idx="2228">
                  <c:v>42171</c:v>
                </c:pt>
                <c:pt idx="2229">
                  <c:v>42170</c:v>
                </c:pt>
                <c:pt idx="2230">
                  <c:v>42167</c:v>
                </c:pt>
                <c:pt idx="2231">
                  <c:v>42166</c:v>
                </c:pt>
                <c:pt idx="2232">
                  <c:v>42165</c:v>
                </c:pt>
                <c:pt idx="2233">
                  <c:v>42164</c:v>
                </c:pt>
                <c:pt idx="2234">
                  <c:v>42163</c:v>
                </c:pt>
                <c:pt idx="2235">
                  <c:v>42160</c:v>
                </c:pt>
                <c:pt idx="2236">
                  <c:v>42159</c:v>
                </c:pt>
                <c:pt idx="2237">
                  <c:v>42158</c:v>
                </c:pt>
                <c:pt idx="2238">
                  <c:v>42157</c:v>
                </c:pt>
                <c:pt idx="2239">
                  <c:v>42156</c:v>
                </c:pt>
                <c:pt idx="2240">
                  <c:v>42153</c:v>
                </c:pt>
                <c:pt idx="2241">
                  <c:v>42152</c:v>
                </c:pt>
                <c:pt idx="2242">
                  <c:v>42151</c:v>
                </c:pt>
                <c:pt idx="2243">
                  <c:v>42150</c:v>
                </c:pt>
                <c:pt idx="2244">
                  <c:v>42149</c:v>
                </c:pt>
                <c:pt idx="2245">
                  <c:v>42146</c:v>
                </c:pt>
                <c:pt idx="2246">
                  <c:v>42145</c:v>
                </c:pt>
                <c:pt idx="2247">
                  <c:v>42144</c:v>
                </c:pt>
                <c:pt idx="2248">
                  <c:v>42143</c:v>
                </c:pt>
                <c:pt idx="2249">
                  <c:v>42142</c:v>
                </c:pt>
                <c:pt idx="2250">
                  <c:v>42139</c:v>
                </c:pt>
                <c:pt idx="2251">
                  <c:v>42138</c:v>
                </c:pt>
                <c:pt idx="2252">
                  <c:v>42137</c:v>
                </c:pt>
                <c:pt idx="2253">
                  <c:v>42136</c:v>
                </c:pt>
                <c:pt idx="2254">
                  <c:v>42135</c:v>
                </c:pt>
                <c:pt idx="2255">
                  <c:v>42132</c:v>
                </c:pt>
                <c:pt idx="2256">
                  <c:v>42131</c:v>
                </c:pt>
                <c:pt idx="2257">
                  <c:v>42130</c:v>
                </c:pt>
                <c:pt idx="2258">
                  <c:v>42129</c:v>
                </c:pt>
                <c:pt idx="2259">
                  <c:v>42128</c:v>
                </c:pt>
                <c:pt idx="2260">
                  <c:v>42125</c:v>
                </c:pt>
                <c:pt idx="2261">
                  <c:v>42124</c:v>
                </c:pt>
                <c:pt idx="2262">
                  <c:v>42123</c:v>
                </c:pt>
                <c:pt idx="2263">
                  <c:v>42122</c:v>
                </c:pt>
                <c:pt idx="2264">
                  <c:v>42121</c:v>
                </c:pt>
                <c:pt idx="2265">
                  <c:v>42118</c:v>
                </c:pt>
                <c:pt idx="2266">
                  <c:v>42117</c:v>
                </c:pt>
                <c:pt idx="2267">
                  <c:v>42116</c:v>
                </c:pt>
                <c:pt idx="2268">
                  <c:v>42115</c:v>
                </c:pt>
                <c:pt idx="2269">
                  <c:v>42114</c:v>
                </c:pt>
                <c:pt idx="2270">
                  <c:v>42111</c:v>
                </c:pt>
                <c:pt idx="2271">
                  <c:v>42110</c:v>
                </c:pt>
                <c:pt idx="2272">
                  <c:v>42109</c:v>
                </c:pt>
                <c:pt idx="2273">
                  <c:v>42108</c:v>
                </c:pt>
                <c:pt idx="2274">
                  <c:v>42107</c:v>
                </c:pt>
                <c:pt idx="2275">
                  <c:v>42104</c:v>
                </c:pt>
                <c:pt idx="2276">
                  <c:v>42103</c:v>
                </c:pt>
                <c:pt idx="2277">
                  <c:v>42102</c:v>
                </c:pt>
                <c:pt idx="2278">
                  <c:v>42101</c:v>
                </c:pt>
                <c:pt idx="2279">
                  <c:v>42100</c:v>
                </c:pt>
                <c:pt idx="2280">
                  <c:v>42097</c:v>
                </c:pt>
                <c:pt idx="2281">
                  <c:v>42096</c:v>
                </c:pt>
                <c:pt idx="2282">
                  <c:v>42095</c:v>
                </c:pt>
                <c:pt idx="2283">
                  <c:v>42094</c:v>
                </c:pt>
                <c:pt idx="2284">
                  <c:v>42093</c:v>
                </c:pt>
                <c:pt idx="2285">
                  <c:v>42090</c:v>
                </c:pt>
                <c:pt idx="2286">
                  <c:v>42089</c:v>
                </c:pt>
                <c:pt idx="2287">
                  <c:v>42088</c:v>
                </c:pt>
                <c:pt idx="2288">
                  <c:v>42087</c:v>
                </c:pt>
                <c:pt idx="2289">
                  <c:v>42086</c:v>
                </c:pt>
                <c:pt idx="2290">
                  <c:v>42083</c:v>
                </c:pt>
                <c:pt idx="2291">
                  <c:v>42082</c:v>
                </c:pt>
                <c:pt idx="2292">
                  <c:v>42081</c:v>
                </c:pt>
                <c:pt idx="2293">
                  <c:v>42080</c:v>
                </c:pt>
                <c:pt idx="2294">
                  <c:v>42079</c:v>
                </c:pt>
                <c:pt idx="2295">
                  <c:v>42076</c:v>
                </c:pt>
                <c:pt idx="2296">
                  <c:v>42075</c:v>
                </c:pt>
                <c:pt idx="2297">
                  <c:v>42074</c:v>
                </c:pt>
                <c:pt idx="2298">
                  <c:v>42073</c:v>
                </c:pt>
                <c:pt idx="2299">
                  <c:v>42072</c:v>
                </c:pt>
                <c:pt idx="2300">
                  <c:v>42069</c:v>
                </c:pt>
                <c:pt idx="2301">
                  <c:v>42068</c:v>
                </c:pt>
                <c:pt idx="2302">
                  <c:v>42067</c:v>
                </c:pt>
                <c:pt idx="2303">
                  <c:v>42066</c:v>
                </c:pt>
                <c:pt idx="2304">
                  <c:v>42065</c:v>
                </c:pt>
                <c:pt idx="2305">
                  <c:v>42062</c:v>
                </c:pt>
                <c:pt idx="2306">
                  <c:v>42061</c:v>
                </c:pt>
                <c:pt idx="2307">
                  <c:v>42060</c:v>
                </c:pt>
                <c:pt idx="2308">
                  <c:v>42059</c:v>
                </c:pt>
                <c:pt idx="2309">
                  <c:v>42058</c:v>
                </c:pt>
                <c:pt idx="2310">
                  <c:v>42055</c:v>
                </c:pt>
                <c:pt idx="2311">
                  <c:v>42054</c:v>
                </c:pt>
                <c:pt idx="2312">
                  <c:v>42053</c:v>
                </c:pt>
                <c:pt idx="2313">
                  <c:v>42052</c:v>
                </c:pt>
                <c:pt idx="2314">
                  <c:v>42051</c:v>
                </c:pt>
                <c:pt idx="2315">
                  <c:v>42048</c:v>
                </c:pt>
                <c:pt idx="2316">
                  <c:v>42047</c:v>
                </c:pt>
                <c:pt idx="2317">
                  <c:v>42046</c:v>
                </c:pt>
                <c:pt idx="2318">
                  <c:v>42045</c:v>
                </c:pt>
                <c:pt idx="2319">
                  <c:v>42044</c:v>
                </c:pt>
                <c:pt idx="2320">
                  <c:v>42041</c:v>
                </c:pt>
                <c:pt idx="2321">
                  <c:v>42040</c:v>
                </c:pt>
                <c:pt idx="2322">
                  <c:v>42039</c:v>
                </c:pt>
                <c:pt idx="2323">
                  <c:v>42038</c:v>
                </c:pt>
                <c:pt idx="2324">
                  <c:v>42037</c:v>
                </c:pt>
                <c:pt idx="2325">
                  <c:v>42034</c:v>
                </c:pt>
                <c:pt idx="2326">
                  <c:v>42033</c:v>
                </c:pt>
                <c:pt idx="2327">
                  <c:v>42032</c:v>
                </c:pt>
                <c:pt idx="2328">
                  <c:v>42031</c:v>
                </c:pt>
                <c:pt idx="2329">
                  <c:v>42030</c:v>
                </c:pt>
                <c:pt idx="2330">
                  <c:v>42027</c:v>
                </c:pt>
                <c:pt idx="2331">
                  <c:v>42026</c:v>
                </c:pt>
                <c:pt idx="2332">
                  <c:v>42025</c:v>
                </c:pt>
                <c:pt idx="2333">
                  <c:v>42024</c:v>
                </c:pt>
                <c:pt idx="2334">
                  <c:v>42023</c:v>
                </c:pt>
                <c:pt idx="2335">
                  <c:v>42020</c:v>
                </c:pt>
                <c:pt idx="2336">
                  <c:v>42019</c:v>
                </c:pt>
                <c:pt idx="2337">
                  <c:v>42018</c:v>
                </c:pt>
                <c:pt idx="2338">
                  <c:v>42017</c:v>
                </c:pt>
                <c:pt idx="2339">
                  <c:v>42016</c:v>
                </c:pt>
                <c:pt idx="2340">
                  <c:v>42013</c:v>
                </c:pt>
                <c:pt idx="2341">
                  <c:v>42012</c:v>
                </c:pt>
                <c:pt idx="2342">
                  <c:v>42011</c:v>
                </c:pt>
                <c:pt idx="2343">
                  <c:v>42010</c:v>
                </c:pt>
                <c:pt idx="2344">
                  <c:v>42009</c:v>
                </c:pt>
                <c:pt idx="2345">
                  <c:v>42006</c:v>
                </c:pt>
                <c:pt idx="2346">
                  <c:v>42005</c:v>
                </c:pt>
                <c:pt idx="2347">
                  <c:v>42004</c:v>
                </c:pt>
                <c:pt idx="2348">
                  <c:v>42003</c:v>
                </c:pt>
                <c:pt idx="2349">
                  <c:v>42002</c:v>
                </c:pt>
                <c:pt idx="2350">
                  <c:v>41999</c:v>
                </c:pt>
                <c:pt idx="2351">
                  <c:v>41998</c:v>
                </c:pt>
                <c:pt idx="2352">
                  <c:v>41997</c:v>
                </c:pt>
                <c:pt idx="2353">
                  <c:v>41996</c:v>
                </c:pt>
                <c:pt idx="2354">
                  <c:v>41995</c:v>
                </c:pt>
                <c:pt idx="2355">
                  <c:v>41992</c:v>
                </c:pt>
                <c:pt idx="2356">
                  <c:v>41991</c:v>
                </c:pt>
                <c:pt idx="2357">
                  <c:v>41990</c:v>
                </c:pt>
                <c:pt idx="2358">
                  <c:v>41989</c:v>
                </c:pt>
                <c:pt idx="2359">
                  <c:v>41988</c:v>
                </c:pt>
                <c:pt idx="2360">
                  <c:v>41985</c:v>
                </c:pt>
                <c:pt idx="2361">
                  <c:v>41984</c:v>
                </c:pt>
                <c:pt idx="2362">
                  <c:v>41983</c:v>
                </c:pt>
                <c:pt idx="2363">
                  <c:v>41982</c:v>
                </c:pt>
                <c:pt idx="2364">
                  <c:v>41981</c:v>
                </c:pt>
                <c:pt idx="2365">
                  <c:v>41978</c:v>
                </c:pt>
                <c:pt idx="2366">
                  <c:v>41977</c:v>
                </c:pt>
                <c:pt idx="2367">
                  <c:v>41976</c:v>
                </c:pt>
                <c:pt idx="2368">
                  <c:v>41975</c:v>
                </c:pt>
                <c:pt idx="2369">
                  <c:v>41974</c:v>
                </c:pt>
                <c:pt idx="2370">
                  <c:v>41971</c:v>
                </c:pt>
                <c:pt idx="2371">
                  <c:v>41970</c:v>
                </c:pt>
                <c:pt idx="2372">
                  <c:v>41969</c:v>
                </c:pt>
                <c:pt idx="2373">
                  <c:v>41968</c:v>
                </c:pt>
                <c:pt idx="2374">
                  <c:v>41967</c:v>
                </c:pt>
                <c:pt idx="2375">
                  <c:v>41964</c:v>
                </c:pt>
                <c:pt idx="2376">
                  <c:v>41963</c:v>
                </c:pt>
                <c:pt idx="2377">
                  <c:v>41962</c:v>
                </c:pt>
                <c:pt idx="2378">
                  <c:v>41961</c:v>
                </c:pt>
                <c:pt idx="2379">
                  <c:v>41960</c:v>
                </c:pt>
                <c:pt idx="2380">
                  <c:v>41957</c:v>
                </c:pt>
                <c:pt idx="2381">
                  <c:v>41956</c:v>
                </c:pt>
                <c:pt idx="2382">
                  <c:v>41955</c:v>
                </c:pt>
                <c:pt idx="2383">
                  <c:v>41954</c:v>
                </c:pt>
                <c:pt idx="2384">
                  <c:v>41953</c:v>
                </c:pt>
                <c:pt idx="2385">
                  <c:v>41950</c:v>
                </c:pt>
                <c:pt idx="2386">
                  <c:v>41949</c:v>
                </c:pt>
                <c:pt idx="2387">
                  <c:v>41948</c:v>
                </c:pt>
                <c:pt idx="2388">
                  <c:v>41947</c:v>
                </c:pt>
                <c:pt idx="2389">
                  <c:v>41946</c:v>
                </c:pt>
                <c:pt idx="2390">
                  <c:v>41943</c:v>
                </c:pt>
                <c:pt idx="2391">
                  <c:v>41942</c:v>
                </c:pt>
                <c:pt idx="2392">
                  <c:v>41941</c:v>
                </c:pt>
                <c:pt idx="2393">
                  <c:v>41940</c:v>
                </c:pt>
                <c:pt idx="2394">
                  <c:v>41939</c:v>
                </c:pt>
                <c:pt idx="2395">
                  <c:v>41936</c:v>
                </c:pt>
                <c:pt idx="2396">
                  <c:v>41935</c:v>
                </c:pt>
                <c:pt idx="2397">
                  <c:v>41934</c:v>
                </c:pt>
                <c:pt idx="2398">
                  <c:v>41933</c:v>
                </c:pt>
                <c:pt idx="2399">
                  <c:v>41932</c:v>
                </c:pt>
                <c:pt idx="2400">
                  <c:v>41929</c:v>
                </c:pt>
                <c:pt idx="2401">
                  <c:v>41928</c:v>
                </c:pt>
                <c:pt idx="2402">
                  <c:v>41927</c:v>
                </c:pt>
                <c:pt idx="2403">
                  <c:v>41926</c:v>
                </c:pt>
                <c:pt idx="2404">
                  <c:v>41925</c:v>
                </c:pt>
                <c:pt idx="2405">
                  <c:v>41922</c:v>
                </c:pt>
                <c:pt idx="2406">
                  <c:v>41921</c:v>
                </c:pt>
                <c:pt idx="2407">
                  <c:v>41920</c:v>
                </c:pt>
                <c:pt idx="2408">
                  <c:v>41919</c:v>
                </c:pt>
                <c:pt idx="2409">
                  <c:v>41918</c:v>
                </c:pt>
                <c:pt idx="2410">
                  <c:v>41915</c:v>
                </c:pt>
                <c:pt idx="2411">
                  <c:v>41914</c:v>
                </c:pt>
                <c:pt idx="2412">
                  <c:v>41913</c:v>
                </c:pt>
                <c:pt idx="2413">
                  <c:v>41912</c:v>
                </c:pt>
                <c:pt idx="2414">
                  <c:v>41911</c:v>
                </c:pt>
                <c:pt idx="2415">
                  <c:v>41908</c:v>
                </c:pt>
                <c:pt idx="2416">
                  <c:v>41907</c:v>
                </c:pt>
                <c:pt idx="2417">
                  <c:v>41906</c:v>
                </c:pt>
                <c:pt idx="2418">
                  <c:v>41905</c:v>
                </c:pt>
                <c:pt idx="2419">
                  <c:v>41904</c:v>
                </c:pt>
                <c:pt idx="2420">
                  <c:v>41901</c:v>
                </c:pt>
                <c:pt idx="2421">
                  <c:v>41900</c:v>
                </c:pt>
                <c:pt idx="2422">
                  <c:v>41899</c:v>
                </c:pt>
                <c:pt idx="2423">
                  <c:v>41898</c:v>
                </c:pt>
                <c:pt idx="2424">
                  <c:v>41897</c:v>
                </c:pt>
                <c:pt idx="2425">
                  <c:v>41894</c:v>
                </c:pt>
                <c:pt idx="2426">
                  <c:v>41893</c:v>
                </c:pt>
                <c:pt idx="2427">
                  <c:v>41892</c:v>
                </c:pt>
                <c:pt idx="2428">
                  <c:v>41891</c:v>
                </c:pt>
                <c:pt idx="2429">
                  <c:v>41890</c:v>
                </c:pt>
                <c:pt idx="2430">
                  <c:v>41887</c:v>
                </c:pt>
                <c:pt idx="2431">
                  <c:v>41886</c:v>
                </c:pt>
                <c:pt idx="2432">
                  <c:v>41885</c:v>
                </c:pt>
                <c:pt idx="2433">
                  <c:v>41884</c:v>
                </c:pt>
                <c:pt idx="2434">
                  <c:v>41883</c:v>
                </c:pt>
                <c:pt idx="2435">
                  <c:v>41880</c:v>
                </c:pt>
                <c:pt idx="2436">
                  <c:v>41879</c:v>
                </c:pt>
                <c:pt idx="2437">
                  <c:v>41878</c:v>
                </c:pt>
                <c:pt idx="2438">
                  <c:v>41877</c:v>
                </c:pt>
                <c:pt idx="2439">
                  <c:v>41876</c:v>
                </c:pt>
                <c:pt idx="2440">
                  <c:v>41873</c:v>
                </c:pt>
                <c:pt idx="2441">
                  <c:v>41872</c:v>
                </c:pt>
                <c:pt idx="2442">
                  <c:v>41871</c:v>
                </c:pt>
                <c:pt idx="2443">
                  <c:v>41870</c:v>
                </c:pt>
                <c:pt idx="2444">
                  <c:v>41869</c:v>
                </c:pt>
                <c:pt idx="2445">
                  <c:v>41866</c:v>
                </c:pt>
                <c:pt idx="2446">
                  <c:v>41865</c:v>
                </c:pt>
                <c:pt idx="2447">
                  <c:v>41864</c:v>
                </c:pt>
                <c:pt idx="2448">
                  <c:v>41863</c:v>
                </c:pt>
                <c:pt idx="2449">
                  <c:v>41862</c:v>
                </c:pt>
                <c:pt idx="2450">
                  <c:v>41859</c:v>
                </c:pt>
                <c:pt idx="2451">
                  <c:v>41858</c:v>
                </c:pt>
                <c:pt idx="2452">
                  <c:v>41857</c:v>
                </c:pt>
                <c:pt idx="2453">
                  <c:v>41856</c:v>
                </c:pt>
                <c:pt idx="2454">
                  <c:v>41855</c:v>
                </c:pt>
                <c:pt idx="2455">
                  <c:v>41852</c:v>
                </c:pt>
                <c:pt idx="2456">
                  <c:v>41851</c:v>
                </c:pt>
                <c:pt idx="2457">
                  <c:v>41850</c:v>
                </c:pt>
                <c:pt idx="2458">
                  <c:v>41849</c:v>
                </c:pt>
                <c:pt idx="2459">
                  <c:v>41848</c:v>
                </c:pt>
                <c:pt idx="2460">
                  <c:v>41845</c:v>
                </c:pt>
                <c:pt idx="2461">
                  <c:v>41844</c:v>
                </c:pt>
                <c:pt idx="2462">
                  <c:v>41843</c:v>
                </c:pt>
                <c:pt idx="2463">
                  <c:v>41842</c:v>
                </c:pt>
                <c:pt idx="2464">
                  <c:v>41841</c:v>
                </c:pt>
                <c:pt idx="2465">
                  <c:v>41838</c:v>
                </c:pt>
                <c:pt idx="2466">
                  <c:v>41837</c:v>
                </c:pt>
                <c:pt idx="2467">
                  <c:v>41836</c:v>
                </c:pt>
                <c:pt idx="2468">
                  <c:v>41835</c:v>
                </c:pt>
                <c:pt idx="2469">
                  <c:v>41834</c:v>
                </c:pt>
                <c:pt idx="2470">
                  <c:v>41831</c:v>
                </c:pt>
                <c:pt idx="2471">
                  <c:v>41830</c:v>
                </c:pt>
                <c:pt idx="2472">
                  <c:v>41829</c:v>
                </c:pt>
                <c:pt idx="2473">
                  <c:v>41828</c:v>
                </c:pt>
                <c:pt idx="2474">
                  <c:v>41827</c:v>
                </c:pt>
                <c:pt idx="2475">
                  <c:v>41824</c:v>
                </c:pt>
                <c:pt idx="2476">
                  <c:v>41823</c:v>
                </c:pt>
                <c:pt idx="2477">
                  <c:v>41822</c:v>
                </c:pt>
                <c:pt idx="2478">
                  <c:v>41821</c:v>
                </c:pt>
                <c:pt idx="2479">
                  <c:v>41820</c:v>
                </c:pt>
                <c:pt idx="2480">
                  <c:v>41817</c:v>
                </c:pt>
                <c:pt idx="2481">
                  <c:v>41816</c:v>
                </c:pt>
                <c:pt idx="2482">
                  <c:v>41815</c:v>
                </c:pt>
                <c:pt idx="2483">
                  <c:v>41814</c:v>
                </c:pt>
                <c:pt idx="2484">
                  <c:v>41813</c:v>
                </c:pt>
                <c:pt idx="2485">
                  <c:v>41810</c:v>
                </c:pt>
                <c:pt idx="2486">
                  <c:v>41809</c:v>
                </c:pt>
                <c:pt idx="2487">
                  <c:v>41808</c:v>
                </c:pt>
                <c:pt idx="2488">
                  <c:v>41807</c:v>
                </c:pt>
                <c:pt idx="2489">
                  <c:v>41806</c:v>
                </c:pt>
                <c:pt idx="2490">
                  <c:v>41803</c:v>
                </c:pt>
                <c:pt idx="2491">
                  <c:v>41802</c:v>
                </c:pt>
                <c:pt idx="2492">
                  <c:v>41801</c:v>
                </c:pt>
                <c:pt idx="2493">
                  <c:v>41800</c:v>
                </c:pt>
                <c:pt idx="2494">
                  <c:v>41799</c:v>
                </c:pt>
                <c:pt idx="2495">
                  <c:v>41796</c:v>
                </c:pt>
                <c:pt idx="2496">
                  <c:v>41795</c:v>
                </c:pt>
                <c:pt idx="2497">
                  <c:v>41794</c:v>
                </c:pt>
                <c:pt idx="2498">
                  <c:v>41793</c:v>
                </c:pt>
                <c:pt idx="2499">
                  <c:v>41792</c:v>
                </c:pt>
                <c:pt idx="2500">
                  <c:v>41789</c:v>
                </c:pt>
                <c:pt idx="2501">
                  <c:v>41788</c:v>
                </c:pt>
                <c:pt idx="2502">
                  <c:v>41787</c:v>
                </c:pt>
                <c:pt idx="2503">
                  <c:v>41786</c:v>
                </c:pt>
                <c:pt idx="2504">
                  <c:v>41785</c:v>
                </c:pt>
                <c:pt idx="2505">
                  <c:v>41782</c:v>
                </c:pt>
                <c:pt idx="2506">
                  <c:v>41781</c:v>
                </c:pt>
                <c:pt idx="2507">
                  <c:v>41780</c:v>
                </c:pt>
                <c:pt idx="2508">
                  <c:v>41779</c:v>
                </c:pt>
                <c:pt idx="2509">
                  <c:v>41778</c:v>
                </c:pt>
                <c:pt idx="2510">
                  <c:v>41775</c:v>
                </c:pt>
                <c:pt idx="2511">
                  <c:v>41774</c:v>
                </c:pt>
                <c:pt idx="2512">
                  <c:v>41773</c:v>
                </c:pt>
                <c:pt idx="2513">
                  <c:v>41772</c:v>
                </c:pt>
                <c:pt idx="2514">
                  <c:v>41771</c:v>
                </c:pt>
                <c:pt idx="2515">
                  <c:v>41768</c:v>
                </c:pt>
                <c:pt idx="2516">
                  <c:v>41767</c:v>
                </c:pt>
                <c:pt idx="2517">
                  <c:v>41766</c:v>
                </c:pt>
                <c:pt idx="2518">
                  <c:v>41765</c:v>
                </c:pt>
                <c:pt idx="2519">
                  <c:v>41764</c:v>
                </c:pt>
                <c:pt idx="2520">
                  <c:v>41761</c:v>
                </c:pt>
                <c:pt idx="2521">
                  <c:v>41760</c:v>
                </c:pt>
                <c:pt idx="2522">
                  <c:v>41759</c:v>
                </c:pt>
                <c:pt idx="2523">
                  <c:v>41758</c:v>
                </c:pt>
                <c:pt idx="2524">
                  <c:v>41757</c:v>
                </c:pt>
                <c:pt idx="2525">
                  <c:v>41754</c:v>
                </c:pt>
                <c:pt idx="2526">
                  <c:v>41753</c:v>
                </c:pt>
                <c:pt idx="2527">
                  <c:v>41752</c:v>
                </c:pt>
                <c:pt idx="2528">
                  <c:v>41751</c:v>
                </c:pt>
                <c:pt idx="2529">
                  <c:v>41750</c:v>
                </c:pt>
                <c:pt idx="2530">
                  <c:v>41747</c:v>
                </c:pt>
                <c:pt idx="2531">
                  <c:v>41746</c:v>
                </c:pt>
                <c:pt idx="2532">
                  <c:v>41745</c:v>
                </c:pt>
                <c:pt idx="2533">
                  <c:v>41744</c:v>
                </c:pt>
                <c:pt idx="2534">
                  <c:v>41743</c:v>
                </c:pt>
                <c:pt idx="2535">
                  <c:v>41740</c:v>
                </c:pt>
                <c:pt idx="2536">
                  <c:v>41739</c:v>
                </c:pt>
                <c:pt idx="2537">
                  <c:v>41738</c:v>
                </c:pt>
                <c:pt idx="2538">
                  <c:v>41737</c:v>
                </c:pt>
                <c:pt idx="2539">
                  <c:v>41736</c:v>
                </c:pt>
                <c:pt idx="2540">
                  <c:v>41733</c:v>
                </c:pt>
                <c:pt idx="2541">
                  <c:v>41732</c:v>
                </c:pt>
                <c:pt idx="2542">
                  <c:v>41731</c:v>
                </c:pt>
                <c:pt idx="2543">
                  <c:v>41730</c:v>
                </c:pt>
                <c:pt idx="2544">
                  <c:v>41729</c:v>
                </c:pt>
                <c:pt idx="2545">
                  <c:v>41726</c:v>
                </c:pt>
                <c:pt idx="2546">
                  <c:v>41725</c:v>
                </c:pt>
                <c:pt idx="2547">
                  <c:v>41724</c:v>
                </c:pt>
                <c:pt idx="2548">
                  <c:v>41723</c:v>
                </c:pt>
                <c:pt idx="2549">
                  <c:v>41722</c:v>
                </c:pt>
                <c:pt idx="2550">
                  <c:v>41719</c:v>
                </c:pt>
                <c:pt idx="2551">
                  <c:v>41718</c:v>
                </c:pt>
                <c:pt idx="2552">
                  <c:v>41717</c:v>
                </c:pt>
                <c:pt idx="2553">
                  <c:v>41716</c:v>
                </c:pt>
                <c:pt idx="2554">
                  <c:v>41715</c:v>
                </c:pt>
                <c:pt idx="2555">
                  <c:v>41712</c:v>
                </c:pt>
                <c:pt idx="2556">
                  <c:v>41711</c:v>
                </c:pt>
                <c:pt idx="2557">
                  <c:v>41710</c:v>
                </c:pt>
                <c:pt idx="2558">
                  <c:v>41709</c:v>
                </c:pt>
                <c:pt idx="2559">
                  <c:v>41708</c:v>
                </c:pt>
                <c:pt idx="2560">
                  <c:v>41705</c:v>
                </c:pt>
                <c:pt idx="2561">
                  <c:v>41704</c:v>
                </c:pt>
                <c:pt idx="2562">
                  <c:v>41703</c:v>
                </c:pt>
                <c:pt idx="2563">
                  <c:v>41702</c:v>
                </c:pt>
                <c:pt idx="2564">
                  <c:v>41701</c:v>
                </c:pt>
                <c:pt idx="2565">
                  <c:v>41698</c:v>
                </c:pt>
                <c:pt idx="2566">
                  <c:v>41697</c:v>
                </c:pt>
                <c:pt idx="2567">
                  <c:v>41696</c:v>
                </c:pt>
                <c:pt idx="2568">
                  <c:v>41695</c:v>
                </c:pt>
                <c:pt idx="2569">
                  <c:v>41694</c:v>
                </c:pt>
                <c:pt idx="2570">
                  <c:v>41691</c:v>
                </c:pt>
                <c:pt idx="2571">
                  <c:v>41690</c:v>
                </c:pt>
                <c:pt idx="2572">
                  <c:v>41689</c:v>
                </c:pt>
                <c:pt idx="2573">
                  <c:v>41688</c:v>
                </c:pt>
                <c:pt idx="2574">
                  <c:v>41687</c:v>
                </c:pt>
                <c:pt idx="2575">
                  <c:v>41684</c:v>
                </c:pt>
                <c:pt idx="2576">
                  <c:v>41683</c:v>
                </c:pt>
                <c:pt idx="2577">
                  <c:v>41682</c:v>
                </c:pt>
                <c:pt idx="2578">
                  <c:v>41681</c:v>
                </c:pt>
                <c:pt idx="2579">
                  <c:v>41680</c:v>
                </c:pt>
                <c:pt idx="2580">
                  <c:v>41677</c:v>
                </c:pt>
                <c:pt idx="2581">
                  <c:v>41676</c:v>
                </c:pt>
                <c:pt idx="2582">
                  <c:v>41675</c:v>
                </c:pt>
                <c:pt idx="2583">
                  <c:v>41674</c:v>
                </c:pt>
                <c:pt idx="2584">
                  <c:v>41673</c:v>
                </c:pt>
                <c:pt idx="2585">
                  <c:v>41670</c:v>
                </c:pt>
                <c:pt idx="2586">
                  <c:v>41669</c:v>
                </c:pt>
                <c:pt idx="2587">
                  <c:v>41668</c:v>
                </c:pt>
                <c:pt idx="2588">
                  <c:v>41667</c:v>
                </c:pt>
                <c:pt idx="2589">
                  <c:v>41666</c:v>
                </c:pt>
                <c:pt idx="2590">
                  <c:v>41663</c:v>
                </c:pt>
                <c:pt idx="2591">
                  <c:v>41662</c:v>
                </c:pt>
                <c:pt idx="2592">
                  <c:v>41661</c:v>
                </c:pt>
                <c:pt idx="2593">
                  <c:v>41660</c:v>
                </c:pt>
                <c:pt idx="2594">
                  <c:v>41659</c:v>
                </c:pt>
                <c:pt idx="2595">
                  <c:v>41656</c:v>
                </c:pt>
                <c:pt idx="2596">
                  <c:v>41655</c:v>
                </c:pt>
                <c:pt idx="2597">
                  <c:v>41654</c:v>
                </c:pt>
                <c:pt idx="2598">
                  <c:v>41653</c:v>
                </c:pt>
                <c:pt idx="2599">
                  <c:v>41652</c:v>
                </c:pt>
                <c:pt idx="2600">
                  <c:v>41649</c:v>
                </c:pt>
                <c:pt idx="2601">
                  <c:v>41648</c:v>
                </c:pt>
                <c:pt idx="2602">
                  <c:v>41647</c:v>
                </c:pt>
                <c:pt idx="2603">
                  <c:v>41646</c:v>
                </c:pt>
                <c:pt idx="2604">
                  <c:v>41645</c:v>
                </c:pt>
                <c:pt idx="2605">
                  <c:v>41642</c:v>
                </c:pt>
                <c:pt idx="2606">
                  <c:v>41641</c:v>
                </c:pt>
                <c:pt idx="2607">
                  <c:v>41640</c:v>
                </c:pt>
                <c:pt idx="2608">
                  <c:v>41639</c:v>
                </c:pt>
                <c:pt idx="2609">
                  <c:v>41638</c:v>
                </c:pt>
                <c:pt idx="2610">
                  <c:v>41635</c:v>
                </c:pt>
                <c:pt idx="2611">
                  <c:v>41634</c:v>
                </c:pt>
                <c:pt idx="2612">
                  <c:v>41633</c:v>
                </c:pt>
                <c:pt idx="2613">
                  <c:v>41632</c:v>
                </c:pt>
                <c:pt idx="2614">
                  <c:v>41631</c:v>
                </c:pt>
                <c:pt idx="2615">
                  <c:v>41628</c:v>
                </c:pt>
                <c:pt idx="2616">
                  <c:v>41627</c:v>
                </c:pt>
                <c:pt idx="2617">
                  <c:v>41626</c:v>
                </c:pt>
                <c:pt idx="2618">
                  <c:v>41625</c:v>
                </c:pt>
                <c:pt idx="2619">
                  <c:v>41624</c:v>
                </c:pt>
                <c:pt idx="2620">
                  <c:v>41621</c:v>
                </c:pt>
                <c:pt idx="2621">
                  <c:v>41620</c:v>
                </c:pt>
                <c:pt idx="2622">
                  <c:v>41619</c:v>
                </c:pt>
                <c:pt idx="2623">
                  <c:v>41618</c:v>
                </c:pt>
                <c:pt idx="2624">
                  <c:v>41617</c:v>
                </c:pt>
                <c:pt idx="2625">
                  <c:v>41614</c:v>
                </c:pt>
                <c:pt idx="2626">
                  <c:v>41613</c:v>
                </c:pt>
                <c:pt idx="2627">
                  <c:v>41612</c:v>
                </c:pt>
                <c:pt idx="2628">
                  <c:v>41611</c:v>
                </c:pt>
                <c:pt idx="2629">
                  <c:v>41610</c:v>
                </c:pt>
                <c:pt idx="2630">
                  <c:v>41607</c:v>
                </c:pt>
                <c:pt idx="2631">
                  <c:v>41606</c:v>
                </c:pt>
                <c:pt idx="2632">
                  <c:v>41605</c:v>
                </c:pt>
                <c:pt idx="2633">
                  <c:v>41604</c:v>
                </c:pt>
                <c:pt idx="2634">
                  <c:v>41603</c:v>
                </c:pt>
                <c:pt idx="2635">
                  <c:v>41600</c:v>
                </c:pt>
                <c:pt idx="2636">
                  <c:v>41599</c:v>
                </c:pt>
                <c:pt idx="2637">
                  <c:v>41598</c:v>
                </c:pt>
                <c:pt idx="2638">
                  <c:v>41597</c:v>
                </c:pt>
                <c:pt idx="2639">
                  <c:v>41596</c:v>
                </c:pt>
                <c:pt idx="2640">
                  <c:v>41593</c:v>
                </c:pt>
                <c:pt idx="2641">
                  <c:v>41592</c:v>
                </c:pt>
                <c:pt idx="2642">
                  <c:v>41591</c:v>
                </c:pt>
                <c:pt idx="2643">
                  <c:v>41590</c:v>
                </c:pt>
                <c:pt idx="2644">
                  <c:v>41589</c:v>
                </c:pt>
                <c:pt idx="2645">
                  <c:v>41586</c:v>
                </c:pt>
                <c:pt idx="2646">
                  <c:v>41585</c:v>
                </c:pt>
                <c:pt idx="2647">
                  <c:v>41584</c:v>
                </c:pt>
                <c:pt idx="2648">
                  <c:v>41583</c:v>
                </c:pt>
                <c:pt idx="2649">
                  <c:v>41582</c:v>
                </c:pt>
                <c:pt idx="2650">
                  <c:v>41579</c:v>
                </c:pt>
                <c:pt idx="2651">
                  <c:v>41578</c:v>
                </c:pt>
                <c:pt idx="2652">
                  <c:v>41577</c:v>
                </c:pt>
                <c:pt idx="2653">
                  <c:v>41576</c:v>
                </c:pt>
                <c:pt idx="2654">
                  <c:v>41575</c:v>
                </c:pt>
                <c:pt idx="2655">
                  <c:v>41572</c:v>
                </c:pt>
                <c:pt idx="2656">
                  <c:v>41571</c:v>
                </c:pt>
                <c:pt idx="2657">
                  <c:v>41570</c:v>
                </c:pt>
                <c:pt idx="2658">
                  <c:v>41569</c:v>
                </c:pt>
                <c:pt idx="2659">
                  <c:v>41568</c:v>
                </c:pt>
                <c:pt idx="2660">
                  <c:v>41565</c:v>
                </c:pt>
                <c:pt idx="2661">
                  <c:v>41564</c:v>
                </c:pt>
                <c:pt idx="2662">
                  <c:v>41563</c:v>
                </c:pt>
                <c:pt idx="2663">
                  <c:v>41562</c:v>
                </c:pt>
                <c:pt idx="2664">
                  <c:v>41561</c:v>
                </c:pt>
                <c:pt idx="2665">
                  <c:v>41558</c:v>
                </c:pt>
                <c:pt idx="2666">
                  <c:v>41557</c:v>
                </c:pt>
                <c:pt idx="2667">
                  <c:v>41556</c:v>
                </c:pt>
                <c:pt idx="2668">
                  <c:v>41555</c:v>
                </c:pt>
                <c:pt idx="2669">
                  <c:v>41554</c:v>
                </c:pt>
                <c:pt idx="2670">
                  <c:v>41551</c:v>
                </c:pt>
                <c:pt idx="2671">
                  <c:v>41550</c:v>
                </c:pt>
                <c:pt idx="2672">
                  <c:v>41549</c:v>
                </c:pt>
                <c:pt idx="2673">
                  <c:v>41548</c:v>
                </c:pt>
                <c:pt idx="2674">
                  <c:v>41547</c:v>
                </c:pt>
                <c:pt idx="2675">
                  <c:v>41544</c:v>
                </c:pt>
                <c:pt idx="2676">
                  <c:v>41543</c:v>
                </c:pt>
                <c:pt idx="2677">
                  <c:v>41542</c:v>
                </c:pt>
                <c:pt idx="2678">
                  <c:v>41541</c:v>
                </c:pt>
                <c:pt idx="2679">
                  <c:v>41540</c:v>
                </c:pt>
                <c:pt idx="2680">
                  <c:v>41537</c:v>
                </c:pt>
                <c:pt idx="2681">
                  <c:v>41536</c:v>
                </c:pt>
                <c:pt idx="2682">
                  <c:v>41535</c:v>
                </c:pt>
                <c:pt idx="2683">
                  <c:v>41534</c:v>
                </c:pt>
                <c:pt idx="2684">
                  <c:v>41533</c:v>
                </c:pt>
                <c:pt idx="2685">
                  <c:v>41530</c:v>
                </c:pt>
                <c:pt idx="2686">
                  <c:v>41529</c:v>
                </c:pt>
                <c:pt idx="2687">
                  <c:v>41528</c:v>
                </c:pt>
                <c:pt idx="2688">
                  <c:v>41527</c:v>
                </c:pt>
                <c:pt idx="2689">
                  <c:v>41526</c:v>
                </c:pt>
                <c:pt idx="2690">
                  <c:v>41523</c:v>
                </c:pt>
                <c:pt idx="2691">
                  <c:v>41522</c:v>
                </c:pt>
                <c:pt idx="2692">
                  <c:v>41521</c:v>
                </c:pt>
                <c:pt idx="2693">
                  <c:v>41520</c:v>
                </c:pt>
                <c:pt idx="2694">
                  <c:v>41519</c:v>
                </c:pt>
                <c:pt idx="2695">
                  <c:v>41516</c:v>
                </c:pt>
                <c:pt idx="2696">
                  <c:v>41515</c:v>
                </c:pt>
                <c:pt idx="2697">
                  <c:v>41514</c:v>
                </c:pt>
                <c:pt idx="2698">
                  <c:v>41513</c:v>
                </c:pt>
                <c:pt idx="2699">
                  <c:v>41512</c:v>
                </c:pt>
                <c:pt idx="2700">
                  <c:v>41509</c:v>
                </c:pt>
                <c:pt idx="2701">
                  <c:v>41508</c:v>
                </c:pt>
                <c:pt idx="2702">
                  <c:v>41507</c:v>
                </c:pt>
                <c:pt idx="2703">
                  <c:v>41506</c:v>
                </c:pt>
                <c:pt idx="2704">
                  <c:v>41505</c:v>
                </c:pt>
                <c:pt idx="2705">
                  <c:v>41502</c:v>
                </c:pt>
                <c:pt idx="2706">
                  <c:v>41501</c:v>
                </c:pt>
                <c:pt idx="2707">
                  <c:v>41500</c:v>
                </c:pt>
                <c:pt idx="2708">
                  <c:v>41499</c:v>
                </c:pt>
                <c:pt idx="2709">
                  <c:v>41498</c:v>
                </c:pt>
                <c:pt idx="2710">
                  <c:v>41495</c:v>
                </c:pt>
                <c:pt idx="2711">
                  <c:v>41494</c:v>
                </c:pt>
                <c:pt idx="2712">
                  <c:v>41493</c:v>
                </c:pt>
                <c:pt idx="2713">
                  <c:v>41492</c:v>
                </c:pt>
                <c:pt idx="2714">
                  <c:v>41491</c:v>
                </c:pt>
                <c:pt idx="2715">
                  <c:v>41488</c:v>
                </c:pt>
                <c:pt idx="2716">
                  <c:v>41487</c:v>
                </c:pt>
                <c:pt idx="2717">
                  <c:v>41486</c:v>
                </c:pt>
                <c:pt idx="2718">
                  <c:v>41485</c:v>
                </c:pt>
                <c:pt idx="2719">
                  <c:v>41484</c:v>
                </c:pt>
                <c:pt idx="2720">
                  <c:v>41481</c:v>
                </c:pt>
                <c:pt idx="2721">
                  <c:v>41480</c:v>
                </c:pt>
                <c:pt idx="2722">
                  <c:v>41479</c:v>
                </c:pt>
                <c:pt idx="2723">
                  <c:v>41478</c:v>
                </c:pt>
                <c:pt idx="2724">
                  <c:v>41477</c:v>
                </c:pt>
                <c:pt idx="2725">
                  <c:v>41474</c:v>
                </c:pt>
                <c:pt idx="2726">
                  <c:v>41473</c:v>
                </c:pt>
                <c:pt idx="2727">
                  <c:v>41472</c:v>
                </c:pt>
                <c:pt idx="2728">
                  <c:v>41471</c:v>
                </c:pt>
                <c:pt idx="2729">
                  <c:v>41470</c:v>
                </c:pt>
                <c:pt idx="2730">
                  <c:v>41467</c:v>
                </c:pt>
                <c:pt idx="2731">
                  <c:v>41466</c:v>
                </c:pt>
                <c:pt idx="2732">
                  <c:v>41465</c:v>
                </c:pt>
                <c:pt idx="2733">
                  <c:v>41464</c:v>
                </c:pt>
                <c:pt idx="2734">
                  <c:v>41463</c:v>
                </c:pt>
                <c:pt idx="2735">
                  <c:v>41460</c:v>
                </c:pt>
                <c:pt idx="2736">
                  <c:v>41459</c:v>
                </c:pt>
                <c:pt idx="2737">
                  <c:v>41458</c:v>
                </c:pt>
                <c:pt idx="2738">
                  <c:v>41457</c:v>
                </c:pt>
                <c:pt idx="2739">
                  <c:v>41456</c:v>
                </c:pt>
                <c:pt idx="2740">
                  <c:v>41453</c:v>
                </c:pt>
                <c:pt idx="2741">
                  <c:v>41452</c:v>
                </c:pt>
                <c:pt idx="2742">
                  <c:v>41451</c:v>
                </c:pt>
                <c:pt idx="2743">
                  <c:v>41450</c:v>
                </c:pt>
                <c:pt idx="2744">
                  <c:v>41449</c:v>
                </c:pt>
                <c:pt idx="2745">
                  <c:v>41446</c:v>
                </c:pt>
                <c:pt idx="2746">
                  <c:v>41445</c:v>
                </c:pt>
                <c:pt idx="2747">
                  <c:v>41444</c:v>
                </c:pt>
                <c:pt idx="2748">
                  <c:v>41443</c:v>
                </c:pt>
                <c:pt idx="2749">
                  <c:v>41442</c:v>
                </c:pt>
                <c:pt idx="2750">
                  <c:v>41439</c:v>
                </c:pt>
                <c:pt idx="2751">
                  <c:v>41438</c:v>
                </c:pt>
                <c:pt idx="2752">
                  <c:v>41437</c:v>
                </c:pt>
                <c:pt idx="2753">
                  <c:v>41436</c:v>
                </c:pt>
                <c:pt idx="2754">
                  <c:v>41435</c:v>
                </c:pt>
                <c:pt idx="2755">
                  <c:v>41432</c:v>
                </c:pt>
                <c:pt idx="2756">
                  <c:v>41431</c:v>
                </c:pt>
                <c:pt idx="2757">
                  <c:v>41430</c:v>
                </c:pt>
                <c:pt idx="2758">
                  <c:v>41429</c:v>
                </c:pt>
                <c:pt idx="2759">
                  <c:v>41428</c:v>
                </c:pt>
                <c:pt idx="2760">
                  <c:v>41425</c:v>
                </c:pt>
                <c:pt idx="2761">
                  <c:v>41424</c:v>
                </c:pt>
                <c:pt idx="2762">
                  <c:v>41423</c:v>
                </c:pt>
                <c:pt idx="2763">
                  <c:v>41422</c:v>
                </c:pt>
                <c:pt idx="2764">
                  <c:v>41421</c:v>
                </c:pt>
                <c:pt idx="2765">
                  <c:v>41418</c:v>
                </c:pt>
                <c:pt idx="2766">
                  <c:v>41417</c:v>
                </c:pt>
                <c:pt idx="2767">
                  <c:v>41416</c:v>
                </c:pt>
                <c:pt idx="2768">
                  <c:v>41415</c:v>
                </c:pt>
                <c:pt idx="2769">
                  <c:v>41414</c:v>
                </c:pt>
                <c:pt idx="2770">
                  <c:v>41411</c:v>
                </c:pt>
                <c:pt idx="2771">
                  <c:v>41410</c:v>
                </c:pt>
                <c:pt idx="2772">
                  <c:v>41409</c:v>
                </c:pt>
                <c:pt idx="2773">
                  <c:v>41408</c:v>
                </c:pt>
                <c:pt idx="2774">
                  <c:v>41407</c:v>
                </c:pt>
                <c:pt idx="2775">
                  <c:v>41404</c:v>
                </c:pt>
                <c:pt idx="2776">
                  <c:v>41403</c:v>
                </c:pt>
                <c:pt idx="2777">
                  <c:v>41402</c:v>
                </c:pt>
                <c:pt idx="2778">
                  <c:v>41401</c:v>
                </c:pt>
                <c:pt idx="2779">
                  <c:v>41400</c:v>
                </c:pt>
                <c:pt idx="2780">
                  <c:v>41397</c:v>
                </c:pt>
                <c:pt idx="2781">
                  <c:v>41396</c:v>
                </c:pt>
                <c:pt idx="2782">
                  <c:v>41395</c:v>
                </c:pt>
                <c:pt idx="2783">
                  <c:v>41394</c:v>
                </c:pt>
                <c:pt idx="2784">
                  <c:v>41393</c:v>
                </c:pt>
                <c:pt idx="2785">
                  <c:v>41390</c:v>
                </c:pt>
                <c:pt idx="2786">
                  <c:v>41389</c:v>
                </c:pt>
                <c:pt idx="2787">
                  <c:v>41388</c:v>
                </c:pt>
                <c:pt idx="2788">
                  <c:v>41387</c:v>
                </c:pt>
                <c:pt idx="2789">
                  <c:v>41386</c:v>
                </c:pt>
                <c:pt idx="2790">
                  <c:v>41383</c:v>
                </c:pt>
                <c:pt idx="2791">
                  <c:v>41382</c:v>
                </c:pt>
                <c:pt idx="2792">
                  <c:v>41381</c:v>
                </c:pt>
                <c:pt idx="2793">
                  <c:v>41380</c:v>
                </c:pt>
                <c:pt idx="2794">
                  <c:v>41379</c:v>
                </c:pt>
                <c:pt idx="2795">
                  <c:v>41376</c:v>
                </c:pt>
                <c:pt idx="2796">
                  <c:v>41375</c:v>
                </c:pt>
                <c:pt idx="2797">
                  <c:v>41374</c:v>
                </c:pt>
                <c:pt idx="2798">
                  <c:v>41373</c:v>
                </c:pt>
                <c:pt idx="2799">
                  <c:v>41372</c:v>
                </c:pt>
                <c:pt idx="2800">
                  <c:v>41369</c:v>
                </c:pt>
                <c:pt idx="2801">
                  <c:v>41368</c:v>
                </c:pt>
                <c:pt idx="2802">
                  <c:v>41367</c:v>
                </c:pt>
                <c:pt idx="2803">
                  <c:v>41366</c:v>
                </c:pt>
                <c:pt idx="2804">
                  <c:v>41365</c:v>
                </c:pt>
                <c:pt idx="2805">
                  <c:v>41362</c:v>
                </c:pt>
                <c:pt idx="2806">
                  <c:v>41361</c:v>
                </c:pt>
                <c:pt idx="2807">
                  <c:v>41360</c:v>
                </c:pt>
                <c:pt idx="2808">
                  <c:v>41359</c:v>
                </c:pt>
                <c:pt idx="2809">
                  <c:v>41358</c:v>
                </c:pt>
                <c:pt idx="2810">
                  <c:v>41355</c:v>
                </c:pt>
                <c:pt idx="2811">
                  <c:v>41354</c:v>
                </c:pt>
                <c:pt idx="2812">
                  <c:v>41353</c:v>
                </c:pt>
                <c:pt idx="2813">
                  <c:v>41352</c:v>
                </c:pt>
                <c:pt idx="2814">
                  <c:v>41351</c:v>
                </c:pt>
                <c:pt idx="2815">
                  <c:v>41348</c:v>
                </c:pt>
                <c:pt idx="2816">
                  <c:v>41347</c:v>
                </c:pt>
                <c:pt idx="2817">
                  <c:v>41346</c:v>
                </c:pt>
                <c:pt idx="2818">
                  <c:v>41345</c:v>
                </c:pt>
                <c:pt idx="2819">
                  <c:v>41344</c:v>
                </c:pt>
                <c:pt idx="2820">
                  <c:v>41341</c:v>
                </c:pt>
                <c:pt idx="2821">
                  <c:v>41340</c:v>
                </c:pt>
                <c:pt idx="2822">
                  <c:v>41339</c:v>
                </c:pt>
                <c:pt idx="2823">
                  <c:v>41338</c:v>
                </c:pt>
                <c:pt idx="2824">
                  <c:v>41337</c:v>
                </c:pt>
                <c:pt idx="2825">
                  <c:v>41334</c:v>
                </c:pt>
                <c:pt idx="2826">
                  <c:v>41333</c:v>
                </c:pt>
                <c:pt idx="2827">
                  <c:v>41332</c:v>
                </c:pt>
                <c:pt idx="2828">
                  <c:v>41331</c:v>
                </c:pt>
                <c:pt idx="2829">
                  <c:v>41330</c:v>
                </c:pt>
                <c:pt idx="2830">
                  <c:v>41327</c:v>
                </c:pt>
                <c:pt idx="2831">
                  <c:v>41326</c:v>
                </c:pt>
                <c:pt idx="2832">
                  <c:v>41325</c:v>
                </c:pt>
                <c:pt idx="2833">
                  <c:v>41324</c:v>
                </c:pt>
                <c:pt idx="2834">
                  <c:v>41323</c:v>
                </c:pt>
                <c:pt idx="2835">
                  <c:v>41320</c:v>
                </c:pt>
                <c:pt idx="2836">
                  <c:v>41319</c:v>
                </c:pt>
                <c:pt idx="2837">
                  <c:v>41318</c:v>
                </c:pt>
                <c:pt idx="2838">
                  <c:v>41317</c:v>
                </c:pt>
                <c:pt idx="2839">
                  <c:v>41316</c:v>
                </c:pt>
                <c:pt idx="2840">
                  <c:v>41313</c:v>
                </c:pt>
                <c:pt idx="2841">
                  <c:v>41312</c:v>
                </c:pt>
                <c:pt idx="2842">
                  <c:v>41311</c:v>
                </c:pt>
                <c:pt idx="2843">
                  <c:v>41310</c:v>
                </c:pt>
                <c:pt idx="2844">
                  <c:v>41309</c:v>
                </c:pt>
                <c:pt idx="2845">
                  <c:v>41306</c:v>
                </c:pt>
                <c:pt idx="2846">
                  <c:v>41305</c:v>
                </c:pt>
                <c:pt idx="2847">
                  <c:v>41304</c:v>
                </c:pt>
                <c:pt idx="2848">
                  <c:v>41303</c:v>
                </c:pt>
                <c:pt idx="2849">
                  <c:v>41302</c:v>
                </c:pt>
                <c:pt idx="2850">
                  <c:v>41299</c:v>
                </c:pt>
                <c:pt idx="2851">
                  <c:v>41298</c:v>
                </c:pt>
                <c:pt idx="2852">
                  <c:v>41297</c:v>
                </c:pt>
                <c:pt idx="2853">
                  <c:v>41296</c:v>
                </c:pt>
                <c:pt idx="2854">
                  <c:v>41295</c:v>
                </c:pt>
                <c:pt idx="2855">
                  <c:v>41292</c:v>
                </c:pt>
                <c:pt idx="2856">
                  <c:v>41291</c:v>
                </c:pt>
                <c:pt idx="2857">
                  <c:v>41290</c:v>
                </c:pt>
                <c:pt idx="2858">
                  <c:v>41289</c:v>
                </c:pt>
                <c:pt idx="2859">
                  <c:v>41288</c:v>
                </c:pt>
                <c:pt idx="2860">
                  <c:v>41285</c:v>
                </c:pt>
                <c:pt idx="2861">
                  <c:v>41284</c:v>
                </c:pt>
                <c:pt idx="2862">
                  <c:v>41283</c:v>
                </c:pt>
                <c:pt idx="2863">
                  <c:v>41282</c:v>
                </c:pt>
                <c:pt idx="2864">
                  <c:v>41281</c:v>
                </c:pt>
                <c:pt idx="2865">
                  <c:v>41278</c:v>
                </c:pt>
                <c:pt idx="2866">
                  <c:v>41277</c:v>
                </c:pt>
                <c:pt idx="2867">
                  <c:v>41276</c:v>
                </c:pt>
                <c:pt idx="2868">
                  <c:v>41275</c:v>
                </c:pt>
                <c:pt idx="2869">
                  <c:v>41274</c:v>
                </c:pt>
                <c:pt idx="2870">
                  <c:v>41271</c:v>
                </c:pt>
                <c:pt idx="2871">
                  <c:v>41270</c:v>
                </c:pt>
                <c:pt idx="2872">
                  <c:v>41269</c:v>
                </c:pt>
                <c:pt idx="2873">
                  <c:v>41268</c:v>
                </c:pt>
                <c:pt idx="2874">
                  <c:v>41267</c:v>
                </c:pt>
                <c:pt idx="2875">
                  <c:v>41264</c:v>
                </c:pt>
                <c:pt idx="2876">
                  <c:v>41263</c:v>
                </c:pt>
                <c:pt idx="2877">
                  <c:v>41262</c:v>
                </c:pt>
                <c:pt idx="2878">
                  <c:v>41261</c:v>
                </c:pt>
                <c:pt idx="2879">
                  <c:v>41260</c:v>
                </c:pt>
                <c:pt idx="2880">
                  <c:v>41257</c:v>
                </c:pt>
                <c:pt idx="2881">
                  <c:v>41256</c:v>
                </c:pt>
                <c:pt idx="2882">
                  <c:v>41255</c:v>
                </c:pt>
                <c:pt idx="2883">
                  <c:v>41254</c:v>
                </c:pt>
                <c:pt idx="2884">
                  <c:v>41253</c:v>
                </c:pt>
                <c:pt idx="2885">
                  <c:v>41250</c:v>
                </c:pt>
                <c:pt idx="2886">
                  <c:v>41249</c:v>
                </c:pt>
                <c:pt idx="2887">
                  <c:v>41248</c:v>
                </c:pt>
                <c:pt idx="2888">
                  <c:v>41247</c:v>
                </c:pt>
                <c:pt idx="2889">
                  <c:v>41246</c:v>
                </c:pt>
                <c:pt idx="2890">
                  <c:v>41243</c:v>
                </c:pt>
                <c:pt idx="2891">
                  <c:v>41242</c:v>
                </c:pt>
                <c:pt idx="2892">
                  <c:v>41241</c:v>
                </c:pt>
                <c:pt idx="2893">
                  <c:v>41240</c:v>
                </c:pt>
                <c:pt idx="2894">
                  <c:v>41239</c:v>
                </c:pt>
                <c:pt idx="2895">
                  <c:v>41236</c:v>
                </c:pt>
                <c:pt idx="2896">
                  <c:v>41235</c:v>
                </c:pt>
                <c:pt idx="2897">
                  <c:v>41234</c:v>
                </c:pt>
                <c:pt idx="2898">
                  <c:v>41233</c:v>
                </c:pt>
                <c:pt idx="2899">
                  <c:v>41232</c:v>
                </c:pt>
                <c:pt idx="2900">
                  <c:v>41229</c:v>
                </c:pt>
                <c:pt idx="2901">
                  <c:v>41228</c:v>
                </c:pt>
                <c:pt idx="2902">
                  <c:v>41227</c:v>
                </c:pt>
                <c:pt idx="2903">
                  <c:v>41226</c:v>
                </c:pt>
                <c:pt idx="2904">
                  <c:v>41225</c:v>
                </c:pt>
                <c:pt idx="2905">
                  <c:v>41222</c:v>
                </c:pt>
                <c:pt idx="2906">
                  <c:v>41221</c:v>
                </c:pt>
                <c:pt idx="2907">
                  <c:v>41220</c:v>
                </c:pt>
                <c:pt idx="2908">
                  <c:v>41219</c:v>
                </c:pt>
                <c:pt idx="2909">
                  <c:v>41218</c:v>
                </c:pt>
                <c:pt idx="2910">
                  <c:v>41215</c:v>
                </c:pt>
                <c:pt idx="2911">
                  <c:v>41214</c:v>
                </c:pt>
                <c:pt idx="2912">
                  <c:v>41213</c:v>
                </c:pt>
                <c:pt idx="2913">
                  <c:v>41212</c:v>
                </c:pt>
                <c:pt idx="2914">
                  <c:v>41211</c:v>
                </c:pt>
                <c:pt idx="2915">
                  <c:v>41208</c:v>
                </c:pt>
                <c:pt idx="2916">
                  <c:v>41207</c:v>
                </c:pt>
                <c:pt idx="2917">
                  <c:v>41206</c:v>
                </c:pt>
                <c:pt idx="2918">
                  <c:v>41205</c:v>
                </c:pt>
                <c:pt idx="2919">
                  <c:v>41204</c:v>
                </c:pt>
                <c:pt idx="2920">
                  <c:v>41201</c:v>
                </c:pt>
                <c:pt idx="2921">
                  <c:v>41200</c:v>
                </c:pt>
                <c:pt idx="2922">
                  <c:v>41199</c:v>
                </c:pt>
                <c:pt idx="2923">
                  <c:v>41198</c:v>
                </c:pt>
                <c:pt idx="2924">
                  <c:v>41197</c:v>
                </c:pt>
                <c:pt idx="2925">
                  <c:v>41194</c:v>
                </c:pt>
                <c:pt idx="2926">
                  <c:v>41193</c:v>
                </c:pt>
                <c:pt idx="2927">
                  <c:v>41192</c:v>
                </c:pt>
                <c:pt idx="2928">
                  <c:v>41191</c:v>
                </c:pt>
                <c:pt idx="2929">
                  <c:v>41190</c:v>
                </c:pt>
                <c:pt idx="2930">
                  <c:v>41187</c:v>
                </c:pt>
                <c:pt idx="2931">
                  <c:v>41186</c:v>
                </c:pt>
                <c:pt idx="2932">
                  <c:v>41185</c:v>
                </c:pt>
                <c:pt idx="2933">
                  <c:v>41184</c:v>
                </c:pt>
                <c:pt idx="2934">
                  <c:v>41183</c:v>
                </c:pt>
                <c:pt idx="2935">
                  <c:v>41180</c:v>
                </c:pt>
                <c:pt idx="2936">
                  <c:v>41179</c:v>
                </c:pt>
                <c:pt idx="2937">
                  <c:v>41178</c:v>
                </c:pt>
                <c:pt idx="2938">
                  <c:v>41177</c:v>
                </c:pt>
                <c:pt idx="2939">
                  <c:v>41176</c:v>
                </c:pt>
                <c:pt idx="2940">
                  <c:v>41173</c:v>
                </c:pt>
                <c:pt idx="2941">
                  <c:v>41172</c:v>
                </c:pt>
                <c:pt idx="2942">
                  <c:v>41171</c:v>
                </c:pt>
                <c:pt idx="2943">
                  <c:v>41170</c:v>
                </c:pt>
                <c:pt idx="2944">
                  <c:v>41169</c:v>
                </c:pt>
                <c:pt idx="2945">
                  <c:v>41166</c:v>
                </c:pt>
                <c:pt idx="2946">
                  <c:v>41165</c:v>
                </c:pt>
                <c:pt idx="2947">
                  <c:v>41164</c:v>
                </c:pt>
                <c:pt idx="2948">
                  <c:v>41163</c:v>
                </c:pt>
                <c:pt idx="2949">
                  <c:v>41162</c:v>
                </c:pt>
                <c:pt idx="2950">
                  <c:v>41159</c:v>
                </c:pt>
                <c:pt idx="2951">
                  <c:v>41158</c:v>
                </c:pt>
                <c:pt idx="2952">
                  <c:v>41157</c:v>
                </c:pt>
                <c:pt idx="2953">
                  <c:v>41156</c:v>
                </c:pt>
                <c:pt idx="2954">
                  <c:v>41155</c:v>
                </c:pt>
                <c:pt idx="2955">
                  <c:v>41152</c:v>
                </c:pt>
                <c:pt idx="2956">
                  <c:v>41151</c:v>
                </c:pt>
                <c:pt idx="2957">
                  <c:v>41150</c:v>
                </c:pt>
                <c:pt idx="2958">
                  <c:v>41149</c:v>
                </c:pt>
                <c:pt idx="2959">
                  <c:v>41148</c:v>
                </c:pt>
                <c:pt idx="2960">
                  <c:v>41145</c:v>
                </c:pt>
                <c:pt idx="2961">
                  <c:v>41144</c:v>
                </c:pt>
                <c:pt idx="2962">
                  <c:v>41143</c:v>
                </c:pt>
                <c:pt idx="2963">
                  <c:v>41142</c:v>
                </c:pt>
                <c:pt idx="2964">
                  <c:v>41141</c:v>
                </c:pt>
                <c:pt idx="2965">
                  <c:v>41138</c:v>
                </c:pt>
                <c:pt idx="2966">
                  <c:v>41137</c:v>
                </c:pt>
                <c:pt idx="2967">
                  <c:v>41136</c:v>
                </c:pt>
                <c:pt idx="2968">
                  <c:v>41135</c:v>
                </c:pt>
                <c:pt idx="2969">
                  <c:v>41134</c:v>
                </c:pt>
                <c:pt idx="2970">
                  <c:v>41131</c:v>
                </c:pt>
                <c:pt idx="2971">
                  <c:v>41130</c:v>
                </c:pt>
                <c:pt idx="2972">
                  <c:v>41129</c:v>
                </c:pt>
                <c:pt idx="2973">
                  <c:v>41128</c:v>
                </c:pt>
                <c:pt idx="2974">
                  <c:v>41127</c:v>
                </c:pt>
                <c:pt idx="2975">
                  <c:v>41124</c:v>
                </c:pt>
                <c:pt idx="2976">
                  <c:v>41123</c:v>
                </c:pt>
                <c:pt idx="2977">
                  <c:v>41122</c:v>
                </c:pt>
                <c:pt idx="2978">
                  <c:v>41121</c:v>
                </c:pt>
                <c:pt idx="2979">
                  <c:v>41120</c:v>
                </c:pt>
                <c:pt idx="2980">
                  <c:v>41117</c:v>
                </c:pt>
                <c:pt idx="2981">
                  <c:v>41116</c:v>
                </c:pt>
                <c:pt idx="2982">
                  <c:v>41115</c:v>
                </c:pt>
                <c:pt idx="2983">
                  <c:v>41114</c:v>
                </c:pt>
                <c:pt idx="2984">
                  <c:v>41113</c:v>
                </c:pt>
                <c:pt idx="2985">
                  <c:v>41110</c:v>
                </c:pt>
                <c:pt idx="2986">
                  <c:v>41109</c:v>
                </c:pt>
                <c:pt idx="2987">
                  <c:v>41108</c:v>
                </c:pt>
                <c:pt idx="2988">
                  <c:v>41107</c:v>
                </c:pt>
                <c:pt idx="2989">
                  <c:v>41106</c:v>
                </c:pt>
                <c:pt idx="2990">
                  <c:v>41103</c:v>
                </c:pt>
                <c:pt idx="2991">
                  <c:v>41102</c:v>
                </c:pt>
                <c:pt idx="2992">
                  <c:v>41101</c:v>
                </c:pt>
                <c:pt idx="2993">
                  <c:v>41100</c:v>
                </c:pt>
                <c:pt idx="2994">
                  <c:v>41099</c:v>
                </c:pt>
                <c:pt idx="2995">
                  <c:v>41096</c:v>
                </c:pt>
                <c:pt idx="2996">
                  <c:v>41095</c:v>
                </c:pt>
                <c:pt idx="2997">
                  <c:v>41094</c:v>
                </c:pt>
                <c:pt idx="2998">
                  <c:v>41093</c:v>
                </c:pt>
                <c:pt idx="2999">
                  <c:v>41092</c:v>
                </c:pt>
                <c:pt idx="3000">
                  <c:v>41089</c:v>
                </c:pt>
                <c:pt idx="3001">
                  <c:v>41088</c:v>
                </c:pt>
                <c:pt idx="3002">
                  <c:v>41087</c:v>
                </c:pt>
                <c:pt idx="3003">
                  <c:v>41086</c:v>
                </c:pt>
                <c:pt idx="3004">
                  <c:v>41085</c:v>
                </c:pt>
                <c:pt idx="3005">
                  <c:v>41082</c:v>
                </c:pt>
                <c:pt idx="3006">
                  <c:v>41081</c:v>
                </c:pt>
                <c:pt idx="3007">
                  <c:v>41080</c:v>
                </c:pt>
                <c:pt idx="3008">
                  <c:v>41079</c:v>
                </c:pt>
                <c:pt idx="3009">
                  <c:v>41078</c:v>
                </c:pt>
                <c:pt idx="3010">
                  <c:v>41075</c:v>
                </c:pt>
                <c:pt idx="3011">
                  <c:v>41074</c:v>
                </c:pt>
                <c:pt idx="3012">
                  <c:v>41073</c:v>
                </c:pt>
                <c:pt idx="3013">
                  <c:v>41072</c:v>
                </c:pt>
                <c:pt idx="3014">
                  <c:v>41071</c:v>
                </c:pt>
                <c:pt idx="3015">
                  <c:v>41068</c:v>
                </c:pt>
                <c:pt idx="3016">
                  <c:v>41067</c:v>
                </c:pt>
                <c:pt idx="3017">
                  <c:v>41066</c:v>
                </c:pt>
                <c:pt idx="3018">
                  <c:v>41065</c:v>
                </c:pt>
                <c:pt idx="3019">
                  <c:v>41064</c:v>
                </c:pt>
                <c:pt idx="3020">
                  <c:v>41061</c:v>
                </c:pt>
                <c:pt idx="3021">
                  <c:v>41060</c:v>
                </c:pt>
                <c:pt idx="3022">
                  <c:v>41059</c:v>
                </c:pt>
                <c:pt idx="3023">
                  <c:v>41058</c:v>
                </c:pt>
                <c:pt idx="3024">
                  <c:v>41057</c:v>
                </c:pt>
                <c:pt idx="3025">
                  <c:v>41054</c:v>
                </c:pt>
                <c:pt idx="3026">
                  <c:v>41053</c:v>
                </c:pt>
                <c:pt idx="3027">
                  <c:v>41052</c:v>
                </c:pt>
                <c:pt idx="3028">
                  <c:v>41051</c:v>
                </c:pt>
                <c:pt idx="3029">
                  <c:v>41050</c:v>
                </c:pt>
                <c:pt idx="3030">
                  <c:v>41047</c:v>
                </c:pt>
                <c:pt idx="3031">
                  <c:v>41046</c:v>
                </c:pt>
                <c:pt idx="3032">
                  <c:v>41045</c:v>
                </c:pt>
                <c:pt idx="3033">
                  <c:v>41044</c:v>
                </c:pt>
                <c:pt idx="3034">
                  <c:v>41043</c:v>
                </c:pt>
                <c:pt idx="3035">
                  <c:v>41040</c:v>
                </c:pt>
                <c:pt idx="3036">
                  <c:v>41039</c:v>
                </c:pt>
                <c:pt idx="3037">
                  <c:v>41038</c:v>
                </c:pt>
                <c:pt idx="3038">
                  <c:v>41037</c:v>
                </c:pt>
                <c:pt idx="3039">
                  <c:v>41036</c:v>
                </c:pt>
                <c:pt idx="3040">
                  <c:v>41033</c:v>
                </c:pt>
                <c:pt idx="3041">
                  <c:v>41032</c:v>
                </c:pt>
                <c:pt idx="3042">
                  <c:v>41031</c:v>
                </c:pt>
                <c:pt idx="3043">
                  <c:v>41030</c:v>
                </c:pt>
                <c:pt idx="3044">
                  <c:v>41029</c:v>
                </c:pt>
                <c:pt idx="3045">
                  <c:v>41026</c:v>
                </c:pt>
                <c:pt idx="3046">
                  <c:v>41025</c:v>
                </c:pt>
                <c:pt idx="3047">
                  <c:v>41024</c:v>
                </c:pt>
                <c:pt idx="3048">
                  <c:v>41023</c:v>
                </c:pt>
                <c:pt idx="3049">
                  <c:v>41022</c:v>
                </c:pt>
                <c:pt idx="3050">
                  <c:v>41019</c:v>
                </c:pt>
                <c:pt idx="3051">
                  <c:v>41018</c:v>
                </c:pt>
                <c:pt idx="3052">
                  <c:v>41017</c:v>
                </c:pt>
                <c:pt idx="3053">
                  <c:v>41016</c:v>
                </c:pt>
                <c:pt idx="3054">
                  <c:v>41015</c:v>
                </c:pt>
                <c:pt idx="3055">
                  <c:v>41012</c:v>
                </c:pt>
                <c:pt idx="3056">
                  <c:v>41011</c:v>
                </c:pt>
                <c:pt idx="3057">
                  <c:v>41010</c:v>
                </c:pt>
                <c:pt idx="3058">
                  <c:v>41009</c:v>
                </c:pt>
                <c:pt idx="3059">
                  <c:v>41008</c:v>
                </c:pt>
                <c:pt idx="3060">
                  <c:v>41005</c:v>
                </c:pt>
                <c:pt idx="3061">
                  <c:v>41004</c:v>
                </c:pt>
                <c:pt idx="3062">
                  <c:v>41003</c:v>
                </c:pt>
                <c:pt idx="3063">
                  <c:v>41002</c:v>
                </c:pt>
                <c:pt idx="3064">
                  <c:v>41001</c:v>
                </c:pt>
                <c:pt idx="3065">
                  <c:v>40998</c:v>
                </c:pt>
                <c:pt idx="3066">
                  <c:v>40997</c:v>
                </c:pt>
                <c:pt idx="3067">
                  <c:v>40996</c:v>
                </c:pt>
                <c:pt idx="3068">
                  <c:v>40995</c:v>
                </c:pt>
                <c:pt idx="3069">
                  <c:v>40994</c:v>
                </c:pt>
                <c:pt idx="3070">
                  <c:v>40991</c:v>
                </c:pt>
                <c:pt idx="3071">
                  <c:v>40990</c:v>
                </c:pt>
                <c:pt idx="3072">
                  <c:v>40989</c:v>
                </c:pt>
                <c:pt idx="3073">
                  <c:v>40988</c:v>
                </c:pt>
                <c:pt idx="3074">
                  <c:v>40987</c:v>
                </c:pt>
                <c:pt idx="3075">
                  <c:v>40984</c:v>
                </c:pt>
                <c:pt idx="3076">
                  <c:v>40983</c:v>
                </c:pt>
                <c:pt idx="3077">
                  <c:v>40982</c:v>
                </c:pt>
                <c:pt idx="3078">
                  <c:v>40981</c:v>
                </c:pt>
                <c:pt idx="3079">
                  <c:v>40980</c:v>
                </c:pt>
                <c:pt idx="3080">
                  <c:v>40977</c:v>
                </c:pt>
                <c:pt idx="3081">
                  <c:v>40976</c:v>
                </c:pt>
                <c:pt idx="3082">
                  <c:v>40975</c:v>
                </c:pt>
                <c:pt idx="3083">
                  <c:v>40974</c:v>
                </c:pt>
                <c:pt idx="3084">
                  <c:v>40973</c:v>
                </c:pt>
                <c:pt idx="3085">
                  <c:v>40970</c:v>
                </c:pt>
                <c:pt idx="3086">
                  <c:v>40969</c:v>
                </c:pt>
                <c:pt idx="3087">
                  <c:v>40968</c:v>
                </c:pt>
                <c:pt idx="3088">
                  <c:v>40967</c:v>
                </c:pt>
                <c:pt idx="3089">
                  <c:v>40966</c:v>
                </c:pt>
                <c:pt idx="3090">
                  <c:v>40963</c:v>
                </c:pt>
                <c:pt idx="3091">
                  <c:v>40962</c:v>
                </c:pt>
                <c:pt idx="3092">
                  <c:v>40961</c:v>
                </c:pt>
                <c:pt idx="3093">
                  <c:v>40960</c:v>
                </c:pt>
                <c:pt idx="3094">
                  <c:v>40959</c:v>
                </c:pt>
                <c:pt idx="3095">
                  <c:v>40956</c:v>
                </c:pt>
                <c:pt idx="3096">
                  <c:v>40955</c:v>
                </c:pt>
                <c:pt idx="3097">
                  <c:v>40954</c:v>
                </c:pt>
                <c:pt idx="3098">
                  <c:v>40953</c:v>
                </c:pt>
                <c:pt idx="3099">
                  <c:v>40952</c:v>
                </c:pt>
                <c:pt idx="3100">
                  <c:v>40949</c:v>
                </c:pt>
                <c:pt idx="3101">
                  <c:v>40948</c:v>
                </c:pt>
                <c:pt idx="3102">
                  <c:v>40947</c:v>
                </c:pt>
                <c:pt idx="3103">
                  <c:v>40946</c:v>
                </c:pt>
                <c:pt idx="3104">
                  <c:v>40945</c:v>
                </c:pt>
                <c:pt idx="3105">
                  <c:v>40942</c:v>
                </c:pt>
                <c:pt idx="3106">
                  <c:v>40941</c:v>
                </c:pt>
                <c:pt idx="3107">
                  <c:v>40940</c:v>
                </c:pt>
                <c:pt idx="3108">
                  <c:v>40939</c:v>
                </c:pt>
                <c:pt idx="3109">
                  <c:v>40938</c:v>
                </c:pt>
                <c:pt idx="3110">
                  <c:v>40935</c:v>
                </c:pt>
                <c:pt idx="3111">
                  <c:v>40934</c:v>
                </c:pt>
                <c:pt idx="3112">
                  <c:v>40933</c:v>
                </c:pt>
                <c:pt idx="3113">
                  <c:v>40932</c:v>
                </c:pt>
                <c:pt idx="3114">
                  <c:v>40931</c:v>
                </c:pt>
                <c:pt idx="3115">
                  <c:v>40928</c:v>
                </c:pt>
                <c:pt idx="3116">
                  <c:v>40927</c:v>
                </c:pt>
                <c:pt idx="3117">
                  <c:v>40926</c:v>
                </c:pt>
                <c:pt idx="3118">
                  <c:v>40925</c:v>
                </c:pt>
                <c:pt idx="3119">
                  <c:v>40924</c:v>
                </c:pt>
                <c:pt idx="3120">
                  <c:v>40921</c:v>
                </c:pt>
                <c:pt idx="3121">
                  <c:v>40920</c:v>
                </c:pt>
                <c:pt idx="3122">
                  <c:v>40919</c:v>
                </c:pt>
                <c:pt idx="3123">
                  <c:v>40918</c:v>
                </c:pt>
                <c:pt idx="3124">
                  <c:v>40917</c:v>
                </c:pt>
                <c:pt idx="3125">
                  <c:v>40914</c:v>
                </c:pt>
                <c:pt idx="3126">
                  <c:v>40913</c:v>
                </c:pt>
                <c:pt idx="3127">
                  <c:v>40912</c:v>
                </c:pt>
                <c:pt idx="3128">
                  <c:v>40911</c:v>
                </c:pt>
                <c:pt idx="3129">
                  <c:v>40910</c:v>
                </c:pt>
                <c:pt idx="3130">
                  <c:v>40907</c:v>
                </c:pt>
                <c:pt idx="3131">
                  <c:v>40906</c:v>
                </c:pt>
                <c:pt idx="3132">
                  <c:v>40905</c:v>
                </c:pt>
                <c:pt idx="3133">
                  <c:v>40904</c:v>
                </c:pt>
                <c:pt idx="3134">
                  <c:v>40903</c:v>
                </c:pt>
                <c:pt idx="3135">
                  <c:v>40900</c:v>
                </c:pt>
                <c:pt idx="3136">
                  <c:v>40899</c:v>
                </c:pt>
                <c:pt idx="3137">
                  <c:v>40898</c:v>
                </c:pt>
                <c:pt idx="3138">
                  <c:v>40897</c:v>
                </c:pt>
                <c:pt idx="3139">
                  <c:v>40896</c:v>
                </c:pt>
                <c:pt idx="3140">
                  <c:v>40893</c:v>
                </c:pt>
                <c:pt idx="3141">
                  <c:v>40892</c:v>
                </c:pt>
                <c:pt idx="3142">
                  <c:v>40891</c:v>
                </c:pt>
                <c:pt idx="3143">
                  <c:v>40890</c:v>
                </c:pt>
                <c:pt idx="3144">
                  <c:v>40889</c:v>
                </c:pt>
                <c:pt idx="3145">
                  <c:v>40886</c:v>
                </c:pt>
                <c:pt idx="3146">
                  <c:v>40885</c:v>
                </c:pt>
                <c:pt idx="3147">
                  <c:v>40884</c:v>
                </c:pt>
                <c:pt idx="3148">
                  <c:v>40883</c:v>
                </c:pt>
                <c:pt idx="3149">
                  <c:v>40882</c:v>
                </c:pt>
                <c:pt idx="3150">
                  <c:v>40879</c:v>
                </c:pt>
                <c:pt idx="3151">
                  <c:v>40878</c:v>
                </c:pt>
                <c:pt idx="3152">
                  <c:v>40877</c:v>
                </c:pt>
                <c:pt idx="3153">
                  <c:v>40876</c:v>
                </c:pt>
                <c:pt idx="3154">
                  <c:v>40875</c:v>
                </c:pt>
                <c:pt idx="3155">
                  <c:v>40872</c:v>
                </c:pt>
                <c:pt idx="3156">
                  <c:v>40871</c:v>
                </c:pt>
                <c:pt idx="3157">
                  <c:v>40870</c:v>
                </c:pt>
                <c:pt idx="3158">
                  <c:v>40869</c:v>
                </c:pt>
                <c:pt idx="3159">
                  <c:v>40868</c:v>
                </c:pt>
                <c:pt idx="3160">
                  <c:v>40865</c:v>
                </c:pt>
                <c:pt idx="3161">
                  <c:v>40864</c:v>
                </c:pt>
                <c:pt idx="3162">
                  <c:v>40863</c:v>
                </c:pt>
                <c:pt idx="3163">
                  <c:v>40862</c:v>
                </c:pt>
                <c:pt idx="3164">
                  <c:v>40861</c:v>
                </c:pt>
                <c:pt idx="3165">
                  <c:v>40858</c:v>
                </c:pt>
                <c:pt idx="3166">
                  <c:v>40857</c:v>
                </c:pt>
                <c:pt idx="3167">
                  <c:v>40856</c:v>
                </c:pt>
                <c:pt idx="3168">
                  <c:v>40855</c:v>
                </c:pt>
                <c:pt idx="3169">
                  <c:v>40854</c:v>
                </c:pt>
                <c:pt idx="3170">
                  <c:v>40851</c:v>
                </c:pt>
                <c:pt idx="3171">
                  <c:v>40850</c:v>
                </c:pt>
                <c:pt idx="3172">
                  <c:v>40849</c:v>
                </c:pt>
                <c:pt idx="3173">
                  <c:v>40848</c:v>
                </c:pt>
                <c:pt idx="3174">
                  <c:v>40847</c:v>
                </c:pt>
                <c:pt idx="3175">
                  <c:v>40844</c:v>
                </c:pt>
                <c:pt idx="3176">
                  <c:v>40843</c:v>
                </c:pt>
                <c:pt idx="3177">
                  <c:v>40842</c:v>
                </c:pt>
                <c:pt idx="3178">
                  <c:v>40841</c:v>
                </c:pt>
                <c:pt idx="3179">
                  <c:v>40840</c:v>
                </c:pt>
                <c:pt idx="3180">
                  <c:v>40837</c:v>
                </c:pt>
                <c:pt idx="3181">
                  <c:v>40836</c:v>
                </c:pt>
                <c:pt idx="3182">
                  <c:v>40835</c:v>
                </c:pt>
                <c:pt idx="3183">
                  <c:v>40834</c:v>
                </c:pt>
                <c:pt idx="3184">
                  <c:v>40833</c:v>
                </c:pt>
                <c:pt idx="3185">
                  <c:v>40830</c:v>
                </c:pt>
                <c:pt idx="3186">
                  <c:v>40829</c:v>
                </c:pt>
                <c:pt idx="3187">
                  <c:v>40828</c:v>
                </c:pt>
                <c:pt idx="3188">
                  <c:v>40827</c:v>
                </c:pt>
                <c:pt idx="3189">
                  <c:v>40826</c:v>
                </c:pt>
                <c:pt idx="3190">
                  <c:v>40823</c:v>
                </c:pt>
                <c:pt idx="3191">
                  <c:v>40822</c:v>
                </c:pt>
                <c:pt idx="3192">
                  <c:v>40821</c:v>
                </c:pt>
                <c:pt idx="3193">
                  <c:v>40820</c:v>
                </c:pt>
                <c:pt idx="3194">
                  <c:v>40819</c:v>
                </c:pt>
                <c:pt idx="3195">
                  <c:v>40816</c:v>
                </c:pt>
                <c:pt idx="3196">
                  <c:v>40815</c:v>
                </c:pt>
                <c:pt idx="3197">
                  <c:v>40814</c:v>
                </c:pt>
                <c:pt idx="3198">
                  <c:v>40813</c:v>
                </c:pt>
                <c:pt idx="3199">
                  <c:v>40812</c:v>
                </c:pt>
                <c:pt idx="3200">
                  <c:v>40809</c:v>
                </c:pt>
                <c:pt idx="3201">
                  <c:v>40808</c:v>
                </c:pt>
                <c:pt idx="3202">
                  <c:v>40807</c:v>
                </c:pt>
                <c:pt idx="3203">
                  <c:v>40806</c:v>
                </c:pt>
                <c:pt idx="3204">
                  <c:v>40805</c:v>
                </c:pt>
                <c:pt idx="3205">
                  <c:v>40802</c:v>
                </c:pt>
                <c:pt idx="3206">
                  <c:v>40801</c:v>
                </c:pt>
                <c:pt idx="3207">
                  <c:v>40800</c:v>
                </c:pt>
                <c:pt idx="3208">
                  <c:v>40799</c:v>
                </c:pt>
                <c:pt idx="3209">
                  <c:v>40798</c:v>
                </c:pt>
                <c:pt idx="3210">
                  <c:v>40795</c:v>
                </c:pt>
                <c:pt idx="3211">
                  <c:v>40794</c:v>
                </c:pt>
                <c:pt idx="3212">
                  <c:v>40793</c:v>
                </c:pt>
                <c:pt idx="3213">
                  <c:v>40792</c:v>
                </c:pt>
                <c:pt idx="3214">
                  <c:v>40791</c:v>
                </c:pt>
                <c:pt idx="3215">
                  <c:v>40788</c:v>
                </c:pt>
                <c:pt idx="3216">
                  <c:v>40787</c:v>
                </c:pt>
                <c:pt idx="3217">
                  <c:v>40786</c:v>
                </c:pt>
                <c:pt idx="3218">
                  <c:v>40785</c:v>
                </c:pt>
                <c:pt idx="3219">
                  <c:v>40784</c:v>
                </c:pt>
                <c:pt idx="3220">
                  <c:v>40781</c:v>
                </c:pt>
                <c:pt idx="3221">
                  <c:v>40780</c:v>
                </c:pt>
                <c:pt idx="3222">
                  <c:v>40779</c:v>
                </c:pt>
                <c:pt idx="3223">
                  <c:v>40778</c:v>
                </c:pt>
                <c:pt idx="3224">
                  <c:v>40777</c:v>
                </c:pt>
                <c:pt idx="3225">
                  <c:v>40774</c:v>
                </c:pt>
                <c:pt idx="3226">
                  <c:v>40773</c:v>
                </c:pt>
                <c:pt idx="3227">
                  <c:v>40772</c:v>
                </c:pt>
                <c:pt idx="3228">
                  <c:v>40771</c:v>
                </c:pt>
                <c:pt idx="3229">
                  <c:v>40770</c:v>
                </c:pt>
                <c:pt idx="3230">
                  <c:v>40767</c:v>
                </c:pt>
                <c:pt idx="3231">
                  <c:v>40766</c:v>
                </c:pt>
                <c:pt idx="3232">
                  <c:v>40765</c:v>
                </c:pt>
                <c:pt idx="3233">
                  <c:v>40764</c:v>
                </c:pt>
                <c:pt idx="3234">
                  <c:v>40763</c:v>
                </c:pt>
                <c:pt idx="3235">
                  <c:v>40760</c:v>
                </c:pt>
                <c:pt idx="3236">
                  <c:v>40759</c:v>
                </c:pt>
                <c:pt idx="3237">
                  <c:v>40758</c:v>
                </c:pt>
                <c:pt idx="3238">
                  <c:v>40757</c:v>
                </c:pt>
                <c:pt idx="3239">
                  <c:v>40756</c:v>
                </c:pt>
                <c:pt idx="3240">
                  <c:v>40753</c:v>
                </c:pt>
                <c:pt idx="3241">
                  <c:v>40752</c:v>
                </c:pt>
                <c:pt idx="3242">
                  <c:v>40751</c:v>
                </c:pt>
                <c:pt idx="3243">
                  <c:v>40750</c:v>
                </c:pt>
                <c:pt idx="3244">
                  <c:v>40749</c:v>
                </c:pt>
                <c:pt idx="3245">
                  <c:v>40746</c:v>
                </c:pt>
                <c:pt idx="3246">
                  <c:v>40745</c:v>
                </c:pt>
                <c:pt idx="3247">
                  <c:v>40744</c:v>
                </c:pt>
                <c:pt idx="3248">
                  <c:v>40743</c:v>
                </c:pt>
                <c:pt idx="3249">
                  <c:v>40742</c:v>
                </c:pt>
                <c:pt idx="3250">
                  <c:v>40739</c:v>
                </c:pt>
                <c:pt idx="3251">
                  <c:v>40738</c:v>
                </c:pt>
                <c:pt idx="3252">
                  <c:v>40737</c:v>
                </c:pt>
                <c:pt idx="3253">
                  <c:v>40736</c:v>
                </c:pt>
                <c:pt idx="3254">
                  <c:v>40735</c:v>
                </c:pt>
                <c:pt idx="3255">
                  <c:v>40732</c:v>
                </c:pt>
                <c:pt idx="3256">
                  <c:v>40731</c:v>
                </c:pt>
                <c:pt idx="3257">
                  <c:v>40730</c:v>
                </c:pt>
                <c:pt idx="3258">
                  <c:v>40729</c:v>
                </c:pt>
                <c:pt idx="3259">
                  <c:v>40728</c:v>
                </c:pt>
                <c:pt idx="3260">
                  <c:v>40725</c:v>
                </c:pt>
                <c:pt idx="3261">
                  <c:v>40724</c:v>
                </c:pt>
                <c:pt idx="3262">
                  <c:v>40723</c:v>
                </c:pt>
                <c:pt idx="3263">
                  <c:v>40722</c:v>
                </c:pt>
                <c:pt idx="3264">
                  <c:v>40721</c:v>
                </c:pt>
                <c:pt idx="3265">
                  <c:v>40718</c:v>
                </c:pt>
                <c:pt idx="3266">
                  <c:v>40717</c:v>
                </c:pt>
                <c:pt idx="3267">
                  <c:v>40716</c:v>
                </c:pt>
                <c:pt idx="3268">
                  <c:v>40715</c:v>
                </c:pt>
                <c:pt idx="3269">
                  <c:v>40714</c:v>
                </c:pt>
                <c:pt idx="3270">
                  <c:v>40711</c:v>
                </c:pt>
                <c:pt idx="3271">
                  <c:v>40710</c:v>
                </c:pt>
                <c:pt idx="3272">
                  <c:v>40709</c:v>
                </c:pt>
                <c:pt idx="3273">
                  <c:v>40708</c:v>
                </c:pt>
                <c:pt idx="3274">
                  <c:v>40707</c:v>
                </c:pt>
                <c:pt idx="3275">
                  <c:v>40704</c:v>
                </c:pt>
                <c:pt idx="3276">
                  <c:v>40703</c:v>
                </c:pt>
                <c:pt idx="3277">
                  <c:v>40702</c:v>
                </c:pt>
                <c:pt idx="3278">
                  <c:v>40701</c:v>
                </c:pt>
                <c:pt idx="3279">
                  <c:v>40700</c:v>
                </c:pt>
                <c:pt idx="3280">
                  <c:v>40697</c:v>
                </c:pt>
                <c:pt idx="3281">
                  <c:v>40696</c:v>
                </c:pt>
                <c:pt idx="3282">
                  <c:v>40695</c:v>
                </c:pt>
                <c:pt idx="3283">
                  <c:v>40694</c:v>
                </c:pt>
                <c:pt idx="3284">
                  <c:v>40693</c:v>
                </c:pt>
                <c:pt idx="3285">
                  <c:v>40690</c:v>
                </c:pt>
                <c:pt idx="3286">
                  <c:v>40689</c:v>
                </c:pt>
                <c:pt idx="3287">
                  <c:v>40688</c:v>
                </c:pt>
                <c:pt idx="3288">
                  <c:v>40687</c:v>
                </c:pt>
                <c:pt idx="3289">
                  <c:v>40686</c:v>
                </c:pt>
                <c:pt idx="3290">
                  <c:v>40683</c:v>
                </c:pt>
                <c:pt idx="3291">
                  <c:v>40682</c:v>
                </c:pt>
                <c:pt idx="3292">
                  <c:v>40681</c:v>
                </c:pt>
                <c:pt idx="3293">
                  <c:v>40680</c:v>
                </c:pt>
                <c:pt idx="3294">
                  <c:v>40679</c:v>
                </c:pt>
                <c:pt idx="3295">
                  <c:v>40676</c:v>
                </c:pt>
                <c:pt idx="3296">
                  <c:v>40675</c:v>
                </c:pt>
                <c:pt idx="3297">
                  <c:v>40674</c:v>
                </c:pt>
                <c:pt idx="3298">
                  <c:v>40673</c:v>
                </c:pt>
                <c:pt idx="3299">
                  <c:v>40672</c:v>
                </c:pt>
                <c:pt idx="3300">
                  <c:v>40669</c:v>
                </c:pt>
                <c:pt idx="3301">
                  <c:v>40668</c:v>
                </c:pt>
                <c:pt idx="3302">
                  <c:v>40667</c:v>
                </c:pt>
                <c:pt idx="3303">
                  <c:v>40666</c:v>
                </c:pt>
                <c:pt idx="3304">
                  <c:v>40665</c:v>
                </c:pt>
                <c:pt idx="3305">
                  <c:v>40662</c:v>
                </c:pt>
                <c:pt idx="3306">
                  <c:v>40661</c:v>
                </c:pt>
                <c:pt idx="3307">
                  <c:v>40660</c:v>
                </c:pt>
                <c:pt idx="3308">
                  <c:v>40659</c:v>
                </c:pt>
                <c:pt idx="3309">
                  <c:v>40658</c:v>
                </c:pt>
                <c:pt idx="3310">
                  <c:v>40655</c:v>
                </c:pt>
                <c:pt idx="3311">
                  <c:v>40654</c:v>
                </c:pt>
                <c:pt idx="3312">
                  <c:v>40653</c:v>
                </c:pt>
                <c:pt idx="3313">
                  <c:v>40652</c:v>
                </c:pt>
                <c:pt idx="3314">
                  <c:v>40651</c:v>
                </c:pt>
                <c:pt idx="3315">
                  <c:v>40648</c:v>
                </c:pt>
                <c:pt idx="3316">
                  <c:v>40647</c:v>
                </c:pt>
                <c:pt idx="3317">
                  <c:v>40646</c:v>
                </c:pt>
                <c:pt idx="3318">
                  <c:v>40645</c:v>
                </c:pt>
                <c:pt idx="3319">
                  <c:v>40644</c:v>
                </c:pt>
                <c:pt idx="3320">
                  <c:v>40641</c:v>
                </c:pt>
                <c:pt idx="3321">
                  <c:v>40640</c:v>
                </c:pt>
                <c:pt idx="3322">
                  <c:v>40639</c:v>
                </c:pt>
                <c:pt idx="3323">
                  <c:v>40638</c:v>
                </c:pt>
                <c:pt idx="3324">
                  <c:v>40637</c:v>
                </c:pt>
                <c:pt idx="3325">
                  <c:v>40634</c:v>
                </c:pt>
                <c:pt idx="3326">
                  <c:v>40633</c:v>
                </c:pt>
                <c:pt idx="3327">
                  <c:v>40632</c:v>
                </c:pt>
                <c:pt idx="3328">
                  <c:v>40631</c:v>
                </c:pt>
                <c:pt idx="3329">
                  <c:v>40630</c:v>
                </c:pt>
                <c:pt idx="3330">
                  <c:v>40627</c:v>
                </c:pt>
                <c:pt idx="3331">
                  <c:v>40626</c:v>
                </c:pt>
                <c:pt idx="3332">
                  <c:v>40625</c:v>
                </c:pt>
                <c:pt idx="3333">
                  <c:v>40624</c:v>
                </c:pt>
                <c:pt idx="3334">
                  <c:v>40623</c:v>
                </c:pt>
                <c:pt idx="3335">
                  <c:v>40620</c:v>
                </c:pt>
                <c:pt idx="3336">
                  <c:v>40619</c:v>
                </c:pt>
                <c:pt idx="3337">
                  <c:v>40618</c:v>
                </c:pt>
                <c:pt idx="3338">
                  <c:v>40617</c:v>
                </c:pt>
                <c:pt idx="3339">
                  <c:v>40616</c:v>
                </c:pt>
                <c:pt idx="3340">
                  <c:v>40613</c:v>
                </c:pt>
                <c:pt idx="3341">
                  <c:v>40612</c:v>
                </c:pt>
                <c:pt idx="3342">
                  <c:v>40611</c:v>
                </c:pt>
                <c:pt idx="3343">
                  <c:v>40610</c:v>
                </c:pt>
                <c:pt idx="3344">
                  <c:v>40609</c:v>
                </c:pt>
                <c:pt idx="3345">
                  <c:v>40606</c:v>
                </c:pt>
                <c:pt idx="3346">
                  <c:v>40605</c:v>
                </c:pt>
                <c:pt idx="3347">
                  <c:v>40604</c:v>
                </c:pt>
                <c:pt idx="3348">
                  <c:v>40603</c:v>
                </c:pt>
                <c:pt idx="3349">
                  <c:v>40602</c:v>
                </c:pt>
                <c:pt idx="3350">
                  <c:v>40599</c:v>
                </c:pt>
                <c:pt idx="3351">
                  <c:v>40598</c:v>
                </c:pt>
                <c:pt idx="3352">
                  <c:v>40597</c:v>
                </c:pt>
                <c:pt idx="3353">
                  <c:v>40596</c:v>
                </c:pt>
                <c:pt idx="3354">
                  <c:v>40595</c:v>
                </c:pt>
                <c:pt idx="3355">
                  <c:v>40592</c:v>
                </c:pt>
                <c:pt idx="3356">
                  <c:v>40591</c:v>
                </c:pt>
                <c:pt idx="3357">
                  <c:v>40590</c:v>
                </c:pt>
                <c:pt idx="3358">
                  <c:v>40589</c:v>
                </c:pt>
                <c:pt idx="3359">
                  <c:v>40588</c:v>
                </c:pt>
                <c:pt idx="3360">
                  <c:v>40585</c:v>
                </c:pt>
                <c:pt idx="3361">
                  <c:v>40584</c:v>
                </c:pt>
                <c:pt idx="3362">
                  <c:v>40583</c:v>
                </c:pt>
                <c:pt idx="3363">
                  <c:v>40582</c:v>
                </c:pt>
                <c:pt idx="3364">
                  <c:v>40581</c:v>
                </c:pt>
                <c:pt idx="3365">
                  <c:v>40578</c:v>
                </c:pt>
                <c:pt idx="3366">
                  <c:v>40577</c:v>
                </c:pt>
                <c:pt idx="3367">
                  <c:v>40576</c:v>
                </c:pt>
                <c:pt idx="3368">
                  <c:v>40575</c:v>
                </c:pt>
                <c:pt idx="3369">
                  <c:v>40574</c:v>
                </c:pt>
                <c:pt idx="3370">
                  <c:v>40571</c:v>
                </c:pt>
                <c:pt idx="3371">
                  <c:v>40570</c:v>
                </c:pt>
                <c:pt idx="3372">
                  <c:v>40569</c:v>
                </c:pt>
                <c:pt idx="3373">
                  <c:v>40568</c:v>
                </c:pt>
                <c:pt idx="3374">
                  <c:v>40567</c:v>
                </c:pt>
                <c:pt idx="3375">
                  <c:v>40564</c:v>
                </c:pt>
                <c:pt idx="3376">
                  <c:v>40563</c:v>
                </c:pt>
                <c:pt idx="3377">
                  <c:v>40562</c:v>
                </c:pt>
                <c:pt idx="3378">
                  <c:v>40561</c:v>
                </c:pt>
                <c:pt idx="3379">
                  <c:v>40560</c:v>
                </c:pt>
                <c:pt idx="3380">
                  <c:v>40557</c:v>
                </c:pt>
                <c:pt idx="3381">
                  <c:v>40556</c:v>
                </c:pt>
                <c:pt idx="3382">
                  <c:v>40555</c:v>
                </c:pt>
                <c:pt idx="3383">
                  <c:v>40554</c:v>
                </c:pt>
                <c:pt idx="3384">
                  <c:v>40553</c:v>
                </c:pt>
                <c:pt idx="3385">
                  <c:v>40550</c:v>
                </c:pt>
                <c:pt idx="3386">
                  <c:v>40549</c:v>
                </c:pt>
                <c:pt idx="3387">
                  <c:v>40548</c:v>
                </c:pt>
                <c:pt idx="3388">
                  <c:v>40547</c:v>
                </c:pt>
                <c:pt idx="3389">
                  <c:v>40546</c:v>
                </c:pt>
                <c:pt idx="3390">
                  <c:v>40543</c:v>
                </c:pt>
                <c:pt idx="3391">
                  <c:v>40542</c:v>
                </c:pt>
                <c:pt idx="3392">
                  <c:v>40541</c:v>
                </c:pt>
                <c:pt idx="3393">
                  <c:v>40540</c:v>
                </c:pt>
                <c:pt idx="3394">
                  <c:v>40539</c:v>
                </c:pt>
                <c:pt idx="3395">
                  <c:v>40536</c:v>
                </c:pt>
                <c:pt idx="3396">
                  <c:v>40535</c:v>
                </c:pt>
                <c:pt idx="3397">
                  <c:v>40534</c:v>
                </c:pt>
                <c:pt idx="3398">
                  <c:v>40533</c:v>
                </c:pt>
                <c:pt idx="3399">
                  <c:v>40532</c:v>
                </c:pt>
                <c:pt idx="3400">
                  <c:v>40529</c:v>
                </c:pt>
                <c:pt idx="3401">
                  <c:v>40528</c:v>
                </c:pt>
                <c:pt idx="3402">
                  <c:v>40527</c:v>
                </c:pt>
                <c:pt idx="3403">
                  <c:v>40526</c:v>
                </c:pt>
                <c:pt idx="3404">
                  <c:v>40525</c:v>
                </c:pt>
                <c:pt idx="3405">
                  <c:v>40522</c:v>
                </c:pt>
                <c:pt idx="3406">
                  <c:v>40521</c:v>
                </c:pt>
                <c:pt idx="3407">
                  <c:v>40520</c:v>
                </c:pt>
                <c:pt idx="3408">
                  <c:v>40519</c:v>
                </c:pt>
                <c:pt idx="3409">
                  <c:v>40518</c:v>
                </c:pt>
                <c:pt idx="3410">
                  <c:v>40515</c:v>
                </c:pt>
                <c:pt idx="3411">
                  <c:v>40514</c:v>
                </c:pt>
                <c:pt idx="3412">
                  <c:v>40513</c:v>
                </c:pt>
                <c:pt idx="3413">
                  <c:v>40512</c:v>
                </c:pt>
                <c:pt idx="3414">
                  <c:v>40511</c:v>
                </c:pt>
                <c:pt idx="3415">
                  <c:v>40508</c:v>
                </c:pt>
                <c:pt idx="3416">
                  <c:v>40507</c:v>
                </c:pt>
                <c:pt idx="3417">
                  <c:v>40506</c:v>
                </c:pt>
                <c:pt idx="3418">
                  <c:v>40505</c:v>
                </c:pt>
                <c:pt idx="3419">
                  <c:v>40504</c:v>
                </c:pt>
                <c:pt idx="3420">
                  <c:v>40501</c:v>
                </c:pt>
                <c:pt idx="3421">
                  <c:v>40500</c:v>
                </c:pt>
                <c:pt idx="3422">
                  <c:v>40499</c:v>
                </c:pt>
                <c:pt idx="3423">
                  <c:v>40498</c:v>
                </c:pt>
                <c:pt idx="3424">
                  <c:v>40497</c:v>
                </c:pt>
                <c:pt idx="3425">
                  <c:v>40494</c:v>
                </c:pt>
                <c:pt idx="3426">
                  <c:v>40493</c:v>
                </c:pt>
                <c:pt idx="3427">
                  <c:v>40492</c:v>
                </c:pt>
                <c:pt idx="3428">
                  <c:v>40491</c:v>
                </c:pt>
                <c:pt idx="3429">
                  <c:v>40490</c:v>
                </c:pt>
                <c:pt idx="3430">
                  <c:v>40487</c:v>
                </c:pt>
                <c:pt idx="3431">
                  <c:v>40486</c:v>
                </c:pt>
                <c:pt idx="3432">
                  <c:v>40485</c:v>
                </c:pt>
                <c:pt idx="3433">
                  <c:v>40484</c:v>
                </c:pt>
                <c:pt idx="3434">
                  <c:v>40483</c:v>
                </c:pt>
                <c:pt idx="3435">
                  <c:v>40480</c:v>
                </c:pt>
                <c:pt idx="3436">
                  <c:v>40479</c:v>
                </c:pt>
                <c:pt idx="3437">
                  <c:v>40478</c:v>
                </c:pt>
                <c:pt idx="3438">
                  <c:v>40477</c:v>
                </c:pt>
                <c:pt idx="3439">
                  <c:v>40476</c:v>
                </c:pt>
                <c:pt idx="3440">
                  <c:v>40473</c:v>
                </c:pt>
                <c:pt idx="3441">
                  <c:v>40472</c:v>
                </c:pt>
                <c:pt idx="3442">
                  <c:v>40471</c:v>
                </c:pt>
                <c:pt idx="3443">
                  <c:v>40470</c:v>
                </c:pt>
                <c:pt idx="3444">
                  <c:v>40469</c:v>
                </c:pt>
                <c:pt idx="3445">
                  <c:v>40466</c:v>
                </c:pt>
                <c:pt idx="3446">
                  <c:v>40465</c:v>
                </c:pt>
                <c:pt idx="3447">
                  <c:v>40464</c:v>
                </c:pt>
                <c:pt idx="3448">
                  <c:v>40463</c:v>
                </c:pt>
                <c:pt idx="3449">
                  <c:v>40462</c:v>
                </c:pt>
                <c:pt idx="3450">
                  <c:v>40459</c:v>
                </c:pt>
                <c:pt idx="3451">
                  <c:v>40458</c:v>
                </c:pt>
                <c:pt idx="3452">
                  <c:v>40457</c:v>
                </c:pt>
                <c:pt idx="3453">
                  <c:v>40456</c:v>
                </c:pt>
                <c:pt idx="3454">
                  <c:v>40455</c:v>
                </c:pt>
                <c:pt idx="3455">
                  <c:v>40452</c:v>
                </c:pt>
                <c:pt idx="3456">
                  <c:v>40451</c:v>
                </c:pt>
                <c:pt idx="3457">
                  <c:v>40450</c:v>
                </c:pt>
                <c:pt idx="3458">
                  <c:v>40449</c:v>
                </c:pt>
                <c:pt idx="3459">
                  <c:v>40448</c:v>
                </c:pt>
                <c:pt idx="3460">
                  <c:v>40445</c:v>
                </c:pt>
                <c:pt idx="3461">
                  <c:v>40444</c:v>
                </c:pt>
                <c:pt idx="3462">
                  <c:v>40443</c:v>
                </c:pt>
                <c:pt idx="3463">
                  <c:v>40442</c:v>
                </c:pt>
                <c:pt idx="3464">
                  <c:v>40441</c:v>
                </c:pt>
                <c:pt idx="3465">
                  <c:v>40438</c:v>
                </c:pt>
                <c:pt idx="3466">
                  <c:v>40437</c:v>
                </c:pt>
                <c:pt idx="3467">
                  <c:v>40436</c:v>
                </c:pt>
                <c:pt idx="3468">
                  <c:v>40435</c:v>
                </c:pt>
                <c:pt idx="3469">
                  <c:v>40434</c:v>
                </c:pt>
                <c:pt idx="3470">
                  <c:v>40431</c:v>
                </c:pt>
                <c:pt idx="3471">
                  <c:v>40430</c:v>
                </c:pt>
                <c:pt idx="3472">
                  <c:v>40429</c:v>
                </c:pt>
                <c:pt idx="3473">
                  <c:v>40428</c:v>
                </c:pt>
                <c:pt idx="3474">
                  <c:v>40427</c:v>
                </c:pt>
                <c:pt idx="3475">
                  <c:v>40424</c:v>
                </c:pt>
                <c:pt idx="3476">
                  <c:v>40423</c:v>
                </c:pt>
                <c:pt idx="3477">
                  <c:v>40422</c:v>
                </c:pt>
                <c:pt idx="3478">
                  <c:v>40421</c:v>
                </c:pt>
                <c:pt idx="3479">
                  <c:v>40420</c:v>
                </c:pt>
                <c:pt idx="3480">
                  <c:v>40417</c:v>
                </c:pt>
                <c:pt idx="3481">
                  <c:v>40416</c:v>
                </c:pt>
                <c:pt idx="3482">
                  <c:v>40415</c:v>
                </c:pt>
                <c:pt idx="3483">
                  <c:v>40414</c:v>
                </c:pt>
                <c:pt idx="3484">
                  <c:v>40413</c:v>
                </c:pt>
                <c:pt idx="3485">
                  <c:v>40410</c:v>
                </c:pt>
                <c:pt idx="3486">
                  <c:v>40409</c:v>
                </c:pt>
                <c:pt idx="3487">
                  <c:v>40408</c:v>
                </c:pt>
                <c:pt idx="3488">
                  <c:v>40407</c:v>
                </c:pt>
                <c:pt idx="3489">
                  <c:v>40406</c:v>
                </c:pt>
                <c:pt idx="3490">
                  <c:v>40403</c:v>
                </c:pt>
                <c:pt idx="3491">
                  <c:v>40402</c:v>
                </c:pt>
                <c:pt idx="3492">
                  <c:v>40401</c:v>
                </c:pt>
                <c:pt idx="3493">
                  <c:v>40400</c:v>
                </c:pt>
                <c:pt idx="3494">
                  <c:v>40399</c:v>
                </c:pt>
                <c:pt idx="3495">
                  <c:v>40396</c:v>
                </c:pt>
                <c:pt idx="3496">
                  <c:v>40395</c:v>
                </c:pt>
                <c:pt idx="3497">
                  <c:v>40394</c:v>
                </c:pt>
                <c:pt idx="3498">
                  <c:v>40393</c:v>
                </c:pt>
                <c:pt idx="3499">
                  <c:v>40392</c:v>
                </c:pt>
                <c:pt idx="3500">
                  <c:v>40389</c:v>
                </c:pt>
                <c:pt idx="3501">
                  <c:v>40388</c:v>
                </c:pt>
                <c:pt idx="3502">
                  <c:v>40387</c:v>
                </c:pt>
                <c:pt idx="3503">
                  <c:v>40386</c:v>
                </c:pt>
                <c:pt idx="3504">
                  <c:v>40385</c:v>
                </c:pt>
                <c:pt idx="3505">
                  <c:v>40382</c:v>
                </c:pt>
                <c:pt idx="3506">
                  <c:v>40381</c:v>
                </c:pt>
                <c:pt idx="3507">
                  <c:v>40380</c:v>
                </c:pt>
                <c:pt idx="3508">
                  <c:v>40379</c:v>
                </c:pt>
                <c:pt idx="3509">
                  <c:v>40378</c:v>
                </c:pt>
                <c:pt idx="3510">
                  <c:v>40375</c:v>
                </c:pt>
                <c:pt idx="3511">
                  <c:v>40374</c:v>
                </c:pt>
                <c:pt idx="3512">
                  <c:v>40373</c:v>
                </c:pt>
                <c:pt idx="3513">
                  <c:v>40372</c:v>
                </c:pt>
                <c:pt idx="3514">
                  <c:v>40371</c:v>
                </c:pt>
                <c:pt idx="3515">
                  <c:v>40368</c:v>
                </c:pt>
                <c:pt idx="3516">
                  <c:v>40367</c:v>
                </c:pt>
                <c:pt idx="3517">
                  <c:v>40366</c:v>
                </c:pt>
                <c:pt idx="3518">
                  <c:v>40365</c:v>
                </c:pt>
                <c:pt idx="3519">
                  <c:v>40364</c:v>
                </c:pt>
                <c:pt idx="3520">
                  <c:v>40361</c:v>
                </c:pt>
                <c:pt idx="3521">
                  <c:v>40360</c:v>
                </c:pt>
                <c:pt idx="3522">
                  <c:v>40359</c:v>
                </c:pt>
                <c:pt idx="3523">
                  <c:v>40358</c:v>
                </c:pt>
                <c:pt idx="3524">
                  <c:v>40357</c:v>
                </c:pt>
                <c:pt idx="3525">
                  <c:v>40354</c:v>
                </c:pt>
                <c:pt idx="3526">
                  <c:v>40353</c:v>
                </c:pt>
                <c:pt idx="3527">
                  <c:v>40352</c:v>
                </c:pt>
                <c:pt idx="3528">
                  <c:v>40351</c:v>
                </c:pt>
                <c:pt idx="3529">
                  <c:v>40350</c:v>
                </c:pt>
                <c:pt idx="3530">
                  <c:v>40347</c:v>
                </c:pt>
                <c:pt idx="3531">
                  <c:v>40346</c:v>
                </c:pt>
                <c:pt idx="3532">
                  <c:v>40345</c:v>
                </c:pt>
                <c:pt idx="3533">
                  <c:v>40344</c:v>
                </c:pt>
                <c:pt idx="3534">
                  <c:v>40343</c:v>
                </c:pt>
                <c:pt idx="3535">
                  <c:v>40340</c:v>
                </c:pt>
                <c:pt idx="3536">
                  <c:v>40339</c:v>
                </c:pt>
                <c:pt idx="3537">
                  <c:v>40338</c:v>
                </c:pt>
                <c:pt idx="3538">
                  <c:v>40337</c:v>
                </c:pt>
                <c:pt idx="3539">
                  <c:v>40336</c:v>
                </c:pt>
                <c:pt idx="3540">
                  <c:v>40333</c:v>
                </c:pt>
                <c:pt idx="3541">
                  <c:v>40332</c:v>
                </c:pt>
                <c:pt idx="3542">
                  <c:v>40331</c:v>
                </c:pt>
                <c:pt idx="3543">
                  <c:v>40330</c:v>
                </c:pt>
                <c:pt idx="3544">
                  <c:v>40329</c:v>
                </c:pt>
                <c:pt idx="3545">
                  <c:v>40326</c:v>
                </c:pt>
                <c:pt idx="3546">
                  <c:v>40325</c:v>
                </c:pt>
                <c:pt idx="3547">
                  <c:v>40324</c:v>
                </c:pt>
                <c:pt idx="3548">
                  <c:v>40323</c:v>
                </c:pt>
                <c:pt idx="3549">
                  <c:v>40322</c:v>
                </c:pt>
                <c:pt idx="3550">
                  <c:v>40319</c:v>
                </c:pt>
                <c:pt idx="3551">
                  <c:v>40318</c:v>
                </c:pt>
                <c:pt idx="3552">
                  <c:v>40317</c:v>
                </c:pt>
                <c:pt idx="3553">
                  <c:v>40316</c:v>
                </c:pt>
                <c:pt idx="3554">
                  <c:v>40315</c:v>
                </c:pt>
                <c:pt idx="3555">
                  <c:v>40312</c:v>
                </c:pt>
                <c:pt idx="3556">
                  <c:v>40311</c:v>
                </c:pt>
                <c:pt idx="3557">
                  <c:v>40310</c:v>
                </c:pt>
                <c:pt idx="3558">
                  <c:v>40309</c:v>
                </c:pt>
                <c:pt idx="3559">
                  <c:v>40308</c:v>
                </c:pt>
                <c:pt idx="3560">
                  <c:v>40305</c:v>
                </c:pt>
                <c:pt idx="3561">
                  <c:v>40304</c:v>
                </c:pt>
                <c:pt idx="3562">
                  <c:v>40303</c:v>
                </c:pt>
                <c:pt idx="3563">
                  <c:v>40302</c:v>
                </c:pt>
                <c:pt idx="3564">
                  <c:v>40301</c:v>
                </c:pt>
                <c:pt idx="3565">
                  <c:v>40298</c:v>
                </c:pt>
                <c:pt idx="3566">
                  <c:v>40297</c:v>
                </c:pt>
                <c:pt idx="3567">
                  <c:v>40296</c:v>
                </c:pt>
                <c:pt idx="3568">
                  <c:v>40295</c:v>
                </c:pt>
                <c:pt idx="3569">
                  <c:v>40294</c:v>
                </c:pt>
                <c:pt idx="3570">
                  <c:v>40291</c:v>
                </c:pt>
                <c:pt idx="3571">
                  <c:v>40290</c:v>
                </c:pt>
                <c:pt idx="3572">
                  <c:v>40289</c:v>
                </c:pt>
                <c:pt idx="3573">
                  <c:v>40288</c:v>
                </c:pt>
                <c:pt idx="3574">
                  <c:v>40287</c:v>
                </c:pt>
                <c:pt idx="3575">
                  <c:v>40284</c:v>
                </c:pt>
                <c:pt idx="3576">
                  <c:v>40283</c:v>
                </c:pt>
                <c:pt idx="3577">
                  <c:v>40282</c:v>
                </c:pt>
                <c:pt idx="3578">
                  <c:v>40281</c:v>
                </c:pt>
                <c:pt idx="3579">
                  <c:v>40280</c:v>
                </c:pt>
                <c:pt idx="3580">
                  <c:v>40277</c:v>
                </c:pt>
                <c:pt idx="3581">
                  <c:v>40276</c:v>
                </c:pt>
                <c:pt idx="3582">
                  <c:v>40275</c:v>
                </c:pt>
                <c:pt idx="3583">
                  <c:v>40274</c:v>
                </c:pt>
                <c:pt idx="3584">
                  <c:v>40273</c:v>
                </c:pt>
                <c:pt idx="3585">
                  <c:v>40270</c:v>
                </c:pt>
                <c:pt idx="3586">
                  <c:v>40269</c:v>
                </c:pt>
                <c:pt idx="3587">
                  <c:v>40268</c:v>
                </c:pt>
                <c:pt idx="3588">
                  <c:v>40267</c:v>
                </c:pt>
                <c:pt idx="3589">
                  <c:v>40266</c:v>
                </c:pt>
                <c:pt idx="3590">
                  <c:v>40263</c:v>
                </c:pt>
                <c:pt idx="3591">
                  <c:v>40262</c:v>
                </c:pt>
                <c:pt idx="3592">
                  <c:v>40261</c:v>
                </c:pt>
                <c:pt idx="3593">
                  <c:v>40260</c:v>
                </c:pt>
                <c:pt idx="3594">
                  <c:v>40259</c:v>
                </c:pt>
                <c:pt idx="3595">
                  <c:v>40256</c:v>
                </c:pt>
                <c:pt idx="3596">
                  <c:v>40255</c:v>
                </c:pt>
                <c:pt idx="3597">
                  <c:v>40254</c:v>
                </c:pt>
                <c:pt idx="3598">
                  <c:v>40253</c:v>
                </c:pt>
                <c:pt idx="3599">
                  <c:v>40252</c:v>
                </c:pt>
                <c:pt idx="3600">
                  <c:v>40249</c:v>
                </c:pt>
                <c:pt idx="3601">
                  <c:v>40248</c:v>
                </c:pt>
                <c:pt idx="3602">
                  <c:v>40247</c:v>
                </c:pt>
                <c:pt idx="3603">
                  <c:v>40246</c:v>
                </c:pt>
                <c:pt idx="3604">
                  <c:v>40245</c:v>
                </c:pt>
                <c:pt idx="3605">
                  <c:v>40242</c:v>
                </c:pt>
                <c:pt idx="3606">
                  <c:v>40241</c:v>
                </c:pt>
                <c:pt idx="3607">
                  <c:v>40240</c:v>
                </c:pt>
                <c:pt idx="3608">
                  <c:v>40239</c:v>
                </c:pt>
                <c:pt idx="3609">
                  <c:v>40238</c:v>
                </c:pt>
                <c:pt idx="3610">
                  <c:v>40235</c:v>
                </c:pt>
                <c:pt idx="3611">
                  <c:v>40234</c:v>
                </c:pt>
                <c:pt idx="3612">
                  <c:v>40233</c:v>
                </c:pt>
                <c:pt idx="3613">
                  <c:v>40232</c:v>
                </c:pt>
                <c:pt idx="3614">
                  <c:v>40231</c:v>
                </c:pt>
                <c:pt idx="3615">
                  <c:v>40228</c:v>
                </c:pt>
                <c:pt idx="3616">
                  <c:v>40227</c:v>
                </c:pt>
                <c:pt idx="3617">
                  <c:v>40226</c:v>
                </c:pt>
                <c:pt idx="3618">
                  <c:v>40225</c:v>
                </c:pt>
                <c:pt idx="3619">
                  <c:v>40224</c:v>
                </c:pt>
                <c:pt idx="3620">
                  <c:v>40221</c:v>
                </c:pt>
                <c:pt idx="3621">
                  <c:v>40220</c:v>
                </c:pt>
                <c:pt idx="3622">
                  <c:v>40219</c:v>
                </c:pt>
                <c:pt idx="3623">
                  <c:v>40218</c:v>
                </c:pt>
                <c:pt idx="3624">
                  <c:v>40217</c:v>
                </c:pt>
                <c:pt idx="3625">
                  <c:v>40214</c:v>
                </c:pt>
                <c:pt idx="3626">
                  <c:v>40213</c:v>
                </c:pt>
                <c:pt idx="3627">
                  <c:v>40212</c:v>
                </c:pt>
                <c:pt idx="3628">
                  <c:v>40211</c:v>
                </c:pt>
                <c:pt idx="3629">
                  <c:v>40210</c:v>
                </c:pt>
                <c:pt idx="3630">
                  <c:v>40207</c:v>
                </c:pt>
                <c:pt idx="3631">
                  <c:v>40206</c:v>
                </c:pt>
                <c:pt idx="3632">
                  <c:v>40205</c:v>
                </c:pt>
                <c:pt idx="3633">
                  <c:v>40204</c:v>
                </c:pt>
                <c:pt idx="3634">
                  <c:v>40203</c:v>
                </c:pt>
                <c:pt idx="3635">
                  <c:v>40200</c:v>
                </c:pt>
                <c:pt idx="3636">
                  <c:v>40199</c:v>
                </c:pt>
                <c:pt idx="3637">
                  <c:v>40198</c:v>
                </c:pt>
                <c:pt idx="3638">
                  <c:v>40197</c:v>
                </c:pt>
                <c:pt idx="3639">
                  <c:v>40196</c:v>
                </c:pt>
                <c:pt idx="3640">
                  <c:v>40193</c:v>
                </c:pt>
                <c:pt idx="3641">
                  <c:v>40192</c:v>
                </c:pt>
                <c:pt idx="3642">
                  <c:v>40191</c:v>
                </c:pt>
                <c:pt idx="3643">
                  <c:v>40190</c:v>
                </c:pt>
                <c:pt idx="3644">
                  <c:v>40189</c:v>
                </c:pt>
                <c:pt idx="3645">
                  <c:v>40186</c:v>
                </c:pt>
                <c:pt idx="3646">
                  <c:v>40185</c:v>
                </c:pt>
                <c:pt idx="3647">
                  <c:v>40184</c:v>
                </c:pt>
                <c:pt idx="3648">
                  <c:v>40183</c:v>
                </c:pt>
                <c:pt idx="3649">
                  <c:v>40182</c:v>
                </c:pt>
                <c:pt idx="3650">
                  <c:v>40179</c:v>
                </c:pt>
              </c:numCache>
            </c:numRef>
          </c:cat>
          <c:val>
            <c:numRef>
              <c:f>Hárok1!$D$2:$D$3652</c:f>
              <c:numCache>
                <c:formatCode>General</c:formatCode>
                <c:ptCount val="3651"/>
                <c:pt idx="0">
                  <c:v>2.0209999999999999</c:v>
                </c:pt>
                <c:pt idx="1">
                  <c:v>1.9430000000000001</c:v>
                </c:pt>
                <c:pt idx="2">
                  <c:v>1.893</c:v>
                </c:pt>
                <c:pt idx="3">
                  <c:v>1.9770000000000001</c:v>
                </c:pt>
                <c:pt idx="4">
                  <c:v>1.9770000000000001</c:v>
                </c:pt>
                <c:pt idx="5">
                  <c:v>1.9770000000000001</c:v>
                </c:pt>
                <c:pt idx="6">
                  <c:v>1.9630000000000001</c:v>
                </c:pt>
                <c:pt idx="7">
                  <c:v>1.9690000000000001</c:v>
                </c:pt>
                <c:pt idx="8">
                  <c:v>2.0150000000000001</c:v>
                </c:pt>
                <c:pt idx="9">
                  <c:v>2.077</c:v>
                </c:pt>
                <c:pt idx="10">
                  <c:v>2.0139999999999998</c:v>
                </c:pt>
                <c:pt idx="11">
                  <c:v>2.1120000000000001</c:v>
                </c:pt>
                <c:pt idx="12">
                  <c:v>2.1709999999999998</c:v>
                </c:pt>
                <c:pt idx="13">
                  <c:v>2.2240000000000002</c:v>
                </c:pt>
                <c:pt idx="14">
                  <c:v>2.2690000000000001</c:v>
                </c:pt>
                <c:pt idx="15">
                  <c:v>2.2749999999999999</c:v>
                </c:pt>
                <c:pt idx="16">
                  <c:v>2.1890000000000001</c:v>
                </c:pt>
                <c:pt idx="17">
                  <c:v>2.198</c:v>
                </c:pt>
                <c:pt idx="18">
                  <c:v>2.2450000000000001</c:v>
                </c:pt>
                <c:pt idx="19">
                  <c:v>2.3519999999999999</c:v>
                </c:pt>
                <c:pt idx="20">
                  <c:v>2.36</c:v>
                </c:pt>
                <c:pt idx="21">
                  <c:v>2.4449999999999998</c:v>
                </c:pt>
                <c:pt idx="22">
                  <c:v>2.4300000000000002</c:v>
                </c:pt>
                <c:pt idx="23">
                  <c:v>2.4950000000000001</c:v>
                </c:pt>
                <c:pt idx="24">
                  <c:v>2.5470000000000002</c:v>
                </c:pt>
                <c:pt idx="25">
                  <c:v>2.6419999999999999</c:v>
                </c:pt>
                <c:pt idx="26">
                  <c:v>2.617</c:v>
                </c:pt>
                <c:pt idx="27">
                  <c:v>2.5579999999999998</c:v>
                </c:pt>
                <c:pt idx="28">
                  <c:v>2.5649999999999999</c:v>
                </c:pt>
                <c:pt idx="29">
                  <c:v>2.61</c:v>
                </c:pt>
                <c:pt idx="30">
                  <c:v>2.5859999999999999</c:v>
                </c:pt>
                <c:pt idx="31">
                  <c:v>2.589</c:v>
                </c:pt>
                <c:pt idx="32">
                  <c:v>2.6419999999999999</c:v>
                </c:pt>
                <c:pt idx="33">
                  <c:v>2.5990000000000002</c:v>
                </c:pt>
                <c:pt idx="34">
                  <c:v>2.7109999999999999</c:v>
                </c:pt>
                <c:pt idx="35">
                  <c:v>2.7160000000000002</c:v>
                </c:pt>
                <c:pt idx="36">
                  <c:v>2.645</c:v>
                </c:pt>
                <c:pt idx="37">
                  <c:v>2.6150000000000002</c:v>
                </c:pt>
                <c:pt idx="38">
                  <c:v>2.657</c:v>
                </c:pt>
                <c:pt idx="39">
                  <c:v>2.7370000000000001</c:v>
                </c:pt>
                <c:pt idx="40">
                  <c:v>2.6429999999999998</c:v>
                </c:pt>
                <c:pt idx="41">
                  <c:v>2.7149999999999999</c:v>
                </c:pt>
                <c:pt idx="42">
                  <c:v>2.762</c:v>
                </c:pt>
                <c:pt idx="43">
                  <c:v>2.8039999999999998</c:v>
                </c:pt>
                <c:pt idx="44">
                  <c:v>2.82</c:v>
                </c:pt>
                <c:pt idx="45">
                  <c:v>2.83</c:v>
                </c:pt>
                <c:pt idx="46">
                  <c:v>2.86</c:v>
                </c:pt>
                <c:pt idx="47">
                  <c:v>2.8879999999999999</c:v>
                </c:pt>
                <c:pt idx="48">
                  <c:v>2.8250000000000002</c:v>
                </c:pt>
                <c:pt idx="49">
                  <c:v>2.871</c:v>
                </c:pt>
                <c:pt idx="50">
                  <c:v>2.8879999999999999</c:v>
                </c:pt>
                <c:pt idx="51">
                  <c:v>2.9289999999999998</c:v>
                </c:pt>
                <c:pt idx="52">
                  <c:v>2.923</c:v>
                </c:pt>
                <c:pt idx="53">
                  <c:v>2.88</c:v>
                </c:pt>
                <c:pt idx="54">
                  <c:v>2.7829999999999999</c:v>
                </c:pt>
                <c:pt idx="55">
                  <c:v>2.7349999999999999</c:v>
                </c:pt>
                <c:pt idx="56">
                  <c:v>2.7839999999999998</c:v>
                </c:pt>
                <c:pt idx="57">
                  <c:v>2.7160000000000002</c:v>
                </c:pt>
                <c:pt idx="58">
                  <c:v>2.7730000000000001</c:v>
                </c:pt>
                <c:pt idx="59">
                  <c:v>2.77</c:v>
                </c:pt>
                <c:pt idx="60">
                  <c:v>2.883</c:v>
                </c:pt>
                <c:pt idx="61">
                  <c:v>2.8759999999999999</c:v>
                </c:pt>
                <c:pt idx="62">
                  <c:v>2.9169999999999998</c:v>
                </c:pt>
                <c:pt idx="63">
                  <c:v>2.9660000000000002</c:v>
                </c:pt>
                <c:pt idx="64">
                  <c:v>2.9209999999999998</c:v>
                </c:pt>
                <c:pt idx="65">
                  <c:v>2.8380000000000001</c:v>
                </c:pt>
                <c:pt idx="66">
                  <c:v>2.9279999999999999</c:v>
                </c:pt>
                <c:pt idx="67">
                  <c:v>2.84</c:v>
                </c:pt>
                <c:pt idx="68">
                  <c:v>2.8050000000000002</c:v>
                </c:pt>
                <c:pt idx="69">
                  <c:v>2.794</c:v>
                </c:pt>
                <c:pt idx="70">
                  <c:v>2.7370000000000001</c:v>
                </c:pt>
                <c:pt idx="71">
                  <c:v>2.734</c:v>
                </c:pt>
                <c:pt idx="72">
                  <c:v>2.6989999999999998</c:v>
                </c:pt>
                <c:pt idx="73">
                  <c:v>2.7349999999999999</c:v>
                </c:pt>
                <c:pt idx="74">
                  <c:v>2.7050000000000001</c:v>
                </c:pt>
                <c:pt idx="75">
                  <c:v>2.673</c:v>
                </c:pt>
                <c:pt idx="76">
                  <c:v>2.5910000000000002</c:v>
                </c:pt>
                <c:pt idx="77">
                  <c:v>2.649</c:v>
                </c:pt>
                <c:pt idx="78">
                  <c:v>2.641</c:v>
                </c:pt>
                <c:pt idx="79">
                  <c:v>2.6360000000000001</c:v>
                </c:pt>
                <c:pt idx="80">
                  <c:v>2.6080000000000001</c:v>
                </c:pt>
                <c:pt idx="81">
                  <c:v>2.6110000000000002</c:v>
                </c:pt>
                <c:pt idx="82">
                  <c:v>2.6520000000000001</c:v>
                </c:pt>
                <c:pt idx="83">
                  <c:v>2.61</c:v>
                </c:pt>
                <c:pt idx="84">
                  <c:v>2.577</c:v>
                </c:pt>
                <c:pt idx="85">
                  <c:v>2.5459999999999998</c:v>
                </c:pt>
                <c:pt idx="86">
                  <c:v>2.4620000000000002</c:v>
                </c:pt>
                <c:pt idx="87">
                  <c:v>2.5419999999999998</c:v>
                </c:pt>
                <c:pt idx="88">
                  <c:v>2.508</c:v>
                </c:pt>
                <c:pt idx="89">
                  <c:v>2.5609999999999999</c:v>
                </c:pt>
                <c:pt idx="90">
                  <c:v>2.5590000000000002</c:v>
                </c:pt>
                <c:pt idx="91">
                  <c:v>2.5099999999999998</c:v>
                </c:pt>
                <c:pt idx="92">
                  <c:v>2.5150000000000001</c:v>
                </c:pt>
                <c:pt idx="93">
                  <c:v>2.6419999999999999</c:v>
                </c:pt>
                <c:pt idx="94">
                  <c:v>2.7010000000000001</c:v>
                </c:pt>
                <c:pt idx="95">
                  <c:v>2.6190000000000002</c:v>
                </c:pt>
                <c:pt idx="96">
                  <c:v>2.7069999999999999</c:v>
                </c:pt>
                <c:pt idx="97">
                  <c:v>2.6469999999999998</c:v>
                </c:pt>
                <c:pt idx="98">
                  <c:v>2.6709999999999998</c:v>
                </c:pt>
                <c:pt idx="99">
                  <c:v>2.6349999999999998</c:v>
                </c:pt>
                <c:pt idx="100">
                  <c:v>2.6219999999999999</c:v>
                </c:pt>
                <c:pt idx="101">
                  <c:v>2.5259999999999998</c:v>
                </c:pt>
                <c:pt idx="102">
                  <c:v>2.4950000000000001</c:v>
                </c:pt>
                <c:pt idx="103">
                  <c:v>2.4649999999999999</c:v>
                </c:pt>
                <c:pt idx="104">
                  <c:v>2.5979999999999999</c:v>
                </c:pt>
                <c:pt idx="105">
                  <c:v>2.5590000000000002</c:v>
                </c:pt>
                <c:pt idx="106">
                  <c:v>2.601</c:v>
                </c:pt>
                <c:pt idx="107">
                  <c:v>2.5299999999999998</c:v>
                </c:pt>
                <c:pt idx="108">
                  <c:v>2.5539999999999998</c:v>
                </c:pt>
                <c:pt idx="109">
                  <c:v>2.4889999999999999</c:v>
                </c:pt>
                <c:pt idx="110">
                  <c:v>2.4910000000000001</c:v>
                </c:pt>
                <c:pt idx="111">
                  <c:v>2.4710000000000001</c:v>
                </c:pt>
                <c:pt idx="112">
                  <c:v>2.4809999999999999</c:v>
                </c:pt>
                <c:pt idx="113">
                  <c:v>2.4220000000000002</c:v>
                </c:pt>
                <c:pt idx="114">
                  <c:v>2.419</c:v>
                </c:pt>
                <c:pt idx="115">
                  <c:v>2.4649999999999999</c:v>
                </c:pt>
                <c:pt idx="116">
                  <c:v>2.4830000000000001</c:v>
                </c:pt>
                <c:pt idx="117">
                  <c:v>2.4340000000000002</c:v>
                </c:pt>
                <c:pt idx="118">
                  <c:v>2.3820000000000001</c:v>
                </c:pt>
                <c:pt idx="119">
                  <c:v>2.476</c:v>
                </c:pt>
                <c:pt idx="120">
                  <c:v>2.5089999999999999</c:v>
                </c:pt>
                <c:pt idx="121">
                  <c:v>2.4769999999999999</c:v>
                </c:pt>
                <c:pt idx="122">
                  <c:v>2.5659999999999998</c:v>
                </c:pt>
                <c:pt idx="123">
                  <c:v>2.6459999999999999</c:v>
                </c:pt>
                <c:pt idx="124">
                  <c:v>2.6360000000000001</c:v>
                </c:pt>
                <c:pt idx="125">
                  <c:v>2.6339999999999999</c:v>
                </c:pt>
                <c:pt idx="126">
                  <c:v>2.6240000000000001</c:v>
                </c:pt>
                <c:pt idx="127">
                  <c:v>2.4750000000000001</c:v>
                </c:pt>
                <c:pt idx="128">
                  <c:v>2.4510000000000001</c:v>
                </c:pt>
                <c:pt idx="129">
                  <c:v>2.4350000000000001</c:v>
                </c:pt>
                <c:pt idx="130">
                  <c:v>2.39</c:v>
                </c:pt>
                <c:pt idx="131">
                  <c:v>2.4140000000000001</c:v>
                </c:pt>
                <c:pt idx="132">
                  <c:v>2.3119999999999998</c:v>
                </c:pt>
                <c:pt idx="133">
                  <c:v>2.3540000000000001</c:v>
                </c:pt>
                <c:pt idx="134">
                  <c:v>2.3069999999999999</c:v>
                </c:pt>
                <c:pt idx="135">
                  <c:v>2.3519999999999999</c:v>
                </c:pt>
                <c:pt idx="136">
                  <c:v>2.4910000000000001</c:v>
                </c:pt>
                <c:pt idx="137">
                  <c:v>2.4329999999999998</c:v>
                </c:pt>
                <c:pt idx="138">
                  <c:v>2.4020000000000001</c:v>
                </c:pt>
                <c:pt idx="139">
                  <c:v>2.5150000000000001</c:v>
                </c:pt>
                <c:pt idx="140">
                  <c:v>2.472</c:v>
                </c:pt>
                <c:pt idx="141">
                  <c:v>2.5009999999999999</c:v>
                </c:pt>
                <c:pt idx="142">
                  <c:v>2.448</c:v>
                </c:pt>
                <c:pt idx="143">
                  <c:v>2.42</c:v>
                </c:pt>
                <c:pt idx="144">
                  <c:v>2.3839999999999999</c:v>
                </c:pt>
                <c:pt idx="145">
                  <c:v>2.375</c:v>
                </c:pt>
                <c:pt idx="146">
                  <c:v>2.4</c:v>
                </c:pt>
                <c:pt idx="147">
                  <c:v>2.4529999999999998</c:v>
                </c:pt>
                <c:pt idx="148">
                  <c:v>2.37</c:v>
                </c:pt>
                <c:pt idx="149">
                  <c:v>2.3769999999999998</c:v>
                </c:pt>
                <c:pt idx="150">
                  <c:v>2.3109999999999999</c:v>
                </c:pt>
                <c:pt idx="151">
                  <c:v>2.246</c:v>
                </c:pt>
                <c:pt idx="152">
                  <c:v>2.2799999999999998</c:v>
                </c:pt>
                <c:pt idx="153">
                  <c:v>2.339</c:v>
                </c:pt>
                <c:pt idx="154">
                  <c:v>2.4319999999999999</c:v>
                </c:pt>
                <c:pt idx="155">
                  <c:v>2.5369999999999999</c:v>
                </c:pt>
                <c:pt idx="156">
                  <c:v>2.5209999999999999</c:v>
                </c:pt>
                <c:pt idx="157">
                  <c:v>2.4700000000000002</c:v>
                </c:pt>
                <c:pt idx="158">
                  <c:v>2.4660000000000002</c:v>
                </c:pt>
                <c:pt idx="159">
                  <c:v>2.4569999999999999</c:v>
                </c:pt>
                <c:pt idx="160">
                  <c:v>2.4249999999999998</c:v>
                </c:pt>
                <c:pt idx="161">
                  <c:v>2.444</c:v>
                </c:pt>
                <c:pt idx="162">
                  <c:v>2.3340000000000001</c:v>
                </c:pt>
                <c:pt idx="163">
                  <c:v>2.351</c:v>
                </c:pt>
                <c:pt idx="164">
                  <c:v>2.306</c:v>
                </c:pt>
                <c:pt idx="165">
                  <c:v>2.274</c:v>
                </c:pt>
                <c:pt idx="166">
                  <c:v>2.2229999999999999</c:v>
                </c:pt>
                <c:pt idx="167">
                  <c:v>2.286</c:v>
                </c:pt>
                <c:pt idx="168">
                  <c:v>2.347</c:v>
                </c:pt>
                <c:pt idx="169">
                  <c:v>2.3170000000000002</c:v>
                </c:pt>
                <c:pt idx="170">
                  <c:v>2.2890000000000001</c:v>
                </c:pt>
                <c:pt idx="171">
                  <c:v>2.1880000000000002</c:v>
                </c:pt>
                <c:pt idx="172">
                  <c:v>2.246</c:v>
                </c:pt>
                <c:pt idx="173">
                  <c:v>2.2559999999999998</c:v>
                </c:pt>
                <c:pt idx="174">
                  <c:v>2.31</c:v>
                </c:pt>
                <c:pt idx="175">
                  <c:v>2.31</c:v>
                </c:pt>
                <c:pt idx="176">
                  <c:v>2.4569999999999999</c:v>
                </c:pt>
                <c:pt idx="177">
                  <c:v>2.3940000000000001</c:v>
                </c:pt>
                <c:pt idx="178">
                  <c:v>2.3809999999999998</c:v>
                </c:pt>
                <c:pt idx="179">
                  <c:v>2.5059999999999998</c:v>
                </c:pt>
                <c:pt idx="180">
                  <c:v>2.4790000000000001</c:v>
                </c:pt>
                <c:pt idx="181">
                  <c:v>2.4430000000000001</c:v>
                </c:pt>
                <c:pt idx="182">
                  <c:v>2.5129999999999999</c:v>
                </c:pt>
                <c:pt idx="183">
                  <c:v>2.4740000000000002</c:v>
                </c:pt>
                <c:pt idx="184">
                  <c:v>2.4700000000000002</c:v>
                </c:pt>
                <c:pt idx="185">
                  <c:v>2.4359999999999999</c:v>
                </c:pt>
                <c:pt idx="186">
                  <c:v>2.3690000000000002</c:v>
                </c:pt>
                <c:pt idx="187">
                  <c:v>2.3660000000000001</c:v>
                </c:pt>
                <c:pt idx="188">
                  <c:v>2.3069999999999999</c:v>
                </c:pt>
                <c:pt idx="189">
                  <c:v>2.181</c:v>
                </c:pt>
                <c:pt idx="190">
                  <c:v>2.181</c:v>
                </c:pt>
                <c:pt idx="191">
                  <c:v>2.181</c:v>
                </c:pt>
                <c:pt idx="192">
                  <c:v>2.1789999999999998</c:v>
                </c:pt>
                <c:pt idx="193">
                  <c:v>2.246</c:v>
                </c:pt>
                <c:pt idx="194">
                  <c:v>2.2509999999999999</c:v>
                </c:pt>
                <c:pt idx="195">
                  <c:v>2.2890000000000001</c:v>
                </c:pt>
                <c:pt idx="196">
                  <c:v>2.3690000000000002</c:v>
                </c:pt>
                <c:pt idx="197">
                  <c:v>2.3250000000000002</c:v>
                </c:pt>
                <c:pt idx="198">
                  <c:v>2.2850000000000001</c:v>
                </c:pt>
                <c:pt idx="199">
                  <c:v>2.2240000000000002</c:v>
                </c:pt>
                <c:pt idx="200">
                  <c:v>2.1240000000000001</c:v>
                </c:pt>
                <c:pt idx="201">
                  <c:v>2.1920000000000002</c:v>
                </c:pt>
                <c:pt idx="202">
                  <c:v>2.3250000000000002</c:v>
                </c:pt>
                <c:pt idx="203">
                  <c:v>2.2879999999999998</c:v>
                </c:pt>
                <c:pt idx="204">
                  <c:v>2.12</c:v>
                </c:pt>
                <c:pt idx="205">
                  <c:v>2.1019999999999999</c:v>
                </c:pt>
                <c:pt idx="206">
                  <c:v>2.2850000000000001</c:v>
                </c:pt>
                <c:pt idx="207">
                  <c:v>2.1240000000000001</c:v>
                </c:pt>
                <c:pt idx="208">
                  <c:v>2.4140000000000001</c:v>
                </c:pt>
                <c:pt idx="209">
                  <c:v>2.2530000000000001</c:v>
                </c:pt>
                <c:pt idx="210">
                  <c:v>2.504</c:v>
                </c:pt>
                <c:pt idx="211">
                  <c:v>2.6379999999999999</c:v>
                </c:pt>
                <c:pt idx="212">
                  <c:v>2.6440000000000001</c:v>
                </c:pt>
                <c:pt idx="213">
                  <c:v>2.6880000000000002</c:v>
                </c:pt>
                <c:pt idx="214">
                  <c:v>2.7440000000000002</c:v>
                </c:pt>
                <c:pt idx="215">
                  <c:v>2.7109999999999999</c:v>
                </c:pt>
                <c:pt idx="216">
                  <c:v>2.746</c:v>
                </c:pt>
                <c:pt idx="217">
                  <c:v>2.7069999999999999</c:v>
                </c:pt>
                <c:pt idx="218">
                  <c:v>2.6480000000000001</c:v>
                </c:pt>
                <c:pt idx="219">
                  <c:v>2.5779999999999998</c:v>
                </c:pt>
                <c:pt idx="220">
                  <c:v>2.5350000000000001</c:v>
                </c:pt>
                <c:pt idx="221">
                  <c:v>2.4750000000000001</c:v>
                </c:pt>
                <c:pt idx="222">
                  <c:v>2.5179999999999998</c:v>
                </c:pt>
                <c:pt idx="223">
                  <c:v>2.5270000000000001</c:v>
                </c:pt>
                <c:pt idx="224">
                  <c:v>2.4590000000000001</c:v>
                </c:pt>
                <c:pt idx="225">
                  <c:v>2.4380000000000002</c:v>
                </c:pt>
                <c:pt idx="226">
                  <c:v>2.4750000000000001</c:v>
                </c:pt>
                <c:pt idx="227">
                  <c:v>2.472</c:v>
                </c:pt>
                <c:pt idx="228">
                  <c:v>2.4340000000000002</c:v>
                </c:pt>
                <c:pt idx="229">
                  <c:v>2.367</c:v>
                </c:pt>
                <c:pt idx="230">
                  <c:v>2.3620000000000001</c:v>
                </c:pt>
                <c:pt idx="231">
                  <c:v>2.298</c:v>
                </c:pt>
                <c:pt idx="232">
                  <c:v>2.36</c:v>
                </c:pt>
                <c:pt idx="233">
                  <c:v>2.3439999999999999</c:v>
                </c:pt>
                <c:pt idx="234">
                  <c:v>2.2919999999999998</c:v>
                </c:pt>
                <c:pt idx="235">
                  <c:v>2.1890000000000001</c:v>
                </c:pt>
                <c:pt idx="236">
                  <c:v>2.073</c:v>
                </c:pt>
                <c:pt idx="237">
                  <c:v>2.282</c:v>
                </c:pt>
                <c:pt idx="238">
                  <c:v>2.2829999999999999</c:v>
                </c:pt>
                <c:pt idx="239">
                  <c:v>2.3149999999999999</c:v>
                </c:pt>
                <c:pt idx="240">
                  <c:v>2.2370000000000001</c:v>
                </c:pt>
                <c:pt idx="241">
                  <c:v>2.2090000000000001</c:v>
                </c:pt>
                <c:pt idx="242">
                  <c:v>2.1509999999999998</c:v>
                </c:pt>
                <c:pt idx="243">
                  <c:v>2.149</c:v>
                </c:pt>
                <c:pt idx="244">
                  <c:v>2.202</c:v>
                </c:pt>
                <c:pt idx="245">
                  <c:v>2.1720000000000002</c:v>
                </c:pt>
                <c:pt idx="246">
                  <c:v>2.0579999999999998</c:v>
                </c:pt>
                <c:pt idx="247">
                  <c:v>2.016</c:v>
                </c:pt>
                <c:pt idx="248">
                  <c:v>2.0870000000000002</c:v>
                </c:pt>
                <c:pt idx="249">
                  <c:v>2.1709999999999998</c:v>
                </c:pt>
                <c:pt idx="250">
                  <c:v>2.165</c:v>
                </c:pt>
                <c:pt idx="251">
                  <c:v>2.153</c:v>
                </c:pt>
                <c:pt idx="252">
                  <c:v>2.2000000000000002</c:v>
                </c:pt>
                <c:pt idx="253">
                  <c:v>2.3039999999999998</c:v>
                </c:pt>
                <c:pt idx="254">
                  <c:v>2.226</c:v>
                </c:pt>
                <c:pt idx="255">
                  <c:v>2.2069999999999999</c:v>
                </c:pt>
                <c:pt idx="256">
                  <c:v>2.3119999999999998</c:v>
                </c:pt>
                <c:pt idx="257">
                  <c:v>2.2679999999999998</c:v>
                </c:pt>
                <c:pt idx="258">
                  <c:v>2.3839999999999999</c:v>
                </c:pt>
                <c:pt idx="259">
                  <c:v>2.4359999999999999</c:v>
                </c:pt>
                <c:pt idx="260">
                  <c:v>2.5649999999999999</c:v>
                </c:pt>
                <c:pt idx="261">
                  <c:v>2.4329999999999998</c:v>
                </c:pt>
                <c:pt idx="262">
                  <c:v>2.4940000000000002</c:v>
                </c:pt>
                <c:pt idx="263">
                  <c:v>2.5179999999999998</c:v>
                </c:pt>
                <c:pt idx="264">
                  <c:v>2.3929999999999998</c:v>
                </c:pt>
                <c:pt idx="265">
                  <c:v>2.3929999999999998</c:v>
                </c:pt>
                <c:pt idx="266">
                  <c:v>2.3570000000000002</c:v>
                </c:pt>
                <c:pt idx="267">
                  <c:v>2.3079999999999998</c:v>
                </c:pt>
                <c:pt idx="268">
                  <c:v>2.298</c:v>
                </c:pt>
                <c:pt idx="269">
                  <c:v>2.1989999999999998</c:v>
                </c:pt>
                <c:pt idx="270">
                  <c:v>2.1480000000000001</c:v>
                </c:pt>
                <c:pt idx="271">
                  <c:v>2.0779999999999998</c:v>
                </c:pt>
                <c:pt idx="272">
                  <c:v>1.9359999999999999</c:v>
                </c:pt>
                <c:pt idx="273">
                  <c:v>1.92</c:v>
                </c:pt>
                <c:pt idx="274">
                  <c:v>1.9350000000000001</c:v>
                </c:pt>
                <c:pt idx="275">
                  <c:v>1.9279999999999999</c:v>
                </c:pt>
                <c:pt idx="276">
                  <c:v>1.8149999999999999</c:v>
                </c:pt>
                <c:pt idx="277">
                  <c:v>1.778</c:v>
                </c:pt>
                <c:pt idx="278">
                  <c:v>1.794</c:v>
                </c:pt>
                <c:pt idx="279">
                  <c:v>1.877</c:v>
                </c:pt>
                <c:pt idx="280">
                  <c:v>1.851</c:v>
                </c:pt>
                <c:pt idx="281">
                  <c:v>1.81</c:v>
                </c:pt>
                <c:pt idx="282">
                  <c:v>1.9259999999999999</c:v>
                </c:pt>
                <c:pt idx="283">
                  <c:v>1.9179999999999999</c:v>
                </c:pt>
                <c:pt idx="284">
                  <c:v>1.986</c:v>
                </c:pt>
                <c:pt idx="285">
                  <c:v>1.9710000000000001</c:v>
                </c:pt>
                <c:pt idx="286">
                  <c:v>1.847</c:v>
                </c:pt>
                <c:pt idx="287">
                  <c:v>1.9259999999999999</c:v>
                </c:pt>
                <c:pt idx="288">
                  <c:v>1.9750000000000001</c:v>
                </c:pt>
                <c:pt idx="289">
                  <c:v>1.9890000000000001</c:v>
                </c:pt>
                <c:pt idx="290">
                  <c:v>2.0099999999999998</c:v>
                </c:pt>
                <c:pt idx="291">
                  <c:v>2.0150000000000001</c:v>
                </c:pt>
                <c:pt idx="292">
                  <c:v>1.994</c:v>
                </c:pt>
                <c:pt idx="293">
                  <c:v>2.105</c:v>
                </c:pt>
                <c:pt idx="294">
                  <c:v>2.1429999999999998</c:v>
                </c:pt>
                <c:pt idx="295">
                  <c:v>2.157</c:v>
                </c:pt>
                <c:pt idx="296">
                  <c:v>2.0049999999999999</c:v>
                </c:pt>
                <c:pt idx="297">
                  <c:v>2.1669999999999998</c:v>
                </c:pt>
                <c:pt idx="298">
                  <c:v>2.278</c:v>
                </c:pt>
                <c:pt idx="299">
                  <c:v>2.3410000000000002</c:v>
                </c:pt>
                <c:pt idx="300">
                  <c:v>2.2919999999999998</c:v>
                </c:pt>
                <c:pt idx="301">
                  <c:v>2.242</c:v>
                </c:pt>
                <c:pt idx="302">
                  <c:v>2.1349999999999998</c:v>
                </c:pt>
                <c:pt idx="303">
                  <c:v>2.129</c:v>
                </c:pt>
                <c:pt idx="304">
                  <c:v>2.1389999999999998</c:v>
                </c:pt>
                <c:pt idx="305">
                  <c:v>2.0990000000000002</c:v>
                </c:pt>
                <c:pt idx="306">
                  <c:v>1.9590000000000001</c:v>
                </c:pt>
                <c:pt idx="307">
                  <c:v>2.109</c:v>
                </c:pt>
                <c:pt idx="308">
                  <c:v>2.1669999999999998</c:v>
                </c:pt>
                <c:pt idx="309">
                  <c:v>2.327</c:v>
                </c:pt>
                <c:pt idx="310">
                  <c:v>2.4129999999999998</c:v>
                </c:pt>
                <c:pt idx="311">
                  <c:v>2.399</c:v>
                </c:pt>
                <c:pt idx="312">
                  <c:v>2.371</c:v>
                </c:pt>
                <c:pt idx="313">
                  <c:v>2.2810000000000001</c:v>
                </c:pt>
                <c:pt idx="314">
                  <c:v>2.266</c:v>
                </c:pt>
                <c:pt idx="315">
                  <c:v>2.343</c:v>
                </c:pt>
                <c:pt idx="316">
                  <c:v>2.2810000000000001</c:v>
                </c:pt>
                <c:pt idx="317">
                  <c:v>2.3090000000000002</c:v>
                </c:pt>
                <c:pt idx="318">
                  <c:v>2.294</c:v>
                </c:pt>
                <c:pt idx="319">
                  <c:v>2.3370000000000002</c:v>
                </c:pt>
                <c:pt idx="320">
                  <c:v>2.1909999999999998</c:v>
                </c:pt>
                <c:pt idx="321">
                  <c:v>2.0819999999999999</c:v>
                </c:pt>
                <c:pt idx="322">
                  <c:v>2.0289999999999999</c:v>
                </c:pt>
                <c:pt idx="323">
                  <c:v>1.867</c:v>
                </c:pt>
                <c:pt idx="324">
                  <c:v>1.913</c:v>
                </c:pt>
                <c:pt idx="325">
                  <c:v>2.105</c:v>
                </c:pt>
                <c:pt idx="326">
                  <c:v>2.1779999999999999</c:v>
                </c:pt>
                <c:pt idx="327">
                  <c:v>2.1150000000000002</c:v>
                </c:pt>
                <c:pt idx="328">
                  <c:v>2.226</c:v>
                </c:pt>
                <c:pt idx="329">
                  <c:v>2.1110000000000002</c:v>
                </c:pt>
                <c:pt idx="330">
                  <c:v>2.02</c:v>
                </c:pt>
                <c:pt idx="331">
                  <c:v>1.9610000000000001</c:v>
                </c:pt>
                <c:pt idx="332">
                  <c:v>1.889</c:v>
                </c:pt>
                <c:pt idx="333">
                  <c:v>1.923</c:v>
                </c:pt>
                <c:pt idx="334">
                  <c:v>1.802</c:v>
                </c:pt>
                <c:pt idx="335">
                  <c:v>1.754</c:v>
                </c:pt>
                <c:pt idx="336">
                  <c:v>1.766</c:v>
                </c:pt>
                <c:pt idx="337">
                  <c:v>1.712</c:v>
                </c:pt>
                <c:pt idx="338">
                  <c:v>1.726</c:v>
                </c:pt>
                <c:pt idx="339">
                  <c:v>1.65</c:v>
                </c:pt>
                <c:pt idx="340">
                  <c:v>1.694</c:v>
                </c:pt>
                <c:pt idx="341">
                  <c:v>1.712</c:v>
                </c:pt>
                <c:pt idx="342">
                  <c:v>1.573</c:v>
                </c:pt>
                <c:pt idx="343">
                  <c:v>1.6339999999999999</c:v>
                </c:pt>
                <c:pt idx="344">
                  <c:v>1.56</c:v>
                </c:pt>
                <c:pt idx="345">
                  <c:v>1.5209999999999999</c:v>
                </c:pt>
                <c:pt idx="346">
                  <c:v>1.5580000000000001</c:v>
                </c:pt>
                <c:pt idx="347">
                  <c:v>1.5369999999999999</c:v>
                </c:pt>
                <c:pt idx="348">
                  <c:v>1.508</c:v>
                </c:pt>
                <c:pt idx="349">
                  <c:v>1.5</c:v>
                </c:pt>
                <c:pt idx="350">
                  <c:v>1.3859999999999999</c:v>
                </c:pt>
                <c:pt idx="351">
                  <c:v>1.3129999999999999</c:v>
                </c:pt>
                <c:pt idx="352">
                  <c:v>1.367</c:v>
                </c:pt>
                <c:pt idx="353">
                  <c:v>1.3160000000000001</c:v>
                </c:pt>
                <c:pt idx="354">
                  <c:v>1.3029999999999999</c:v>
                </c:pt>
                <c:pt idx="355">
                  <c:v>1.2270000000000001</c:v>
                </c:pt>
                <c:pt idx="356">
                  <c:v>1.099</c:v>
                </c:pt>
                <c:pt idx="357">
                  <c:v>1.08</c:v>
                </c:pt>
                <c:pt idx="358">
                  <c:v>0.96899999999999997</c:v>
                </c:pt>
                <c:pt idx="359">
                  <c:v>0.89700000000000002</c:v>
                </c:pt>
                <c:pt idx="360">
                  <c:v>0.98499999999999999</c:v>
                </c:pt>
                <c:pt idx="361">
                  <c:v>0.96899999999999997</c:v>
                </c:pt>
                <c:pt idx="362">
                  <c:v>0.88600000000000001</c:v>
                </c:pt>
                <c:pt idx="363">
                  <c:v>0.91700000000000004</c:v>
                </c:pt>
                <c:pt idx="364">
                  <c:v>0.89500000000000002</c:v>
                </c:pt>
                <c:pt idx="365">
                  <c:v>0.95199999999999996</c:v>
                </c:pt>
                <c:pt idx="366">
                  <c:v>0.8</c:v>
                </c:pt>
                <c:pt idx="367">
                  <c:v>0.871</c:v>
                </c:pt>
                <c:pt idx="368">
                  <c:v>0.81599999999999995</c:v>
                </c:pt>
                <c:pt idx="369">
                  <c:v>0.77600000000000002</c:v>
                </c:pt>
                <c:pt idx="370">
                  <c:v>0.81399999999999995</c:v>
                </c:pt>
                <c:pt idx="371">
                  <c:v>0.82299999999999995</c:v>
                </c:pt>
                <c:pt idx="372">
                  <c:v>0.94299999999999995</c:v>
                </c:pt>
                <c:pt idx="373">
                  <c:v>0.92200000000000004</c:v>
                </c:pt>
                <c:pt idx="374">
                  <c:v>1.0149999999999999</c:v>
                </c:pt>
                <c:pt idx="375">
                  <c:v>1.0269999999999999</c:v>
                </c:pt>
                <c:pt idx="376">
                  <c:v>1.218</c:v>
                </c:pt>
                <c:pt idx="377">
                  <c:v>1.2529999999999999</c:v>
                </c:pt>
                <c:pt idx="378">
                  <c:v>1.2729999999999999</c:v>
                </c:pt>
                <c:pt idx="379">
                  <c:v>1.2110000000000001</c:v>
                </c:pt>
                <c:pt idx="380">
                  <c:v>1.129</c:v>
                </c:pt>
                <c:pt idx="381">
                  <c:v>1.1739999999999999</c:v>
                </c:pt>
                <c:pt idx="382">
                  <c:v>1.141</c:v>
                </c:pt>
                <c:pt idx="383">
                  <c:v>1.129</c:v>
                </c:pt>
                <c:pt idx="384">
                  <c:v>1.242</c:v>
                </c:pt>
                <c:pt idx="385">
                  <c:v>1.341</c:v>
                </c:pt>
                <c:pt idx="386">
                  <c:v>1.3140000000000001</c:v>
                </c:pt>
                <c:pt idx="387">
                  <c:v>1.2030000000000001</c:v>
                </c:pt>
                <c:pt idx="388">
                  <c:v>1.175</c:v>
                </c:pt>
                <c:pt idx="389">
                  <c:v>1.33</c:v>
                </c:pt>
                <c:pt idx="390">
                  <c:v>1.2290000000000001</c:v>
                </c:pt>
                <c:pt idx="391">
                  <c:v>1.333</c:v>
                </c:pt>
                <c:pt idx="392">
                  <c:v>1.5169999999999999</c:v>
                </c:pt>
                <c:pt idx="393">
                  <c:v>1.6240000000000001</c:v>
                </c:pt>
                <c:pt idx="394">
                  <c:v>1.544</c:v>
                </c:pt>
                <c:pt idx="395">
                  <c:v>1.4370000000000001</c:v>
                </c:pt>
                <c:pt idx="396">
                  <c:v>1.425</c:v>
                </c:pt>
                <c:pt idx="397">
                  <c:v>1.633</c:v>
                </c:pt>
                <c:pt idx="398">
                  <c:v>1.7669999999999999</c:v>
                </c:pt>
                <c:pt idx="399">
                  <c:v>1.7450000000000001</c:v>
                </c:pt>
                <c:pt idx="400">
                  <c:v>1.657</c:v>
                </c:pt>
                <c:pt idx="401">
                  <c:v>1.71</c:v>
                </c:pt>
                <c:pt idx="402">
                  <c:v>1.639</c:v>
                </c:pt>
                <c:pt idx="403">
                  <c:v>1.7509999999999999</c:v>
                </c:pt>
                <c:pt idx="404">
                  <c:v>1.629</c:v>
                </c:pt>
                <c:pt idx="405">
                  <c:v>1.514</c:v>
                </c:pt>
                <c:pt idx="406">
                  <c:v>1.4259999999999999</c:v>
                </c:pt>
                <c:pt idx="407">
                  <c:v>1.351</c:v>
                </c:pt>
                <c:pt idx="408">
                  <c:v>1.29</c:v>
                </c:pt>
                <c:pt idx="409">
                  <c:v>1.319</c:v>
                </c:pt>
                <c:pt idx="410">
                  <c:v>1.27</c:v>
                </c:pt>
                <c:pt idx="411">
                  <c:v>1.234</c:v>
                </c:pt>
                <c:pt idx="412">
                  <c:v>1.1839999999999999</c:v>
                </c:pt>
                <c:pt idx="413">
                  <c:v>1.1200000000000001</c:v>
                </c:pt>
                <c:pt idx="414">
                  <c:v>1.0529999999999999</c:v>
                </c:pt>
                <c:pt idx="415">
                  <c:v>0.96</c:v>
                </c:pt>
                <c:pt idx="416">
                  <c:v>0.996</c:v>
                </c:pt>
                <c:pt idx="417">
                  <c:v>0.94899999999999995</c:v>
                </c:pt>
                <c:pt idx="418">
                  <c:v>0.96499999999999997</c:v>
                </c:pt>
                <c:pt idx="419">
                  <c:v>1.014</c:v>
                </c:pt>
                <c:pt idx="420">
                  <c:v>0.94099999999999995</c:v>
                </c:pt>
                <c:pt idx="421">
                  <c:v>0.94699999999999995</c:v>
                </c:pt>
                <c:pt idx="422">
                  <c:v>1.0269999999999999</c:v>
                </c:pt>
                <c:pt idx="423">
                  <c:v>1.0429999999999999</c:v>
                </c:pt>
                <c:pt idx="424">
                  <c:v>0.93500000000000005</c:v>
                </c:pt>
                <c:pt idx="425">
                  <c:v>0.94399999999999995</c:v>
                </c:pt>
                <c:pt idx="426">
                  <c:v>0.83699999999999997</c:v>
                </c:pt>
                <c:pt idx="427">
                  <c:v>0.98299999999999998</c:v>
                </c:pt>
                <c:pt idx="428">
                  <c:v>0.998</c:v>
                </c:pt>
                <c:pt idx="429">
                  <c:v>1.093</c:v>
                </c:pt>
                <c:pt idx="430">
                  <c:v>1.129</c:v>
                </c:pt>
                <c:pt idx="431">
                  <c:v>1.042</c:v>
                </c:pt>
                <c:pt idx="432">
                  <c:v>0.96899999999999997</c:v>
                </c:pt>
                <c:pt idx="433">
                  <c:v>0.96299999999999997</c:v>
                </c:pt>
                <c:pt idx="434">
                  <c:v>0.96499999999999997</c:v>
                </c:pt>
                <c:pt idx="435">
                  <c:v>0.93700000000000006</c:v>
                </c:pt>
                <c:pt idx="436">
                  <c:v>0.89800000000000002</c:v>
                </c:pt>
                <c:pt idx="437">
                  <c:v>0.79900000000000004</c:v>
                </c:pt>
                <c:pt idx="438">
                  <c:v>0.81200000000000006</c:v>
                </c:pt>
                <c:pt idx="439">
                  <c:v>0.83499999999999996</c:v>
                </c:pt>
                <c:pt idx="440">
                  <c:v>0.96899999999999997</c:v>
                </c:pt>
                <c:pt idx="441">
                  <c:v>0.94499999999999995</c:v>
                </c:pt>
                <c:pt idx="442">
                  <c:v>0.85399999999999998</c:v>
                </c:pt>
                <c:pt idx="443">
                  <c:v>0.90800000000000003</c:v>
                </c:pt>
                <c:pt idx="444">
                  <c:v>0.83899999999999997</c:v>
                </c:pt>
                <c:pt idx="445">
                  <c:v>0.83899999999999997</c:v>
                </c:pt>
                <c:pt idx="446">
                  <c:v>0.83899999999999997</c:v>
                </c:pt>
                <c:pt idx="447">
                  <c:v>0.76400000000000001</c:v>
                </c:pt>
                <c:pt idx="448">
                  <c:v>0.78800000000000003</c:v>
                </c:pt>
                <c:pt idx="449">
                  <c:v>0.81399999999999995</c:v>
                </c:pt>
                <c:pt idx="450">
                  <c:v>0.70399999999999996</c:v>
                </c:pt>
                <c:pt idx="451">
                  <c:v>0.67900000000000005</c:v>
                </c:pt>
                <c:pt idx="452">
                  <c:v>0.64500000000000002</c:v>
                </c:pt>
                <c:pt idx="453">
                  <c:v>0.61199999999999999</c:v>
                </c:pt>
                <c:pt idx="454">
                  <c:v>0.503</c:v>
                </c:pt>
                <c:pt idx="455">
                  <c:v>0.55300000000000005</c:v>
                </c:pt>
                <c:pt idx="456">
                  <c:v>0.54500000000000004</c:v>
                </c:pt>
                <c:pt idx="457">
                  <c:v>0.64300000000000002</c:v>
                </c:pt>
                <c:pt idx="458">
                  <c:v>0.63</c:v>
                </c:pt>
                <c:pt idx="459">
                  <c:v>0.57599999999999996</c:v>
                </c:pt>
                <c:pt idx="460">
                  <c:v>0.58399999999999996</c:v>
                </c:pt>
                <c:pt idx="461">
                  <c:v>0.52900000000000003</c:v>
                </c:pt>
                <c:pt idx="462">
                  <c:v>0.46400000000000002</c:v>
                </c:pt>
                <c:pt idx="463">
                  <c:v>0.502</c:v>
                </c:pt>
                <c:pt idx="464">
                  <c:v>0.46700000000000003</c:v>
                </c:pt>
                <c:pt idx="465">
                  <c:v>0.37</c:v>
                </c:pt>
                <c:pt idx="466">
                  <c:v>0.38200000000000001</c:v>
                </c:pt>
                <c:pt idx="467">
                  <c:v>0.38900000000000001</c:v>
                </c:pt>
                <c:pt idx="468">
                  <c:v>0.33</c:v>
                </c:pt>
                <c:pt idx="469">
                  <c:v>0.36499999999999999</c:v>
                </c:pt>
                <c:pt idx="470">
                  <c:v>0.246</c:v>
                </c:pt>
                <c:pt idx="471">
                  <c:v>0.27</c:v>
                </c:pt>
                <c:pt idx="472">
                  <c:v>0.21299999999999999</c:v>
                </c:pt>
                <c:pt idx="473">
                  <c:v>0.109</c:v>
                </c:pt>
                <c:pt idx="474">
                  <c:v>-1.9E-2</c:v>
                </c:pt>
                <c:pt idx="475">
                  <c:v>-7.2999999999999995E-2</c:v>
                </c:pt>
                <c:pt idx="476">
                  <c:v>1.6E-2</c:v>
                </c:pt>
                <c:pt idx="477">
                  <c:v>2.3E-2</c:v>
                </c:pt>
                <c:pt idx="478">
                  <c:v>-7.5999999999999998E-2</c:v>
                </c:pt>
                <c:pt idx="479">
                  <c:v>0.13200000000000001</c:v>
                </c:pt>
                <c:pt idx="480">
                  <c:v>0.22900000000000001</c:v>
                </c:pt>
                <c:pt idx="481">
                  <c:v>0.16900000000000001</c:v>
                </c:pt>
                <c:pt idx="482">
                  <c:v>0.22600000000000001</c:v>
                </c:pt>
                <c:pt idx="483">
                  <c:v>0.24099999999999999</c:v>
                </c:pt>
                <c:pt idx="484">
                  <c:v>0.20499999999999999</c:v>
                </c:pt>
                <c:pt idx="485">
                  <c:v>0.19</c:v>
                </c:pt>
                <c:pt idx="486">
                  <c:v>0.22900000000000001</c:v>
                </c:pt>
                <c:pt idx="487">
                  <c:v>0.27400000000000002</c:v>
                </c:pt>
                <c:pt idx="488">
                  <c:v>0.30599999999999999</c:v>
                </c:pt>
                <c:pt idx="489">
                  <c:v>0.28100000000000003</c:v>
                </c:pt>
                <c:pt idx="490">
                  <c:v>0.29399999999999998</c:v>
                </c:pt>
                <c:pt idx="491">
                  <c:v>0.28100000000000003</c:v>
                </c:pt>
                <c:pt idx="492">
                  <c:v>0.21</c:v>
                </c:pt>
                <c:pt idx="493">
                  <c:v>0.26300000000000001</c:v>
                </c:pt>
                <c:pt idx="494">
                  <c:v>0.22500000000000001</c:v>
                </c:pt>
                <c:pt idx="495">
                  <c:v>0.20300000000000001</c:v>
                </c:pt>
                <c:pt idx="496">
                  <c:v>0.13900000000000001</c:v>
                </c:pt>
                <c:pt idx="497">
                  <c:v>3.7999999999999999E-2</c:v>
                </c:pt>
                <c:pt idx="498">
                  <c:v>3.4000000000000002E-2</c:v>
                </c:pt>
                <c:pt idx="499">
                  <c:v>8.9999999999999993E-3</c:v>
                </c:pt>
                <c:pt idx="500">
                  <c:v>-4.7E-2</c:v>
                </c:pt>
                <c:pt idx="501">
                  <c:v>-0.06</c:v>
                </c:pt>
                <c:pt idx="502">
                  <c:v>-7.5999999999999998E-2</c:v>
                </c:pt>
                <c:pt idx="503">
                  <c:v>-8.2000000000000003E-2</c:v>
                </c:pt>
                <c:pt idx="504">
                  <c:v>-0.109</c:v>
                </c:pt>
                <c:pt idx="505">
                  <c:v>-6.7000000000000004E-2</c:v>
                </c:pt>
                <c:pt idx="506">
                  <c:v>-2.7E-2</c:v>
                </c:pt>
                <c:pt idx="507">
                  <c:v>-1.4E-2</c:v>
                </c:pt>
                <c:pt idx="508">
                  <c:v>-0.02</c:v>
                </c:pt>
                <c:pt idx="509">
                  <c:v>-2.7E-2</c:v>
                </c:pt>
                <c:pt idx="510">
                  <c:v>-4.8000000000000001E-2</c:v>
                </c:pt>
                <c:pt idx="511">
                  <c:v>-9.1999999999999998E-2</c:v>
                </c:pt>
                <c:pt idx="512">
                  <c:v>-6.0999999999999999E-2</c:v>
                </c:pt>
                <c:pt idx="513">
                  <c:v>-2.9000000000000001E-2</c:v>
                </c:pt>
                <c:pt idx="514">
                  <c:v>-3.5999999999999997E-2</c:v>
                </c:pt>
                <c:pt idx="515">
                  <c:v>-4.4999999999999998E-2</c:v>
                </c:pt>
                <c:pt idx="516">
                  <c:v>-6.3E-2</c:v>
                </c:pt>
                <c:pt idx="517">
                  <c:v>-8.5999999999999993E-2</c:v>
                </c:pt>
                <c:pt idx="518">
                  <c:v>-0.124</c:v>
                </c:pt>
                <c:pt idx="519">
                  <c:v>-0.122</c:v>
                </c:pt>
                <c:pt idx="520">
                  <c:v>-0.182</c:v>
                </c:pt>
                <c:pt idx="521">
                  <c:v>-0.182</c:v>
                </c:pt>
                <c:pt idx="522">
                  <c:v>-0.188</c:v>
                </c:pt>
                <c:pt idx="523">
                  <c:v>-0.24</c:v>
                </c:pt>
                <c:pt idx="524">
                  <c:v>-0.246</c:v>
                </c:pt>
                <c:pt idx="525">
                  <c:v>-0.253</c:v>
                </c:pt>
                <c:pt idx="526">
                  <c:v>-0.253</c:v>
                </c:pt>
                <c:pt idx="527">
                  <c:v>-0.29499999999999998</c:v>
                </c:pt>
                <c:pt idx="528">
                  <c:v>-0.309</c:v>
                </c:pt>
                <c:pt idx="529">
                  <c:v>-0.371</c:v>
                </c:pt>
                <c:pt idx="530">
                  <c:v>-0.38200000000000001</c:v>
                </c:pt>
                <c:pt idx="531">
                  <c:v>-0.35199999999999998</c:v>
                </c:pt>
                <c:pt idx="532">
                  <c:v>-0.36399999999999999</c:v>
                </c:pt>
                <c:pt idx="533">
                  <c:v>-0.371</c:v>
                </c:pt>
                <c:pt idx="534">
                  <c:v>-0.38400000000000001</c:v>
                </c:pt>
                <c:pt idx="535">
                  <c:v>-0.34899999999999998</c:v>
                </c:pt>
                <c:pt idx="536">
                  <c:v>-0.35599999999999998</c:v>
                </c:pt>
                <c:pt idx="537">
                  <c:v>-0.315</c:v>
                </c:pt>
                <c:pt idx="538">
                  <c:v>-0.377</c:v>
                </c:pt>
                <c:pt idx="539">
                  <c:v>-0.39100000000000001</c:v>
                </c:pt>
                <c:pt idx="540">
                  <c:v>-0.39100000000000001</c:v>
                </c:pt>
                <c:pt idx="541">
                  <c:v>-0.372</c:v>
                </c:pt>
                <c:pt idx="542">
                  <c:v>-0.34499999999999997</c:v>
                </c:pt>
                <c:pt idx="543">
                  <c:v>-0.35099999999999998</c:v>
                </c:pt>
                <c:pt idx="544">
                  <c:v>-0.31900000000000001</c:v>
                </c:pt>
                <c:pt idx="545">
                  <c:v>-0.33800000000000002</c:v>
                </c:pt>
                <c:pt idx="546">
                  <c:v>-0.253</c:v>
                </c:pt>
                <c:pt idx="547">
                  <c:v>-0.23</c:v>
                </c:pt>
                <c:pt idx="548">
                  <c:v>-0.222</c:v>
                </c:pt>
                <c:pt idx="549">
                  <c:v>-0.30299999999999999</c:v>
                </c:pt>
                <c:pt idx="550">
                  <c:v>-0.34399999999999997</c:v>
                </c:pt>
                <c:pt idx="551">
                  <c:v>-0.27700000000000002</c:v>
                </c:pt>
                <c:pt idx="552">
                  <c:v>-0.248</c:v>
                </c:pt>
                <c:pt idx="553">
                  <c:v>-0.24399999999999999</c:v>
                </c:pt>
                <c:pt idx="554">
                  <c:v>-0.23</c:v>
                </c:pt>
                <c:pt idx="555">
                  <c:v>-0.26</c:v>
                </c:pt>
                <c:pt idx="556">
                  <c:v>-0.23300000000000001</c:v>
                </c:pt>
                <c:pt idx="557">
                  <c:v>-0.25</c:v>
                </c:pt>
                <c:pt idx="558">
                  <c:v>-0.3</c:v>
                </c:pt>
                <c:pt idx="559">
                  <c:v>-0.245</c:v>
                </c:pt>
                <c:pt idx="560">
                  <c:v>-0.28299999999999997</c:v>
                </c:pt>
                <c:pt idx="561">
                  <c:v>-0.22700000000000001</c:v>
                </c:pt>
                <c:pt idx="562">
                  <c:v>-0.17</c:v>
                </c:pt>
                <c:pt idx="563">
                  <c:v>-0.16600000000000001</c:v>
                </c:pt>
                <c:pt idx="564">
                  <c:v>-0.104</c:v>
                </c:pt>
                <c:pt idx="565">
                  <c:v>-0.107</c:v>
                </c:pt>
                <c:pt idx="566">
                  <c:v>-0.13700000000000001</c:v>
                </c:pt>
                <c:pt idx="567">
                  <c:v>-0.18</c:v>
                </c:pt>
                <c:pt idx="568">
                  <c:v>-0.11899999999999999</c:v>
                </c:pt>
                <c:pt idx="569">
                  <c:v>-0.11600000000000001</c:v>
                </c:pt>
                <c:pt idx="570">
                  <c:v>-0.107</c:v>
                </c:pt>
                <c:pt idx="571">
                  <c:v>-0.10299999999999999</c:v>
                </c:pt>
                <c:pt idx="572">
                  <c:v>-0.127</c:v>
                </c:pt>
                <c:pt idx="573">
                  <c:v>-0.107</c:v>
                </c:pt>
                <c:pt idx="574">
                  <c:v>-0.14899999999999999</c:v>
                </c:pt>
                <c:pt idx="575">
                  <c:v>-0.16900000000000001</c:v>
                </c:pt>
                <c:pt idx="576">
                  <c:v>-0.192</c:v>
                </c:pt>
                <c:pt idx="577">
                  <c:v>-0.129</c:v>
                </c:pt>
                <c:pt idx="578">
                  <c:v>-8.6999999999999994E-2</c:v>
                </c:pt>
                <c:pt idx="579">
                  <c:v>-0.122</c:v>
                </c:pt>
                <c:pt idx="580">
                  <c:v>-0.152</c:v>
                </c:pt>
                <c:pt idx="581">
                  <c:v>-0.186</c:v>
                </c:pt>
                <c:pt idx="582">
                  <c:v>-0.183</c:v>
                </c:pt>
                <c:pt idx="583">
                  <c:v>-0.189</c:v>
                </c:pt>
                <c:pt idx="584">
                  <c:v>-0.215</c:v>
                </c:pt>
                <c:pt idx="585">
                  <c:v>-0.22600000000000001</c:v>
                </c:pt>
                <c:pt idx="586">
                  <c:v>-0.2</c:v>
                </c:pt>
                <c:pt idx="587">
                  <c:v>-0.214</c:v>
                </c:pt>
                <c:pt idx="588">
                  <c:v>-0.2</c:v>
                </c:pt>
                <c:pt idx="589">
                  <c:v>-0.224</c:v>
                </c:pt>
                <c:pt idx="590">
                  <c:v>-0.22900000000000001</c:v>
                </c:pt>
                <c:pt idx="591">
                  <c:v>-0.25900000000000001</c:v>
                </c:pt>
                <c:pt idx="592">
                  <c:v>-0.32500000000000001</c:v>
                </c:pt>
                <c:pt idx="593">
                  <c:v>-0.318</c:v>
                </c:pt>
                <c:pt idx="594">
                  <c:v>-0.32100000000000001</c:v>
                </c:pt>
                <c:pt idx="595">
                  <c:v>-0.28100000000000003</c:v>
                </c:pt>
                <c:pt idx="596">
                  <c:v>-0.30299999999999999</c:v>
                </c:pt>
                <c:pt idx="597">
                  <c:v>-0.307</c:v>
                </c:pt>
                <c:pt idx="598">
                  <c:v>-0.34100000000000003</c:v>
                </c:pt>
                <c:pt idx="599">
                  <c:v>-0.33200000000000002</c:v>
                </c:pt>
                <c:pt idx="600">
                  <c:v>-0.33200000000000002</c:v>
                </c:pt>
                <c:pt idx="601">
                  <c:v>-0.36199999999999999</c:v>
                </c:pt>
                <c:pt idx="602">
                  <c:v>-0.32400000000000001</c:v>
                </c:pt>
                <c:pt idx="603">
                  <c:v>-0.32300000000000001</c:v>
                </c:pt>
                <c:pt idx="604">
                  <c:v>-0.36799999999999999</c:v>
                </c:pt>
                <c:pt idx="605">
                  <c:v>-0.36299999999999999</c:v>
                </c:pt>
                <c:pt idx="606">
                  <c:v>-0.38600000000000001</c:v>
                </c:pt>
                <c:pt idx="607">
                  <c:v>-0.375</c:v>
                </c:pt>
                <c:pt idx="608">
                  <c:v>-0.38500000000000001</c:v>
                </c:pt>
                <c:pt idx="609">
                  <c:v>-0.441</c:v>
                </c:pt>
                <c:pt idx="610">
                  <c:v>-0.42499999999999999</c:v>
                </c:pt>
                <c:pt idx="611">
                  <c:v>-0.40799999999999997</c:v>
                </c:pt>
                <c:pt idx="612">
                  <c:v>-0.42299999999999999</c:v>
                </c:pt>
                <c:pt idx="613">
                  <c:v>-0.47899999999999998</c:v>
                </c:pt>
                <c:pt idx="614">
                  <c:v>-0.48199999999999998</c:v>
                </c:pt>
                <c:pt idx="615">
                  <c:v>-0.496</c:v>
                </c:pt>
                <c:pt idx="616">
                  <c:v>-0.49099999999999999</c:v>
                </c:pt>
                <c:pt idx="617">
                  <c:v>-0.48299999999999998</c:v>
                </c:pt>
                <c:pt idx="618">
                  <c:v>-0.47199999999999998</c:v>
                </c:pt>
                <c:pt idx="619">
                  <c:v>-0.47</c:v>
                </c:pt>
                <c:pt idx="620">
                  <c:v>-0.46800000000000003</c:v>
                </c:pt>
                <c:pt idx="621">
                  <c:v>-0.46100000000000002</c:v>
                </c:pt>
                <c:pt idx="622">
                  <c:v>-0.46500000000000002</c:v>
                </c:pt>
                <c:pt idx="623">
                  <c:v>-0.45800000000000002</c:v>
                </c:pt>
                <c:pt idx="624">
                  <c:v>-0.46100000000000002</c:v>
                </c:pt>
                <c:pt idx="625">
                  <c:v>-0.45700000000000002</c:v>
                </c:pt>
                <c:pt idx="626">
                  <c:v>-0.5</c:v>
                </c:pt>
                <c:pt idx="627">
                  <c:v>-0.502</c:v>
                </c:pt>
                <c:pt idx="628">
                  <c:v>-0.48299999999999998</c:v>
                </c:pt>
                <c:pt idx="629">
                  <c:v>-0.48799999999999999</c:v>
                </c:pt>
                <c:pt idx="630">
                  <c:v>-0.46200000000000002</c:v>
                </c:pt>
                <c:pt idx="631">
                  <c:v>-0.45100000000000001</c:v>
                </c:pt>
                <c:pt idx="632">
                  <c:v>-0.45100000000000001</c:v>
                </c:pt>
                <c:pt idx="633">
                  <c:v>-0.442</c:v>
                </c:pt>
                <c:pt idx="634">
                  <c:v>-0.41899999999999998</c:v>
                </c:pt>
                <c:pt idx="635">
                  <c:v>-0.42099999999999999</c:v>
                </c:pt>
                <c:pt idx="636">
                  <c:v>-0.42699999999999999</c:v>
                </c:pt>
                <c:pt idx="637">
                  <c:v>-0.39600000000000002</c:v>
                </c:pt>
                <c:pt idx="638">
                  <c:v>-0.41099999999999998</c:v>
                </c:pt>
                <c:pt idx="639">
                  <c:v>-0.38700000000000001</c:v>
                </c:pt>
                <c:pt idx="640">
                  <c:v>-0.35499999999999998</c:v>
                </c:pt>
                <c:pt idx="641">
                  <c:v>-0.33500000000000002</c:v>
                </c:pt>
                <c:pt idx="642">
                  <c:v>-0.32</c:v>
                </c:pt>
                <c:pt idx="643">
                  <c:v>-0.29499999999999998</c:v>
                </c:pt>
                <c:pt idx="644">
                  <c:v>-0.29599999999999999</c:v>
                </c:pt>
                <c:pt idx="645">
                  <c:v>-0.29399999999999998</c:v>
                </c:pt>
                <c:pt idx="646">
                  <c:v>-0.308</c:v>
                </c:pt>
                <c:pt idx="647">
                  <c:v>-0.29899999999999999</c:v>
                </c:pt>
                <c:pt idx="648">
                  <c:v>-0.26900000000000002</c:v>
                </c:pt>
                <c:pt idx="649">
                  <c:v>-0.21199999999999999</c:v>
                </c:pt>
                <c:pt idx="650">
                  <c:v>-0.23599999999999999</c:v>
                </c:pt>
                <c:pt idx="651">
                  <c:v>-0.20200000000000001</c:v>
                </c:pt>
                <c:pt idx="652">
                  <c:v>-0.20899999999999999</c:v>
                </c:pt>
                <c:pt idx="653">
                  <c:v>-0.17100000000000001</c:v>
                </c:pt>
                <c:pt idx="654">
                  <c:v>-0.191</c:v>
                </c:pt>
                <c:pt idx="655">
                  <c:v>-0.156</c:v>
                </c:pt>
                <c:pt idx="656">
                  <c:v>-0.19</c:v>
                </c:pt>
                <c:pt idx="657">
                  <c:v>-0.17899999999999999</c:v>
                </c:pt>
                <c:pt idx="658">
                  <c:v>-0.16500000000000001</c:v>
                </c:pt>
                <c:pt idx="659">
                  <c:v>-0.17299999999999999</c:v>
                </c:pt>
                <c:pt idx="660">
                  <c:v>-0.20200000000000001</c:v>
                </c:pt>
                <c:pt idx="661">
                  <c:v>-0.19700000000000001</c:v>
                </c:pt>
                <c:pt idx="662">
                  <c:v>-0.25</c:v>
                </c:pt>
                <c:pt idx="663">
                  <c:v>-0.23200000000000001</c:v>
                </c:pt>
                <c:pt idx="664">
                  <c:v>-0.252</c:v>
                </c:pt>
                <c:pt idx="665">
                  <c:v>-0.27400000000000002</c:v>
                </c:pt>
                <c:pt idx="666">
                  <c:v>-0.25700000000000001</c:v>
                </c:pt>
                <c:pt idx="667">
                  <c:v>-0.245</c:v>
                </c:pt>
                <c:pt idx="668">
                  <c:v>-0.22500000000000001</c:v>
                </c:pt>
                <c:pt idx="669">
                  <c:v>-0.19900000000000001</c:v>
                </c:pt>
                <c:pt idx="670">
                  <c:v>-0.214</c:v>
                </c:pt>
                <c:pt idx="671">
                  <c:v>-0.184</c:v>
                </c:pt>
                <c:pt idx="672">
                  <c:v>-0.19900000000000001</c:v>
                </c:pt>
                <c:pt idx="673">
                  <c:v>-0.17899999999999999</c:v>
                </c:pt>
                <c:pt idx="674">
                  <c:v>-0.188</c:v>
                </c:pt>
                <c:pt idx="675">
                  <c:v>-0.183</c:v>
                </c:pt>
                <c:pt idx="676">
                  <c:v>-0.17299999999999999</c:v>
                </c:pt>
                <c:pt idx="677">
                  <c:v>-0.20699999999999999</c:v>
                </c:pt>
                <c:pt idx="678">
                  <c:v>-0.16800000000000001</c:v>
                </c:pt>
                <c:pt idx="679">
                  <c:v>-0.14099999999999999</c:v>
                </c:pt>
                <c:pt idx="680">
                  <c:v>-0.13100000000000001</c:v>
                </c:pt>
                <c:pt idx="681">
                  <c:v>-0.11</c:v>
                </c:pt>
                <c:pt idx="682">
                  <c:v>-0.111</c:v>
                </c:pt>
                <c:pt idx="683">
                  <c:v>-0.104</c:v>
                </c:pt>
                <c:pt idx="684">
                  <c:v>-0.11600000000000001</c:v>
                </c:pt>
                <c:pt idx="685">
                  <c:v>-0.13100000000000001</c:v>
                </c:pt>
                <c:pt idx="686">
                  <c:v>-0.121</c:v>
                </c:pt>
                <c:pt idx="687">
                  <c:v>-0.125</c:v>
                </c:pt>
                <c:pt idx="688">
                  <c:v>-0.16200000000000001</c:v>
                </c:pt>
                <c:pt idx="689">
                  <c:v>-0.21299999999999999</c:v>
                </c:pt>
                <c:pt idx="690">
                  <c:v>-0.216</c:v>
                </c:pt>
                <c:pt idx="691">
                  <c:v>-0.22600000000000001</c:v>
                </c:pt>
                <c:pt idx="692">
                  <c:v>-0.22800000000000001</c:v>
                </c:pt>
                <c:pt idx="693">
                  <c:v>-0.23899999999999999</c:v>
                </c:pt>
                <c:pt idx="694">
                  <c:v>-0.20499999999999999</c:v>
                </c:pt>
                <c:pt idx="695">
                  <c:v>-0.20300000000000001</c:v>
                </c:pt>
                <c:pt idx="696">
                  <c:v>-0.19400000000000001</c:v>
                </c:pt>
                <c:pt idx="697">
                  <c:v>-0.23200000000000001</c:v>
                </c:pt>
                <c:pt idx="698">
                  <c:v>-0.25</c:v>
                </c:pt>
                <c:pt idx="699">
                  <c:v>-0.254</c:v>
                </c:pt>
                <c:pt idx="700">
                  <c:v>-0.25900000000000001</c:v>
                </c:pt>
                <c:pt idx="701">
                  <c:v>-0.253</c:v>
                </c:pt>
                <c:pt idx="702">
                  <c:v>-0.26300000000000001</c:v>
                </c:pt>
                <c:pt idx="703">
                  <c:v>-0.26300000000000001</c:v>
                </c:pt>
                <c:pt idx="704">
                  <c:v>-0.23499999999999999</c:v>
                </c:pt>
                <c:pt idx="705">
                  <c:v>-0.26400000000000001</c:v>
                </c:pt>
                <c:pt idx="706">
                  <c:v>-0.29199999999999998</c:v>
                </c:pt>
                <c:pt idx="707">
                  <c:v>-0.25900000000000001</c:v>
                </c:pt>
                <c:pt idx="708">
                  <c:v>-0.29299999999999998</c:v>
                </c:pt>
                <c:pt idx="709">
                  <c:v>-0.29499999999999998</c:v>
                </c:pt>
                <c:pt idx="710">
                  <c:v>-0.30399999999999999</c:v>
                </c:pt>
                <c:pt idx="711">
                  <c:v>-0.33600000000000002</c:v>
                </c:pt>
                <c:pt idx="712">
                  <c:v>-0.32500000000000001</c:v>
                </c:pt>
                <c:pt idx="713">
                  <c:v>-0.317</c:v>
                </c:pt>
                <c:pt idx="714">
                  <c:v>-0.32900000000000001</c:v>
                </c:pt>
                <c:pt idx="715">
                  <c:v>-0.32900000000000001</c:v>
                </c:pt>
                <c:pt idx="716">
                  <c:v>-0.32900000000000001</c:v>
                </c:pt>
                <c:pt idx="717">
                  <c:v>-0.29299999999999998</c:v>
                </c:pt>
                <c:pt idx="718">
                  <c:v>-0.28799999999999998</c:v>
                </c:pt>
                <c:pt idx="719">
                  <c:v>-0.32</c:v>
                </c:pt>
                <c:pt idx="720">
                  <c:v>-0.34799999999999998</c:v>
                </c:pt>
                <c:pt idx="721">
                  <c:v>-0.38500000000000001</c:v>
                </c:pt>
                <c:pt idx="722">
                  <c:v>-0.35399999999999998</c:v>
                </c:pt>
                <c:pt idx="723">
                  <c:v>-0.34300000000000003</c:v>
                </c:pt>
                <c:pt idx="724">
                  <c:v>-0.312</c:v>
                </c:pt>
                <c:pt idx="725">
                  <c:v>-0.29499999999999998</c:v>
                </c:pt>
                <c:pt idx="726">
                  <c:v>-0.26500000000000001</c:v>
                </c:pt>
                <c:pt idx="727">
                  <c:v>-0.29199999999999998</c:v>
                </c:pt>
                <c:pt idx="728">
                  <c:v>-0.33700000000000002</c:v>
                </c:pt>
                <c:pt idx="729">
                  <c:v>-0.33500000000000002</c:v>
                </c:pt>
                <c:pt idx="730">
                  <c:v>-0.307</c:v>
                </c:pt>
                <c:pt idx="731">
                  <c:v>-0.33500000000000002</c:v>
                </c:pt>
                <c:pt idx="732">
                  <c:v>-0.315</c:v>
                </c:pt>
                <c:pt idx="733">
                  <c:v>-0.30099999999999999</c:v>
                </c:pt>
                <c:pt idx="734">
                  <c:v>-0.27800000000000002</c:v>
                </c:pt>
                <c:pt idx="735">
                  <c:v>-0.30299999999999999</c:v>
                </c:pt>
                <c:pt idx="736">
                  <c:v>-0.313</c:v>
                </c:pt>
                <c:pt idx="737">
                  <c:v>-0.28899999999999998</c:v>
                </c:pt>
                <c:pt idx="738">
                  <c:v>-0.35299999999999998</c:v>
                </c:pt>
                <c:pt idx="739">
                  <c:v>-0.33600000000000002</c:v>
                </c:pt>
                <c:pt idx="740">
                  <c:v>-0.26200000000000001</c:v>
                </c:pt>
                <c:pt idx="741">
                  <c:v>-0.23300000000000001</c:v>
                </c:pt>
                <c:pt idx="742">
                  <c:v>-0.30499999999999999</c:v>
                </c:pt>
                <c:pt idx="743">
                  <c:v>-0.317</c:v>
                </c:pt>
                <c:pt idx="744">
                  <c:v>-0.34</c:v>
                </c:pt>
                <c:pt idx="745">
                  <c:v>-0.307</c:v>
                </c:pt>
                <c:pt idx="746">
                  <c:v>-0.34699999999999998</c:v>
                </c:pt>
                <c:pt idx="747">
                  <c:v>-0.36899999999999999</c:v>
                </c:pt>
                <c:pt idx="748">
                  <c:v>-0.34899999999999998</c:v>
                </c:pt>
                <c:pt idx="749">
                  <c:v>-0.38300000000000001</c:v>
                </c:pt>
                <c:pt idx="750">
                  <c:v>-0.42899999999999999</c:v>
                </c:pt>
                <c:pt idx="751">
                  <c:v>-0.45900000000000002</c:v>
                </c:pt>
                <c:pt idx="752">
                  <c:v>-0.438</c:v>
                </c:pt>
                <c:pt idx="753">
                  <c:v>-0.44700000000000001</c:v>
                </c:pt>
                <c:pt idx="754">
                  <c:v>-0.44700000000000001</c:v>
                </c:pt>
                <c:pt idx="755">
                  <c:v>-0.44800000000000001</c:v>
                </c:pt>
                <c:pt idx="756">
                  <c:v>-0.45500000000000002</c:v>
                </c:pt>
                <c:pt idx="757">
                  <c:v>-0.46600000000000003</c:v>
                </c:pt>
                <c:pt idx="758">
                  <c:v>-0.49</c:v>
                </c:pt>
                <c:pt idx="759">
                  <c:v>-0.51700000000000002</c:v>
                </c:pt>
                <c:pt idx="760">
                  <c:v>-0.51900000000000002</c:v>
                </c:pt>
                <c:pt idx="761">
                  <c:v>-0.54</c:v>
                </c:pt>
                <c:pt idx="762">
                  <c:v>-0.54700000000000004</c:v>
                </c:pt>
                <c:pt idx="763">
                  <c:v>-0.53500000000000003</c:v>
                </c:pt>
                <c:pt idx="764">
                  <c:v>-0.55100000000000005</c:v>
                </c:pt>
                <c:pt idx="765">
                  <c:v>-0.51400000000000001</c:v>
                </c:pt>
                <c:pt idx="766">
                  <c:v>-0.497</c:v>
                </c:pt>
                <c:pt idx="767">
                  <c:v>-0.53</c:v>
                </c:pt>
                <c:pt idx="768">
                  <c:v>-0.52700000000000002</c:v>
                </c:pt>
                <c:pt idx="769">
                  <c:v>-0.52800000000000002</c:v>
                </c:pt>
                <c:pt idx="770">
                  <c:v>-0.54400000000000004</c:v>
                </c:pt>
                <c:pt idx="771">
                  <c:v>-0.55000000000000004</c:v>
                </c:pt>
                <c:pt idx="772">
                  <c:v>-0.52300000000000002</c:v>
                </c:pt>
                <c:pt idx="773">
                  <c:v>-0.46899999999999997</c:v>
                </c:pt>
                <c:pt idx="774">
                  <c:v>-0.498</c:v>
                </c:pt>
                <c:pt idx="775">
                  <c:v>-0.52200000000000002</c:v>
                </c:pt>
                <c:pt idx="776">
                  <c:v>-0.52500000000000002</c:v>
                </c:pt>
                <c:pt idx="777">
                  <c:v>-0.52300000000000002</c:v>
                </c:pt>
                <c:pt idx="778">
                  <c:v>-0.57899999999999996</c:v>
                </c:pt>
                <c:pt idx="779">
                  <c:v>-0.60599999999999998</c:v>
                </c:pt>
                <c:pt idx="780">
                  <c:v>-0.57199999999999995</c:v>
                </c:pt>
                <c:pt idx="781">
                  <c:v>-0.57199999999999995</c:v>
                </c:pt>
                <c:pt idx="782">
                  <c:v>-0.57199999999999995</c:v>
                </c:pt>
                <c:pt idx="783">
                  <c:v>-0.57399999999999995</c:v>
                </c:pt>
                <c:pt idx="784">
                  <c:v>-0.56699999999999995</c:v>
                </c:pt>
                <c:pt idx="785">
                  <c:v>-0.55000000000000004</c:v>
                </c:pt>
                <c:pt idx="786">
                  <c:v>-0.55000000000000004</c:v>
                </c:pt>
                <c:pt idx="787">
                  <c:v>-0.55000000000000004</c:v>
                </c:pt>
                <c:pt idx="788">
                  <c:v>-0.59699999999999998</c:v>
                </c:pt>
                <c:pt idx="789">
                  <c:v>-0.58199999999999996</c:v>
                </c:pt>
                <c:pt idx="790">
                  <c:v>-0.57399999999999995</c:v>
                </c:pt>
                <c:pt idx="791">
                  <c:v>-0.57199999999999995</c:v>
                </c:pt>
                <c:pt idx="792">
                  <c:v>-0.56799999999999995</c:v>
                </c:pt>
                <c:pt idx="793">
                  <c:v>-0.61199999999999999</c:v>
                </c:pt>
                <c:pt idx="794">
                  <c:v>-0.621</c:v>
                </c:pt>
                <c:pt idx="795">
                  <c:v>-0.63800000000000001</c:v>
                </c:pt>
                <c:pt idx="796">
                  <c:v>-0.60499999999999998</c:v>
                </c:pt>
                <c:pt idx="797">
                  <c:v>-0.60599999999999998</c:v>
                </c:pt>
                <c:pt idx="798">
                  <c:v>-0.60799999999999998</c:v>
                </c:pt>
                <c:pt idx="799">
                  <c:v>-0.58299999999999996</c:v>
                </c:pt>
                <c:pt idx="800">
                  <c:v>-0.54900000000000004</c:v>
                </c:pt>
                <c:pt idx="801">
                  <c:v>-0.55700000000000005</c:v>
                </c:pt>
                <c:pt idx="802">
                  <c:v>-0.52100000000000002</c:v>
                </c:pt>
                <c:pt idx="803">
                  <c:v>-0.53</c:v>
                </c:pt>
                <c:pt idx="804">
                  <c:v>-0.57199999999999995</c:v>
                </c:pt>
                <c:pt idx="805">
                  <c:v>-0.58899999999999997</c:v>
                </c:pt>
                <c:pt idx="806">
                  <c:v>-0.58899999999999997</c:v>
                </c:pt>
                <c:pt idx="807">
                  <c:v>-0.56799999999999995</c:v>
                </c:pt>
                <c:pt idx="808">
                  <c:v>-0.56399999999999995</c:v>
                </c:pt>
                <c:pt idx="809">
                  <c:v>-0.58199999999999996</c:v>
                </c:pt>
                <c:pt idx="810">
                  <c:v>-0.58399999999999996</c:v>
                </c:pt>
                <c:pt idx="811">
                  <c:v>-0.57199999999999995</c:v>
                </c:pt>
                <c:pt idx="812">
                  <c:v>-0.55500000000000005</c:v>
                </c:pt>
                <c:pt idx="813">
                  <c:v>-0.56299999999999994</c:v>
                </c:pt>
                <c:pt idx="814">
                  <c:v>-0.54600000000000004</c:v>
                </c:pt>
                <c:pt idx="815">
                  <c:v>-0.54900000000000004</c:v>
                </c:pt>
                <c:pt idx="816">
                  <c:v>-0.53700000000000003</c:v>
                </c:pt>
                <c:pt idx="817">
                  <c:v>-0.50800000000000001</c:v>
                </c:pt>
                <c:pt idx="818">
                  <c:v>-0.48599999999999999</c:v>
                </c:pt>
                <c:pt idx="819">
                  <c:v>-0.51100000000000001</c:v>
                </c:pt>
                <c:pt idx="820">
                  <c:v>-0.621</c:v>
                </c:pt>
                <c:pt idx="821">
                  <c:v>-0.63800000000000001</c:v>
                </c:pt>
                <c:pt idx="822">
                  <c:v>-0.63900000000000001</c:v>
                </c:pt>
                <c:pt idx="823">
                  <c:v>-0.62</c:v>
                </c:pt>
                <c:pt idx="824">
                  <c:v>-0.64</c:v>
                </c:pt>
                <c:pt idx="825">
                  <c:v>-0.628</c:v>
                </c:pt>
                <c:pt idx="826">
                  <c:v>-0.63800000000000001</c:v>
                </c:pt>
                <c:pt idx="827">
                  <c:v>-0.627</c:v>
                </c:pt>
                <c:pt idx="828">
                  <c:v>-0.61599999999999999</c:v>
                </c:pt>
                <c:pt idx="829">
                  <c:v>-0.58099999999999996</c:v>
                </c:pt>
                <c:pt idx="830">
                  <c:v>-0.57599999999999996</c:v>
                </c:pt>
                <c:pt idx="831">
                  <c:v>-0.56799999999999995</c:v>
                </c:pt>
                <c:pt idx="832">
                  <c:v>-0.58899999999999997</c:v>
                </c:pt>
                <c:pt idx="833">
                  <c:v>-0.60699999999999998</c:v>
                </c:pt>
                <c:pt idx="834">
                  <c:v>-0.629</c:v>
                </c:pt>
                <c:pt idx="835">
                  <c:v>-0.622</c:v>
                </c:pt>
                <c:pt idx="836">
                  <c:v>-0.61199999999999999</c:v>
                </c:pt>
                <c:pt idx="837">
                  <c:v>-0.58199999999999996</c:v>
                </c:pt>
                <c:pt idx="838">
                  <c:v>-0.55700000000000005</c:v>
                </c:pt>
                <c:pt idx="839">
                  <c:v>-0.54500000000000004</c:v>
                </c:pt>
                <c:pt idx="840">
                  <c:v>-0.52800000000000002</c:v>
                </c:pt>
                <c:pt idx="841">
                  <c:v>-0.52400000000000002</c:v>
                </c:pt>
                <c:pt idx="842">
                  <c:v>-0.495</c:v>
                </c:pt>
                <c:pt idx="843">
                  <c:v>-0.50900000000000001</c:v>
                </c:pt>
                <c:pt idx="844">
                  <c:v>-0.51</c:v>
                </c:pt>
                <c:pt idx="845">
                  <c:v>-0.53700000000000003</c:v>
                </c:pt>
                <c:pt idx="846">
                  <c:v>-0.53600000000000003</c:v>
                </c:pt>
                <c:pt idx="847">
                  <c:v>-0.52300000000000002</c:v>
                </c:pt>
                <c:pt idx="848">
                  <c:v>-0.54600000000000004</c:v>
                </c:pt>
                <c:pt idx="849">
                  <c:v>-0.52800000000000002</c:v>
                </c:pt>
                <c:pt idx="850">
                  <c:v>-0.53</c:v>
                </c:pt>
                <c:pt idx="851">
                  <c:v>-0.502</c:v>
                </c:pt>
                <c:pt idx="852">
                  <c:v>-0.50600000000000001</c:v>
                </c:pt>
                <c:pt idx="853">
                  <c:v>-0.50600000000000001</c:v>
                </c:pt>
                <c:pt idx="854">
                  <c:v>-0.53</c:v>
                </c:pt>
                <c:pt idx="855">
                  <c:v>-0.48699999999999999</c:v>
                </c:pt>
                <c:pt idx="856">
                  <c:v>-0.49199999999999999</c:v>
                </c:pt>
                <c:pt idx="857">
                  <c:v>-0.48499999999999999</c:v>
                </c:pt>
                <c:pt idx="858">
                  <c:v>-0.48</c:v>
                </c:pt>
                <c:pt idx="859">
                  <c:v>-0.48199999999999998</c:v>
                </c:pt>
                <c:pt idx="860">
                  <c:v>-0.48199999999999998</c:v>
                </c:pt>
                <c:pt idx="861">
                  <c:v>-0.434</c:v>
                </c:pt>
                <c:pt idx="862">
                  <c:v>-0.46400000000000002</c:v>
                </c:pt>
                <c:pt idx="863">
                  <c:v>-0.496</c:v>
                </c:pt>
                <c:pt idx="864">
                  <c:v>-0.46300000000000002</c:v>
                </c:pt>
                <c:pt idx="865">
                  <c:v>-0.47399999999999998</c:v>
                </c:pt>
                <c:pt idx="866">
                  <c:v>-0.49</c:v>
                </c:pt>
                <c:pt idx="867">
                  <c:v>-0.47499999999999998</c:v>
                </c:pt>
                <c:pt idx="868">
                  <c:v>-0.42099999999999999</c:v>
                </c:pt>
                <c:pt idx="869">
                  <c:v>-0.39800000000000002</c:v>
                </c:pt>
                <c:pt idx="870">
                  <c:v>-0.41</c:v>
                </c:pt>
                <c:pt idx="871">
                  <c:v>-0.40799999999999997</c:v>
                </c:pt>
                <c:pt idx="872">
                  <c:v>-0.41699999999999998</c:v>
                </c:pt>
                <c:pt idx="873">
                  <c:v>-0.433</c:v>
                </c:pt>
                <c:pt idx="874">
                  <c:v>-0.49199999999999999</c:v>
                </c:pt>
                <c:pt idx="875">
                  <c:v>-0.50900000000000001</c:v>
                </c:pt>
                <c:pt idx="876">
                  <c:v>-0.497</c:v>
                </c:pt>
                <c:pt idx="877">
                  <c:v>-0.47399999999999998</c:v>
                </c:pt>
                <c:pt idx="878">
                  <c:v>-0.46400000000000002</c:v>
                </c:pt>
                <c:pt idx="879">
                  <c:v>-0.45300000000000001</c:v>
                </c:pt>
                <c:pt idx="880">
                  <c:v>-0.42299999999999999</c:v>
                </c:pt>
                <c:pt idx="881">
                  <c:v>-0.41399999999999998</c:v>
                </c:pt>
                <c:pt idx="882">
                  <c:v>-0.44900000000000001</c:v>
                </c:pt>
                <c:pt idx="883">
                  <c:v>-0.47899999999999998</c:v>
                </c:pt>
                <c:pt idx="884">
                  <c:v>-0.52800000000000002</c:v>
                </c:pt>
                <c:pt idx="885">
                  <c:v>-0.51</c:v>
                </c:pt>
                <c:pt idx="886">
                  <c:v>-0.53200000000000003</c:v>
                </c:pt>
                <c:pt idx="887">
                  <c:v>-0.50700000000000001</c:v>
                </c:pt>
                <c:pt idx="888">
                  <c:v>-0.55300000000000005</c:v>
                </c:pt>
                <c:pt idx="889">
                  <c:v>-0.52400000000000002</c:v>
                </c:pt>
                <c:pt idx="890">
                  <c:v>-0.52500000000000002</c:v>
                </c:pt>
                <c:pt idx="891">
                  <c:v>-0.54300000000000004</c:v>
                </c:pt>
                <c:pt idx="892">
                  <c:v>-0.501</c:v>
                </c:pt>
                <c:pt idx="893">
                  <c:v>-0.50900000000000001</c:v>
                </c:pt>
                <c:pt idx="894">
                  <c:v>-0.49299999999999999</c:v>
                </c:pt>
                <c:pt idx="895">
                  <c:v>-0.44900000000000001</c:v>
                </c:pt>
                <c:pt idx="896">
                  <c:v>-0.48199999999999998</c:v>
                </c:pt>
                <c:pt idx="897">
                  <c:v>-0.49199999999999999</c:v>
                </c:pt>
                <c:pt idx="898">
                  <c:v>-0.46200000000000002</c:v>
                </c:pt>
                <c:pt idx="899">
                  <c:v>-0.46200000000000002</c:v>
                </c:pt>
                <c:pt idx="900">
                  <c:v>-0.45</c:v>
                </c:pt>
                <c:pt idx="901">
                  <c:v>-0.46800000000000003</c:v>
                </c:pt>
                <c:pt idx="902">
                  <c:v>-0.44600000000000001</c:v>
                </c:pt>
                <c:pt idx="903">
                  <c:v>-0.44800000000000001</c:v>
                </c:pt>
                <c:pt idx="904">
                  <c:v>-0.41899999999999998</c:v>
                </c:pt>
                <c:pt idx="905">
                  <c:v>-0.46899999999999997</c:v>
                </c:pt>
                <c:pt idx="906">
                  <c:v>-0.46400000000000002</c:v>
                </c:pt>
                <c:pt idx="907">
                  <c:v>-0.441</c:v>
                </c:pt>
                <c:pt idx="908">
                  <c:v>-0.43</c:v>
                </c:pt>
                <c:pt idx="909">
                  <c:v>-0.434</c:v>
                </c:pt>
                <c:pt idx="910">
                  <c:v>-0.434</c:v>
                </c:pt>
                <c:pt idx="911">
                  <c:v>-0.43</c:v>
                </c:pt>
                <c:pt idx="912">
                  <c:v>-0.39600000000000002</c:v>
                </c:pt>
                <c:pt idx="913">
                  <c:v>-0.45600000000000002</c:v>
                </c:pt>
                <c:pt idx="914">
                  <c:v>-0.47199999999999998</c:v>
                </c:pt>
                <c:pt idx="915">
                  <c:v>-0.48299999999999998</c:v>
                </c:pt>
                <c:pt idx="916">
                  <c:v>-0.47099999999999997</c:v>
                </c:pt>
                <c:pt idx="917">
                  <c:v>-0.443</c:v>
                </c:pt>
                <c:pt idx="918">
                  <c:v>-0.40899999999999997</c:v>
                </c:pt>
                <c:pt idx="919">
                  <c:v>-0.44</c:v>
                </c:pt>
                <c:pt idx="920">
                  <c:v>-0.41799999999999998</c:v>
                </c:pt>
                <c:pt idx="921">
                  <c:v>-0.41</c:v>
                </c:pt>
                <c:pt idx="922">
                  <c:v>-0.39600000000000002</c:v>
                </c:pt>
                <c:pt idx="923">
                  <c:v>-0.42799999999999999</c:v>
                </c:pt>
                <c:pt idx="924">
                  <c:v>-0.44800000000000001</c:v>
                </c:pt>
                <c:pt idx="925">
                  <c:v>-0.441</c:v>
                </c:pt>
                <c:pt idx="926">
                  <c:v>-0.41499999999999998</c:v>
                </c:pt>
                <c:pt idx="927">
                  <c:v>-0.33300000000000002</c:v>
                </c:pt>
                <c:pt idx="928">
                  <c:v>-0.311</c:v>
                </c:pt>
                <c:pt idx="929">
                  <c:v>-0.32</c:v>
                </c:pt>
                <c:pt idx="930">
                  <c:v>-0.27800000000000002</c:v>
                </c:pt>
                <c:pt idx="931">
                  <c:v>-0.32300000000000001</c:v>
                </c:pt>
                <c:pt idx="932">
                  <c:v>-0.35599999999999998</c:v>
                </c:pt>
                <c:pt idx="933">
                  <c:v>-0.41699999999999998</c:v>
                </c:pt>
                <c:pt idx="934">
                  <c:v>-0.40400000000000003</c:v>
                </c:pt>
                <c:pt idx="935">
                  <c:v>-0.44900000000000001</c:v>
                </c:pt>
                <c:pt idx="936">
                  <c:v>-0.42</c:v>
                </c:pt>
                <c:pt idx="937">
                  <c:v>-0.41499999999999998</c:v>
                </c:pt>
                <c:pt idx="938">
                  <c:v>-0.43099999999999999</c:v>
                </c:pt>
                <c:pt idx="939">
                  <c:v>-0.496</c:v>
                </c:pt>
                <c:pt idx="940">
                  <c:v>-0.49</c:v>
                </c:pt>
                <c:pt idx="941">
                  <c:v>-0.497</c:v>
                </c:pt>
                <c:pt idx="942">
                  <c:v>-0.47099999999999997</c:v>
                </c:pt>
                <c:pt idx="943">
                  <c:v>-0.46500000000000002</c:v>
                </c:pt>
                <c:pt idx="944">
                  <c:v>-0.46800000000000003</c:v>
                </c:pt>
                <c:pt idx="945">
                  <c:v>-0.53300000000000003</c:v>
                </c:pt>
                <c:pt idx="946">
                  <c:v>-0.54500000000000004</c:v>
                </c:pt>
                <c:pt idx="947">
                  <c:v>-0.53300000000000003</c:v>
                </c:pt>
                <c:pt idx="948">
                  <c:v>-0.50800000000000001</c:v>
                </c:pt>
                <c:pt idx="949">
                  <c:v>-0.51300000000000001</c:v>
                </c:pt>
                <c:pt idx="950">
                  <c:v>-0.53900000000000003</c:v>
                </c:pt>
                <c:pt idx="951">
                  <c:v>-0.54700000000000004</c:v>
                </c:pt>
                <c:pt idx="952">
                  <c:v>-0.50900000000000001</c:v>
                </c:pt>
                <c:pt idx="953">
                  <c:v>-0.58099999999999996</c:v>
                </c:pt>
                <c:pt idx="954">
                  <c:v>-0.56499999999999995</c:v>
                </c:pt>
                <c:pt idx="955">
                  <c:v>-0.58899999999999997</c:v>
                </c:pt>
                <c:pt idx="956">
                  <c:v>-0.58899999999999997</c:v>
                </c:pt>
                <c:pt idx="957">
                  <c:v>-0.497</c:v>
                </c:pt>
                <c:pt idx="958">
                  <c:v>-0.47099999999999997</c:v>
                </c:pt>
                <c:pt idx="959">
                  <c:v>-0.45600000000000002</c:v>
                </c:pt>
                <c:pt idx="960">
                  <c:v>-0.47599999999999998</c:v>
                </c:pt>
                <c:pt idx="961">
                  <c:v>-0.42699999999999999</c:v>
                </c:pt>
                <c:pt idx="962">
                  <c:v>-0.41</c:v>
                </c:pt>
                <c:pt idx="963">
                  <c:v>-0.47899999999999998</c:v>
                </c:pt>
                <c:pt idx="964">
                  <c:v>-0.45100000000000001</c:v>
                </c:pt>
                <c:pt idx="965">
                  <c:v>-0.47499999999999998</c:v>
                </c:pt>
                <c:pt idx="966">
                  <c:v>-0.47599999999999998</c:v>
                </c:pt>
                <c:pt idx="967">
                  <c:v>-0.46800000000000003</c:v>
                </c:pt>
                <c:pt idx="968">
                  <c:v>-0.38100000000000001</c:v>
                </c:pt>
                <c:pt idx="969">
                  <c:v>-0.35099999999999998</c:v>
                </c:pt>
                <c:pt idx="970">
                  <c:v>-0.35099999999999998</c:v>
                </c:pt>
                <c:pt idx="971">
                  <c:v>-0.35099999999999998</c:v>
                </c:pt>
                <c:pt idx="972">
                  <c:v>-0.309</c:v>
                </c:pt>
                <c:pt idx="973">
                  <c:v>-0.313</c:v>
                </c:pt>
                <c:pt idx="974">
                  <c:v>-0.42699999999999999</c:v>
                </c:pt>
                <c:pt idx="975">
                  <c:v>-0.44400000000000001</c:v>
                </c:pt>
                <c:pt idx="976">
                  <c:v>-0.438</c:v>
                </c:pt>
                <c:pt idx="977">
                  <c:v>-0.46300000000000002</c:v>
                </c:pt>
                <c:pt idx="978">
                  <c:v>-0.47399999999999998</c:v>
                </c:pt>
                <c:pt idx="979">
                  <c:v>-0.495</c:v>
                </c:pt>
                <c:pt idx="980">
                  <c:v>-0.47899999999999998</c:v>
                </c:pt>
                <c:pt idx="981">
                  <c:v>-0.36499999999999999</c:v>
                </c:pt>
                <c:pt idx="982">
                  <c:v>-0.26600000000000001</c:v>
                </c:pt>
                <c:pt idx="983">
                  <c:v>-0.32700000000000001</c:v>
                </c:pt>
                <c:pt idx="984">
                  <c:v>-0.38</c:v>
                </c:pt>
                <c:pt idx="985">
                  <c:v>-0.32600000000000001</c:v>
                </c:pt>
                <c:pt idx="986">
                  <c:v>-0.19800000000000001</c:v>
                </c:pt>
                <c:pt idx="987">
                  <c:v>-0.24</c:v>
                </c:pt>
                <c:pt idx="988">
                  <c:v>-0.438</c:v>
                </c:pt>
                <c:pt idx="989">
                  <c:v>-0.46500000000000002</c:v>
                </c:pt>
                <c:pt idx="990">
                  <c:v>-0.54800000000000004</c:v>
                </c:pt>
                <c:pt idx="991">
                  <c:v>-0.748</c:v>
                </c:pt>
                <c:pt idx="992">
                  <c:v>-0.745</c:v>
                </c:pt>
                <c:pt idx="993">
                  <c:v>-0.79400000000000004</c:v>
                </c:pt>
                <c:pt idx="994">
                  <c:v>-0.85799999999999998</c:v>
                </c:pt>
                <c:pt idx="995">
                  <c:v>-0.71199999999999997</c:v>
                </c:pt>
                <c:pt idx="996">
                  <c:v>-0.68799999999999994</c:v>
                </c:pt>
                <c:pt idx="997">
                  <c:v>-0.64100000000000001</c:v>
                </c:pt>
                <c:pt idx="998">
                  <c:v>-0.627</c:v>
                </c:pt>
                <c:pt idx="999">
                  <c:v>-0.627</c:v>
                </c:pt>
                <c:pt idx="1000">
                  <c:v>-0.60899999999999999</c:v>
                </c:pt>
                <c:pt idx="1001">
                  <c:v>-0.54500000000000004</c:v>
                </c:pt>
                <c:pt idx="1002">
                  <c:v>-0.50700000000000001</c:v>
                </c:pt>
                <c:pt idx="1003">
                  <c:v>-0.51400000000000001</c:v>
                </c:pt>
                <c:pt idx="1004">
                  <c:v>-0.48299999999999998</c:v>
                </c:pt>
                <c:pt idx="1005">
                  <c:v>-0.432</c:v>
                </c:pt>
                <c:pt idx="1006">
                  <c:v>-0.44600000000000001</c:v>
                </c:pt>
                <c:pt idx="1007">
                  <c:v>-0.42</c:v>
                </c:pt>
                <c:pt idx="1008">
                  <c:v>-0.40899999999999997</c:v>
                </c:pt>
                <c:pt idx="1009">
                  <c:v>-0.40200000000000002</c:v>
                </c:pt>
                <c:pt idx="1010">
                  <c:v>-0.40200000000000002</c:v>
                </c:pt>
                <c:pt idx="1011">
                  <c:v>-0.38700000000000001</c:v>
                </c:pt>
                <c:pt idx="1012">
                  <c:v>-0.379</c:v>
                </c:pt>
                <c:pt idx="1013">
                  <c:v>-0.39300000000000002</c:v>
                </c:pt>
                <c:pt idx="1014">
                  <c:v>-0.41199999999999998</c:v>
                </c:pt>
                <c:pt idx="1015">
                  <c:v>-0.38600000000000001</c:v>
                </c:pt>
                <c:pt idx="1016">
                  <c:v>-0.371</c:v>
                </c:pt>
                <c:pt idx="1017">
                  <c:v>-0.36099999999999999</c:v>
                </c:pt>
                <c:pt idx="1018">
                  <c:v>-0.4</c:v>
                </c:pt>
                <c:pt idx="1019">
                  <c:v>-0.44400000000000001</c:v>
                </c:pt>
                <c:pt idx="1020">
                  <c:v>-0.436</c:v>
                </c:pt>
                <c:pt idx="1021">
                  <c:v>-0.40699999999999997</c:v>
                </c:pt>
                <c:pt idx="1022">
                  <c:v>-0.378</c:v>
                </c:pt>
                <c:pt idx="1023">
                  <c:v>-0.34200000000000003</c:v>
                </c:pt>
                <c:pt idx="1024">
                  <c:v>-0.38700000000000001</c:v>
                </c:pt>
                <c:pt idx="1025">
                  <c:v>-0.33600000000000002</c:v>
                </c:pt>
                <c:pt idx="1026">
                  <c:v>-0.309</c:v>
                </c:pt>
                <c:pt idx="1027">
                  <c:v>-0.26100000000000001</c:v>
                </c:pt>
                <c:pt idx="1028">
                  <c:v>-0.25</c:v>
                </c:pt>
                <c:pt idx="1029">
                  <c:v>-0.22</c:v>
                </c:pt>
                <c:pt idx="1030">
                  <c:v>-0.216</c:v>
                </c:pt>
                <c:pt idx="1031">
                  <c:v>-0.22</c:v>
                </c:pt>
                <c:pt idx="1032">
                  <c:v>-0.20100000000000001</c:v>
                </c:pt>
                <c:pt idx="1033">
                  <c:v>-0.17199999999999999</c:v>
                </c:pt>
                <c:pt idx="1034">
                  <c:v>-0.161</c:v>
                </c:pt>
                <c:pt idx="1035">
                  <c:v>-0.20100000000000001</c:v>
                </c:pt>
                <c:pt idx="1036">
                  <c:v>-0.182</c:v>
                </c:pt>
                <c:pt idx="1037">
                  <c:v>-0.21</c:v>
                </c:pt>
                <c:pt idx="1038">
                  <c:v>-0.28599999999999998</c:v>
                </c:pt>
                <c:pt idx="1039">
                  <c:v>-0.28899999999999998</c:v>
                </c:pt>
                <c:pt idx="1040">
                  <c:v>-0.28399999999999997</c:v>
                </c:pt>
                <c:pt idx="1041">
                  <c:v>-0.22600000000000001</c:v>
                </c:pt>
                <c:pt idx="1042">
                  <c:v>-0.188</c:v>
                </c:pt>
                <c:pt idx="1043">
                  <c:v>-0.188</c:v>
                </c:pt>
                <c:pt idx="1044">
                  <c:v>-0.188</c:v>
                </c:pt>
                <c:pt idx="1045">
                  <c:v>-0.25800000000000001</c:v>
                </c:pt>
                <c:pt idx="1046">
                  <c:v>-0.245</c:v>
                </c:pt>
                <c:pt idx="1047">
                  <c:v>-0.245</c:v>
                </c:pt>
                <c:pt idx="1048">
                  <c:v>-0.245</c:v>
                </c:pt>
                <c:pt idx="1049">
                  <c:v>-0.245</c:v>
                </c:pt>
                <c:pt idx="1050">
                  <c:v>-0.254</c:v>
                </c:pt>
                <c:pt idx="1051">
                  <c:v>-0.23699999999999999</c:v>
                </c:pt>
                <c:pt idx="1052">
                  <c:v>-0.252</c:v>
                </c:pt>
                <c:pt idx="1053">
                  <c:v>-0.29599999999999999</c:v>
                </c:pt>
                <c:pt idx="1054">
                  <c:v>-0.27800000000000002</c:v>
                </c:pt>
                <c:pt idx="1055">
                  <c:v>-0.29099999999999998</c:v>
                </c:pt>
                <c:pt idx="1056">
                  <c:v>-0.27100000000000002</c:v>
                </c:pt>
                <c:pt idx="1057">
                  <c:v>-0.32300000000000001</c:v>
                </c:pt>
                <c:pt idx="1058">
                  <c:v>-0.29699999999999999</c:v>
                </c:pt>
                <c:pt idx="1059">
                  <c:v>-0.309</c:v>
                </c:pt>
                <c:pt idx="1060">
                  <c:v>-0.28799999999999998</c:v>
                </c:pt>
                <c:pt idx="1061">
                  <c:v>-0.29599999999999999</c:v>
                </c:pt>
                <c:pt idx="1062">
                  <c:v>-0.317</c:v>
                </c:pt>
                <c:pt idx="1063">
                  <c:v>-0.35</c:v>
                </c:pt>
                <c:pt idx="1064">
                  <c:v>-0.28299999999999997</c:v>
                </c:pt>
                <c:pt idx="1065">
                  <c:v>-0.36199999999999999</c:v>
                </c:pt>
                <c:pt idx="1066">
                  <c:v>-0.36199999999999999</c:v>
                </c:pt>
                <c:pt idx="1067">
                  <c:v>-0.374</c:v>
                </c:pt>
                <c:pt idx="1068">
                  <c:v>-0.373</c:v>
                </c:pt>
                <c:pt idx="1069">
                  <c:v>-0.35</c:v>
                </c:pt>
                <c:pt idx="1070">
                  <c:v>-0.36</c:v>
                </c:pt>
                <c:pt idx="1071">
                  <c:v>-0.32800000000000001</c:v>
                </c:pt>
                <c:pt idx="1072">
                  <c:v>-0.34799999999999998</c:v>
                </c:pt>
                <c:pt idx="1073">
                  <c:v>-0.34100000000000003</c:v>
                </c:pt>
                <c:pt idx="1074">
                  <c:v>-0.33700000000000002</c:v>
                </c:pt>
                <c:pt idx="1075">
                  <c:v>-0.33600000000000002</c:v>
                </c:pt>
                <c:pt idx="1076">
                  <c:v>-0.35299999999999998</c:v>
                </c:pt>
                <c:pt idx="1077">
                  <c:v>-0.30199999999999999</c:v>
                </c:pt>
                <c:pt idx="1078">
                  <c:v>-0.254</c:v>
                </c:pt>
                <c:pt idx="1079">
                  <c:v>-0.246</c:v>
                </c:pt>
                <c:pt idx="1080">
                  <c:v>-0.26400000000000001</c:v>
                </c:pt>
                <c:pt idx="1081">
                  <c:v>-0.23599999999999999</c:v>
                </c:pt>
                <c:pt idx="1082">
                  <c:v>-0.33500000000000002</c:v>
                </c:pt>
                <c:pt idx="1083">
                  <c:v>-0.311</c:v>
                </c:pt>
                <c:pt idx="1084">
                  <c:v>-0.35199999999999998</c:v>
                </c:pt>
                <c:pt idx="1085">
                  <c:v>-0.38400000000000001</c:v>
                </c:pt>
                <c:pt idx="1086">
                  <c:v>-0.40899999999999997</c:v>
                </c:pt>
                <c:pt idx="1087">
                  <c:v>-0.35599999999999998</c:v>
                </c:pt>
                <c:pt idx="1088">
                  <c:v>-0.35299999999999998</c:v>
                </c:pt>
                <c:pt idx="1089">
                  <c:v>-0.33300000000000002</c:v>
                </c:pt>
                <c:pt idx="1090">
                  <c:v>-0.36399999999999999</c:v>
                </c:pt>
                <c:pt idx="1091">
                  <c:v>-0.40600000000000003</c:v>
                </c:pt>
                <c:pt idx="1092">
                  <c:v>-0.39500000000000002</c:v>
                </c:pt>
                <c:pt idx="1093">
                  <c:v>-0.37</c:v>
                </c:pt>
                <c:pt idx="1094">
                  <c:v>-0.34499999999999997</c:v>
                </c:pt>
                <c:pt idx="1095">
                  <c:v>-0.38400000000000001</c:v>
                </c:pt>
                <c:pt idx="1096">
                  <c:v>-0.41</c:v>
                </c:pt>
                <c:pt idx="1097">
                  <c:v>-0.38800000000000001</c:v>
                </c:pt>
                <c:pt idx="1098">
                  <c:v>-0.41799999999999998</c:v>
                </c:pt>
                <c:pt idx="1099">
                  <c:v>-0.45800000000000002</c:v>
                </c:pt>
                <c:pt idx="1100">
                  <c:v>-0.44400000000000001</c:v>
                </c:pt>
                <c:pt idx="1101">
                  <c:v>-0.47099999999999997</c:v>
                </c:pt>
                <c:pt idx="1102">
                  <c:v>-0.55000000000000004</c:v>
                </c:pt>
                <c:pt idx="1103">
                  <c:v>-0.59599999999999997</c:v>
                </c:pt>
                <c:pt idx="1104">
                  <c:v>-0.57599999999999996</c:v>
                </c:pt>
                <c:pt idx="1105">
                  <c:v>-0.58799999999999997</c:v>
                </c:pt>
                <c:pt idx="1106">
                  <c:v>-0.59199999999999997</c:v>
                </c:pt>
                <c:pt idx="1107">
                  <c:v>-0.54800000000000004</c:v>
                </c:pt>
                <c:pt idx="1108">
                  <c:v>-0.56599999999999995</c:v>
                </c:pt>
                <c:pt idx="1109">
                  <c:v>-0.57299999999999995</c:v>
                </c:pt>
                <c:pt idx="1110">
                  <c:v>-0.57499999999999996</c:v>
                </c:pt>
                <c:pt idx="1111">
                  <c:v>-0.58399999999999996</c:v>
                </c:pt>
                <c:pt idx="1112">
                  <c:v>-0.57599999999999996</c:v>
                </c:pt>
                <c:pt idx="1113">
                  <c:v>-0.60199999999999998</c:v>
                </c:pt>
                <c:pt idx="1114">
                  <c:v>-0.58199999999999996</c:v>
                </c:pt>
                <c:pt idx="1115">
                  <c:v>-0.52300000000000002</c:v>
                </c:pt>
                <c:pt idx="1116">
                  <c:v>-0.50900000000000001</c:v>
                </c:pt>
                <c:pt idx="1117">
                  <c:v>-0.51200000000000001</c:v>
                </c:pt>
                <c:pt idx="1118">
                  <c:v>-0.47599999999999998</c:v>
                </c:pt>
                <c:pt idx="1119">
                  <c:v>-0.48199999999999998</c:v>
                </c:pt>
                <c:pt idx="1120">
                  <c:v>-0.45</c:v>
                </c:pt>
                <c:pt idx="1121">
                  <c:v>-0.51800000000000002</c:v>
                </c:pt>
                <c:pt idx="1122">
                  <c:v>-0.56499999999999995</c:v>
                </c:pt>
                <c:pt idx="1123">
                  <c:v>-0.55000000000000004</c:v>
                </c:pt>
                <c:pt idx="1124">
                  <c:v>-0.58699999999999997</c:v>
                </c:pt>
                <c:pt idx="1125">
                  <c:v>-0.64</c:v>
                </c:pt>
                <c:pt idx="1126">
                  <c:v>-0.59499999999999997</c:v>
                </c:pt>
                <c:pt idx="1127">
                  <c:v>-0.67700000000000005</c:v>
                </c:pt>
                <c:pt idx="1128">
                  <c:v>-0.70799999999999996</c:v>
                </c:pt>
                <c:pt idx="1129">
                  <c:v>-0.70399999999999996</c:v>
                </c:pt>
                <c:pt idx="1130">
                  <c:v>-0.70199999999999996</c:v>
                </c:pt>
                <c:pt idx="1131">
                  <c:v>-0.69399999999999995</c:v>
                </c:pt>
                <c:pt idx="1132">
                  <c:v>-0.71599999999999997</c:v>
                </c:pt>
                <c:pt idx="1133">
                  <c:v>-0.69499999999999995</c:v>
                </c:pt>
                <c:pt idx="1134">
                  <c:v>-0.66900000000000004</c:v>
                </c:pt>
                <c:pt idx="1135">
                  <c:v>-0.67700000000000005</c:v>
                </c:pt>
                <c:pt idx="1136">
                  <c:v>-0.64600000000000002</c:v>
                </c:pt>
                <c:pt idx="1137">
                  <c:v>-0.67200000000000004</c:v>
                </c:pt>
                <c:pt idx="1138">
                  <c:v>-0.69199999999999995</c:v>
                </c:pt>
                <c:pt idx="1139">
                  <c:v>-0.65</c:v>
                </c:pt>
                <c:pt idx="1140">
                  <c:v>-0.68700000000000006</c:v>
                </c:pt>
                <c:pt idx="1141">
                  <c:v>-0.71499999999999997</c:v>
                </c:pt>
                <c:pt idx="1142">
                  <c:v>-0.65200000000000002</c:v>
                </c:pt>
                <c:pt idx="1143">
                  <c:v>-0.61099999999999999</c:v>
                </c:pt>
                <c:pt idx="1144">
                  <c:v>-0.59299999999999997</c:v>
                </c:pt>
                <c:pt idx="1145">
                  <c:v>-0.57799999999999996</c:v>
                </c:pt>
                <c:pt idx="1146">
                  <c:v>-0.56200000000000006</c:v>
                </c:pt>
                <c:pt idx="1147">
                  <c:v>-0.58299999999999996</c:v>
                </c:pt>
                <c:pt idx="1148">
                  <c:v>-0.53800000000000003</c:v>
                </c:pt>
                <c:pt idx="1149">
                  <c:v>-0.51700000000000002</c:v>
                </c:pt>
                <c:pt idx="1150">
                  <c:v>-0.497</c:v>
                </c:pt>
                <c:pt idx="1151">
                  <c:v>-0.45100000000000001</c:v>
                </c:pt>
                <c:pt idx="1152">
                  <c:v>-0.442</c:v>
                </c:pt>
                <c:pt idx="1153">
                  <c:v>-0.40100000000000002</c:v>
                </c:pt>
                <c:pt idx="1154">
                  <c:v>-0.39300000000000002</c:v>
                </c:pt>
                <c:pt idx="1155">
                  <c:v>-0.378</c:v>
                </c:pt>
                <c:pt idx="1156">
                  <c:v>-0.36399999999999999</c:v>
                </c:pt>
                <c:pt idx="1157">
                  <c:v>-0.38</c:v>
                </c:pt>
                <c:pt idx="1158">
                  <c:v>-0.35599999999999998</c:v>
                </c:pt>
                <c:pt idx="1159">
                  <c:v>-0.34799999999999998</c:v>
                </c:pt>
                <c:pt idx="1160">
                  <c:v>-0.32500000000000001</c:v>
                </c:pt>
                <c:pt idx="1161">
                  <c:v>-0.312</c:v>
                </c:pt>
                <c:pt idx="1162">
                  <c:v>-0.29199999999999998</c:v>
                </c:pt>
                <c:pt idx="1163">
                  <c:v>-0.246</c:v>
                </c:pt>
                <c:pt idx="1164">
                  <c:v>-0.254</c:v>
                </c:pt>
                <c:pt idx="1165">
                  <c:v>-0.21199999999999999</c:v>
                </c:pt>
                <c:pt idx="1166">
                  <c:v>-0.22800000000000001</c:v>
                </c:pt>
                <c:pt idx="1167">
                  <c:v>-0.309</c:v>
                </c:pt>
                <c:pt idx="1168">
                  <c:v>-0.35599999999999998</c:v>
                </c:pt>
                <c:pt idx="1169">
                  <c:v>-0.36799999999999999</c:v>
                </c:pt>
                <c:pt idx="1170">
                  <c:v>-0.36499999999999999</c:v>
                </c:pt>
                <c:pt idx="1171">
                  <c:v>-0.4</c:v>
                </c:pt>
                <c:pt idx="1172">
                  <c:v>-0.38700000000000001</c:v>
                </c:pt>
                <c:pt idx="1173">
                  <c:v>-0.36899999999999999</c:v>
                </c:pt>
                <c:pt idx="1174">
                  <c:v>-0.35799999999999998</c:v>
                </c:pt>
                <c:pt idx="1175">
                  <c:v>-0.32900000000000001</c:v>
                </c:pt>
                <c:pt idx="1176">
                  <c:v>-0.32200000000000001</c:v>
                </c:pt>
                <c:pt idx="1177">
                  <c:v>-0.30399999999999999</c:v>
                </c:pt>
                <c:pt idx="1178">
                  <c:v>-0.33200000000000002</c:v>
                </c:pt>
                <c:pt idx="1179">
                  <c:v>-0.308</c:v>
                </c:pt>
                <c:pt idx="1180">
                  <c:v>-0.28599999999999998</c:v>
                </c:pt>
                <c:pt idx="1181">
                  <c:v>-0.32</c:v>
                </c:pt>
                <c:pt idx="1182">
                  <c:v>-0.28899999999999998</c:v>
                </c:pt>
                <c:pt idx="1183">
                  <c:v>-0.32100000000000001</c:v>
                </c:pt>
                <c:pt idx="1184">
                  <c:v>-0.245</c:v>
                </c:pt>
                <c:pt idx="1185">
                  <c:v>-0.25600000000000001</c:v>
                </c:pt>
                <c:pt idx="1186">
                  <c:v>-0.24199999999999999</c:v>
                </c:pt>
                <c:pt idx="1187">
                  <c:v>-0.23799999999999999</c:v>
                </c:pt>
                <c:pt idx="1188">
                  <c:v>-0.23300000000000001</c:v>
                </c:pt>
                <c:pt idx="1189">
                  <c:v>-0.22</c:v>
                </c:pt>
                <c:pt idx="1190">
                  <c:v>-0.25800000000000001</c:v>
                </c:pt>
                <c:pt idx="1191">
                  <c:v>-0.24</c:v>
                </c:pt>
                <c:pt idx="1192">
                  <c:v>-0.22700000000000001</c:v>
                </c:pt>
                <c:pt idx="1193">
                  <c:v>-0.20799999999999999</c:v>
                </c:pt>
                <c:pt idx="1194">
                  <c:v>-0.20200000000000001</c:v>
                </c:pt>
                <c:pt idx="1195">
                  <c:v>-0.20399999999999999</c:v>
                </c:pt>
                <c:pt idx="1196">
                  <c:v>-0.17599999999999999</c:v>
                </c:pt>
                <c:pt idx="1197">
                  <c:v>-0.18</c:v>
                </c:pt>
                <c:pt idx="1198">
                  <c:v>-0.16200000000000001</c:v>
                </c:pt>
                <c:pt idx="1199">
                  <c:v>-0.14499999999999999</c:v>
                </c:pt>
                <c:pt idx="1200">
                  <c:v>-0.11799999999999999</c:v>
                </c:pt>
                <c:pt idx="1201">
                  <c:v>-0.121</c:v>
                </c:pt>
                <c:pt idx="1202">
                  <c:v>-8.6999999999999994E-2</c:v>
                </c:pt>
                <c:pt idx="1203">
                  <c:v>-6.4000000000000001E-2</c:v>
                </c:pt>
                <c:pt idx="1204">
                  <c:v>-8.8999999999999996E-2</c:v>
                </c:pt>
                <c:pt idx="1205">
                  <c:v>-0.105</c:v>
                </c:pt>
                <c:pt idx="1206">
                  <c:v>-9.6000000000000002E-2</c:v>
                </c:pt>
                <c:pt idx="1207">
                  <c:v>-9.9000000000000005E-2</c:v>
                </c:pt>
                <c:pt idx="1208">
                  <c:v>-7.0999999999999994E-2</c:v>
                </c:pt>
                <c:pt idx="1209">
                  <c:v>-7.0999999999999994E-2</c:v>
                </c:pt>
                <c:pt idx="1210">
                  <c:v>-4.4999999999999998E-2</c:v>
                </c:pt>
                <c:pt idx="1211">
                  <c:v>-4.8000000000000001E-2</c:v>
                </c:pt>
                <c:pt idx="1212">
                  <c:v>-4.4999999999999998E-2</c:v>
                </c:pt>
                <c:pt idx="1213">
                  <c:v>-3.9E-2</c:v>
                </c:pt>
                <c:pt idx="1214">
                  <c:v>5.0000000000000001E-3</c:v>
                </c:pt>
                <c:pt idx="1215">
                  <c:v>2.4E-2</c:v>
                </c:pt>
                <c:pt idx="1216">
                  <c:v>2.9000000000000001E-2</c:v>
                </c:pt>
                <c:pt idx="1217">
                  <c:v>1.2E-2</c:v>
                </c:pt>
                <c:pt idx="1218">
                  <c:v>1.2E-2</c:v>
                </c:pt>
                <c:pt idx="1219">
                  <c:v>2E-3</c:v>
                </c:pt>
                <c:pt idx="1220">
                  <c:v>-2.3E-2</c:v>
                </c:pt>
                <c:pt idx="1221">
                  <c:v>-0.01</c:v>
                </c:pt>
                <c:pt idx="1222">
                  <c:v>-1.4E-2</c:v>
                </c:pt>
                <c:pt idx="1223">
                  <c:v>0.04</c:v>
                </c:pt>
                <c:pt idx="1224">
                  <c:v>2.3E-2</c:v>
                </c:pt>
                <c:pt idx="1225">
                  <c:v>2.3E-2</c:v>
                </c:pt>
                <c:pt idx="1226">
                  <c:v>2.3E-2</c:v>
                </c:pt>
                <c:pt idx="1227">
                  <c:v>7.9000000000000001E-2</c:v>
                </c:pt>
                <c:pt idx="1228">
                  <c:v>6.5000000000000002E-2</c:v>
                </c:pt>
                <c:pt idx="1229">
                  <c:v>5.5E-2</c:v>
                </c:pt>
                <c:pt idx="1230">
                  <c:v>5.3999999999999999E-2</c:v>
                </c:pt>
                <c:pt idx="1231">
                  <c:v>-0.01</c:v>
                </c:pt>
                <c:pt idx="1232">
                  <c:v>-2.7E-2</c:v>
                </c:pt>
                <c:pt idx="1233">
                  <c:v>-1.0999999999999999E-2</c:v>
                </c:pt>
                <c:pt idx="1234">
                  <c:v>5.0000000000000001E-3</c:v>
                </c:pt>
                <c:pt idx="1235">
                  <c:v>4.0000000000000001E-3</c:v>
                </c:pt>
                <c:pt idx="1236">
                  <c:v>-7.0000000000000001E-3</c:v>
                </c:pt>
                <c:pt idx="1237">
                  <c:v>6.0000000000000001E-3</c:v>
                </c:pt>
                <c:pt idx="1238">
                  <c:v>-0.05</c:v>
                </c:pt>
                <c:pt idx="1239">
                  <c:v>-2.8000000000000001E-2</c:v>
                </c:pt>
                <c:pt idx="1240">
                  <c:v>-7.1999999999999995E-2</c:v>
                </c:pt>
                <c:pt idx="1241">
                  <c:v>-7.0999999999999994E-2</c:v>
                </c:pt>
                <c:pt idx="1242">
                  <c:v>-8.2000000000000003E-2</c:v>
                </c:pt>
                <c:pt idx="1243">
                  <c:v>-1.7000000000000001E-2</c:v>
                </c:pt>
                <c:pt idx="1244">
                  <c:v>-2.8000000000000001E-2</c:v>
                </c:pt>
                <c:pt idx="1245">
                  <c:v>-1.6E-2</c:v>
                </c:pt>
                <c:pt idx="1246">
                  <c:v>0.04</c:v>
                </c:pt>
                <c:pt idx="1247">
                  <c:v>8.3000000000000004E-2</c:v>
                </c:pt>
                <c:pt idx="1248">
                  <c:v>9.5000000000000001E-2</c:v>
                </c:pt>
                <c:pt idx="1249">
                  <c:v>8.2000000000000003E-2</c:v>
                </c:pt>
                <c:pt idx="1250">
                  <c:v>8.2000000000000003E-2</c:v>
                </c:pt>
                <c:pt idx="1251">
                  <c:v>8.4000000000000005E-2</c:v>
                </c:pt>
                <c:pt idx="1252">
                  <c:v>6.3E-2</c:v>
                </c:pt>
                <c:pt idx="1253">
                  <c:v>5.3999999999999999E-2</c:v>
                </c:pt>
                <c:pt idx="1254">
                  <c:v>6.7000000000000004E-2</c:v>
                </c:pt>
                <c:pt idx="1255">
                  <c:v>6.7000000000000004E-2</c:v>
                </c:pt>
                <c:pt idx="1256">
                  <c:v>6.4000000000000001E-2</c:v>
                </c:pt>
                <c:pt idx="1257">
                  <c:v>0.126</c:v>
                </c:pt>
                <c:pt idx="1258">
                  <c:v>0.16700000000000001</c:v>
                </c:pt>
                <c:pt idx="1259">
                  <c:v>0.156</c:v>
                </c:pt>
                <c:pt idx="1260">
                  <c:v>0.182</c:v>
                </c:pt>
                <c:pt idx="1261">
                  <c:v>0.182</c:v>
                </c:pt>
                <c:pt idx="1262">
                  <c:v>0.14699999999999999</c:v>
                </c:pt>
                <c:pt idx="1263">
                  <c:v>0.11700000000000001</c:v>
                </c:pt>
                <c:pt idx="1264">
                  <c:v>0.108</c:v>
                </c:pt>
                <c:pt idx="1265">
                  <c:v>9.4E-2</c:v>
                </c:pt>
                <c:pt idx="1266">
                  <c:v>0.126</c:v>
                </c:pt>
                <c:pt idx="1267">
                  <c:v>9.8000000000000004E-2</c:v>
                </c:pt>
                <c:pt idx="1268">
                  <c:v>0.104</c:v>
                </c:pt>
                <c:pt idx="1269">
                  <c:v>0.108</c:v>
                </c:pt>
                <c:pt idx="1270">
                  <c:v>0.10100000000000001</c:v>
                </c:pt>
                <c:pt idx="1271">
                  <c:v>0.10199999999999999</c:v>
                </c:pt>
                <c:pt idx="1272">
                  <c:v>0.122</c:v>
                </c:pt>
                <c:pt idx="1273">
                  <c:v>0.13100000000000001</c:v>
                </c:pt>
                <c:pt idx="1274">
                  <c:v>0.11799999999999999</c:v>
                </c:pt>
                <c:pt idx="1275">
                  <c:v>8.5999999999999993E-2</c:v>
                </c:pt>
                <c:pt idx="1276">
                  <c:v>0.114</c:v>
                </c:pt>
                <c:pt idx="1277">
                  <c:v>0.16</c:v>
                </c:pt>
                <c:pt idx="1278">
                  <c:v>0.16900000000000001</c:v>
                </c:pt>
                <c:pt idx="1279">
                  <c:v>0.17499999999999999</c:v>
                </c:pt>
                <c:pt idx="1280">
                  <c:v>0.16500000000000001</c:v>
                </c:pt>
                <c:pt idx="1281">
                  <c:v>0.14799999999999999</c:v>
                </c:pt>
                <c:pt idx="1282">
                  <c:v>0.187</c:v>
                </c:pt>
                <c:pt idx="1283">
                  <c:v>0.19900000000000001</c:v>
                </c:pt>
                <c:pt idx="1284">
                  <c:v>0.20300000000000001</c:v>
                </c:pt>
                <c:pt idx="1285">
                  <c:v>0.191</c:v>
                </c:pt>
                <c:pt idx="1286">
                  <c:v>0.17899999999999999</c:v>
                </c:pt>
                <c:pt idx="1287">
                  <c:v>0.223</c:v>
                </c:pt>
                <c:pt idx="1288">
                  <c:v>0.23400000000000001</c:v>
                </c:pt>
                <c:pt idx="1289">
                  <c:v>0.253</c:v>
                </c:pt>
                <c:pt idx="1290">
                  <c:v>0.26100000000000001</c:v>
                </c:pt>
                <c:pt idx="1291">
                  <c:v>0.24099999999999999</c:v>
                </c:pt>
                <c:pt idx="1292">
                  <c:v>0.222</c:v>
                </c:pt>
                <c:pt idx="1293">
                  <c:v>0.20399999999999999</c:v>
                </c:pt>
                <c:pt idx="1294">
                  <c:v>0.22800000000000001</c:v>
                </c:pt>
                <c:pt idx="1295">
                  <c:v>0.23699999999999999</c:v>
                </c:pt>
                <c:pt idx="1296">
                  <c:v>0.253</c:v>
                </c:pt>
                <c:pt idx="1297">
                  <c:v>0.27600000000000002</c:v>
                </c:pt>
                <c:pt idx="1298">
                  <c:v>0.22500000000000001</c:v>
                </c:pt>
                <c:pt idx="1299">
                  <c:v>0.219</c:v>
                </c:pt>
                <c:pt idx="1300">
                  <c:v>0.20599999999999999</c:v>
                </c:pt>
                <c:pt idx="1301">
                  <c:v>0.151</c:v>
                </c:pt>
                <c:pt idx="1302">
                  <c:v>0.16400000000000001</c:v>
                </c:pt>
                <c:pt idx="1303">
                  <c:v>0.23899999999999999</c:v>
                </c:pt>
                <c:pt idx="1304">
                  <c:v>0.23899999999999999</c:v>
                </c:pt>
                <c:pt idx="1305">
                  <c:v>0.23799999999999999</c:v>
                </c:pt>
                <c:pt idx="1306">
                  <c:v>0.22800000000000001</c:v>
                </c:pt>
                <c:pt idx="1307">
                  <c:v>0.247</c:v>
                </c:pt>
                <c:pt idx="1308">
                  <c:v>0.247</c:v>
                </c:pt>
                <c:pt idx="1309">
                  <c:v>0.247</c:v>
                </c:pt>
                <c:pt idx="1310">
                  <c:v>0.247</c:v>
                </c:pt>
                <c:pt idx="1311">
                  <c:v>0.22700000000000001</c:v>
                </c:pt>
                <c:pt idx="1312">
                  <c:v>0.23799999999999999</c:v>
                </c:pt>
                <c:pt idx="1313">
                  <c:v>0.24299999999999999</c:v>
                </c:pt>
                <c:pt idx="1314">
                  <c:v>0.255</c:v>
                </c:pt>
                <c:pt idx="1315">
                  <c:v>0.251</c:v>
                </c:pt>
                <c:pt idx="1316">
                  <c:v>0.28299999999999997</c:v>
                </c:pt>
                <c:pt idx="1317">
                  <c:v>0.27700000000000002</c:v>
                </c:pt>
                <c:pt idx="1318">
                  <c:v>0.23100000000000001</c:v>
                </c:pt>
                <c:pt idx="1319">
                  <c:v>0.245</c:v>
                </c:pt>
                <c:pt idx="1320">
                  <c:v>0.248</c:v>
                </c:pt>
                <c:pt idx="1321">
                  <c:v>0.23499999999999999</c:v>
                </c:pt>
                <c:pt idx="1322">
                  <c:v>0.27500000000000002</c:v>
                </c:pt>
                <c:pt idx="1323">
                  <c:v>0.26100000000000001</c:v>
                </c:pt>
                <c:pt idx="1324">
                  <c:v>0.30499999999999999</c:v>
                </c:pt>
                <c:pt idx="1325">
                  <c:v>0.312</c:v>
                </c:pt>
                <c:pt idx="1326">
                  <c:v>0.32</c:v>
                </c:pt>
                <c:pt idx="1327">
                  <c:v>0.34899999999999998</c:v>
                </c:pt>
                <c:pt idx="1328">
                  <c:v>0.34799999999999998</c:v>
                </c:pt>
                <c:pt idx="1329">
                  <c:v>0.36</c:v>
                </c:pt>
                <c:pt idx="1330">
                  <c:v>0.33900000000000002</c:v>
                </c:pt>
                <c:pt idx="1331">
                  <c:v>0.36899999999999999</c:v>
                </c:pt>
                <c:pt idx="1332">
                  <c:v>0.375</c:v>
                </c:pt>
                <c:pt idx="1333">
                  <c:v>0.34899999999999998</c:v>
                </c:pt>
                <c:pt idx="1334">
                  <c:v>0.371</c:v>
                </c:pt>
                <c:pt idx="1335">
                  <c:v>0.36599999999999999</c:v>
                </c:pt>
                <c:pt idx="1336">
                  <c:v>0.35899999999999999</c:v>
                </c:pt>
                <c:pt idx="1337">
                  <c:v>0.39700000000000002</c:v>
                </c:pt>
                <c:pt idx="1338">
                  <c:v>0.40799999999999997</c:v>
                </c:pt>
                <c:pt idx="1339">
                  <c:v>0.39700000000000002</c:v>
                </c:pt>
                <c:pt idx="1340">
                  <c:v>0.40600000000000003</c:v>
                </c:pt>
                <c:pt idx="1341">
                  <c:v>0.45600000000000002</c:v>
                </c:pt>
                <c:pt idx="1342">
                  <c:v>0.44600000000000001</c:v>
                </c:pt>
                <c:pt idx="1343">
                  <c:v>0.433</c:v>
                </c:pt>
                <c:pt idx="1344">
                  <c:v>0.42499999999999999</c:v>
                </c:pt>
                <c:pt idx="1345">
                  <c:v>0.42599999999999999</c:v>
                </c:pt>
                <c:pt idx="1346">
                  <c:v>0.39800000000000002</c:v>
                </c:pt>
                <c:pt idx="1347">
                  <c:v>0.38400000000000001</c:v>
                </c:pt>
                <c:pt idx="1348">
                  <c:v>0.36799999999999999</c:v>
                </c:pt>
                <c:pt idx="1349">
                  <c:v>0.376</c:v>
                </c:pt>
                <c:pt idx="1350">
                  <c:v>0.35099999999999998</c:v>
                </c:pt>
                <c:pt idx="1351">
                  <c:v>0.39600000000000002</c:v>
                </c:pt>
                <c:pt idx="1352">
                  <c:v>0.39500000000000002</c:v>
                </c:pt>
                <c:pt idx="1353">
                  <c:v>0.40799999999999997</c:v>
                </c:pt>
                <c:pt idx="1354">
                  <c:v>0.44700000000000001</c:v>
                </c:pt>
                <c:pt idx="1355">
                  <c:v>0.45800000000000002</c:v>
                </c:pt>
                <c:pt idx="1356">
                  <c:v>0.41499999999999998</c:v>
                </c:pt>
                <c:pt idx="1357">
                  <c:v>0.46</c:v>
                </c:pt>
                <c:pt idx="1358">
                  <c:v>0.49</c:v>
                </c:pt>
                <c:pt idx="1359">
                  <c:v>0.501</c:v>
                </c:pt>
                <c:pt idx="1360">
                  <c:v>0.497</c:v>
                </c:pt>
                <c:pt idx="1361">
                  <c:v>0.51700000000000002</c:v>
                </c:pt>
                <c:pt idx="1362">
                  <c:v>0.55100000000000005</c:v>
                </c:pt>
                <c:pt idx="1363">
                  <c:v>0.54700000000000004</c:v>
                </c:pt>
                <c:pt idx="1364">
                  <c:v>0.52800000000000002</c:v>
                </c:pt>
                <c:pt idx="1365">
                  <c:v>0.57199999999999995</c:v>
                </c:pt>
                <c:pt idx="1366">
                  <c:v>0.53</c:v>
                </c:pt>
                <c:pt idx="1367">
                  <c:v>0.47399999999999998</c:v>
                </c:pt>
                <c:pt idx="1368">
                  <c:v>0.42099999999999999</c:v>
                </c:pt>
                <c:pt idx="1369">
                  <c:v>0.47</c:v>
                </c:pt>
                <c:pt idx="1370">
                  <c:v>0.46899999999999997</c:v>
                </c:pt>
                <c:pt idx="1371">
                  <c:v>0.52800000000000002</c:v>
                </c:pt>
                <c:pt idx="1372">
                  <c:v>0.52500000000000002</c:v>
                </c:pt>
                <c:pt idx="1373">
                  <c:v>0.54200000000000004</c:v>
                </c:pt>
                <c:pt idx="1374">
                  <c:v>0.50900000000000001</c:v>
                </c:pt>
                <c:pt idx="1375">
                  <c:v>0.46</c:v>
                </c:pt>
                <c:pt idx="1376">
                  <c:v>0.47</c:v>
                </c:pt>
                <c:pt idx="1377">
                  <c:v>0.48599999999999999</c:v>
                </c:pt>
                <c:pt idx="1378">
                  <c:v>0.47899999999999998</c:v>
                </c:pt>
                <c:pt idx="1379">
                  <c:v>0.45700000000000002</c:v>
                </c:pt>
                <c:pt idx="1380">
                  <c:v>0.44900000000000001</c:v>
                </c:pt>
                <c:pt idx="1381">
                  <c:v>0.42099999999999999</c:v>
                </c:pt>
                <c:pt idx="1382">
                  <c:v>0.40899999999999997</c:v>
                </c:pt>
                <c:pt idx="1383">
                  <c:v>0.42899999999999999</c:v>
                </c:pt>
                <c:pt idx="1384">
                  <c:v>0.4</c:v>
                </c:pt>
                <c:pt idx="1385">
                  <c:v>0.38600000000000001</c:v>
                </c:pt>
                <c:pt idx="1386">
                  <c:v>0.35299999999999998</c:v>
                </c:pt>
                <c:pt idx="1387">
                  <c:v>0.379</c:v>
                </c:pt>
                <c:pt idx="1388">
                  <c:v>0.35499999999999998</c:v>
                </c:pt>
                <c:pt idx="1389">
                  <c:v>0.33200000000000002</c:v>
                </c:pt>
                <c:pt idx="1390">
                  <c:v>0.32500000000000001</c:v>
                </c:pt>
                <c:pt idx="1391">
                  <c:v>0.34399999999999997</c:v>
                </c:pt>
                <c:pt idx="1392">
                  <c:v>0.40300000000000002</c:v>
                </c:pt>
                <c:pt idx="1393">
                  <c:v>0.379</c:v>
                </c:pt>
                <c:pt idx="1394">
                  <c:v>0.375</c:v>
                </c:pt>
                <c:pt idx="1395">
                  <c:v>0.34300000000000003</c:v>
                </c:pt>
                <c:pt idx="1396">
                  <c:v>0.33800000000000002</c:v>
                </c:pt>
                <c:pt idx="1397">
                  <c:v>0.34200000000000003</c:v>
                </c:pt>
                <c:pt idx="1398">
                  <c:v>0.32900000000000001</c:v>
                </c:pt>
                <c:pt idx="1399">
                  <c:v>0.30099999999999999</c:v>
                </c:pt>
                <c:pt idx="1400">
                  <c:v>0.30399999999999999</c:v>
                </c:pt>
                <c:pt idx="1401">
                  <c:v>0.318</c:v>
                </c:pt>
                <c:pt idx="1402">
                  <c:v>0.30299999999999999</c:v>
                </c:pt>
                <c:pt idx="1403">
                  <c:v>0.32600000000000001</c:v>
                </c:pt>
                <c:pt idx="1404">
                  <c:v>0.31</c:v>
                </c:pt>
                <c:pt idx="1405">
                  <c:v>0.315</c:v>
                </c:pt>
                <c:pt idx="1406">
                  <c:v>0.373</c:v>
                </c:pt>
                <c:pt idx="1407">
                  <c:v>0.39600000000000002</c:v>
                </c:pt>
                <c:pt idx="1408">
                  <c:v>0.40600000000000003</c:v>
                </c:pt>
                <c:pt idx="1409">
                  <c:v>0.38700000000000001</c:v>
                </c:pt>
                <c:pt idx="1410">
                  <c:v>0.40600000000000003</c:v>
                </c:pt>
                <c:pt idx="1411">
                  <c:v>0.45900000000000002</c:v>
                </c:pt>
                <c:pt idx="1412">
                  <c:v>0.47499999999999998</c:v>
                </c:pt>
                <c:pt idx="1413">
                  <c:v>0.442</c:v>
                </c:pt>
                <c:pt idx="1414">
                  <c:v>0.44400000000000001</c:v>
                </c:pt>
                <c:pt idx="1415">
                  <c:v>0.40200000000000002</c:v>
                </c:pt>
                <c:pt idx="1416">
                  <c:v>0.40200000000000002</c:v>
                </c:pt>
                <c:pt idx="1417">
                  <c:v>0.39400000000000002</c:v>
                </c:pt>
                <c:pt idx="1418">
                  <c:v>0.39500000000000002</c:v>
                </c:pt>
                <c:pt idx="1419">
                  <c:v>0.40500000000000003</c:v>
                </c:pt>
                <c:pt idx="1420">
                  <c:v>0.36899999999999999</c:v>
                </c:pt>
                <c:pt idx="1421">
                  <c:v>0.32900000000000001</c:v>
                </c:pt>
                <c:pt idx="1422">
                  <c:v>0.33900000000000002</c:v>
                </c:pt>
                <c:pt idx="1423">
                  <c:v>0.34399999999999997</c:v>
                </c:pt>
                <c:pt idx="1424">
                  <c:v>0.36099999999999999</c:v>
                </c:pt>
                <c:pt idx="1425">
                  <c:v>0.33800000000000002</c:v>
                </c:pt>
                <c:pt idx="1426">
                  <c:v>0.35499999999999998</c:v>
                </c:pt>
                <c:pt idx="1427">
                  <c:v>0.36599999999999999</c:v>
                </c:pt>
                <c:pt idx="1428">
                  <c:v>0.318</c:v>
                </c:pt>
                <c:pt idx="1429">
                  <c:v>0.29799999999999999</c:v>
                </c:pt>
                <c:pt idx="1430">
                  <c:v>0.28999999999999998</c:v>
                </c:pt>
                <c:pt idx="1431">
                  <c:v>0.29699999999999999</c:v>
                </c:pt>
                <c:pt idx="1432">
                  <c:v>0.30299999999999999</c:v>
                </c:pt>
                <c:pt idx="1433">
                  <c:v>0.29199999999999998</c:v>
                </c:pt>
                <c:pt idx="1434">
                  <c:v>0.30199999999999999</c:v>
                </c:pt>
                <c:pt idx="1435">
                  <c:v>0.3</c:v>
                </c:pt>
                <c:pt idx="1436">
                  <c:v>0.317</c:v>
                </c:pt>
                <c:pt idx="1437">
                  <c:v>0.31900000000000001</c:v>
                </c:pt>
                <c:pt idx="1438">
                  <c:v>0.33900000000000002</c:v>
                </c:pt>
                <c:pt idx="1439">
                  <c:v>0.32500000000000001</c:v>
                </c:pt>
                <c:pt idx="1440">
                  <c:v>0.33500000000000002</c:v>
                </c:pt>
                <c:pt idx="1441">
                  <c:v>0.33300000000000002</c:v>
                </c:pt>
                <c:pt idx="1442">
                  <c:v>0.375</c:v>
                </c:pt>
                <c:pt idx="1443">
                  <c:v>0.37</c:v>
                </c:pt>
                <c:pt idx="1444">
                  <c:v>0.39600000000000002</c:v>
                </c:pt>
                <c:pt idx="1445">
                  <c:v>0.40100000000000002</c:v>
                </c:pt>
                <c:pt idx="1446">
                  <c:v>0.42399999999999999</c:v>
                </c:pt>
                <c:pt idx="1447">
                  <c:v>0.48</c:v>
                </c:pt>
                <c:pt idx="1448">
                  <c:v>0.48899999999999999</c:v>
                </c:pt>
                <c:pt idx="1449">
                  <c:v>0.49099999999999999</c:v>
                </c:pt>
                <c:pt idx="1450">
                  <c:v>0.44600000000000001</c:v>
                </c:pt>
                <c:pt idx="1451">
                  <c:v>0.48099999999999998</c:v>
                </c:pt>
                <c:pt idx="1452">
                  <c:v>0.46200000000000002</c:v>
                </c:pt>
                <c:pt idx="1453">
                  <c:v>0.36599999999999999</c:v>
                </c:pt>
                <c:pt idx="1454">
                  <c:v>0.41599999999999998</c:v>
                </c:pt>
                <c:pt idx="1455">
                  <c:v>0.38200000000000001</c:v>
                </c:pt>
                <c:pt idx="1456">
                  <c:v>0.33800000000000002</c:v>
                </c:pt>
                <c:pt idx="1457">
                  <c:v>0.36899999999999999</c:v>
                </c:pt>
                <c:pt idx="1458">
                  <c:v>0.25700000000000001</c:v>
                </c:pt>
                <c:pt idx="1459">
                  <c:v>0.34100000000000003</c:v>
                </c:pt>
                <c:pt idx="1460">
                  <c:v>0.40300000000000002</c:v>
                </c:pt>
                <c:pt idx="1461">
                  <c:v>0.47</c:v>
                </c:pt>
                <c:pt idx="1462">
                  <c:v>0.505</c:v>
                </c:pt>
                <c:pt idx="1463">
                  <c:v>0.55800000000000005</c:v>
                </c:pt>
                <c:pt idx="1464">
                  <c:v>0.52100000000000002</c:v>
                </c:pt>
                <c:pt idx="1465">
                  <c:v>0.57699999999999996</c:v>
                </c:pt>
                <c:pt idx="1466">
                  <c:v>0.63700000000000001</c:v>
                </c:pt>
                <c:pt idx="1467">
                  <c:v>0.60399999999999998</c:v>
                </c:pt>
                <c:pt idx="1468">
                  <c:v>0.64300000000000002</c:v>
                </c:pt>
                <c:pt idx="1469">
                  <c:v>0.60899999999999999</c:v>
                </c:pt>
                <c:pt idx="1470">
                  <c:v>0.55700000000000005</c:v>
                </c:pt>
                <c:pt idx="1471">
                  <c:v>0.55500000000000005</c:v>
                </c:pt>
                <c:pt idx="1472">
                  <c:v>0.55700000000000005</c:v>
                </c:pt>
                <c:pt idx="1473">
                  <c:v>0.56000000000000005</c:v>
                </c:pt>
                <c:pt idx="1474">
                  <c:v>0.52900000000000003</c:v>
                </c:pt>
                <c:pt idx="1475">
                  <c:v>0.54200000000000004</c:v>
                </c:pt>
                <c:pt idx="1476">
                  <c:v>0.53</c:v>
                </c:pt>
                <c:pt idx="1477">
                  <c:v>0.57899999999999996</c:v>
                </c:pt>
                <c:pt idx="1478">
                  <c:v>0.55700000000000005</c:v>
                </c:pt>
                <c:pt idx="1479">
                  <c:v>0.55700000000000005</c:v>
                </c:pt>
                <c:pt idx="1480">
                  <c:v>0.56899999999999995</c:v>
                </c:pt>
                <c:pt idx="1481">
                  <c:v>0.59099999999999997</c:v>
                </c:pt>
                <c:pt idx="1482">
                  <c:v>0.63100000000000001</c:v>
                </c:pt>
                <c:pt idx="1483">
                  <c:v>0.629</c:v>
                </c:pt>
                <c:pt idx="1484">
                  <c:v>0.63400000000000001</c:v>
                </c:pt>
                <c:pt idx="1485">
                  <c:v>0.58799999999999997</c:v>
                </c:pt>
                <c:pt idx="1486">
                  <c:v>0.59799999999999998</c:v>
                </c:pt>
                <c:pt idx="1487">
                  <c:v>0.52900000000000003</c:v>
                </c:pt>
                <c:pt idx="1488">
                  <c:v>0.505</c:v>
                </c:pt>
                <c:pt idx="1489">
                  <c:v>0.52300000000000002</c:v>
                </c:pt>
                <c:pt idx="1490">
                  <c:v>0.50900000000000001</c:v>
                </c:pt>
                <c:pt idx="1491">
                  <c:v>0.51300000000000001</c:v>
                </c:pt>
                <c:pt idx="1492">
                  <c:v>0.497</c:v>
                </c:pt>
                <c:pt idx="1493">
                  <c:v>0.51300000000000001</c:v>
                </c:pt>
                <c:pt idx="1494">
                  <c:v>0.503</c:v>
                </c:pt>
                <c:pt idx="1495">
                  <c:v>0.495</c:v>
                </c:pt>
                <c:pt idx="1496">
                  <c:v>0.52200000000000002</c:v>
                </c:pt>
                <c:pt idx="1497">
                  <c:v>0.498</c:v>
                </c:pt>
                <c:pt idx="1498">
                  <c:v>0.499</c:v>
                </c:pt>
                <c:pt idx="1499">
                  <c:v>0.49399999999999999</c:v>
                </c:pt>
                <c:pt idx="1500">
                  <c:v>0.49399999999999999</c:v>
                </c:pt>
                <c:pt idx="1501">
                  <c:v>0.49399999999999999</c:v>
                </c:pt>
                <c:pt idx="1502">
                  <c:v>0.5</c:v>
                </c:pt>
                <c:pt idx="1503">
                  <c:v>0.501</c:v>
                </c:pt>
                <c:pt idx="1504">
                  <c:v>0.52100000000000002</c:v>
                </c:pt>
                <c:pt idx="1505">
                  <c:v>0.52400000000000002</c:v>
                </c:pt>
                <c:pt idx="1506">
                  <c:v>0.52700000000000002</c:v>
                </c:pt>
                <c:pt idx="1507">
                  <c:v>0.59</c:v>
                </c:pt>
                <c:pt idx="1508">
                  <c:v>0.58199999999999996</c:v>
                </c:pt>
                <c:pt idx="1509">
                  <c:v>0.56699999999999995</c:v>
                </c:pt>
                <c:pt idx="1510">
                  <c:v>0.56799999999999995</c:v>
                </c:pt>
                <c:pt idx="1511">
                  <c:v>0.57399999999999995</c:v>
                </c:pt>
                <c:pt idx="1512">
                  <c:v>0.59</c:v>
                </c:pt>
                <c:pt idx="1513">
                  <c:v>0.61699999999999999</c:v>
                </c:pt>
                <c:pt idx="1514">
                  <c:v>0.63</c:v>
                </c:pt>
                <c:pt idx="1515">
                  <c:v>0.64400000000000002</c:v>
                </c:pt>
                <c:pt idx="1516">
                  <c:v>0.625</c:v>
                </c:pt>
                <c:pt idx="1517">
                  <c:v>0.65300000000000002</c:v>
                </c:pt>
                <c:pt idx="1518">
                  <c:v>0.67200000000000004</c:v>
                </c:pt>
                <c:pt idx="1519">
                  <c:v>0.64</c:v>
                </c:pt>
                <c:pt idx="1520">
                  <c:v>0.64800000000000002</c:v>
                </c:pt>
                <c:pt idx="1521">
                  <c:v>0.64100000000000001</c:v>
                </c:pt>
                <c:pt idx="1522">
                  <c:v>0.65300000000000002</c:v>
                </c:pt>
                <c:pt idx="1523">
                  <c:v>0.67600000000000005</c:v>
                </c:pt>
                <c:pt idx="1524">
                  <c:v>0.65</c:v>
                </c:pt>
                <c:pt idx="1525">
                  <c:v>0.65</c:v>
                </c:pt>
                <c:pt idx="1526">
                  <c:v>0.70299999999999996</c:v>
                </c:pt>
                <c:pt idx="1527">
                  <c:v>0.71899999999999997</c:v>
                </c:pt>
                <c:pt idx="1528">
                  <c:v>0.73199999999999998</c:v>
                </c:pt>
                <c:pt idx="1529">
                  <c:v>0.73199999999999998</c:v>
                </c:pt>
                <c:pt idx="1530">
                  <c:v>0.70399999999999996</c:v>
                </c:pt>
                <c:pt idx="1531">
                  <c:v>0.76100000000000001</c:v>
                </c:pt>
                <c:pt idx="1532">
                  <c:v>0.754</c:v>
                </c:pt>
                <c:pt idx="1533">
                  <c:v>0.747</c:v>
                </c:pt>
                <c:pt idx="1534">
                  <c:v>0.753</c:v>
                </c:pt>
                <c:pt idx="1535">
                  <c:v>0.74099999999999999</c:v>
                </c:pt>
                <c:pt idx="1536">
                  <c:v>0.75900000000000001</c:v>
                </c:pt>
                <c:pt idx="1537">
                  <c:v>0.74199999999999999</c:v>
                </c:pt>
                <c:pt idx="1538">
                  <c:v>0.69</c:v>
                </c:pt>
                <c:pt idx="1539">
                  <c:v>0.73299999999999998</c:v>
                </c:pt>
                <c:pt idx="1540">
                  <c:v>0.76500000000000001</c:v>
                </c:pt>
                <c:pt idx="1541">
                  <c:v>0.71799999999999997</c:v>
                </c:pt>
                <c:pt idx="1542">
                  <c:v>0.69499999999999995</c:v>
                </c:pt>
                <c:pt idx="1543">
                  <c:v>0.68</c:v>
                </c:pt>
                <c:pt idx="1544">
                  <c:v>0.69099999999999995</c:v>
                </c:pt>
                <c:pt idx="1545">
                  <c:v>0.626</c:v>
                </c:pt>
                <c:pt idx="1546">
                  <c:v>0.60899999999999999</c:v>
                </c:pt>
                <c:pt idx="1547">
                  <c:v>0.58599999999999997</c:v>
                </c:pt>
                <c:pt idx="1548">
                  <c:v>0.55900000000000005</c:v>
                </c:pt>
                <c:pt idx="1549">
                  <c:v>0.56499999999999995</c:v>
                </c:pt>
                <c:pt idx="1550">
                  <c:v>0.56599999999999995</c:v>
                </c:pt>
                <c:pt idx="1551">
                  <c:v>0.56999999999999995</c:v>
                </c:pt>
                <c:pt idx="1552">
                  <c:v>0.56000000000000005</c:v>
                </c:pt>
                <c:pt idx="1553">
                  <c:v>0.55900000000000005</c:v>
                </c:pt>
                <c:pt idx="1554">
                  <c:v>0.58399999999999996</c:v>
                </c:pt>
                <c:pt idx="1555">
                  <c:v>0.57699999999999996</c:v>
                </c:pt>
                <c:pt idx="1556">
                  <c:v>0.57899999999999996</c:v>
                </c:pt>
                <c:pt idx="1557">
                  <c:v>0.54</c:v>
                </c:pt>
                <c:pt idx="1558">
                  <c:v>0.46400000000000002</c:v>
                </c:pt>
                <c:pt idx="1559">
                  <c:v>0.42899999999999999</c:v>
                </c:pt>
                <c:pt idx="1560">
                  <c:v>0.436</c:v>
                </c:pt>
                <c:pt idx="1561">
                  <c:v>0.432</c:v>
                </c:pt>
                <c:pt idx="1562">
                  <c:v>0.438</c:v>
                </c:pt>
                <c:pt idx="1563">
                  <c:v>0.46400000000000002</c:v>
                </c:pt>
                <c:pt idx="1564">
                  <c:v>0.42299999999999999</c:v>
                </c:pt>
                <c:pt idx="1565">
                  <c:v>0.42299999999999999</c:v>
                </c:pt>
                <c:pt idx="1566">
                  <c:v>0.42</c:v>
                </c:pt>
                <c:pt idx="1567">
                  <c:v>0.379</c:v>
                </c:pt>
                <c:pt idx="1568">
                  <c:v>0.41799999999999998</c:v>
                </c:pt>
                <c:pt idx="1569">
                  <c:v>0.41799999999999998</c:v>
                </c:pt>
                <c:pt idx="1570">
                  <c:v>0.41799999999999998</c:v>
                </c:pt>
                <c:pt idx="1571">
                  <c:v>0.41499999999999998</c:v>
                </c:pt>
                <c:pt idx="1572">
                  <c:v>0.40300000000000002</c:v>
                </c:pt>
                <c:pt idx="1573">
                  <c:v>0.376</c:v>
                </c:pt>
                <c:pt idx="1574">
                  <c:v>0.307</c:v>
                </c:pt>
                <c:pt idx="1575">
                  <c:v>0.29899999999999999</c:v>
                </c:pt>
                <c:pt idx="1576">
                  <c:v>0.31</c:v>
                </c:pt>
                <c:pt idx="1577">
                  <c:v>0.312</c:v>
                </c:pt>
                <c:pt idx="1578">
                  <c:v>0.312</c:v>
                </c:pt>
                <c:pt idx="1579">
                  <c:v>0.29099999999999998</c:v>
                </c:pt>
                <c:pt idx="1580">
                  <c:v>0.30499999999999999</c:v>
                </c:pt>
                <c:pt idx="1581">
                  <c:v>0.29199999999999998</c:v>
                </c:pt>
                <c:pt idx="1582">
                  <c:v>0.29399999999999998</c:v>
                </c:pt>
                <c:pt idx="1583">
                  <c:v>0.318</c:v>
                </c:pt>
                <c:pt idx="1584">
                  <c:v>0.34200000000000003</c:v>
                </c:pt>
                <c:pt idx="1585">
                  <c:v>0.30399999999999999</c:v>
                </c:pt>
                <c:pt idx="1586">
                  <c:v>0.36599999999999999</c:v>
                </c:pt>
                <c:pt idx="1587">
                  <c:v>0.38300000000000001</c:v>
                </c:pt>
                <c:pt idx="1588">
                  <c:v>0.33800000000000002</c:v>
                </c:pt>
                <c:pt idx="1589">
                  <c:v>0.34</c:v>
                </c:pt>
                <c:pt idx="1590">
                  <c:v>0.35899999999999999</c:v>
                </c:pt>
                <c:pt idx="1591">
                  <c:v>0.34599999999999997</c:v>
                </c:pt>
                <c:pt idx="1592">
                  <c:v>0.34799999999999998</c:v>
                </c:pt>
                <c:pt idx="1593">
                  <c:v>0.34899999999999998</c:v>
                </c:pt>
                <c:pt idx="1594">
                  <c:v>0.36099999999999999</c:v>
                </c:pt>
                <c:pt idx="1595">
                  <c:v>0.35899999999999999</c:v>
                </c:pt>
                <c:pt idx="1596">
                  <c:v>0.375</c:v>
                </c:pt>
                <c:pt idx="1597">
                  <c:v>0.375</c:v>
                </c:pt>
                <c:pt idx="1598">
                  <c:v>0.39600000000000002</c:v>
                </c:pt>
                <c:pt idx="1599">
                  <c:v>0.41499999999999998</c:v>
                </c:pt>
                <c:pt idx="1600">
                  <c:v>0.40899999999999997</c:v>
                </c:pt>
                <c:pt idx="1601">
                  <c:v>0.374</c:v>
                </c:pt>
                <c:pt idx="1602">
                  <c:v>0.32500000000000001</c:v>
                </c:pt>
                <c:pt idx="1603">
                  <c:v>0.32600000000000001</c:v>
                </c:pt>
                <c:pt idx="1604">
                  <c:v>0.33400000000000002</c:v>
                </c:pt>
                <c:pt idx="1605">
                  <c:v>0.36199999999999999</c:v>
                </c:pt>
                <c:pt idx="1606">
                  <c:v>0.371</c:v>
                </c:pt>
                <c:pt idx="1607">
                  <c:v>0.371</c:v>
                </c:pt>
                <c:pt idx="1608">
                  <c:v>0.36199999999999999</c:v>
                </c:pt>
                <c:pt idx="1609">
                  <c:v>0.36499999999999999</c:v>
                </c:pt>
                <c:pt idx="1610">
                  <c:v>0.38200000000000001</c:v>
                </c:pt>
                <c:pt idx="1611">
                  <c:v>0.41399999999999998</c:v>
                </c:pt>
                <c:pt idx="1612">
                  <c:v>0.48</c:v>
                </c:pt>
                <c:pt idx="1613">
                  <c:v>0.47399999999999998</c:v>
                </c:pt>
                <c:pt idx="1614">
                  <c:v>0.43</c:v>
                </c:pt>
                <c:pt idx="1615">
                  <c:v>0.45100000000000001</c:v>
                </c:pt>
                <c:pt idx="1616">
                  <c:v>0.39400000000000002</c:v>
                </c:pt>
                <c:pt idx="1617">
                  <c:v>0.39500000000000002</c:v>
                </c:pt>
                <c:pt idx="1618">
                  <c:v>0.36299999999999999</c:v>
                </c:pt>
                <c:pt idx="1619">
                  <c:v>0.37</c:v>
                </c:pt>
                <c:pt idx="1620">
                  <c:v>0.40200000000000002</c:v>
                </c:pt>
                <c:pt idx="1621">
                  <c:v>0.443</c:v>
                </c:pt>
                <c:pt idx="1622">
                  <c:v>0.46100000000000002</c:v>
                </c:pt>
                <c:pt idx="1623">
                  <c:v>0.44</c:v>
                </c:pt>
                <c:pt idx="1624">
                  <c:v>0.442</c:v>
                </c:pt>
                <c:pt idx="1625">
                  <c:v>0.45800000000000002</c:v>
                </c:pt>
                <c:pt idx="1626">
                  <c:v>0.45400000000000001</c:v>
                </c:pt>
                <c:pt idx="1627">
                  <c:v>0.45200000000000001</c:v>
                </c:pt>
                <c:pt idx="1628">
                  <c:v>0.46</c:v>
                </c:pt>
                <c:pt idx="1629">
                  <c:v>0.44900000000000001</c:v>
                </c:pt>
                <c:pt idx="1630">
                  <c:v>0.46200000000000002</c:v>
                </c:pt>
                <c:pt idx="1631">
                  <c:v>0.47699999999999998</c:v>
                </c:pt>
                <c:pt idx="1632">
                  <c:v>0.46600000000000003</c:v>
                </c:pt>
                <c:pt idx="1633">
                  <c:v>0.40600000000000003</c:v>
                </c:pt>
                <c:pt idx="1634">
                  <c:v>0.39900000000000002</c:v>
                </c:pt>
                <c:pt idx="1635">
                  <c:v>0.44500000000000001</c:v>
                </c:pt>
                <c:pt idx="1636">
                  <c:v>0.45300000000000001</c:v>
                </c:pt>
                <c:pt idx="1637">
                  <c:v>0.441</c:v>
                </c:pt>
                <c:pt idx="1638">
                  <c:v>0.45</c:v>
                </c:pt>
                <c:pt idx="1639">
                  <c:v>0.45300000000000001</c:v>
                </c:pt>
                <c:pt idx="1640">
                  <c:v>0.43</c:v>
                </c:pt>
                <c:pt idx="1641">
                  <c:v>0.41099999999999998</c:v>
                </c:pt>
                <c:pt idx="1642">
                  <c:v>0.39900000000000002</c:v>
                </c:pt>
                <c:pt idx="1643">
                  <c:v>0.39900000000000002</c:v>
                </c:pt>
                <c:pt idx="1644">
                  <c:v>0.33400000000000002</c:v>
                </c:pt>
                <c:pt idx="1645">
                  <c:v>0.31</c:v>
                </c:pt>
                <c:pt idx="1646">
                  <c:v>0.30399999999999999</c:v>
                </c:pt>
                <c:pt idx="1647">
                  <c:v>0.34499999999999997</c:v>
                </c:pt>
                <c:pt idx="1648">
                  <c:v>0.33600000000000002</c:v>
                </c:pt>
                <c:pt idx="1649">
                  <c:v>0.36399999999999999</c:v>
                </c:pt>
                <c:pt idx="1650">
                  <c:v>0.376</c:v>
                </c:pt>
                <c:pt idx="1651">
                  <c:v>0.36</c:v>
                </c:pt>
                <c:pt idx="1652">
                  <c:v>0.35699999999999998</c:v>
                </c:pt>
                <c:pt idx="1653">
                  <c:v>0.34</c:v>
                </c:pt>
                <c:pt idx="1654">
                  <c:v>0.374</c:v>
                </c:pt>
                <c:pt idx="1655">
                  <c:v>0.378</c:v>
                </c:pt>
                <c:pt idx="1656">
                  <c:v>0.374</c:v>
                </c:pt>
                <c:pt idx="1657">
                  <c:v>0.376</c:v>
                </c:pt>
                <c:pt idx="1658">
                  <c:v>0.39800000000000002</c:v>
                </c:pt>
                <c:pt idx="1659">
                  <c:v>0.39800000000000002</c:v>
                </c:pt>
                <c:pt idx="1660">
                  <c:v>0.41299999999999998</c:v>
                </c:pt>
                <c:pt idx="1661">
                  <c:v>0.42199999999999999</c:v>
                </c:pt>
                <c:pt idx="1662">
                  <c:v>0.442</c:v>
                </c:pt>
                <c:pt idx="1663">
                  <c:v>0.43</c:v>
                </c:pt>
                <c:pt idx="1664">
                  <c:v>0.40400000000000003</c:v>
                </c:pt>
                <c:pt idx="1665">
                  <c:v>0.38</c:v>
                </c:pt>
                <c:pt idx="1666">
                  <c:v>0.41199999999999998</c:v>
                </c:pt>
                <c:pt idx="1667">
                  <c:v>0.42399999999999999</c:v>
                </c:pt>
                <c:pt idx="1668">
                  <c:v>0.47199999999999998</c:v>
                </c:pt>
                <c:pt idx="1669">
                  <c:v>0.45600000000000002</c:v>
                </c:pt>
                <c:pt idx="1670">
                  <c:v>0.46600000000000003</c:v>
                </c:pt>
                <c:pt idx="1671">
                  <c:v>0.45</c:v>
                </c:pt>
                <c:pt idx="1672">
                  <c:v>0.48299999999999998</c:v>
                </c:pt>
                <c:pt idx="1673">
                  <c:v>0.48799999999999999</c:v>
                </c:pt>
                <c:pt idx="1674">
                  <c:v>0.54100000000000004</c:v>
                </c:pt>
                <c:pt idx="1675">
                  <c:v>0.54</c:v>
                </c:pt>
                <c:pt idx="1676">
                  <c:v>0.53400000000000003</c:v>
                </c:pt>
                <c:pt idx="1677">
                  <c:v>0.55800000000000005</c:v>
                </c:pt>
                <c:pt idx="1678">
                  <c:v>0.56399999999999995</c:v>
                </c:pt>
                <c:pt idx="1679">
                  <c:v>0.50600000000000001</c:v>
                </c:pt>
                <c:pt idx="1680">
                  <c:v>0.505</c:v>
                </c:pt>
                <c:pt idx="1681">
                  <c:v>0.52800000000000002</c:v>
                </c:pt>
                <c:pt idx="1682">
                  <c:v>0.54</c:v>
                </c:pt>
                <c:pt idx="1683">
                  <c:v>0.55100000000000005</c:v>
                </c:pt>
                <c:pt idx="1684">
                  <c:v>0.57799999999999996</c:v>
                </c:pt>
                <c:pt idx="1685">
                  <c:v>0.59199999999999997</c:v>
                </c:pt>
                <c:pt idx="1686">
                  <c:v>0.6</c:v>
                </c:pt>
                <c:pt idx="1687">
                  <c:v>0.57599999999999996</c:v>
                </c:pt>
                <c:pt idx="1688">
                  <c:v>0.54800000000000004</c:v>
                </c:pt>
                <c:pt idx="1689">
                  <c:v>0.53900000000000003</c:v>
                </c:pt>
                <c:pt idx="1690">
                  <c:v>0.57099999999999995</c:v>
                </c:pt>
                <c:pt idx="1691">
                  <c:v>0.56000000000000005</c:v>
                </c:pt>
                <c:pt idx="1692">
                  <c:v>0.46800000000000003</c:v>
                </c:pt>
                <c:pt idx="1693">
                  <c:v>0.47399999999999998</c:v>
                </c:pt>
                <c:pt idx="1694">
                  <c:v>0.47499999999999998</c:v>
                </c:pt>
                <c:pt idx="1695">
                  <c:v>0.46500000000000002</c:v>
                </c:pt>
                <c:pt idx="1696">
                  <c:v>0.45</c:v>
                </c:pt>
                <c:pt idx="1697">
                  <c:v>0.36699999999999999</c:v>
                </c:pt>
                <c:pt idx="1698">
                  <c:v>0.36799999999999999</c:v>
                </c:pt>
                <c:pt idx="1699">
                  <c:v>0.24299999999999999</c:v>
                </c:pt>
                <c:pt idx="1700">
                  <c:v>0.253</c:v>
                </c:pt>
                <c:pt idx="1701">
                  <c:v>0.25</c:v>
                </c:pt>
                <c:pt idx="1702">
                  <c:v>0.26400000000000001</c:v>
                </c:pt>
                <c:pt idx="1703">
                  <c:v>0.26</c:v>
                </c:pt>
                <c:pt idx="1704">
                  <c:v>0.27900000000000003</c:v>
                </c:pt>
                <c:pt idx="1705">
                  <c:v>0.27500000000000002</c:v>
                </c:pt>
                <c:pt idx="1706">
                  <c:v>0.28100000000000003</c:v>
                </c:pt>
                <c:pt idx="1707">
                  <c:v>0.22500000000000001</c:v>
                </c:pt>
                <c:pt idx="1708">
                  <c:v>0.26500000000000001</c:v>
                </c:pt>
                <c:pt idx="1709">
                  <c:v>0.247</c:v>
                </c:pt>
                <c:pt idx="1710">
                  <c:v>0.26100000000000001</c:v>
                </c:pt>
                <c:pt idx="1711">
                  <c:v>0.254</c:v>
                </c:pt>
                <c:pt idx="1712">
                  <c:v>0.26700000000000002</c:v>
                </c:pt>
                <c:pt idx="1713">
                  <c:v>0.25</c:v>
                </c:pt>
                <c:pt idx="1714">
                  <c:v>0.28499999999999998</c:v>
                </c:pt>
                <c:pt idx="1715">
                  <c:v>0.27200000000000002</c:v>
                </c:pt>
                <c:pt idx="1716">
                  <c:v>0.30299999999999999</c:v>
                </c:pt>
                <c:pt idx="1717">
                  <c:v>0.30199999999999999</c:v>
                </c:pt>
                <c:pt idx="1718">
                  <c:v>0.28999999999999998</c:v>
                </c:pt>
                <c:pt idx="1719">
                  <c:v>0.29399999999999998</c:v>
                </c:pt>
                <c:pt idx="1720">
                  <c:v>0.32800000000000001</c:v>
                </c:pt>
                <c:pt idx="1721">
                  <c:v>0.36</c:v>
                </c:pt>
                <c:pt idx="1722">
                  <c:v>0.40100000000000002</c:v>
                </c:pt>
                <c:pt idx="1723">
                  <c:v>0.40799999999999997</c:v>
                </c:pt>
                <c:pt idx="1724">
                  <c:v>0.39500000000000002</c:v>
                </c:pt>
                <c:pt idx="1725">
                  <c:v>0.36599999999999999</c:v>
                </c:pt>
                <c:pt idx="1726">
                  <c:v>0.34200000000000003</c:v>
                </c:pt>
                <c:pt idx="1727">
                  <c:v>0.376</c:v>
                </c:pt>
                <c:pt idx="1728">
                  <c:v>0.433</c:v>
                </c:pt>
                <c:pt idx="1729">
                  <c:v>0.41799999999999998</c:v>
                </c:pt>
                <c:pt idx="1730">
                  <c:v>0.38900000000000001</c:v>
                </c:pt>
                <c:pt idx="1731">
                  <c:v>0.43</c:v>
                </c:pt>
                <c:pt idx="1732">
                  <c:v>0.41899999999999998</c:v>
                </c:pt>
                <c:pt idx="1733">
                  <c:v>0.42799999999999999</c:v>
                </c:pt>
                <c:pt idx="1734">
                  <c:v>0.41599999999999998</c:v>
                </c:pt>
                <c:pt idx="1735">
                  <c:v>0.41599999999999998</c:v>
                </c:pt>
                <c:pt idx="1736">
                  <c:v>0.39200000000000002</c:v>
                </c:pt>
                <c:pt idx="1737">
                  <c:v>0.32400000000000001</c:v>
                </c:pt>
                <c:pt idx="1738">
                  <c:v>0.32600000000000001</c:v>
                </c:pt>
                <c:pt idx="1739">
                  <c:v>0.315</c:v>
                </c:pt>
                <c:pt idx="1740">
                  <c:v>0.315</c:v>
                </c:pt>
                <c:pt idx="1741">
                  <c:v>0.29399999999999998</c:v>
                </c:pt>
                <c:pt idx="1742">
                  <c:v>0.35</c:v>
                </c:pt>
                <c:pt idx="1743">
                  <c:v>0.376</c:v>
                </c:pt>
                <c:pt idx="1744">
                  <c:v>0.32700000000000001</c:v>
                </c:pt>
                <c:pt idx="1745">
                  <c:v>0.251</c:v>
                </c:pt>
                <c:pt idx="1746">
                  <c:v>0.24199999999999999</c:v>
                </c:pt>
                <c:pt idx="1747">
                  <c:v>0.20100000000000001</c:v>
                </c:pt>
                <c:pt idx="1748">
                  <c:v>0.155</c:v>
                </c:pt>
                <c:pt idx="1749">
                  <c:v>0.186</c:v>
                </c:pt>
                <c:pt idx="1750">
                  <c:v>0.186</c:v>
                </c:pt>
                <c:pt idx="1751">
                  <c:v>0.186</c:v>
                </c:pt>
                <c:pt idx="1752">
                  <c:v>0.19600000000000001</c:v>
                </c:pt>
                <c:pt idx="1753">
                  <c:v>0.20300000000000001</c:v>
                </c:pt>
                <c:pt idx="1754">
                  <c:v>0.20399999999999999</c:v>
                </c:pt>
                <c:pt idx="1755">
                  <c:v>0.22600000000000001</c:v>
                </c:pt>
                <c:pt idx="1756">
                  <c:v>0.26100000000000001</c:v>
                </c:pt>
                <c:pt idx="1757">
                  <c:v>0.25600000000000001</c:v>
                </c:pt>
                <c:pt idx="1758">
                  <c:v>0.25600000000000001</c:v>
                </c:pt>
                <c:pt idx="1759">
                  <c:v>0.27500000000000002</c:v>
                </c:pt>
                <c:pt idx="1760">
                  <c:v>0.32500000000000001</c:v>
                </c:pt>
                <c:pt idx="1761">
                  <c:v>0.33</c:v>
                </c:pt>
                <c:pt idx="1762">
                  <c:v>0.34200000000000003</c:v>
                </c:pt>
                <c:pt idx="1763">
                  <c:v>0.38600000000000001</c:v>
                </c:pt>
                <c:pt idx="1764">
                  <c:v>0.39900000000000002</c:v>
                </c:pt>
                <c:pt idx="1765">
                  <c:v>0.40100000000000002</c:v>
                </c:pt>
                <c:pt idx="1766">
                  <c:v>0.42899999999999999</c:v>
                </c:pt>
                <c:pt idx="1767">
                  <c:v>0.40600000000000003</c:v>
                </c:pt>
                <c:pt idx="1768">
                  <c:v>0.45700000000000002</c:v>
                </c:pt>
                <c:pt idx="1769">
                  <c:v>0.438</c:v>
                </c:pt>
                <c:pt idx="1770">
                  <c:v>0.432</c:v>
                </c:pt>
                <c:pt idx="1771">
                  <c:v>0.44500000000000001</c:v>
                </c:pt>
                <c:pt idx="1772">
                  <c:v>0.41199999999999998</c:v>
                </c:pt>
                <c:pt idx="1773">
                  <c:v>0.443</c:v>
                </c:pt>
                <c:pt idx="1774">
                  <c:v>0.46899999999999997</c:v>
                </c:pt>
                <c:pt idx="1775">
                  <c:v>0.48099999999999998</c:v>
                </c:pt>
                <c:pt idx="1776">
                  <c:v>0.42299999999999999</c:v>
                </c:pt>
                <c:pt idx="1777">
                  <c:v>0.36699999999999999</c:v>
                </c:pt>
                <c:pt idx="1778">
                  <c:v>0.317</c:v>
                </c:pt>
                <c:pt idx="1779">
                  <c:v>0.33800000000000002</c:v>
                </c:pt>
                <c:pt idx="1780">
                  <c:v>0.35299999999999998</c:v>
                </c:pt>
                <c:pt idx="1781">
                  <c:v>0.315</c:v>
                </c:pt>
                <c:pt idx="1782">
                  <c:v>0.28000000000000003</c:v>
                </c:pt>
                <c:pt idx="1783">
                  <c:v>0.20599999999999999</c:v>
                </c:pt>
                <c:pt idx="1784">
                  <c:v>0.19700000000000001</c:v>
                </c:pt>
                <c:pt idx="1785">
                  <c:v>0.184</c:v>
                </c:pt>
                <c:pt idx="1786">
                  <c:v>0.23</c:v>
                </c:pt>
                <c:pt idx="1787">
                  <c:v>0.27700000000000002</c:v>
                </c:pt>
                <c:pt idx="1788">
                  <c:v>0.29799999999999999</c:v>
                </c:pt>
                <c:pt idx="1789">
                  <c:v>0.29499999999999998</c:v>
                </c:pt>
                <c:pt idx="1790">
                  <c:v>0.3</c:v>
                </c:pt>
                <c:pt idx="1791">
                  <c:v>0.34699999999999998</c:v>
                </c:pt>
                <c:pt idx="1792">
                  <c:v>0.372</c:v>
                </c:pt>
                <c:pt idx="1793">
                  <c:v>0.36399999999999999</c:v>
                </c:pt>
                <c:pt idx="1794">
                  <c:v>0.33</c:v>
                </c:pt>
                <c:pt idx="1795">
                  <c:v>0.318</c:v>
                </c:pt>
                <c:pt idx="1796">
                  <c:v>0.31</c:v>
                </c:pt>
                <c:pt idx="1797">
                  <c:v>0.29399999999999998</c:v>
                </c:pt>
                <c:pt idx="1798">
                  <c:v>0.34799999999999998</c:v>
                </c:pt>
                <c:pt idx="1799">
                  <c:v>0.36799999999999999</c:v>
                </c:pt>
                <c:pt idx="1800">
                  <c:v>0.41</c:v>
                </c:pt>
                <c:pt idx="1801">
                  <c:v>0.42399999999999999</c:v>
                </c:pt>
                <c:pt idx="1802">
                  <c:v>0.46600000000000003</c:v>
                </c:pt>
                <c:pt idx="1803">
                  <c:v>0.434</c:v>
                </c:pt>
                <c:pt idx="1804">
                  <c:v>0.44700000000000001</c:v>
                </c:pt>
                <c:pt idx="1805">
                  <c:v>0.46</c:v>
                </c:pt>
                <c:pt idx="1806">
                  <c:v>0.48199999999999998</c:v>
                </c:pt>
                <c:pt idx="1807">
                  <c:v>0.46300000000000002</c:v>
                </c:pt>
                <c:pt idx="1808">
                  <c:v>0.40600000000000003</c:v>
                </c:pt>
                <c:pt idx="1809">
                  <c:v>0.36099999999999999</c:v>
                </c:pt>
                <c:pt idx="1810">
                  <c:v>0.42</c:v>
                </c:pt>
                <c:pt idx="1811">
                  <c:v>0.378</c:v>
                </c:pt>
                <c:pt idx="1812">
                  <c:v>0.35299999999999998</c:v>
                </c:pt>
                <c:pt idx="1813">
                  <c:v>0.32</c:v>
                </c:pt>
                <c:pt idx="1814">
                  <c:v>0.32100000000000001</c:v>
                </c:pt>
                <c:pt idx="1815">
                  <c:v>0.33600000000000002</c:v>
                </c:pt>
                <c:pt idx="1816">
                  <c:v>0.312</c:v>
                </c:pt>
                <c:pt idx="1817">
                  <c:v>0.32400000000000001</c:v>
                </c:pt>
                <c:pt idx="1818">
                  <c:v>0.28299999999999997</c:v>
                </c:pt>
                <c:pt idx="1819">
                  <c:v>0.27500000000000002</c:v>
                </c:pt>
                <c:pt idx="1820">
                  <c:v>0.29599999999999999</c:v>
                </c:pt>
                <c:pt idx="1821">
                  <c:v>0.24</c:v>
                </c:pt>
                <c:pt idx="1822">
                  <c:v>0.27300000000000002</c:v>
                </c:pt>
                <c:pt idx="1823">
                  <c:v>0.26100000000000001</c:v>
                </c:pt>
                <c:pt idx="1824">
                  <c:v>0.185</c:v>
                </c:pt>
                <c:pt idx="1825">
                  <c:v>0.20399999999999999</c:v>
                </c:pt>
                <c:pt idx="1826">
                  <c:v>0.17100000000000001</c:v>
                </c:pt>
                <c:pt idx="1827">
                  <c:v>0.191</c:v>
                </c:pt>
                <c:pt idx="1828">
                  <c:v>0.20300000000000001</c:v>
                </c:pt>
                <c:pt idx="1829">
                  <c:v>0.218</c:v>
                </c:pt>
                <c:pt idx="1830">
                  <c:v>0.218</c:v>
                </c:pt>
                <c:pt idx="1831">
                  <c:v>0.25700000000000001</c:v>
                </c:pt>
                <c:pt idx="1832">
                  <c:v>0.24299999999999999</c:v>
                </c:pt>
                <c:pt idx="1833">
                  <c:v>0.26500000000000001</c:v>
                </c:pt>
                <c:pt idx="1834">
                  <c:v>0.24399999999999999</c:v>
                </c:pt>
                <c:pt idx="1835">
                  <c:v>0.312</c:v>
                </c:pt>
                <c:pt idx="1836">
                  <c:v>0.36199999999999999</c:v>
                </c:pt>
                <c:pt idx="1837">
                  <c:v>0.29799999999999999</c:v>
                </c:pt>
                <c:pt idx="1838">
                  <c:v>0.35599999999999998</c:v>
                </c:pt>
                <c:pt idx="1839">
                  <c:v>0.39600000000000002</c:v>
                </c:pt>
                <c:pt idx="1840">
                  <c:v>0.36199999999999999</c:v>
                </c:pt>
                <c:pt idx="1841">
                  <c:v>0.38</c:v>
                </c:pt>
                <c:pt idx="1842">
                  <c:v>0.34300000000000003</c:v>
                </c:pt>
                <c:pt idx="1843">
                  <c:v>0.37</c:v>
                </c:pt>
                <c:pt idx="1844">
                  <c:v>0.33</c:v>
                </c:pt>
                <c:pt idx="1845">
                  <c:v>0.27900000000000003</c:v>
                </c:pt>
                <c:pt idx="1846">
                  <c:v>0.36599999999999999</c:v>
                </c:pt>
                <c:pt idx="1847">
                  <c:v>0.27300000000000002</c:v>
                </c:pt>
                <c:pt idx="1848">
                  <c:v>0.219</c:v>
                </c:pt>
                <c:pt idx="1849">
                  <c:v>0.20300000000000001</c:v>
                </c:pt>
                <c:pt idx="1850">
                  <c:v>0.23799999999999999</c:v>
                </c:pt>
                <c:pt idx="1851">
                  <c:v>0.25700000000000001</c:v>
                </c:pt>
                <c:pt idx="1852">
                  <c:v>0.26100000000000001</c:v>
                </c:pt>
                <c:pt idx="1853">
                  <c:v>0.218</c:v>
                </c:pt>
                <c:pt idx="1854">
                  <c:v>0.27200000000000002</c:v>
                </c:pt>
                <c:pt idx="1855">
                  <c:v>0.27</c:v>
                </c:pt>
                <c:pt idx="1856">
                  <c:v>0.27700000000000002</c:v>
                </c:pt>
                <c:pt idx="1857">
                  <c:v>0.29599999999999999</c:v>
                </c:pt>
                <c:pt idx="1858">
                  <c:v>0.30599999999999999</c:v>
                </c:pt>
                <c:pt idx="1859">
                  <c:v>0.317</c:v>
                </c:pt>
                <c:pt idx="1860">
                  <c:v>0.307</c:v>
                </c:pt>
                <c:pt idx="1861">
                  <c:v>0.27200000000000002</c:v>
                </c:pt>
                <c:pt idx="1862">
                  <c:v>0.20200000000000001</c:v>
                </c:pt>
                <c:pt idx="1863">
                  <c:v>0.186</c:v>
                </c:pt>
                <c:pt idx="1864">
                  <c:v>0.152</c:v>
                </c:pt>
                <c:pt idx="1865">
                  <c:v>0.13300000000000001</c:v>
                </c:pt>
                <c:pt idx="1866">
                  <c:v>0.157</c:v>
                </c:pt>
                <c:pt idx="1867">
                  <c:v>0.129</c:v>
                </c:pt>
                <c:pt idx="1868">
                  <c:v>0.17699999999999999</c:v>
                </c:pt>
                <c:pt idx="1869">
                  <c:v>0.161</c:v>
                </c:pt>
                <c:pt idx="1870">
                  <c:v>0.16600000000000001</c:v>
                </c:pt>
                <c:pt idx="1871">
                  <c:v>0.16900000000000001</c:v>
                </c:pt>
                <c:pt idx="1872">
                  <c:v>8.4000000000000005E-2</c:v>
                </c:pt>
                <c:pt idx="1873">
                  <c:v>2.9000000000000001E-2</c:v>
                </c:pt>
                <c:pt idx="1874">
                  <c:v>2.1999999999999999E-2</c:v>
                </c:pt>
                <c:pt idx="1875">
                  <c:v>5.0000000000000001E-3</c:v>
                </c:pt>
                <c:pt idx="1876">
                  <c:v>2E-3</c:v>
                </c:pt>
                <c:pt idx="1877">
                  <c:v>2.8000000000000001E-2</c:v>
                </c:pt>
                <c:pt idx="1878">
                  <c:v>3.4000000000000002E-2</c:v>
                </c:pt>
                <c:pt idx="1879">
                  <c:v>5.2999999999999999E-2</c:v>
                </c:pt>
                <c:pt idx="1880">
                  <c:v>5.6000000000000001E-2</c:v>
                </c:pt>
                <c:pt idx="1881">
                  <c:v>3.6999999999999998E-2</c:v>
                </c:pt>
                <c:pt idx="1882">
                  <c:v>6.5000000000000002E-2</c:v>
                </c:pt>
                <c:pt idx="1883">
                  <c:v>2.4E-2</c:v>
                </c:pt>
                <c:pt idx="1884">
                  <c:v>5.3999999999999999E-2</c:v>
                </c:pt>
                <c:pt idx="1885">
                  <c:v>1.7999999999999999E-2</c:v>
                </c:pt>
                <c:pt idx="1886">
                  <c:v>-0.02</c:v>
                </c:pt>
                <c:pt idx="1887">
                  <c:v>-6.0000000000000001E-3</c:v>
                </c:pt>
                <c:pt idx="1888">
                  <c:v>-5.6000000000000001E-2</c:v>
                </c:pt>
                <c:pt idx="1889">
                  <c:v>-9.4E-2</c:v>
                </c:pt>
                <c:pt idx="1890">
                  <c:v>-0.122</c:v>
                </c:pt>
                <c:pt idx="1891">
                  <c:v>-0.11899999999999999</c:v>
                </c:pt>
                <c:pt idx="1892">
                  <c:v>-0.14699999999999999</c:v>
                </c:pt>
                <c:pt idx="1893">
                  <c:v>-0.14099999999999999</c:v>
                </c:pt>
                <c:pt idx="1894">
                  <c:v>-0.11799999999999999</c:v>
                </c:pt>
                <c:pt idx="1895">
                  <c:v>-8.3000000000000004E-2</c:v>
                </c:pt>
                <c:pt idx="1896">
                  <c:v>-9.8000000000000004E-2</c:v>
                </c:pt>
                <c:pt idx="1897">
                  <c:v>1E-3</c:v>
                </c:pt>
                <c:pt idx="1898">
                  <c:v>-1.9E-2</c:v>
                </c:pt>
                <c:pt idx="1899">
                  <c:v>1.4999999999999999E-2</c:v>
                </c:pt>
                <c:pt idx="1900">
                  <c:v>6.0000000000000001E-3</c:v>
                </c:pt>
                <c:pt idx="1901">
                  <c:v>0.03</c:v>
                </c:pt>
                <c:pt idx="1902">
                  <c:v>0.02</c:v>
                </c:pt>
                <c:pt idx="1903">
                  <c:v>6.9000000000000006E-2</c:v>
                </c:pt>
                <c:pt idx="1904">
                  <c:v>3.6999999999999998E-2</c:v>
                </c:pt>
                <c:pt idx="1905">
                  <c:v>8.9999999999999993E-3</c:v>
                </c:pt>
                <c:pt idx="1906">
                  <c:v>-6.3E-2</c:v>
                </c:pt>
                <c:pt idx="1907">
                  <c:v>-0.11799999999999999</c:v>
                </c:pt>
                <c:pt idx="1908">
                  <c:v>-0.112</c:v>
                </c:pt>
                <c:pt idx="1909">
                  <c:v>-4.9000000000000002E-2</c:v>
                </c:pt>
                <c:pt idx="1910">
                  <c:v>-4.4999999999999998E-2</c:v>
                </c:pt>
                <c:pt idx="1911">
                  <c:v>-6.8000000000000005E-2</c:v>
                </c:pt>
                <c:pt idx="1912">
                  <c:v>-6.6000000000000003E-2</c:v>
                </c:pt>
                <c:pt idx="1913">
                  <c:v>-9.2999999999999999E-2</c:v>
                </c:pt>
                <c:pt idx="1914">
                  <c:v>-8.5000000000000006E-2</c:v>
                </c:pt>
                <c:pt idx="1915">
                  <c:v>-7.2999999999999995E-2</c:v>
                </c:pt>
                <c:pt idx="1916">
                  <c:v>-7.1999999999999995E-2</c:v>
                </c:pt>
                <c:pt idx="1917">
                  <c:v>-9.0999999999999998E-2</c:v>
                </c:pt>
                <c:pt idx="1918">
                  <c:v>-9.7000000000000003E-2</c:v>
                </c:pt>
                <c:pt idx="1919">
                  <c:v>-9.0999999999999998E-2</c:v>
                </c:pt>
                <c:pt idx="1920">
                  <c:v>-3.4000000000000002E-2</c:v>
                </c:pt>
                <c:pt idx="1921">
                  <c:v>-8.3000000000000004E-2</c:v>
                </c:pt>
                <c:pt idx="1922">
                  <c:v>-5.0999999999999997E-2</c:v>
                </c:pt>
                <c:pt idx="1923">
                  <c:v>-3.1E-2</c:v>
                </c:pt>
                <c:pt idx="1924">
                  <c:v>-7.5999999999999998E-2</c:v>
                </c:pt>
                <c:pt idx="1925">
                  <c:v>-0.11</c:v>
                </c:pt>
                <c:pt idx="1926">
                  <c:v>-9.4E-2</c:v>
                </c:pt>
                <c:pt idx="1927">
                  <c:v>-0.11</c:v>
                </c:pt>
                <c:pt idx="1928">
                  <c:v>-7.8E-2</c:v>
                </c:pt>
                <c:pt idx="1929">
                  <c:v>-6.7000000000000004E-2</c:v>
                </c:pt>
                <c:pt idx="1930">
                  <c:v>-6.8000000000000005E-2</c:v>
                </c:pt>
                <c:pt idx="1931">
                  <c:v>-9.7000000000000003E-2</c:v>
                </c:pt>
                <c:pt idx="1932">
                  <c:v>-3.9E-2</c:v>
                </c:pt>
                <c:pt idx="1933">
                  <c:v>-3.7999999999999999E-2</c:v>
                </c:pt>
                <c:pt idx="1934">
                  <c:v>-0.1</c:v>
                </c:pt>
                <c:pt idx="1935">
                  <c:v>-0.121</c:v>
                </c:pt>
                <c:pt idx="1936">
                  <c:v>-9.0999999999999998E-2</c:v>
                </c:pt>
                <c:pt idx="1937">
                  <c:v>-8.1000000000000003E-2</c:v>
                </c:pt>
                <c:pt idx="1938">
                  <c:v>-2.9000000000000001E-2</c:v>
                </c:pt>
                <c:pt idx="1939">
                  <c:v>-4.2999999999999997E-2</c:v>
                </c:pt>
                <c:pt idx="1940">
                  <c:v>-3.1E-2</c:v>
                </c:pt>
                <c:pt idx="1941">
                  <c:v>-1.7999999999999999E-2</c:v>
                </c:pt>
                <c:pt idx="1942">
                  <c:v>-1.2E-2</c:v>
                </c:pt>
                <c:pt idx="1943">
                  <c:v>-3.1E-2</c:v>
                </c:pt>
                <c:pt idx="1944">
                  <c:v>-1.7000000000000001E-2</c:v>
                </c:pt>
                <c:pt idx="1945">
                  <c:v>5.0000000000000001E-3</c:v>
                </c:pt>
                <c:pt idx="1946">
                  <c:v>-4.1000000000000002E-2</c:v>
                </c:pt>
                <c:pt idx="1947">
                  <c:v>-7.4999999999999997E-2</c:v>
                </c:pt>
                <c:pt idx="1948">
                  <c:v>-9.0999999999999998E-2</c:v>
                </c:pt>
                <c:pt idx="1949">
                  <c:v>-0.16800000000000001</c:v>
                </c:pt>
                <c:pt idx="1950">
                  <c:v>-0.189</c:v>
                </c:pt>
                <c:pt idx="1951">
                  <c:v>-0.17100000000000001</c:v>
                </c:pt>
                <c:pt idx="1952">
                  <c:v>-0.17699999999999999</c:v>
                </c:pt>
                <c:pt idx="1953">
                  <c:v>-0.186</c:v>
                </c:pt>
                <c:pt idx="1954">
                  <c:v>-0.14199999999999999</c:v>
                </c:pt>
                <c:pt idx="1955">
                  <c:v>-0.127</c:v>
                </c:pt>
                <c:pt idx="1956">
                  <c:v>-0.13100000000000001</c:v>
                </c:pt>
                <c:pt idx="1957">
                  <c:v>-0.127</c:v>
                </c:pt>
                <c:pt idx="1958">
                  <c:v>-0.113</c:v>
                </c:pt>
                <c:pt idx="1959">
                  <c:v>-0.11700000000000001</c:v>
                </c:pt>
                <c:pt idx="1960">
                  <c:v>-4.9000000000000002E-2</c:v>
                </c:pt>
                <c:pt idx="1961">
                  <c:v>9.2999999999999999E-2</c:v>
                </c:pt>
                <c:pt idx="1962">
                  <c:v>6.0999999999999999E-2</c:v>
                </c:pt>
                <c:pt idx="1963">
                  <c:v>4.9000000000000002E-2</c:v>
                </c:pt>
                <c:pt idx="1964">
                  <c:v>0.05</c:v>
                </c:pt>
                <c:pt idx="1965">
                  <c:v>1.7999999999999999E-2</c:v>
                </c:pt>
                <c:pt idx="1966">
                  <c:v>-2.5000000000000001E-2</c:v>
                </c:pt>
                <c:pt idx="1967">
                  <c:v>-1.0999999999999999E-2</c:v>
                </c:pt>
                <c:pt idx="1968">
                  <c:v>-4.0000000000000001E-3</c:v>
                </c:pt>
                <c:pt idx="1969">
                  <c:v>2.3E-2</c:v>
                </c:pt>
                <c:pt idx="1970">
                  <c:v>0.02</c:v>
                </c:pt>
                <c:pt idx="1971">
                  <c:v>3.2000000000000001E-2</c:v>
                </c:pt>
                <c:pt idx="1972">
                  <c:v>5.3999999999999999E-2</c:v>
                </c:pt>
                <c:pt idx="1973">
                  <c:v>4.9000000000000002E-2</c:v>
                </c:pt>
                <c:pt idx="1974">
                  <c:v>8.5000000000000006E-2</c:v>
                </c:pt>
                <c:pt idx="1975">
                  <c:v>6.7000000000000004E-2</c:v>
                </c:pt>
                <c:pt idx="1976">
                  <c:v>0.113</c:v>
                </c:pt>
                <c:pt idx="1977">
                  <c:v>0.13500000000000001</c:v>
                </c:pt>
                <c:pt idx="1978">
                  <c:v>0.13800000000000001</c:v>
                </c:pt>
                <c:pt idx="1979">
                  <c:v>0.16600000000000001</c:v>
                </c:pt>
                <c:pt idx="1980">
                  <c:v>0.13700000000000001</c:v>
                </c:pt>
                <c:pt idx="1981">
                  <c:v>0.14499999999999999</c:v>
                </c:pt>
                <c:pt idx="1982">
                  <c:v>0.151</c:v>
                </c:pt>
                <c:pt idx="1983">
                  <c:v>0.17599999999999999</c:v>
                </c:pt>
                <c:pt idx="1984">
                  <c:v>0.17599999999999999</c:v>
                </c:pt>
                <c:pt idx="1985">
                  <c:v>0.16400000000000001</c:v>
                </c:pt>
                <c:pt idx="1986">
                  <c:v>0.16900000000000001</c:v>
                </c:pt>
                <c:pt idx="1987">
                  <c:v>0.16700000000000001</c:v>
                </c:pt>
                <c:pt idx="1988">
                  <c:v>0.13200000000000001</c:v>
                </c:pt>
                <c:pt idx="1989">
                  <c:v>0.14199999999999999</c:v>
                </c:pt>
                <c:pt idx="1990">
                  <c:v>0.123</c:v>
                </c:pt>
                <c:pt idx="1991">
                  <c:v>0.154</c:v>
                </c:pt>
                <c:pt idx="1992">
                  <c:v>0.125</c:v>
                </c:pt>
                <c:pt idx="1993">
                  <c:v>0.123</c:v>
                </c:pt>
                <c:pt idx="1994">
                  <c:v>0.125</c:v>
                </c:pt>
                <c:pt idx="1995">
                  <c:v>0.14299999999999999</c:v>
                </c:pt>
                <c:pt idx="1996">
                  <c:v>0.161</c:v>
                </c:pt>
                <c:pt idx="1997">
                  <c:v>0.20300000000000001</c:v>
                </c:pt>
                <c:pt idx="1998">
                  <c:v>0.2</c:v>
                </c:pt>
                <c:pt idx="1999">
                  <c:v>0.26600000000000001</c:v>
                </c:pt>
                <c:pt idx="2000">
                  <c:v>0.27100000000000002</c:v>
                </c:pt>
                <c:pt idx="2001">
                  <c:v>0.25600000000000001</c:v>
                </c:pt>
                <c:pt idx="2002">
                  <c:v>0.28599999999999998</c:v>
                </c:pt>
                <c:pt idx="2003">
                  <c:v>0.29899999999999999</c:v>
                </c:pt>
                <c:pt idx="2004">
                  <c:v>0.26300000000000001</c:v>
                </c:pt>
                <c:pt idx="2005">
                  <c:v>0.23</c:v>
                </c:pt>
                <c:pt idx="2006">
                  <c:v>0.23799999999999999</c:v>
                </c:pt>
                <c:pt idx="2007">
                  <c:v>0.153</c:v>
                </c:pt>
                <c:pt idx="2008">
                  <c:v>0.16800000000000001</c:v>
                </c:pt>
                <c:pt idx="2009">
                  <c:v>0.16</c:v>
                </c:pt>
                <c:pt idx="2010">
                  <c:v>0.127</c:v>
                </c:pt>
                <c:pt idx="2011">
                  <c:v>0.16600000000000001</c:v>
                </c:pt>
                <c:pt idx="2012">
                  <c:v>0.127</c:v>
                </c:pt>
                <c:pt idx="2013">
                  <c:v>0.16400000000000001</c:v>
                </c:pt>
                <c:pt idx="2014">
                  <c:v>0.11</c:v>
                </c:pt>
                <c:pt idx="2015">
                  <c:v>9.5000000000000001E-2</c:v>
                </c:pt>
                <c:pt idx="2016">
                  <c:v>8.8999999999999996E-2</c:v>
                </c:pt>
                <c:pt idx="2017">
                  <c:v>0.11799999999999999</c:v>
                </c:pt>
                <c:pt idx="2018">
                  <c:v>9.8000000000000004E-2</c:v>
                </c:pt>
                <c:pt idx="2019">
                  <c:v>0.13</c:v>
                </c:pt>
                <c:pt idx="2020">
                  <c:v>0.13300000000000001</c:v>
                </c:pt>
                <c:pt idx="2021">
                  <c:v>0.152</c:v>
                </c:pt>
                <c:pt idx="2022">
                  <c:v>0.156</c:v>
                </c:pt>
                <c:pt idx="2023">
                  <c:v>0.13700000000000001</c:v>
                </c:pt>
                <c:pt idx="2024">
                  <c:v>0.17899999999999999</c:v>
                </c:pt>
                <c:pt idx="2025">
                  <c:v>0.17899999999999999</c:v>
                </c:pt>
                <c:pt idx="2026">
                  <c:v>0.17899999999999999</c:v>
                </c:pt>
                <c:pt idx="2027">
                  <c:v>0.193</c:v>
                </c:pt>
                <c:pt idx="2028">
                  <c:v>0.21</c:v>
                </c:pt>
                <c:pt idx="2029">
                  <c:v>0.23</c:v>
                </c:pt>
                <c:pt idx="2030">
                  <c:v>0.21099999999999999</c:v>
                </c:pt>
                <c:pt idx="2031">
                  <c:v>0.22900000000000001</c:v>
                </c:pt>
                <c:pt idx="2032">
                  <c:v>0.31</c:v>
                </c:pt>
                <c:pt idx="2033">
                  <c:v>0.315</c:v>
                </c:pt>
                <c:pt idx="2034">
                  <c:v>0.27900000000000003</c:v>
                </c:pt>
                <c:pt idx="2035">
                  <c:v>0.27</c:v>
                </c:pt>
                <c:pt idx="2036">
                  <c:v>0.30499999999999999</c:v>
                </c:pt>
                <c:pt idx="2037">
                  <c:v>0.24</c:v>
                </c:pt>
                <c:pt idx="2038">
                  <c:v>0.18099999999999999</c:v>
                </c:pt>
                <c:pt idx="2039">
                  <c:v>0.224</c:v>
                </c:pt>
                <c:pt idx="2040">
                  <c:v>0.23699999999999999</c:v>
                </c:pt>
                <c:pt idx="2041">
                  <c:v>0.16900000000000001</c:v>
                </c:pt>
                <c:pt idx="2042">
                  <c:v>0.20599999999999999</c:v>
                </c:pt>
                <c:pt idx="2043">
                  <c:v>0.14499999999999999</c:v>
                </c:pt>
                <c:pt idx="2044">
                  <c:v>0.106</c:v>
                </c:pt>
                <c:pt idx="2045">
                  <c:v>0.14599999999999999</c:v>
                </c:pt>
                <c:pt idx="2046">
                  <c:v>0.13700000000000001</c:v>
                </c:pt>
                <c:pt idx="2047">
                  <c:v>0.153</c:v>
                </c:pt>
                <c:pt idx="2048">
                  <c:v>0.183</c:v>
                </c:pt>
                <c:pt idx="2049">
                  <c:v>0.17499999999999999</c:v>
                </c:pt>
                <c:pt idx="2050">
                  <c:v>0.20100000000000001</c:v>
                </c:pt>
                <c:pt idx="2051">
                  <c:v>0.217</c:v>
                </c:pt>
                <c:pt idx="2052">
                  <c:v>0.26800000000000002</c:v>
                </c:pt>
                <c:pt idx="2053">
                  <c:v>0.26500000000000001</c:v>
                </c:pt>
                <c:pt idx="2054">
                  <c:v>0.23699999999999999</c:v>
                </c:pt>
                <c:pt idx="2055">
                  <c:v>0.26</c:v>
                </c:pt>
                <c:pt idx="2056">
                  <c:v>0.186</c:v>
                </c:pt>
                <c:pt idx="2057">
                  <c:v>0.24099999999999999</c:v>
                </c:pt>
                <c:pt idx="2058">
                  <c:v>0.23300000000000001</c:v>
                </c:pt>
                <c:pt idx="2059">
                  <c:v>0.217</c:v>
                </c:pt>
                <c:pt idx="2060">
                  <c:v>0.29499999999999998</c:v>
                </c:pt>
                <c:pt idx="2061">
                  <c:v>0.30199999999999999</c:v>
                </c:pt>
                <c:pt idx="2062">
                  <c:v>0.27400000000000002</c:v>
                </c:pt>
                <c:pt idx="2063">
                  <c:v>0.30599999999999999</c:v>
                </c:pt>
                <c:pt idx="2064">
                  <c:v>0.35</c:v>
                </c:pt>
                <c:pt idx="2065">
                  <c:v>0.32400000000000001</c:v>
                </c:pt>
                <c:pt idx="2066">
                  <c:v>0.40300000000000002</c:v>
                </c:pt>
                <c:pt idx="2067">
                  <c:v>0.443</c:v>
                </c:pt>
                <c:pt idx="2068">
                  <c:v>0.44500000000000001</c:v>
                </c:pt>
                <c:pt idx="2069">
                  <c:v>0.47099999999999997</c:v>
                </c:pt>
                <c:pt idx="2070">
                  <c:v>0.48299999999999998</c:v>
                </c:pt>
                <c:pt idx="2071">
                  <c:v>0.44900000000000001</c:v>
                </c:pt>
                <c:pt idx="2072">
                  <c:v>0.48099999999999998</c:v>
                </c:pt>
                <c:pt idx="2073">
                  <c:v>0.54800000000000004</c:v>
                </c:pt>
                <c:pt idx="2074">
                  <c:v>0.53600000000000003</c:v>
                </c:pt>
                <c:pt idx="2075">
                  <c:v>0.53900000000000003</c:v>
                </c:pt>
                <c:pt idx="2076">
                  <c:v>0.57299999999999995</c:v>
                </c:pt>
                <c:pt idx="2077">
                  <c:v>0.56599999999999995</c:v>
                </c:pt>
                <c:pt idx="2078">
                  <c:v>0.53200000000000003</c:v>
                </c:pt>
                <c:pt idx="2079">
                  <c:v>0.54</c:v>
                </c:pt>
                <c:pt idx="2080">
                  <c:v>0.51300000000000001</c:v>
                </c:pt>
                <c:pt idx="2081">
                  <c:v>0.53800000000000003</c:v>
                </c:pt>
                <c:pt idx="2082">
                  <c:v>0.502</c:v>
                </c:pt>
                <c:pt idx="2083">
                  <c:v>0.53900000000000003</c:v>
                </c:pt>
                <c:pt idx="2084">
                  <c:v>0.56499999999999995</c:v>
                </c:pt>
                <c:pt idx="2085">
                  <c:v>0.628</c:v>
                </c:pt>
                <c:pt idx="2086">
                  <c:v>0.628</c:v>
                </c:pt>
                <c:pt idx="2087">
                  <c:v>0.628</c:v>
                </c:pt>
                <c:pt idx="2088">
                  <c:v>0.628</c:v>
                </c:pt>
                <c:pt idx="2089">
                  <c:v>0.56200000000000006</c:v>
                </c:pt>
                <c:pt idx="2090">
                  <c:v>0.63500000000000001</c:v>
                </c:pt>
                <c:pt idx="2091">
                  <c:v>0.63500000000000001</c:v>
                </c:pt>
                <c:pt idx="2092">
                  <c:v>0.626</c:v>
                </c:pt>
                <c:pt idx="2093">
                  <c:v>0.60099999999999998</c:v>
                </c:pt>
                <c:pt idx="2094">
                  <c:v>0.54900000000000004</c:v>
                </c:pt>
                <c:pt idx="2095">
                  <c:v>0.54700000000000004</c:v>
                </c:pt>
                <c:pt idx="2096">
                  <c:v>0.59799999999999998</c:v>
                </c:pt>
                <c:pt idx="2097">
                  <c:v>0.67700000000000005</c:v>
                </c:pt>
                <c:pt idx="2098">
                  <c:v>0.64</c:v>
                </c:pt>
                <c:pt idx="2099">
                  <c:v>0.57299999999999995</c:v>
                </c:pt>
                <c:pt idx="2100">
                  <c:v>0.53900000000000003</c:v>
                </c:pt>
                <c:pt idx="2101">
                  <c:v>0.56699999999999995</c:v>
                </c:pt>
                <c:pt idx="2102">
                  <c:v>0.59899999999999998</c:v>
                </c:pt>
                <c:pt idx="2103">
                  <c:v>0.56999999999999995</c:v>
                </c:pt>
                <c:pt idx="2104">
                  <c:v>0.58099999999999996</c:v>
                </c:pt>
                <c:pt idx="2105">
                  <c:v>0.67700000000000005</c:v>
                </c:pt>
                <c:pt idx="2106">
                  <c:v>0.66500000000000004</c:v>
                </c:pt>
                <c:pt idx="2107">
                  <c:v>0.46899999999999997</c:v>
                </c:pt>
                <c:pt idx="2108">
                  <c:v>0.46700000000000003</c:v>
                </c:pt>
                <c:pt idx="2109">
                  <c:v>0.47199999999999998</c:v>
                </c:pt>
                <c:pt idx="2110">
                  <c:v>0.45900000000000002</c:v>
                </c:pt>
                <c:pt idx="2111">
                  <c:v>0.46899999999999997</c:v>
                </c:pt>
                <c:pt idx="2112">
                  <c:v>0.47</c:v>
                </c:pt>
                <c:pt idx="2113">
                  <c:v>0.51600000000000001</c:v>
                </c:pt>
                <c:pt idx="2114">
                  <c:v>0.52900000000000003</c:v>
                </c:pt>
                <c:pt idx="2115">
                  <c:v>0.47899999999999998</c:v>
                </c:pt>
                <c:pt idx="2116">
                  <c:v>0.47799999999999998</c:v>
                </c:pt>
                <c:pt idx="2117">
                  <c:v>0.505</c:v>
                </c:pt>
                <c:pt idx="2118">
                  <c:v>0.52300000000000002</c:v>
                </c:pt>
                <c:pt idx="2119">
                  <c:v>0.52900000000000003</c:v>
                </c:pt>
                <c:pt idx="2120">
                  <c:v>0.55800000000000005</c:v>
                </c:pt>
                <c:pt idx="2121">
                  <c:v>0.60699999999999998</c:v>
                </c:pt>
                <c:pt idx="2122">
                  <c:v>0.61</c:v>
                </c:pt>
                <c:pt idx="2123">
                  <c:v>0.62</c:v>
                </c:pt>
                <c:pt idx="2124">
                  <c:v>0.66100000000000003</c:v>
                </c:pt>
                <c:pt idx="2125">
                  <c:v>0.69199999999999995</c:v>
                </c:pt>
                <c:pt idx="2126">
                  <c:v>0.60599999999999998</c:v>
                </c:pt>
                <c:pt idx="2127">
                  <c:v>0.59799999999999998</c:v>
                </c:pt>
                <c:pt idx="2128">
                  <c:v>0.57299999999999995</c:v>
                </c:pt>
                <c:pt idx="2129">
                  <c:v>0.55700000000000005</c:v>
                </c:pt>
                <c:pt idx="2130">
                  <c:v>0.51700000000000002</c:v>
                </c:pt>
                <c:pt idx="2131">
                  <c:v>0.53</c:v>
                </c:pt>
                <c:pt idx="2132">
                  <c:v>0.438</c:v>
                </c:pt>
                <c:pt idx="2133">
                  <c:v>0.442</c:v>
                </c:pt>
                <c:pt idx="2134">
                  <c:v>0.499</c:v>
                </c:pt>
                <c:pt idx="2135">
                  <c:v>0.51100000000000001</c:v>
                </c:pt>
                <c:pt idx="2136">
                  <c:v>0.495</c:v>
                </c:pt>
                <c:pt idx="2137">
                  <c:v>0.56699999999999995</c:v>
                </c:pt>
                <c:pt idx="2138">
                  <c:v>0.625</c:v>
                </c:pt>
                <c:pt idx="2139">
                  <c:v>0.56399999999999995</c:v>
                </c:pt>
                <c:pt idx="2140">
                  <c:v>0.54700000000000004</c:v>
                </c:pt>
                <c:pt idx="2141">
                  <c:v>0.54900000000000004</c:v>
                </c:pt>
                <c:pt idx="2142">
                  <c:v>0.54</c:v>
                </c:pt>
                <c:pt idx="2143">
                  <c:v>0.58599999999999997</c:v>
                </c:pt>
                <c:pt idx="2144">
                  <c:v>0.57699999999999996</c:v>
                </c:pt>
                <c:pt idx="2145">
                  <c:v>0.61499999999999999</c:v>
                </c:pt>
                <c:pt idx="2146">
                  <c:v>0.58499999999999996</c:v>
                </c:pt>
                <c:pt idx="2147">
                  <c:v>0.59199999999999997</c:v>
                </c:pt>
                <c:pt idx="2148">
                  <c:v>0.59499999999999997</c:v>
                </c:pt>
                <c:pt idx="2149">
                  <c:v>0.56499999999999995</c:v>
                </c:pt>
                <c:pt idx="2150">
                  <c:v>0.50900000000000001</c:v>
                </c:pt>
                <c:pt idx="2151">
                  <c:v>0.53500000000000003</c:v>
                </c:pt>
                <c:pt idx="2152">
                  <c:v>0.58599999999999997</c:v>
                </c:pt>
                <c:pt idx="2153">
                  <c:v>0.58199999999999996</c:v>
                </c:pt>
                <c:pt idx="2154">
                  <c:v>0.58499999999999996</c:v>
                </c:pt>
                <c:pt idx="2155">
                  <c:v>0.64700000000000002</c:v>
                </c:pt>
                <c:pt idx="2156">
                  <c:v>0.60199999999999998</c:v>
                </c:pt>
                <c:pt idx="2157">
                  <c:v>0.59599999999999997</c:v>
                </c:pt>
                <c:pt idx="2158">
                  <c:v>0.58899999999999997</c:v>
                </c:pt>
                <c:pt idx="2159">
                  <c:v>0.68300000000000005</c:v>
                </c:pt>
                <c:pt idx="2160">
                  <c:v>0.66200000000000003</c:v>
                </c:pt>
                <c:pt idx="2161">
                  <c:v>0.77900000000000003</c:v>
                </c:pt>
                <c:pt idx="2162">
                  <c:v>0.77300000000000002</c:v>
                </c:pt>
                <c:pt idx="2163">
                  <c:v>0.74199999999999999</c:v>
                </c:pt>
                <c:pt idx="2164">
                  <c:v>0.65400000000000003</c:v>
                </c:pt>
                <c:pt idx="2165">
                  <c:v>0.65200000000000002</c:v>
                </c:pt>
                <c:pt idx="2166">
                  <c:v>0.69399999999999995</c:v>
                </c:pt>
                <c:pt idx="2167">
                  <c:v>0.69699999999999995</c:v>
                </c:pt>
                <c:pt idx="2168">
                  <c:v>0.67500000000000004</c:v>
                </c:pt>
                <c:pt idx="2169">
                  <c:v>0.67400000000000004</c:v>
                </c:pt>
                <c:pt idx="2170">
                  <c:v>0.66600000000000004</c:v>
                </c:pt>
                <c:pt idx="2171">
                  <c:v>0.72299999999999998</c:v>
                </c:pt>
                <c:pt idx="2172">
                  <c:v>0.78100000000000003</c:v>
                </c:pt>
                <c:pt idx="2173">
                  <c:v>0.79600000000000004</c:v>
                </c:pt>
                <c:pt idx="2174">
                  <c:v>0.79700000000000004</c:v>
                </c:pt>
                <c:pt idx="2175">
                  <c:v>0.74099999999999999</c:v>
                </c:pt>
                <c:pt idx="2176">
                  <c:v>0.74099999999999999</c:v>
                </c:pt>
                <c:pt idx="2177">
                  <c:v>0.70299999999999996</c:v>
                </c:pt>
                <c:pt idx="2178">
                  <c:v>0.72899999999999998</c:v>
                </c:pt>
                <c:pt idx="2179">
                  <c:v>0.59099999999999997</c:v>
                </c:pt>
                <c:pt idx="2180">
                  <c:v>0.56299999999999994</c:v>
                </c:pt>
                <c:pt idx="2181">
                  <c:v>0.58099999999999996</c:v>
                </c:pt>
                <c:pt idx="2182">
                  <c:v>0.61799999999999999</c:v>
                </c:pt>
                <c:pt idx="2183">
                  <c:v>0.64100000000000001</c:v>
                </c:pt>
                <c:pt idx="2184">
                  <c:v>0.626</c:v>
                </c:pt>
                <c:pt idx="2185">
                  <c:v>0.65900000000000003</c:v>
                </c:pt>
                <c:pt idx="2186">
                  <c:v>0.629</c:v>
                </c:pt>
                <c:pt idx="2187">
                  <c:v>0.60299999999999998</c:v>
                </c:pt>
                <c:pt idx="2188">
                  <c:v>0.63100000000000001</c:v>
                </c:pt>
                <c:pt idx="2189">
                  <c:v>0.69699999999999995</c:v>
                </c:pt>
                <c:pt idx="2190">
                  <c:v>0.66100000000000003</c:v>
                </c:pt>
                <c:pt idx="2191">
                  <c:v>0.70799999999999996</c:v>
                </c:pt>
                <c:pt idx="2192">
                  <c:v>0.753</c:v>
                </c:pt>
                <c:pt idx="2193">
                  <c:v>0.63800000000000001</c:v>
                </c:pt>
                <c:pt idx="2194">
                  <c:v>0.628</c:v>
                </c:pt>
                <c:pt idx="2195">
                  <c:v>0.64300000000000002</c:v>
                </c:pt>
                <c:pt idx="2196">
                  <c:v>0.64900000000000002</c:v>
                </c:pt>
                <c:pt idx="2197">
                  <c:v>0.71599999999999997</c:v>
                </c:pt>
                <c:pt idx="2198">
                  <c:v>0.68899999999999995</c:v>
                </c:pt>
                <c:pt idx="2199">
                  <c:v>0.69</c:v>
                </c:pt>
                <c:pt idx="2200">
                  <c:v>0.69</c:v>
                </c:pt>
                <c:pt idx="2201">
                  <c:v>0.74099999999999999</c:v>
                </c:pt>
                <c:pt idx="2202">
                  <c:v>0.746</c:v>
                </c:pt>
                <c:pt idx="2203">
                  <c:v>0.78</c:v>
                </c:pt>
                <c:pt idx="2204">
                  <c:v>0.76100000000000001</c:v>
                </c:pt>
                <c:pt idx="2205">
                  <c:v>0.78700000000000003</c:v>
                </c:pt>
                <c:pt idx="2206">
                  <c:v>0.83199999999999996</c:v>
                </c:pt>
                <c:pt idx="2207">
                  <c:v>0.82699999999999996</c:v>
                </c:pt>
                <c:pt idx="2208">
                  <c:v>0.83499999999999996</c:v>
                </c:pt>
                <c:pt idx="2209">
                  <c:v>0.85399999999999998</c:v>
                </c:pt>
                <c:pt idx="2210">
                  <c:v>0.89600000000000002</c:v>
                </c:pt>
                <c:pt idx="2211">
                  <c:v>0.71799999999999997</c:v>
                </c:pt>
                <c:pt idx="2212">
                  <c:v>0.67</c:v>
                </c:pt>
                <c:pt idx="2213">
                  <c:v>0.64200000000000002</c:v>
                </c:pt>
                <c:pt idx="2214">
                  <c:v>0.76300000000000001</c:v>
                </c:pt>
                <c:pt idx="2215">
                  <c:v>0.78900000000000003</c:v>
                </c:pt>
                <c:pt idx="2216">
                  <c:v>0.84399999999999997</c:v>
                </c:pt>
                <c:pt idx="2217">
                  <c:v>0.81200000000000006</c:v>
                </c:pt>
                <c:pt idx="2218">
                  <c:v>0.76300000000000001</c:v>
                </c:pt>
                <c:pt idx="2219">
                  <c:v>0.79400000000000004</c:v>
                </c:pt>
                <c:pt idx="2220">
                  <c:v>0.92100000000000004</c:v>
                </c:pt>
                <c:pt idx="2221">
                  <c:v>0.86099999999999999</c:v>
                </c:pt>
                <c:pt idx="2222">
                  <c:v>0.84299999999999997</c:v>
                </c:pt>
                <c:pt idx="2223">
                  <c:v>0.871</c:v>
                </c:pt>
                <c:pt idx="2224">
                  <c:v>0.88300000000000001</c:v>
                </c:pt>
                <c:pt idx="2225">
                  <c:v>0.75</c:v>
                </c:pt>
                <c:pt idx="2226">
                  <c:v>0.80600000000000005</c:v>
                </c:pt>
                <c:pt idx="2227">
                  <c:v>0.80700000000000005</c:v>
                </c:pt>
                <c:pt idx="2228">
                  <c:v>0.79600000000000004</c:v>
                </c:pt>
                <c:pt idx="2229">
                  <c:v>0.82299999999999995</c:v>
                </c:pt>
                <c:pt idx="2230">
                  <c:v>0.83299999999999996</c:v>
                </c:pt>
                <c:pt idx="2231">
                  <c:v>0.88300000000000001</c:v>
                </c:pt>
                <c:pt idx="2232">
                  <c:v>0.98</c:v>
                </c:pt>
                <c:pt idx="2233">
                  <c:v>0.94899999999999995</c:v>
                </c:pt>
                <c:pt idx="2234">
                  <c:v>0.878</c:v>
                </c:pt>
                <c:pt idx="2235">
                  <c:v>0.84299999999999997</c:v>
                </c:pt>
                <c:pt idx="2236">
                  <c:v>0.83699999999999997</c:v>
                </c:pt>
                <c:pt idx="2237">
                  <c:v>0.88100000000000001</c:v>
                </c:pt>
                <c:pt idx="2238">
                  <c:v>0.71299999999999997</c:v>
                </c:pt>
                <c:pt idx="2239">
                  <c:v>0.54</c:v>
                </c:pt>
                <c:pt idx="2240">
                  <c:v>0.48599999999999999</c:v>
                </c:pt>
                <c:pt idx="2241">
                  <c:v>0.52900000000000003</c:v>
                </c:pt>
                <c:pt idx="2242">
                  <c:v>0.55300000000000005</c:v>
                </c:pt>
                <c:pt idx="2243">
                  <c:v>0.54500000000000004</c:v>
                </c:pt>
                <c:pt idx="2244">
                  <c:v>0.60299999999999998</c:v>
                </c:pt>
                <c:pt idx="2245">
                  <c:v>0.60199999999999998</c:v>
                </c:pt>
                <c:pt idx="2246">
                  <c:v>0.63800000000000001</c:v>
                </c:pt>
                <c:pt idx="2247">
                  <c:v>0.63100000000000001</c:v>
                </c:pt>
                <c:pt idx="2248">
                  <c:v>0.59299999999999997</c:v>
                </c:pt>
                <c:pt idx="2249">
                  <c:v>0.64800000000000002</c:v>
                </c:pt>
                <c:pt idx="2250">
                  <c:v>0.623</c:v>
                </c:pt>
                <c:pt idx="2251">
                  <c:v>0.70099999999999996</c:v>
                </c:pt>
                <c:pt idx="2252">
                  <c:v>0.72299999999999998</c:v>
                </c:pt>
                <c:pt idx="2253">
                  <c:v>0.67400000000000004</c:v>
                </c:pt>
                <c:pt idx="2254">
                  <c:v>0.60899999999999999</c:v>
                </c:pt>
                <c:pt idx="2255">
                  <c:v>0.54600000000000004</c:v>
                </c:pt>
                <c:pt idx="2256">
                  <c:v>0.58899999999999997</c:v>
                </c:pt>
                <c:pt idx="2257">
                  <c:v>0.58499999999999996</c:v>
                </c:pt>
                <c:pt idx="2258">
                  <c:v>0.51400000000000001</c:v>
                </c:pt>
                <c:pt idx="2259">
                  <c:v>0.45200000000000001</c:v>
                </c:pt>
                <c:pt idx="2260">
                  <c:v>0.37</c:v>
                </c:pt>
                <c:pt idx="2261">
                  <c:v>0.36399999999999999</c:v>
                </c:pt>
                <c:pt idx="2262">
                  <c:v>0.28399999999999997</c:v>
                </c:pt>
                <c:pt idx="2263">
                  <c:v>0.16200000000000001</c:v>
                </c:pt>
                <c:pt idx="2264">
                  <c:v>0.161</c:v>
                </c:pt>
                <c:pt idx="2265">
                  <c:v>0.154</c:v>
                </c:pt>
                <c:pt idx="2266">
                  <c:v>0.16400000000000001</c:v>
                </c:pt>
                <c:pt idx="2267">
                  <c:v>0.16400000000000001</c:v>
                </c:pt>
                <c:pt idx="2268">
                  <c:v>0.1</c:v>
                </c:pt>
                <c:pt idx="2269">
                  <c:v>7.3999999999999996E-2</c:v>
                </c:pt>
                <c:pt idx="2270">
                  <c:v>7.6999999999999999E-2</c:v>
                </c:pt>
                <c:pt idx="2271">
                  <c:v>8.4000000000000005E-2</c:v>
                </c:pt>
                <c:pt idx="2272">
                  <c:v>0.106</c:v>
                </c:pt>
                <c:pt idx="2273">
                  <c:v>0.13700000000000001</c:v>
                </c:pt>
                <c:pt idx="2274">
                  <c:v>0.156</c:v>
                </c:pt>
                <c:pt idx="2275">
                  <c:v>0.154</c:v>
                </c:pt>
                <c:pt idx="2276">
                  <c:v>0.159</c:v>
                </c:pt>
                <c:pt idx="2277">
                  <c:v>0.16200000000000001</c:v>
                </c:pt>
                <c:pt idx="2278">
                  <c:v>0.185</c:v>
                </c:pt>
                <c:pt idx="2279">
                  <c:v>0.193</c:v>
                </c:pt>
                <c:pt idx="2280">
                  <c:v>0.193</c:v>
                </c:pt>
                <c:pt idx="2281">
                  <c:v>0.193</c:v>
                </c:pt>
                <c:pt idx="2282">
                  <c:v>0.16600000000000001</c:v>
                </c:pt>
                <c:pt idx="2283">
                  <c:v>0.18</c:v>
                </c:pt>
                <c:pt idx="2284">
                  <c:v>0.20499999999999999</c:v>
                </c:pt>
                <c:pt idx="2285">
                  <c:v>0.20599999999999999</c:v>
                </c:pt>
                <c:pt idx="2286">
                  <c:v>0.214</c:v>
                </c:pt>
                <c:pt idx="2287">
                  <c:v>0.219</c:v>
                </c:pt>
                <c:pt idx="2288">
                  <c:v>0.23499999999999999</c:v>
                </c:pt>
                <c:pt idx="2289">
                  <c:v>0.223</c:v>
                </c:pt>
                <c:pt idx="2290">
                  <c:v>0.183</c:v>
                </c:pt>
                <c:pt idx="2291">
                  <c:v>0.186</c:v>
                </c:pt>
                <c:pt idx="2292">
                  <c:v>0.19600000000000001</c:v>
                </c:pt>
                <c:pt idx="2293">
                  <c:v>0.28100000000000003</c:v>
                </c:pt>
                <c:pt idx="2294">
                  <c:v>0.27800000000000002</c:v>
                </c:pt>
                <c:pt idx="2295">
                  <c:v>0.25600000000000001</c:v>
                </c:pt>
                <c:pt idx="2296">
                  <c:v>0.247</c:v>
                </c:pt>
                <c:pt idx="2297">
                  <c:v>0.20799999999999999</c:v>
                </c:pt>
                <c:pt idx="2298">
                  <c:v>0.23300000000000001</c:v>
                </c:pt>
                <c:pt idx="2299">
                  <c:v>0.311</c:v>
                </c:pt>
                <c:pt idx="2300">
                  <c:v>0.39300000000000002</c:v>
                </c:pt>
                <c:pt idx="2301">
                  <c:v>0.34699999999999998</c:v>
                </c:pt>
                <c:pt idx="2302">
                  <c:v>0.38200000000000001</c:v>
                </c:pt>
                <c:pt idx="2303">
                  <c:v>0.36099999999999999</c:v>
                </c:pt>
                <c:pt idx="2304">
                  <c:v>0.35499999999999998</c:v>
                </c:pt>
                <c:pt idx="2305">
                  <c:v>0.32700000000000001</c:v>
                </c:pt>
                <c:pt idx="2306">
                  <c:v>0.29699999999999999</c:v>
                </c:pt>
                <c:pt idx="2307">
                  <c:v>0.32400000000000001</c:v>
                </c:pt>
                <c:pt idx="2308">
                  <c:v>0.374</c:v>
                </c:pt>
                <c:pt idx="2309">
                  <c:v>0.36399999999999999</c:v>
                </c:pt>
                <c:pt idx="2310">
                  <c:v>0.36499999999999999</c:v>
                </c:pt>
                <c:pt idx="2311">
                  <c:v>0.379</c:v>
                </c:pt>
                <c:pt idx="2312">
                  <c:v>0.38</c:v>
                </c:pt>
                <c:pt idx="2313">
                  <c:v>0.37</c:v>
                </c:pt>
                <c:pt idx="2314">
                  <c:v>0.33300000000000002</c:v>
                </c:pt>
                <c:pt idx="2315">
                  <c:v>0.34100000000000003</c:v>
                </c:pt>
                <c:pt idx="2316">
                  <c:v>0.318</c:v>
                </c:pt>
                <c:pt idx="2317">
                  <c:v>0.35399999999999998</c:v>
                </c:pt>
                <c:pt idx="2318">
                  <c:v>0.36899999999999999</c:v>
                </c:pt>
                <c:pt idx="2319">
                  <c:v>0.35399999999999998</c:v>
                </c:pt>
                <c:pt idx="2320">
                  <c:v>0.374</c:v>
                </c:pt>
                <c:pt idx="2321">
                  <c:v>0.36499999999999999</c:v>
                </c:pt>
                <c:pt idx="2322">
                  <c:v>0.36499999999999999</c:v>
                </c:pt>
                <c:pt idx="2323">
                  <c:v>0.34399999999999997</c:v>
                </c:pt>
                <c:pt idx="2324">
                  <c:v>0.312</c:v>
                </c:pt>
                <c:pt idx="2325">
                  <c:v>0.30199999999999999</c:v>
                </c:pt>
                <c:pt idx="2326">
                  <c:v>0.35799999999999998</c:v>
                </c:pt>
                <c:pt idx="2327">
                  <c:v>0.35199999999999998</c:v>
                </c:pt>
                <c:pt idx="2328">
                  <c:v>0.38100000000000001</c:v>
                </c:pt>
                <c:pt idx="2329">
                  <c:v>0.39400000000000002</c:v>
                </c:pt>
                <c:pt idx="2330">
                  <c:v>0.36099999999999999</c:v>
                </c:pt>
                <c:pt idx="2331">
                  <c:v>0.44600000000000001</c:v>
                </c:pt>
                <c:pt idx="2332">
                  <c:v>0.52300000000000002</c:v>
                </c:pt>
                <c:pt idx="2333">
                  <c:v>0.44800000000000001</c:v>
                </c:pt>
                <c:pt idx="2334">
                  <c:v>0.439</c:v>
                </c:pt>
                <c:pt idx="2335">
                  <c:v>0.45200000000000001</c:v>
                </c:pt>
                <c:pt idx="2336">
                  <c:v>0.47299999999999998</c:v>
                </c:pt>
                <c:pt idx="2337">
                  <c:v>0.42299999999999999</c:v>
                </c:pt>
                <c:pt idx="2338">
                  <c:v>0.47599999999999998</c:v>
                </c:pt>
                <c:pt idx="2339">
                  <c:v>0.47799999999999998</c:v>
                </c:pt>
                <c:pt idx="2340">
                  <c:v>0.49099999999999999</c:v>
                </c:pt>
                <c:pt idx="2341">
                  <c:v>0.50900000000000001</c:v>
                </c:pt>
                <c:pt idx="2342">
                  <c:v>0.48299999999999998</c:v>
                </c:pt>
                <c:pt idx="2343">
                  <c:v>0.44500000000000001</c:v>
                </c:pt>
                <c:pt idx="2344">
                  <c:v>0.51700000000000002</c:v>
                </c:pt>
                <c:pt idx="2345">
                  <c:v>0.497</c:v>
                </c:pt>
                <c:pt idx="2346">
                  <c:v>0.53800000000000003</c:v>
                </c:pt>
                <c:pt idx="2347">
                  <c:v>0.53800000000000003</c:v>
                </c:pt>
                <c:pt idx="2348">
                  <c:v>0.53900000000000003</c:v>
                </c:pt>
                <c:pt idx="2349">
                  <c:v>0.54300000000000004</c:v>
                </c:pt>
                <c:pt idx="2350">
                  <c:v>0.58699999999999997</c:v>
                </c:pt>
                <c:pt idx="2351">
                  <c:v>0.58699999999999997</c:v>
                </c:pt>
                <c:pt idx="2352">
                  <c:v>0.58699999999999997</c:v>
                </c:pt>
                <c:pt idx="2353">
                  <c:v>0.59099999999999997</c:v>
                </c:pt>
                <c:pt idx="2354">
                  <c:v>0.6</c:v>
                </c:pt>
                <c:pt idx="2355">
                  <c:v>0.59199999999999997</c:v>
                </c:pt>
                <c:pt idx="2356">
                  <c:v>0.61599999999999999</c:v>
                </c:pt>
                <c:pt idx="2357">
                  <c:v>0.59099999999999997</c:v>
                </c:pt>
                <c:pt idx="2358">
                  <c:v>0.59499999999999997</c:v>
                </c:pt>
                <c:pt idx="2359">
                  <c:v>0.622</c:v>
                </c:pt>
                <c:pt idx="2360">
                  <c:v>0.623</c:v>
                </c:pt>
                <c:pt idx="2361">
                  <c:v>0.67600000000000005</c:v>
                </c:pt>
                <c:pt idx="2362">
                  <c:v>0.68</c:v>
                </c:pt>
                <c:pt idx="2363">
                  <c:v>0.68500000000000005</c:v>
                </c:pt>
                <c:pt idx="2364">
                  <c:v>0.71199999999999997</c:v>
                </c:pt>
                <c:pt idx="2365">
                  <c:v>0.78</c:v>
                </c:pt>
                <c:pt idx="2366">
                  <c:v>0.77200000000000002</c:v>
                </c:pt>
                <c:pt idx="2367">
                  <c:v>0.747</c:v>
                </c:pt>
                <c:pt idx="2368">
                  <c:v>0.74099999999999999</c:v>
                </c:pt>
                <c:pt idx="2369">
                  <c:v>0.72699999999999998</c:v>
                </c:pt>
                <c:pt idx="2370">
                  <c:v>0.7</c:v>
                </c:pt>
                <c:pt idx="2371">
                  <c:v>0.7</c:v>
                </c:pt>
                <c:pt idx="2372">
                  <c:v>0.73499999999999999</c:v>
                </c:pt>
                <c:pt idx="2373">
                  <c:v>0.747</c:v>
                </c:pt>
                <c:pt idx="2374">
                  <c:v>0.78</c:v>
                </c:pt>
                <c:pt idx="2375">
                  <c:v>0.76900000000000002</c:v>
                </c:pt>
                <c:pt idx="2376">
                  <c:v>0.79800000000000004</c:v>
                </c:pt>
                <c:pt idx="2377">
                  <c:v>0.84799999999999998</c:v>
                </c:pt>
                <c:pt idx="2378">
                  <c:v>0.79600000000000004</c:v>
                </c:pt>
                <c:pt idx="2379">
                  <c:v>0.80100000000000005</c:v>
                </c:pt>
                <c:pt idx="2380">
                  <c:v>0.78400000000000003</c:v>
                </c:pt>
                <c:pt idx="2381">
                  <c:v>0.79800000000000004</c:v>
                </c:pt>
                <c:pt idx="2382">
                  <c:v>0.80900000000000005</c:v>
                </c:pt>
                <c:pt idx="2383">
                  <c:v>0.82599999999999996</c:v>
                </c:pt>
                <c:pt idx="2384">
                  <c:v>0.83399999999999996</c:v>
                </c:pt>
                <c:pt idx="2385">
                  <c:v>0.81599999999999995</c:v>
                </c:pt>
                <c:pt idx="2386">
                  <c:v>0.82599999999999996</c:v>
                </c:pt>
                <c:pt idx="2387">
                  <c:v>0.82599999999999996</c:v>
                </c:pt>
                <c:pt idx="2388">
                  <c:v>0.80600000000000005</c:v>
                </c:pt>
                <c:pt idx="2389">
                  <c:v>0.85199999999999998</c:v>
                </c:pt>
                <c:pt idx="2390">
                  <c:v>0.84</c:v>
                </c:pt>
                <c:pt idx="2391">
                  <c:v>0.84399999999999997</c:v>
                </c:pt>
                <c:pt idx="2392">
                  <c:v>0.89700000000000002</c:v>
                </c:pt>
                <c:pt idx="2393">
                  <c:v>0.876</c:v>
                </c:pt>
                <c:pt idx="2394">
                  <c:v>0.86799999999999999</c:v>
                </c:pt>
                <c:pt idx="2395">
                  <c:v>0.89100000000000001</c:v>
                </c:pt>
                <c:pt idx="2396">
                  <c:v>0.90100000000000002</c:v>
                </c:pt>
                <c:pt idx="2397">
                  <c:v>0.87</c:v>
                </c:pt>
                <c:pt idx="2398">
                  <c:v>0.87</c:v>
                </c:pt>
                <c:pt idx="2399">
                  <c:v>0.84799999999999998</c:v>
                </c:pt>
                <c:pt idx="2400">
                  <c:v>0.85799999999999998</c:v>
                </c:pt>
                <c:pt idx="2401">
                  <c:v>0.81899999999999995</c:v>
                </c:pt>
                <c:pt idx="2402">
                  <c:v>0.755</c:v>
                </c:pt>
                <c:pt idx="2403">
                  <c:v>0.83699999999999997</c:v>
                </c:pt>
                <c:pt idx="2404">
                  <c:v>0.89400000000000002</c:v>
                </c:pt>
                <c:pt idx="2405">
                  <c:v>0.88600000000000001</c:v>
                </c:pt>
                <c:pt idx="2406">
                  <c:v>0.90500000000000003</c:v>
                </c:pt>
                <c:pt idx="2407">
                  <c:v>0.90700000000000003</c:v>
                </c:pt>
                <c:pt idx="2408">
                  <c:v>0.90500000000000003</c:v>
                </c:pt>
                <c:pt idx="2409">
                  <c:v>0.90600000000000003</c:v>
                </c:pt>
                <c:pt idx="2410">
                  <c:v>0.92500000000000004</c:v>
                </c:pt>
                <c:pt idx="2411">
                  <c:v>0.90200000000000002</c:v>
                </c:pt>
                <c:pt idx="2412">
                  <c:v>0.90100000000000002</c:v>
                </c:pt>
                <c:pt idx="2413">
                  <c:v>0.94599999999999995</c:v>
                </c:pt>
                <c:pt idx="2414">
                  <c:v>0.96299999999999997</c:v>
                </c:pt>
                <c:pt idx="2415">
                  <c:v>0.97099999999999997</c:v>
                </c:pt>
                <c:pt idx="2416">
                  <c:v>0.97199999999999998</c:v>
                </c:pt>
                <c:pt idx="2417">
                  <c:v>1.0029999999999999</c:v>
                </c:pt>
                <c:pt idx="2418">
                  <c:v>1.012</c:v>
                </c:pt>
                <c:pt idx="2419">
                  <c:v>1.01</c:v>
                </c:pt>
                <c:pt idx="2420">
                  <c:v>1.042</c:v>
                </c:pt>
                <c:pt idx="2421">
                  <c:v>1.081</c:v>
                </c:pt>
                <c:pt idx="2422">
                  <c:v>1.0489999999999999</c:v>
                </c:pt>
                <c:pt idx="2423">
                  <c:v>1.06</c:v>
                </c:pt>
                <c:pt idx="2424">
                  <c:v>1.0660000000000001</c:v>
                </c:pt>
                <c:pt idx="2425">
                  <c:v>1.0820000000000001</c:v>
                </c:pt>
                <c:pt idx="2426">
                  <c:v>1.0389999999999999</c:v>
                </c:pt>
                <c:pt idx="2427">
                  <c:v>1.046</c:v>
                </c:pt>
                <c:pt idx="2428">
                  <c:v>0.996</c:v>
                </c:pt>
                <c:pt idx="2429">
                  <c:v>0.95199999999999996</c:v>
                </c:pt>
                <c:pt idx="2430">
                  <c:v>0.92800000000000005</c:v>
                </c:pt>
                <c:pt idx="2431">
                  <c:v>0.96899999999999997</c:v>
                </c:pt>
                <c:pt idx="2432">
                  <c:v>0.95399999999999996</c:v>
                </c:pt>
                <c:pt idx="2433">
                  <c:v>0.93</c:v>
                </c:pt>
                <c:pt idx="2434">
                  <c:v>0.88100000000000001</c:v>
                </c:pt>
                <c:pt idx="2435">
                  <c:v>0.89</c:v>
                </c:pt>
                <c:pt idx="2436">
                  <c:v>0.88300000000000001</c:v>
                </c:pt>
                <c:pt idx="2437">
                  <c:v>0.90900000000000003</c:v>
                </c:pt>
                <c:pt idx="2438">
                  <c:v>0.93799999999999994</c:v>
                </c:pt>
                <c:pt idx="2439">
                  <c:v>0.94699999999999995</c:v>
                </c:pt>
                <c:pt idx="2440">
                  <c:v>0.98099999999999998</c:v>
                </c:pt>
                <c:pt idx="2441">
                  <c:v>0.99199999999999999</c:v>
                </c:pt>
                <c:pt idx="2442">
                  <c:v>0.98899999999999999</c:v>
                </c:pt>
                <c:pt idx="2443">
                  <c:v>1</c:v>
                </c:pt>
                <c:pt idx="2444">
                  <c:v>1.0129999999999999</c:v>
                </c:pt>
                <c:pt idx="2445">
                  <c:v>0.95199999999999996</c:v>
                </c:pt>
                <c:pt idx="2446">
                  <c:v>1.0169999999999999</c:v>
                </c:pt>
                <c:pt idx="2447">
                  <c:v>1.026</c:v>
                </c:pt>
                <c:pt idx="2448">
                  <c:v>1.0580000000000001</c:v>
                </c:pt>
                <c:pt idx="2449">
                  <c:v>1.0580000000000001</c:v>
                </c:pt>
                <c:pt idx="2450">
                  <c:v>1.052</c:v>
                </c:pt>
                <c:pt idx="2451">
                  <c:v>1.0609999999999999</c:v>
                </c:pt>
                <c:pt idx="2452">
                  <c:v>1.1000000000000001</c:v>
                </c:pt>
                <c:pt idx="2453">
                  <c:v>1.167</c:v>
                </c:pt>
                <c:pt idx="2454">
                  <c:v>1.1339999999999999</c:v>
                </c:pt>
                <c:pt idx="2455">
                  <c:v>1.1299999999999999</c:v>
                </c:pt>
                <c:pt idx="2456">
                  <c:v>1.1539999999999999</c:v>
                </c:pt>
                <c:pt idx="2457">
                  <c:v>1.169</c:v>
                </c:pt>
                <c:pt idx="2458">
                  <c:v>1.119</c:v>
                </c:pt>
                <c:pt idx="2459">
                  <c:v>1.147</c:v>
                </c:pt>
                <c:pt idx="2460">
                  <c:v>1.1459999999999999</c:v>
                </c:pt>
                <c:pt idx="2461">
                  <c:v>1.1759999999999999</c:v>
                </c:pt>
                <c:pt idx="2462">
                  <c:v>1.145</c:v>
                </c:pt>
                <c:pt idx="2463">
                  <c:v>1.165</c:v>
                </c:pt>
                <c:pt idx="2464">
                  <c:v>1.147</c:v>
                </c:pt>
                <c:pt idx="2465">
                  <c:v>1.1539999999999999</c:v>
                </c:pt>
                <c:pt idx="2466">
                  <c:v>1.1479999999999999</c:v>
                </c:pt>
                <c:pt idx="2467">
                  <c:v>1.1910000000000001</c:v>
                </c:pt>
                <c:pt idx="2468">
                  <c:v>1.2030000000000001</c:v>
                </c:pt>
                <c:pt idx="2469">
                  <c:v>1.208</c:v>
                </c:pt>
                <c:pt idx="2470">
                  <c:v>1.202</c:v>
                </c:pt>
                <c:pt idx="2471">
                  <c:v>1.198</c:v>
                </c:pt>
                <c:pt idx="2472">
                  <c:v>1.2270000000000001</c:v>
                </c:pt>
                <c:pt idx="2473">
                  <c:v>1.218</c:v>
                </c:pt>
                <c:pt idx="2474">
                  <c:v>1.2549999999999999</c:v>
                </c:pt>
                <c:pt idx="2475">
                  <c:v>1.264</c:v>
                </c:pt>
                <c:pt idx="2476">
                  <c:v>1.288</c:v>
                </c:pt>
                <c:pt idx="2477">
                  <c:v>1.286</c:v>
                </c:pt>
                <c:pt idx="2478">
                  <c:v>1.246</c:v>
                </c:pt>
                <c:pt idx="2479">
                  <c:v>1.244</c:v>
                </c:pt>
                <c:pt idx="2480">
                  <c:v>1.2609999999999999</c:v>
                </c:pt>
                <c:pt idx="2481">
                  <c:v>1.244</c:v>
                </c:pt>
                <c:pt idx="2482">
                  <c:v>1.26</c:v>
                </c:pt>
                <c:pt idx="2483">
                  <c:v>1.319</c:v>
                </c:pt>
                <c:pt idx="2484">
                  <c:v>1.3220000000000001</c:v>
                </c:pt>
                <c:pt idx="2485">
                  <c:v>1.343</c:v>
                </c:pt>
                <c:pt idx="2486">
                  <c:v>1.321</c:v>
                </c:pt>
                <c:pt idx="2487">
                  <c:v>1.3740000000000001</c:v>
                </c:pt>
                <c:pt idx="2488">
                  <c:v>1.399</c:v>
                </c:pt>
                <c:pt idx="2489">
                  <c:v>1.353</c:v>
                </c:pt>
                <c:pt idx="2490">
                  <c:v>1.361</c:v>
                </c:pt>
                <c:pt idx="2491">
                  <c:v>1.3859999999999999</c:v>
                </c:pt>
                <c:pt idx="2492">
                  <c:v>1.3959999999999999</c:v>
                </c:pt>
                <c:pt idx="2493">
                  <c:v>1.403</c:v>
                </c:pt>
                <c:pt idx="2494">
                  <c:v>1.3779999999999999</c:v>
                </c:pt>
                <c:pt idx="2495">
                  <c:v>1.351</c:v>
                </c:pt>
                <c:pt idx="2496">
                  <c:v>1.403</c:v>
                </c:pt>
                <c:pt idx="2497">
                  <c:v>1.431</c:v>
                </c:pt>
                <c:pt idx="2498">
                  <c:v>1.407</c:v>
                </c:pt>
                <c:pt idx="2499">
                  <c:v>1.3680000000000001</c:v>
                </c:pt>
                <c:pt idx="2500">
                  <c:v>1.357</c:v>
                </c:pt>
                <c:pt idx="2501">
                  <c:v>1.353</c:v>
                </c:pt>
                <c:pt idx="2502">
                  <c:v>1.337</c:v>
                </c:pt>
                <c:pt idx="2503">
                  <c:v>1.3879999999999999</c:v>
                </c:pt>
                <c:pt idx="2504">
                  <c:v>1.415</c:v>
                </c:pt>
                <c:pt idx="2505">
                  <c:v>1.4119999999999999</c:v>
                </c:pt>
                <c:pt idx="2506">
                  <c:v>1.407</c:v>
                </c:pt>
                <c:pt idx="2507">
                  <c:v>1.423</c:v>
                </c:pt>
                <c:pt idx="2508">
                  <c:v>1.35</c:v>
                </c:pt>
                <c:pt idx="2509">
                  <c:v>1.3420000000000001</c:v>
                </c:pt>
                <c:pt idx="2510">
                  <c:v>1.329</c:v>
                </c:pt>
                <c:pt idx="2511">
                  <c:v>1.3049999999999999</c:v>
                </c:pt>
                <c:pt idx="2512">
                  <c:v>1.367</c:v>
                </c:pt>
                <c:pt idx="2513">
                  <c:v>1.42</c:v>
                </c:pt>
                <c:pt idx="2514">
                  <c:v>1.4630000000000001</c:v>
                </c:pt>
                <c:pt idx="2515">
                  <c:v>1.454</c:v>
                </c:pt>
                <c:pt idx="2516">
                  <c:v>1.4450000000000001</c:v>
                </c:pt>
                <c:pt idx="2517">
                  <c:v>1.472</c:v>
                </c:pt>
                <c:pt idx="2518">
                  <c:v>1.4590000000000001</c:v>
                </c:pt>
                <c:pt idx="2519">
                  <c:v>1.4570000000000001</c:v>
                </c:pt>
                <c:pt idx="2520">
                  <c:v>1.4490000000000001</c:v>
                </c:pt>
                <c:pt idx="2521">
                  <c:v>1.468</c:v>
                </c:pt>
                <c:pt idx="2522">
                  <c:v>1.468</c:v>
                </c:pt>
                <c:pt idx="2523">
                  <c:v>1.498</c:v>
                </c:pt>
                <c:pt idx="2524">
                  <c:v>1.496</c:v>
                </c:pt>
                <c:pt idx="2525">
                  <c:v>1.4830000000000001</c:v>
                </c:pt>
                <c:pt idx="2526">
                  <c:v>1.5289999999999999</c:v>
                </c:pt>
                <c:pt idx="2527">
                  <c:v>1.5209999999999999</c:v>
                </c:pt>
                <c:pt idx="2528">
                  <c:v>1.5329999999999999</c:v>
                </c:pt>
                <c:pt idx="2529">
                  <c:v>1.514</c:v>
                </c:pt>
                <c:pt idx="2530">
                  <c:v>1.514</c:v>
                </c:pt>
                <c:pt idx="2531">
                  <c:v>1.514</c:v>
                </c:pt>
                <c:pt idx="2532">
                  <c:v>1.484</c:v>
                </c:pt>
                <c:pt idx="2533">
                  <c:v>1.4710000000000001</c:v>
                </c:pt>
                <c:pt idx="2534">
                  <c:v>1.5249999999999999</c:v>
                </c:pt>
                <c:pt idx="2535">
                  <c:v>1.502</c:v>
                </c:pt>
                <c:pt idx="2536">
                  <c:v>1.52</c:v>
                </c:pt>
                <c:pt idx="2537">
                  <c:v>1.5740000000000001</c:v>
                </c:pt>
                <c:pt idx="2538">
                  <c:v>1.556</c:v>
                </c:pt>
                <c:pt idx="2539">
                  <c:v>1.538</c:v>
                </c:pt>
                <c:pt idx="2540">
                  <c:v>1.552</c:v>
                </c:pt>
                <c:pt idx="2541">
                  <c:v>1.6020000000000001</c:v>
                </c:pt>
                <c:pt idx="2542">
                  <c:v>1.615</c:v>
                </c:pt>
                <c:pt idx="2543">
                  <c:v>1.5720000000000001</c:v>
                </c:pt>
                <c:pt idx="2544">
                  <c:v>1.5649999999999999</c:v>
                </c:pt>
                <c:pt idx="2545">
                  <c:v>1.548</c:v>
                </c:pt>
                <c:pt idx="2546">
                  <c:v>1.5349999999999999</c:v>
                </c:pt>
                <c:pt idx="2547">
                  <c:v>1.5669999999999999</c:v>
                </c:pt>
                <c:pt idx="2548">
                  <c:v>1.5760000000000001</c:v>
                </c:pt>
                <c:pt idx="2549">
                  <c:v>1.577</c:v>
                </c:pt>
                <c:pt idx="2550">
                  <c:v>1.63</c:v>
                </c:pt>
                <c:pt idx="2551">
                  <c:v>1.645</c:v>
                </c:pt>
                <c:pt idx="2552">
                  <c:v>1.5980000000000001</c:v>
                </c:pt>
                <c:pt idx="2553">
                  <c:v>1.5660000000000001</c:v>
                </c:pt>
                <c:pt idx="2554">
                  <c:v>1.5660000000000001</c:v>
                </c:pt>
                <c:pt idx="2555">
                  <c:v>1.5449999999999999</c:v>
                </c:pt>
                <c:pt idx="2556">
                  <c:v>1.54</c:v>
                </c:pt>
                <c:pt idx="2557">
                  <c:v>1.595</c:v>
                </c:pt>
                <c:pt idx="2558">
                  <c:v>1.637</c:v>
                </c:pt>
                <c:pt idx="2559">
                  <c:v>1.6240000000000001</c:v>
                </c:pt>
                <c:pt idx="2560">
                  <c:v>1.6519999999999999</c:v>
                </c:pt>
                <c:pt idx="2561">
                  <c:v>1.6459999999999999</c:v>
                </c:pt>
                <c:pt idx="2562">
                  <c:v>1.6040000000000001</c:v>
                </c:pt>
                <c:pt idx="2563">
                  <c:v>1.597</c:v>
                </c:pt>
                <c:pt idx="2564">
                  <c:v>1.55</c:v>
                </c:pt>
                <c:pt idx="2565">
                  <c:v>1.623</c:v>
                </c:pt>
                <c:pt idx="2566">
                  <c:v>1.5620000000000001</c:v>
                </c:pt>
                <c:pt idx="2567">
                  <c:v>1.6160000000000001</c:v>
                </c:pt>
                <c:pt idx="2568">
                  <c:v>1.645</c:v>
                </c:pt>
                <c:pt idx="2569">
                  <c:v>1.6779999999999999</c:v>
                </c:pt>
                <c:pt idx="2570">
                  <c:v>1.661</c:v>
                </c:pt>
                <c:pt idx="2571">
                  <c:v>1.6890000000000001</c:v>
                </c:pt>
                <c:pt idx="2572">
                  <c:v>1.66</c:v>
                </c:pt>
                <c:pt idx="2573">
                  <c:v>1.6659999999999999</c:v>
                </c:pt>
                <c:pt idx="2574">
                  <c:v>1.6830000000000001</c:v>
                </c:pt>
                <c:pt idx="2575">
                  <c:v>1.6779999999999999</c:v>
                </c:pt>
                <c:pt idx="2576">
                  <c:v>1.6659999999999999</c:v>
                </c:pt>
                <c:pt idx="2577">
                  <c:v>1.714</c:v>
                </c:pt>
                <c:pt idx="2578">
                  <c:v>1.6850000000000001</c:v>
                </c:pt>
                <c:pt idx="2579">
                  <c:v>1.6779999999999999</c:v>
                </c:pt>
                <c:pt idx="2580">
                  <c:v>1.66</c:v>
                </c:pt>
                <c:pt idx="2581">
                  <c:v>1.694</c:v>
                </c:pt>
                <c:pt idx="2582">
                  <c:v>1.635</c:v>
                </c:pt>
                <c:pt idx="2583">
                  <c:v>1.649</c:v>
                </c:pt>
                <c:pt idx="2584">
                  <c:v>1.643</c:v>
                </c:pt>
                <c:pt idx="2585">
                  <c:v>1.6579999999999999</c:v>
                </c:pt>
                <c:pt idx="2586">
                  <c:v>1.714</c:v>
                </c:pt>
                <c:pt idx="2587">
                  <c:v>1.74</c:v>
                </c:pt>
                <c:pt idx="2588">
                  <c:v>1.6759999999999999</c:v>
                </c:pt>
                <c:pt idx="2589">
                  <c:v>1.6639999999999999</c:v>
                </c:pt>
                <c:pt idx="2590">
                  <c:v>1.657</c:v>
                </c:pt>
                <c:pt idx="2591">
                  <c:v>1.708</c:v>
                </c:pt>
                <c:pt idx="2592">
                  <c:v>1.756</c:v>
                </c:pt>
                <c:pt idx="2593">
                  <c:v>1.738</c:v>
                </c:pt>
                <c:pt idx="2594">
                  <c:v>1.74</c:v>
                </c:pt>
                <c:pt idx="2595">
                  <c:v>1.752</c:v>
                </c:pt>
                <c:pt idx="2596">
                  <c:v>1.7789999999999999</c:v>
                </c:pt>
                <c:pt idx="2597">
                  <c:v>1.8240000000000001</c:v>
                </c:pt>
                <c:pt idx="2598">
                  <c:v>1.8129999999999999</c:v>
                </c:pt>
                <c:pt idx="2599">
                  <c:v>1.8160000000000001</c:v>
                </c:pt>
                <c:pt idx="2600">
                  <c:v>1.8420000000000001</c:v>
                </c:pt>
                <c:pt idx="2601">
                  <c:v>1.9139999999999999</c:v>
                </c:pt>
                <c:pt idx="2602">
                  <c:v>1.903</c:v>
                </c:pt>
                <c:pt idx="2603">
                  <c:v>1.885</c:v>
                </c:pt>
                <c:pt idx="2604">
                  <c:v>1.9059999999999999</c:v>
                </c:pt>
                <c:pt idx="2605">
                  <c:v>1.9419999999999999</c:v>
                </c:pt>
                <c:pt idx="2606">
                  <c:v>1.94</c:v>
                </c:pt>
                <c:pt idx="2607">
                  <c:v>1.925</c:v>
                </c:pt>
                <c:pt idx="2608">
                  <c:v>1.925</c:v>
                </c:pt>
                <c:pt idx="2609">
                  <c:v>1.929</c:v>
                </c:pt>
                <c:pt idx="2610">
                  <c:v>1.954</c:v>
                </c:pt>
                <c:pt idx="2611">
                  <c:v>1.89</c:v>
                </c:pt>
                <c:pt idx="2612">
                  <c:v>1.89</c:v>
                </c:pt>
                <c:pt idx="2613">
                  <c:v>1.89</c:v>
                </c:pt>
                <c:pt idx="2614">
                  <c:v>1.88</c:v>
                </c:pt>
                <c:pt idx="2615">
                  <c:v>1.869</c:v>
                </c:pt>
                <c:pt idx="2616">
                  <c:v>1.871</c:v>
                </c:pt>
                <c:pt idx="2617">
                  <c:v>1.8460000000000001</c:v>
                </c:pt>
                <c:pt idx="2618">
                  <c:v>1.8260000000000001</c:v>
                </c:pt>
                <c:pt idx="2619">
                  <c:v>1.8340000000000001</c:v>
                </c:pt>
                <c:pt idx="2620">
                  <c:v>1.827</c:v>
                </c:pt>
                <c:pt idx="2621">
                  <c:v>1.8380000000000001</c:v>
                </c:pt>
                <c:pt idx="2622">
                  <c:v>1.8129999999999999</c:v>
                </c:pt>
                <c:pt idx="2623">
                  <c:v>1.8340000000000001</c:v>
                </c:pt>
                <c:pt idx="2624">
                  <c:v>1.8380000000000001</c:v>
                </c:pt>
                <c:pt idx="2625">
                  <c:v>1.841</c:v>
                </c:pt>
                <c:pt idx="2626">
                  <c:v>1.86</c:v>
                </c:pt>
                <c:pt idx="2627">
                  <c:v>1.8140000000000001</c:v>
                </c:pt>
                <c:pt idx="2628">
                  <c:v>1.724</c:v>
                </c:pt>
                <c:pt idx="2629">
                  <c:v>1.7430000000000001</c:v>
                </c:pt>
                <c:pt idx="2630">
                  <c:v>1.6919999999999999</c:v>
                </c:pt>
                <c:pt idx="2631">
                  <c:v>1.694</c:v>
                </c:pt>
                <c:pt idx="2632">
                  <c:v>1.716</c:v>
                </c:pt>
                <c:pt idx="2633">
                  <c:v>1.6859999999999999</c:v>
                </c:pt>
                <c:pt idx="2634">
                  <c:v>1.722</c:v>
                </c:pt>
                <c:pt idx="2635">
                  <c:v>1.746</c:v>
                </c:pt>
                <c:pt idx="2636">
                  <c:v>1.74</c:v>
                </c:pt>
                <c:pt idx="2637">
                  <c:v>1.714</c:v>
                </c:pt>
                <c:pt idx="2638">
                  <c:v>1.7190000000000001</c:v>
                </c:pt>
                <c:pt idx="2639">
                  <c:v>1.68</c:v>
                </c:pt>
                <c:pt idx="2640">
                  <c:v>1.7050000000000001</c:v>
                </c:pt>
                <c:pt idx="2641">
                  <c:v>1.7</c:v>
                </c:pt>
                <c:pt idx="2642">
                  <c:v>1.7350000000000001</c:v>
                </c:pt>
                <c:pt idx="2643">
                  <c:v>1.7889999999999999</c:v>
                </c:pt>
                <c:pt idx="2644">
                  <c:v>1.7529999999999999</c:v>
                </c:pt>
                <c:pt idx="2645">
                  <c:v>1.7569999999999999</c:v>
                </c:pt>
                <c:pt idx="2646">
                  <c:v>1.6839999999999999</c:v>
                </c:pt>
                <c:pt idx="2647">
                  <c:v>1.74</c:v>
                </c:pt>
                <c:pt idx="2648">
                  <c:v>1.742</c:v>
                </c:pt>
                <c:pt idx="2649">
                  <c:v>1.6759999999999999</c:v>
                </c:pt>
                <c:pt idx="2650">
                  <c:v>1.6910000000000001</c:v>
                </c:pt>
                <c:pt idx="2651">
                  <c:v>1.673</c:v>
                </c:pt>
                <c:pt idx="2652">
                  <c:v>1.6870000000000001</c:v>
                </c:pt>
                <c:pt idx="2653">
                  <c:v>1.74</c:v>
                </c:pt>
                <c:pt idx="2654">
                  <c:v>1.7490000000000001</c:v>
                </c:pt>
                <c:pt idx="2655">
                  <c:v>1.7549999999999999</c:v>
                </c:pt>
                <c:pt idx="2656">
                  <c:v>1.764</c:v>
                </c:pt>
                <c:pt idx="2657">
                  <c:v>1.766</c:v>
                </c:pt>
                <c:pt idx="2658">
                  <c:v>1.7949999999999999</c:v>
                </c:pt>
                <c:pt idx="2659">
                  <c:v>1.847</c:v>
                </c:pt>
                <c:pt idx="2660">
                  <c:v>1.831</c:v>
                </c:pt>
                <c:pt idx="2661">
                  <c:v>1.867</c:v>
                </c:pt>
                <c:pt idx="2662">
                  <c:v>1.9279999999999999</c:v>
                </c:pt>
                <c:pt idx="2663">
                  <c:v>1.913</c:v>
                </c:pt>
                <c:pt idx="2664">
                  <c:v>1.8580000000000001</c:v>
                </c:pt>
                <c:pt idx="2665">
                  <c:v>1.863</c:v>
                </c:pt>
                <c:pt idx="2666">
                  <c:v>1.8680000000000001</c:v>
                </c:pt>
                <c:pt idx="2667">
                  <c:v>1.8109999999999999</c:v>
                </c:pt>
                <c:pt idx="2668">
                  <c:v>1.81</c:v>
                </c:pt>
                <c:pt idx="2669">
                  <c:v>1.802</c:v>
                </c:pt>
                <c:pt idx="2670">
                  <c:v>1.84</c:v>
                </c:pt>
                <c:pt idx="2671">
                  <c:v>1.792</c:v>
                </c:pt>
                <c:pt idx="2672">
                  <c:v>1.81</c:v>
                </c:pt>
                <c:pt idx="2673">
                  <c:v>1.804</c:v>
                </c:pt>
                <c:pt idx="2674">
                  <c:v>1.778</c:v>
                </c:pt>
                <c:pt idx="2675">
                  <c:v>1.7769999999999999</c:v>
                </c:pt>
                <c:pt idx="2676">
                  <c:v>1.83</c:v>
                </c:pt>
                <c:pt idx="2677">
                  <c:v>1.8220000000000001</c:v>
                </c:pt>
                <c:pt idx="2678">
                  <c:v>1.845</c:v>
                </c:pt>
                <c:pt idx="2679">
                  <c:v>1.917</c:v>
                </c:pt>
                <c:pt idx="2680">
                  <c:v>1.9419999999999999</c:v>
                </c:pt>
                <c:pt idx="2681">
                  <c:v>1.92</c:v>
                </c:pt>
                <c:pt idx="2682">
                  <c:v>2</c:v>
                </c:pt>
                <c:pt idx="2683">
                  <c:v>1.9630000000000001</c:v>
                </c:pt>
                <c:pt idx="2684">
                  <c:v>1.9370000000000001</c:v>
                </c:pt>
                <c:pt idx="2685">
                  <c:v>1.9750000000000001</c:v>
                </c:pt>
                <c:pt idx="2686">
                  <c:v>1.9990000000000001</c:v>
                </c:pt>
                <c:pt idx="2687">
                  <c:v>2.0449999999999999</c:v>
                </c:pt>
                <c:pt idx="2688">
                  <c:v>2.0259999999999998</c:v>
                </c:pt>
                <c:pt idx="2689">
                  <c:v>1.9590000000000001</c:v>
                </c:pt>
                <c:pt idx="2690">
                  <c:v>1.9490000000000001</c:v>
                </c:pt>
                <c:pt idx="2691">
                  <c:v>2.0409999999999999</c:v>
                </c:pt>
                <c:pt idx="2692">
                  <c:v>1.94</c:v>
                </c:pt>
                <c:pt idx="2693">
                  <c:v>1.94</c:v>
                </c:pt>
                <c:pt idx="2694">
                  <c:v>1.9039999999999999</c:v>
                </c:pt>
                <c:pt idx="2695">
                  <c:v>1.855</c:v>
                </c:pt>
                <c:pt idx="2696">
                  <c:v>1.855</c:v>
                </c:pt>
                <c:pt idx="2697">
                  <c:v>1.875</c:v>
                </c:pt>
                <c:pt idx="2698">
                  <c:v>1.8460000000000001</c:v>
                </c:pt>
                <c:pt idx="2699">
                  <c:v>1.893</c:v>
                </c:pt>
                <c:pt idx="2700">
                  <c:v>1.9339999999999999</c:v>
                </c:pt>
                <c:pt idx="2701">
                  <c:v>1.919</c:v>
                </c:pt>
                <c:pt idx="2702">
                  <c:v>1.87</c:v>
                </c:pt>
                <c:pt idx="2703">
                  <c:v>1.84</c:v>
                </c:pt>
                <c:pt idx="2704">
                  <c:v>1.8959999999999999</c:v>
                </c:pt>
                <c:pt idx="2705">
                  <c:v>1.88</c:v>
                </c:pt>
                <c:pt idx="2706">
                  <c:v>1.8819999999999999</c:v>
                </c:pt>
                <c:pt idx="2707">
                  <c:v>1.821</c:v>
                </c:pt>
                <c:pt idx="2708">
                  <c:v>1.8069999999999999</c:v>
                </c:pt>
                <c:pt idx="2709">
                  <c:v>1.7010000000000001</c:v>
                </c:pt>
                <c:pt idx="2710">
                  <c:v>1.679</c:v>
                </c:pt>
                <c:pt idx="2711">
                  <c:v>1.6859999999999999</c:v>
                </c:pt>
                <c:pt idx="2712">
                  <c:v>1.6859999999999999</c:v>
                </c:pt>
                <c:pt idx="2713">
                  <c:v>1.7010000000000001</c:v>
                </c:pt>
                <c:pt idx="2714">
                  <c:v>1.6859999999999999</c:v>
                </c:pt>
                <c:pt idx="2715">
                  <c:v>1.65</c:v>
                </c:pt>
                <c:pt idx="2716">
                  <c:v>1.6659999999999999</c:v>
                </c:pt>
                <c:pt idx="2717">
                  <c:v>1.669</c:v>
                </c:pt>
                <c:pt idx="2718">
                  <c:v>1.667</c:v>
                </c:pt>
                <c:pt idx="2719">
                  <c:v>1.663</c:v>
                </c:pt>
                <c:pt idx="2720">
                  <c:v>1.665</c:v>
                </c:pt>
                <c:pt idx="2721">
                  <c:v>1.67</c:v>
                </c:pt>
                <c:pt idx="2722">
                  <c:v>1.645</c:v>
                </c:pt>
                <c:pt idx="2723">
                  <c:v>1.55</c:v>
                </c:pt>
                <c:pt idx="2724">
                  <c:v>1.514</c:v>
                </c:pt>
                <c:pt idx="2725">
                  <c:v>1.518</c:v>
                </c:pt>
                <c:pt idx="2726">
                  <c:v>1.518</c:v>
                </c:pt>
                <c:pt idx="2727">
                  <c:v>1.542</c:v>
                </c:pt>
                <c:pt idx="2728">
                  <c:v>1.55</c:v>
                </c:pt>
                <c:pt idx="2729">
                  <c:v>1.577</c:v>
                </c:pt>
                <c:pt idx="2730">
                  <c:v>1.5589999999999999</c:v>
                </c:pt>
                <c:pt idx="2731">
                  <c:v>1.6220000000000001</c:v>
                </c:pt>
                <c:pt idx="2732">
                  <c:v>1.657</c:v>
                </c:pt>
                <c:pt idx="2733">
                  <c:v>1.653</c:v>
                </c:pt>
                <c:pt idx="2734">
                  <c:v>1.6970000000000001</c:v>
                </c:pt>
                <c:pt idx="2735">
                  <c:v>1.718</c:v>
                </c:pt>
                <c:pt idx="2736">
                  <c:v>1.647</c:v>
                </c:pt>
                <c:pt idx="2737">
                  <c:v>1.659</c:v>
                </c:pt>
                <c:pt idx="2738">
                  <c:v>1.7030000000000001</c:v>
                </c:pt>
                <c:pt idx="2739">
                  <c:v>1.7190000000000001</c:v>
                </c:pt>
                <c:pt idx="2740">
                  <c:v>1.728</c:v>
                </c:pt>
                <c:pt idx="2741">
                  <c:v>1.724</c:v>
                </c:pt>
                <c:pt idx="2742">
                  <c:v>1.766</c:v>
                </c:pt>
                <c:pt idx="2743">
                  <c:v>1.8029999999999999</c:v>
                </c:pt>
                <c:pt idx="2744">
                  <c:v>1.8109999999999999</c:v>
                </c:pt>
                <c:pt idx="2745">
                  <c:v>1.724</c:v>
                </c:pt>
                <c:pt idx="2746">
                  <c:v>1.6639999999999999</c:v>
                </c:pt>
                <c:pt idx="2747">
                  <c:v>1.5569999999999999</c:v>
                </c:pt>
                <c:pt idx="2748">
                  <c:v>1.569</c:v>
                </c:pt>
                <c:pt idx="2749">
                  <c:v>1.52</c:v>
                </c:pt>
                <c:pt idx="2750">
                  <c:v>1.5129999999999999</c:v>
                </c:pt>
                <c:pt idx="2751">
                  <c:v>1.5609999999999999</c:v>
                </c:pt>
                <c:pt idx="2752">
                  <c:v>1.5840000000000001</c:v>
                </c:pt>
                <c:pt idx="2753">
                  <c:v>1.6</c:v>
                </c:pt>
                <c:pt idx="2754">
                  <c:v>1.6</c:v>
                </c:pt>
                <c:pt idx="2755">
                  <c:v>1.5449999999999999</c:v>
                </c:pt>
                <c:pt idx="2756">
                  <c:v>1.52</c:v>
                </c:pt>
                <c:pt idx="2757">
                  <c:v>1.51</c:v>
                </c:pt>
                <c:pt idx="2758">
                  <c:v>1.542</c:v>
                </c:pt>
                <c:pt idx="2759">
                  <c:v>1.5209999999999999</c:v>
                </c:pt>
                <c:pt idx="2760">
                  <c:v>1.504</c:v>
                </c:pt>
                <c:pt idx="2761">
                  <c:v>1.516</c:v>
                </c:pt>
                <c:pt idx="2762">
                  <c:v>1.532</c:v>
                </c:pt>
                <c:pt idx="2763">
                  <c:v>1.4970000000000001</c:v>
                </c:pt>
                <c:pt idx="2764">
                  <c:v>1.456</c:v>
                </c:pt>
                <c:pt idx="2765">
                  <c:v>1.43</c:v>
                </c:pt>
                <c:pt idx="2766">
                  <c:v>1.4430000000000001</c:v>
                </c:pt>
                <c:pt idx="2767">
                  <c:v>1.4259999999999999</c:v>
                </c:pt>
                <c:pt idx="2768">
                  <c:v>1.39</c:v>
                </c:pt>
                <c:pt idx="2769">
                  <c:v>1.3759999999999999</c:v>
                </c:pt>
                <c:pt idx="2770">
                  <c:v>1.325</c:v>
                </c:pt>
                <c:pt idx="2771">
                  <c:v>1.33</c:v>
                </c:pt>
                <c:pt idx="2772">
                  <c:v>1.3819999999999999</c:v>
                </c:pt>
                <c:pt idx="2773">
                  <c:v>1.373</c:v>
                </c:pt>
                <c:pt idx="2774">
                  <c:v>1.355</c:v>
                </c:pt>
                <c:pt idx="2775">
                  <c:v>1.379</c:v>
                </c:pt>
                <c:pt idx="2776">
                  <c:v>1.2689999999999999</c:v>
                </c:pt>
                <c:pt idx="2777">
                  <c:v>1.2689999999999999</c:v>
                </c:pt>
                <c:pt idx="2778">
                  <c:v>1.298</c:v>
                </c:pt>
                <c:pt idx="2779">
                  <c:v>1.2430000000000001</c:v>
                </c:pt>
                <c:pt idx="2780">
                  <c:v>1.2390000000000001</c:v>
                </c:pt>
                <c:pt idx="2781">
                  <c:v>1.165</c:v>
                </c:pt>
                <c:pt idx="2782">
                  <c:v>1.206</c:v>
                </c:pt>
                <c:pt idx="2783">
                  <c:v>1.2150000000000001</c:v>
                </c:pt>
                <c:pt idx="2784">
                  <c:v>1.2030000000000001</c:v>
                </c:pt>
                <c:pt idx="2785">
                  <c:v>1.2050000000000001</c:v>
                </c:pt>
                <c:pt idx="2786">
                  <c:v>1.2370000000000001</c:v>
                </c:pt>
                <c:pt idx="2787">
                  <c:v>1.238</c:v>
                </c:pt>
                <c:pt idx="2788">
                  <c:v>1.26</c:v>
                </c:pt>
                <c:pt idx="2789">
                  <c:v>1.2310000000000001</c:v>
                </c:pt>
                <c:pt idx="2790">
                  <c:v>1.25</c:v>
                </c:pt>
                <c:pt idx="2791">
                  <c:v>1.2250000000000001</c:v>
                </c:pt>
                <c:pt idx="2792">
                  <c:v>1.228</c:v>
                </c:pt>
                <c:pt idx="2793">
                  <c:v>1.276</c:v>
                </c:pt>
                <c:pt idx="2794">
                  <c:v>1.244</c:v>
                </c:pt>
                <c:pt idx="2795">
                  <c:v>1.26</c:v>
                </c:pt>
                <c:pt idx="2796">
                  <c:v>1.3009999999999999</c:v>
                </c:pt>
                <c:pt idx="2797">
                  <c:v>1.3029999999999999</c:v>
                </c:pt>
                <c:pt idx="2798">
                  <c:v>1.26</c:v>
                </c:pt>
                <c:pt idx="2799">
                  <c:v>1.236</c:v>
                </c:pt>
                <c:pt idx="2800">
                  <c:v>1.2110000000000001</c:v>
                </c:pt>
                <c:pt idx="2801">
                  <c:v>1.238</c:v>
                </c:pt>
                <c:pt idx="2802">
                  <c:v>1.2869999999999999</c:v>
                </c:pt>
                <c:pt idx="2803">
                  <c:v>1.306</c:v>
                </c:pt>
                <c:pt idx="2804">
                  <c:v>1.288</c:v>
                </c:pt>
                <c:pt idx="2805">
                  <c:v>1.288</c:v>
                </c:pt>
                <c:pt idx="2806">
                  <c:v>1.288</c:v>
                </c:pt>
                <c:pt idx="2807">
                  <c:v>1.2689999999999999</c:v>
                </c:pt>
                <c:pt idx="2808">
                  <c:v>1.3440000000000001</c:v>
                </c:pt>
                <c:pt idx="2809">
                  <c:v>1.3260000000000001</c:v>
                </c:pt>
                <c:pt idx="2810">
                  <c:v>1.3779999999999999</c:v>
                </c:pt>
                <c:pt idx="2811">
                  <c:v>1.365</c:v>
                </c:pt>
                <c:pt idx="2812">
                  <c:v>1.3859999999999999</c:v>
                </c:pt>
                <c:pt idx="2813">
                  <c:v>1.3460000000000001</c:v>
                </c:pt>
                <c:pt idx="2814">
                  <c:v>1.4059999999999999</c:v>
                </c:pt>
                <c:pt idx="2815">
                  <c:v>1.454</c:v>
                </c:pt>
                <c:pt idx="2816">
                  <c:v>1.472</c:v>
                </c:pt>
                <c:pt idx="2817">
                  <c:v>1.48</c:v>
                </c:pt>
                <c:pt idx="2818">
                  <c:v>1.48</c:v>
                </c:pt>
                <c:pt idx="2819">
                  <c:v>1.516</c:v>
                </c:pt>
                <c:pt idx="2820">
                  <c:v>1.524</c:v>
                </c:pt>
                <c:pt idx="2821">
                  <c:v>1.4910000000000001</c:v>
                </c:pt>
                <c:pt idx="2822">
                  <c:v>1.456</c:v>
                </c:pt>
                <c:pt idx="2823">
                  <c:v>1.4490000000000001</c:v>
                </c:pt>
                <c:pt idx="2824">
                  <c:v>1.4179999999999999</c:v>
                </c:pt>
                <c:pt idx="2825">
                  <c:v>1.41</c:v>
                </c:pt>
                <c:pt idx="2826">
                  <c:v>1.4530000000000001</c:v>
                </c:pt>
                <c:pt idx="2827">
                  <c:v>1.4510000000000001</c:v>
                </c:pt>
                <c:pt idx="2828">
                  <c:v>1.452</c:v>
                </c:pt>
                <c:pt idx="2829">
                  <c:v>1.5549999999999999</c:v>
                </c:pt>
                <c:pt idx="2830">
                  <c:v>1.5669999999999999</c:v>
                </c:pt>
                <c:pt idx="2831">
                  <c:v>1.573</c:v>
                </c:pt>
                <c:pt idx="2832">
                  <c:v>1.653</c:v>
                </c:pt>
                <c:pt idx="2833">
                  <c:v>1.621</c:v>
                </c:pt>
                <c:pt idx="2834">
                  <c:v>1.629</c:v>
                </c:pt>
                <c:pt idx="2835">
                  <c:v>1.6519999999999999</c:v>
                </c:pt>
                <c:pt idx="2836">
                  <c:v>1.6419999999999999</c:v>
                </c:pt>
                <c:pt idx="2837">
                  <c:v>1.671</c:v>
                </c:pt>
                <c:pt idx="2838">
                  <c:v>1.629</c:v>
                </c:pt>
                <c:pt idx="2839">
                  <c:v>1.609</c:v>
                </c:pt>
                <c:pt idx="2840">
                  <c:v>1.609</c:v>
                </c:pt>
                <c:pt idx="2841">
                  <c:v>1.6040000000000001</c:v>
                </c:pt>
                <c:pt idx="2842">
                  <c:v>1.63</c:v>
                </c:pt>
                <c:pt idx="2843">
                  <c:v>1.65</c:v>
                </c:pt>
                <c:pt idx="2844">
                  <c:v>1.611</c:v>
                </c:pt>
                <c:pt idx="2845">
                  <c:v>1.6719999999999999</c:v>
                </c:pt>
                <c:pt idx="2846">
                  <c:v>1.679</c:v>
                </c:pt>
                <c:pt idx="2847">
                  <c:v>1.71</c:v>
                </c:pt>
                <c:pt idx="2848">
                  <c:v>1.69</c:v>
                </c:pt>
                <c:pt idx="2849">
                  <c:v>1.6919999999999999</c:v>
                </c:pt>
                <c:pt idx="2850">
                  <c:v>1.6359999999999999</c:v>
                </c:pt>
                <c:pt idx="2851">
                  <c:v>1.571</c:v>
                </c:pt>
                <c:pt idx="2852">
                  <c:v>1.5429999999999999</c:v>
                </c:pt>
                <c:pt idx="2853">
                  <c:v>1.5720000000000001</c:v>
                </c:pt>
                <c:pt idx="2854">
                  <c:v>1.593</c:v>
                </c:pt>
                <c:pt idx="2855">
                  <c:v>1.554</c:v>
                </c:pt>
                <c:pt idx="2856">
                  <c:v>1.607</c:v>
                </c:pt>
                <c:pt idx="2857">
                  <c:v>1.5649999999999999</c:v>
                </c:pt>
                <c:pt idx="2858">
                  <c:v>1.5760000000000001</c:v>
                </c:pt>
                <c:pt idx="2859">
                  <c:v>1.55</c:v>
                </c:pt>
                <c:pt idx="2860">
                  <c:v>1.5820000000000001</c:v>
                </c:pt>
                <c:pt idx="2861">
                  <c:v>1.56</c:v>
                </c:pt>
                <c:pt idx="2862">
                  <c:v>1.476</c:v>
                </c:pt>
                <c:pt idx="2863">
                  <c:v>1.49</c:v>
                </c:pt>
                <c:pt idx="2864">
                  <c:v>1.5149999999999999</c:v>
                </c:pt>
                <c:pt idx="2865">
                  <c:v>1.5349999999999999</c:v>
                </c:pt>
                <c:pt idx="2866">
                  <c:v>1.478</c:v>
                </c:pt>
                <c:pt idx="2867">
                  <c:v>1.4410000000000001</c:v>
                </c:pt>
                <c:pt idx="2868">
                  <c:v>1.3140000000000001</c:v>
                </c:pt>
                <c:pt idx="2869">
                  <c:v>1.3140000000000001</c:v>
                </c:pt>
                <c:pt idx="2870">
                  <c:v>1.3080000000000001</c:v>
                </c:pt>
                <c:pt idx="2871">
                  <c:v>1.3140000000000001</c:v>
                </c:pt>
                <c:pt idx="2872">
                  <c:v>1.375</c:v>
                </c:pt>
                <c:pt idx="2873">
                  <c:v>1.375</c:v>
                </c:pt>
                <c:pt idx="2874">
                  <c:v>1.375</c:v>
                </c:pt>
                <c:pt idx="2875">
                  <c:v>1.375</c:v>
                </c:pt>
                <c:pt idx="2876">
                  <c:v>1.4159999999999999</c:v>
                </c:pt>
                <c:pt idx="2877">
                  <c:v>1.429</c:v>
                </c:pt>
                <c:pt idx="2878">
                  <c:v>1.41</c:v>
                </c:pt>
                <c:pt idx="2879">
                  <c:v>1.3720000000000001</c:v>
                </c:pt>
                <c:pt idx="2880">
                  <c:v>1.347</c:v>
                </c:pt>
                <c:pt idx="2881">
                  <c:v>1.3520000000000001</c:v>
                </c:pt>
                <c:pt idx="2882">
                  <c:v>1.3340000000000001</c:v>
                </c:pt>
                <c:pt idx="2883">
                  <c:v>1.3180000000000001</c:v>
                </c:pt>
                <c:pt idx="2884">
                  <c:v>1.3049999999999999</c:v>
                </c:pt>
                <c:pt idx="2885">
                  <c:v>1.294</c:v>
                </c:pt>
                <c:pt idx="2886">
                  <c:v>1.2949999999999999</c:v>
                </c:pt>
                <c:pt idx="2887">
                  <c:v>1.347</c:v>
                </c:pt>
                <c:pt idx="2888">
                  <c:v>1.393</c:v>
                </c:pt>
                <c:pt idx="2889">
                  <c:v>1.409</c:v>
                </c:pt>
                <c:pt idx="2890">
                  <c:v>1.385</c:v>
                </c:pt>
                <c:pt idx="2891">
                  <c:v>1.3660000000000001</c:v>
                </c:pt>
                <c:pt idx="2892">
                  <c:v>1.3680000000000001</c:v>
                </c:pt>
                <c:pt idx="2893">
                  <c:v>1.4390000000000001</c:v>
                </c:pt>
                <c:pt idx="2894">
                  <c:v>1.413</c:v>
                </c:pt>
                <c:pt idx="2895">
                  <c:v>1.4350000000000001</c:v>
                </c:pt>
                <c:pt idx="2896">
                  <c:v>1.43</c:v>
                </c:pt>
                <c:pt idx="2897">
                  <c:v>1.43</c:v>
                </c:pt>
                <c:pt idx="2898">
                  <c:v>1.417</c:v>
                </c:pt>
                <c:pt idx="2899">
                  <c:v>1.355</c:v>
                </c:pt>
                <c:pt idx="2900">
                  <c:v>1.33</c:v>
                </c:pt>
                <c:pt idx="2901">
                  <c:v>1.3380000000000001</c:v>
                </c:pt>
                <c:pt idx="2902">
                  <c:v>1.341</c:v>
                </c:pt>
                <c:pt idx="2903">
                  <c:v>1.3380000000000001</c:v>
                </c:pt>
                <c:pt idx="2904">
                  <c:v>1.343</c:v>
                </c:pt>
                <c:pt idx="2905">
                  <c:v>1.347</c:v>
                </c:pt>
                <c:pt idx="2906">
                  <c:v>1.363</c:v>
                </c:pt>
                <c:pt idx="2907">
                  <c:v>1.379</c:v>
                </c:pt>
                <c:pt idx="2908">
                  <c:v>1.4379999999999999</c:v>
                </c:pt>
                <c:pt idx="2909">
                  <c:v>1.427</c:v>
                </c:pt>
                <c:pt idx="2910">
                  <c:v>1.4490000000000001</c:v>
                </c:pt>
                <c:pt idx="2911">
                  <c:v>1.454</c:v>
                </c:pt>
                <c:pt idx="2912">
                  <c:v>1.462</c:v>
                </c:pt>
                <c:pt idx="2913">
                  <c:v>1.478</c:v>
                </c:pt>
                <c:pt idx="2914">
                  <c:v>1.4570000000000001</c:v>
                </c:pt>
                <c:pt idx="2915">
                  <c:v>1.536</c:v>
                </c:pt>
                <c:pt idx="2916">
                  <c:v>1.5820000000000001</c:v>
                </c:pt>
                <c:pt idx="2917">
                  <c:v>1.5549999999999999</c:v>
                </c:pt>
                <c:pt idx="2918">
                  <c:v>1.571</c:v>
                </c:pt>
                <c:pt idx="2919">
                  <c:v>1.617</c:v>
                </c:pt>
                <c:pt idx="2920">
                  <c:v>1.593</c:v>
                </c:pt>
                <c:pt idx="2921">
                  <c:v>1.6319999999999999</c:v>
                </c:pt>
                <c:pt idx="2922">
                  <c:v>1.633</c:v>
                </c:pt>
                <c:pt idx="2923">
                  <c:v>1.5429999999999999</c:v>
                </c:pt>
                <c:pt idx="2924">
                  <c:v>1.472</c:v>
                </c:pt>
                <c:pt idx="2925">
                  <c:v>1.444</c:v>
                </c:pt>
                <c:pt idx="2926">
                  <c:v>1.5009999999999999</c:v>
                </c:pt>
                <c:pt idx="2927">
                  <c:v>1.4890000000000001</c:v>
                </c:pt>
                <c:pt idx="2928">
                  <c:v>1.4730000000000001</c:v>
                </c:pt>
                <c:pt idx="2929">
                  <c:v>1.474</c:v>
                </c:pt>
                <c:pt idx="2930">
                  <c:v>1.52</c:v>
                </c:pt>
                <c:pt idx="2931">
                  <c:v>1.446</c:v>
                </c:pt>
                <c:pt idx="2932">
                  <c:v>1.446</c:v>
                </c:pt>
                <c:pt idx="2933">
                  <c:v>1.4550000000000001</c:v>
                </c:pt>
                <c:pt idx="2934">
                  <c:v>1.4490000000000001</c:v>
                </c:pt>
                <c:pt idx="2935">
                  <c:v>1.4410000000000001</c:v>
                </c:pt>
                <c:pt idx="2936">
                  <c:v>1.4570000000000001</c:v>
                </c:pt>
                <c:pt idx="2937">
                  <c:v>1.4550000000000001</c:v>
                </c:pt>
                <c:pt idx="2938">
                  <c:v>1.583</c:v>
                </c:pt>
                <c:pt idx="2939">
                  <c:v>1.5580000000000001</c:v>
                </c:pt>
                <c:pt idx="2940">
                  <c:v>1.5960000000000001</c:v>
                </c:pt>
                <c:pt idx="2941">
                  <c:v>1.573</c:v>
                </c:pt>
                <c:pt idx="2942">
                  <c:v>1.621</c:v>
                </c:pt>
                <c:pt idx="2943">
                  <c:v>1.6359999999999999</c:v>
                </c:pt>
                <c:pt idx="2944">
                  <c:v>1.671</c:v>
                </c:pt>
                <c:pt idx="2945">
                  <c:v>1.7050000000000001</c:v>
                </c:pt>
                <c:pt idx="2946">
                  <c:v>1.5529999999999999</c:v>
                </c:pt>
                <c:pt idx="2947">
                  <c:v>1.6160000000000001</c:v>
                </c:pt>
                <c:pt idx="2948">
                  <c:v>1.542</c:v>
                </c:pt>
                <c:pt idx="2949">
                  <c:v>1.546</c:v>
                </c:pt>
                <c:pt idx="2950">
                  <c:v>1.518</c:v>
                </c:pt>
                <c:pt idx="2951">
                  <c:v>1.5580000000000001</c:v>
                </c:pt>
                <c:pt idx="2952">
                  <c:v>1.478</c:v>
                </c:pt>
                <c:pt idx="2953">
                  <c:v>1.39</c:v>
                </c:pt>
                <c:pt idx="2954">
                  <c:v>1.377</c:v>
                </c:pt>
                <c:pt idx="2955">
                  <c:v>1.333</c:v>
                </c:pt>
                <c:pt idx="2956">
                  <c:v>1.321</c:v>
                </c:pt>
                <c:pt idx="2957">
                  <c:v>1.38</c:v>
                </c:pt>
                <c:pt idx="2958">
                  <c:v>1.34</c:v>
                </c:pt>
                <c:pt idx="2959">
                  <c:v>1.351</c:v>
                </c:pt>
                <c:pt idx="2960">
                  <c:v>1.353</c:v>
                </c:pt>
                <c:pt idx="2961">
                  <c:v>1.3759999999999999</c:v>
                </c:pt>
                <c:pt idx="2962">
                  <c:v>1.46</c:v>
                </c:pt>
                <c:pt idx="2963">
                  <c:v>1.556</c:v>
                </c:pt>
                <c:pt idx="2964">
                  <c:v>1.508</c:v>
                </c:pt>
                <c:pt idx="2965">
                  <c:v>1.494</c:v>
                </c:pt>
                <c:pt idx="2966">
                  <c:v>1.5249999999999999</c:v>
                </c:pt>
                <c:pt idx="2967">
                  <c:v>1.5620000000000001</c:v>
                </c:pt>
                <c:pt idx="2968">
                  <c:v>1.4670000000000001</c:v>
                </c:pt>
                <c:pt idx="2969">
                  <c:v>1.401</c:v>
                </c:pt>
                <c:pt idx="2970">
                  <c:v>1.3839999999999999</c:v>
                </c:pt>
                <c:pt idx="2971">
                  <c:v>1.4330000000000001</c:v>
                </c:pt>
                <c:pt idx="2972">
                  <c:v>1.42</c:v>
                </c:pt>
                <c:pt idx="2973">
                  <c:v>1.4830000000000001</c:v>
                </c:pt>
                <c:pt idx="2974">
                  <c:v>1.3939999999999999</c:v>
                </c:pt>
                <c:pt idx="2975">
                  <c:v>1.4219999999999999</c:v>
                </c:pt>
                <c:pt idx="2976">
                  <c:v>1.2250000000000001</c:v>
                </c:pt>
                <c:pt idx="2977">
                  <c:v>1.367</c:v>
                </c:pt>
                <c:pt idx="2978">
                  <c:v>1.284</c:v>
                </c:pt>
                <c:pt idx="2979">
                  <c:v>1.3740000000000001</c:v>
                </c:pt>
                <c:pt idx="2980">
                  <c:v>1.397</c:v>
                </c:pt>
                <c:pt idx="2981">
                  <c:v>1.32</c:v>
                </c:pt>
                <c:pt idx="2982">
                  <c:v>1.2609999999999999</c:v>
                </c:pt>
                <c:pt idx="2983">
                  <c:v>1.2350000000000001</c:v>
                </c:pt>
                <c:pt idx="2984">
                  <c:v>1.1739999999999999</c:v>
                </c:pt>
                <c:pt idx="2985">
                  <c:v>1.1659999999999999</c:v>
                </c:pt>
                <c:pt idx="2986">
                  <c:v>1.216</c:v>
                </c:pt>
                <c:pt idx="2987">
                  <c:v>1.198</c:v>
                </c:pt>
                <c:pt idx="2988">
                  <c:v>1.2310000000000001</c:v>
                </c:pt>
                <c:pt idx="2989">
                  <c:v>1.2310000000000001</c:v>
                </c:pt>
                <c:pt idx="2990">
                  <c:v>1.258</c:v>
                </c:pt>
                <c:pt idx="2991">
                  <c:v>1.248</c:v>
                </c:pt>
                <c:pt idx="2992">
                  <c:v>1.27</c:v>
                </c:pt>
                <c:pt idx="2993">
                  <c:v>1.319</c:v>
                </c:pt>
                <c:pt idx="2994">
                  <c:v>1.32</c:v>
                </c:pt>
                <c:pt idx="2995">
                  <c:v>1.3260000000000001</c:v>
                </c:pt>
                <c:pt idx="2996">
                  <c:v>1.381</c:v>
                </c:pt>
                <c:pt idx="2997">
                  <c:v>1.452</c:v>
                </c:pt>
                <c:pt idx="2998">
                  <c:v>1.5309999999999999</c:v>
                </c:pt>
                <c:pt idx="2999">
                  <c:v>1.518</c:v>
                </c:pt>
                <c:pt idx="3000">
                  <c:v>1.581</c:v>
                </c:pt>
                <c:pt idx="3001">
                  <c:v>1.512</c:v>
                </c:pt>
                <c:pt idx="3002">
                  <c:v>1.5660000000000001</c:v>
                </c:pt>
                <c:pt idx="3003">
                  <c:v>1.504</c:v>
                </c:pt>
                <c:pt idx="3004">
                  <c:v>1.462</c:v>
                </c:pt>
                <c:pt idx="3005">
                  <c:v>1.58</c:v>
                </c:pt>
                <c:pt idx="3006">
                  <c:v>1.5329999999999999</c:v>
                </c:pt>
                <c:pt idx="3007">
                  <c:v>1.613</c:v>
                </c:pt>
                <c:pt idx="3008">
                  <c:v>1.528</c:v>
                </c:pt>
                <c:pt idx="3009">
                  <c:v>1.41</c:v>
                </c:pt>
                <c:pt idx="3010">
                  <c:v>1.4359999999999999</c:v>
                </c:pt>
                <c:pt idx="3011">
                  <c:v>1.486</c:v>
                </c:pt>
                <c:pt idx="3012">
                  <c:v>1.4870000000000001</c:v>
                </c:pt>
                <c:pt idx="3013">
                  <c:v>1.4239999999999999</c:v>
                </c:pt>
                <c:pt idx="3014">
                  <c:v>1.304</c:v>
                </c:pt>
                <c:pt idx="3015">
                  <c:v>1.3280000000000001</c:v>
                </c:pt>
                <c:pt idx="3016">
                  <c:v>1.373</c:v>
                </c:pt>
                <c:pt idx="3017">
                  <c:v>1.3340000000000001</c:v>
                </c:pt>
                <c:pt idx="3018">
                  <c:v>1.206</c:v>
                </c:pt>
                <c:pt idx="3019">
                  <c:v>1.2070000000000001</c:v>
                </c:pt>
                <c:pt idx="3020">
                  <c:v>1.1719999999999999</c:v>
                </c:pt>
                <c:pt idx="3021">
                  <c:v>1.1990000000000001</c:v>
                </c:pt>
                <c:pt idx="3022">
                  <c:v>1.2669999999999999</c:v>
                </c:pt>
                <c:pt idx="3023">
                  <c:v>1.3580000000000001</c:v>
                </c:pt>
                <c:pt idx="3024">
                  <c:v>1.363</c:v>
                </c:pt>
                <c:pt idx="3025">
                  <c:v>1.3680000000000001</c:v>
                </c:pt>
                <c:pt idx="3026">
                  <c:v>1.39</c:v>
                </c:pt>
                <c:pt idx="3027">
                  <c:v>1.383</c:v>
                </c:pt>
                <c:pt idx="3028">
                  <c:v>1.4670000000000001</c:v>
                </c:pt>
                <c:pt idx="3029">
                  <c:v>1.43</c:v>
                </c:pt>
                <c:pt idx="3030">
                  <c:v>1.4239999999999999</c:v>
                </c:pt>
                <c:pt idx="3031">
                  <c:v>1.411</c:v>
                </c:pt>
                <c:pt idx="3032">
                  <c:v>1.468</c:v>
                </c:pt>
                <c:pt idx="3033">
                  <c:v>1.4690000000000001</c:v>
                </c:pt>
                <c:pt idx="3034">
                  <c:v>1.456</c:v>
                </c:pt>
                <c:pt idx="3035">
                  <c:v>1.5149999999999999</c:v>
                </c:pt>
                <c:pt idx="3036">
                  <c:v>1.538</c:v>
                </c:pt>
                <c:pt idx="3037">
                  <c:v>1.516</c:v>
                </c:pt>
                <c:pt idx="3038">
                  <c:v>1.5409999999999999</c:v>
                </c:pt>
                <c:pt idx="3039">
                  <c:v>1.603</c:v>
                </c:pt>
                <c:pt idx="3040">
                  <c:v>1.583</c:v>
                </c:pt>
                <c:pt idx="3041">
                  <c:v>1.611</c:v>
                </c:pt>
                <c:pt idx="3042">
                  <c:v>1.6080000000000001</c:v>
                </c:pt>
                <c:pt idx="3043">
                  <c:v>1.6619999999999999</c:v>
                </c:pt>
                <c:pt idx="3044">
                  <c:v>1.6619999999999999</c:v>
                </c:pt>
                <c:pt idx="3045">
                  <c:v>1.6970000000000001</c:v>
                </c:pt>
                <c:pt idx="3046">
                  <c:v>1.6819999999999999</c:v>
                </c:pt>
                <c:pt idx="3047">
                  <c:v>1.74</c:v>
                </c:pt>
                <c:pt idx="3048">
                  <c:v>1.6970000000000001</c:v>
                </c:pt>
                <c:pt idx="3049">
                  <c:v>1.643</c:v>
                </c:pt>
                <c:pt idx="3050">
                  <c:v>1.7070000000000001</c:v>
                </c:pt>
                <c:pt idx="3051">
                  <c:v>1.6910000000000001</c:v>
                </c:pt>
                <c:pt idx="3052">
                  <c:v>1.7190000000000001</c:v>
                </c:pt>
                <c:pt idx="3053">
                  <c:v>1.7490000000000001</c:v>
                </c:pt>
                <c:pt idx="3054">
                  <c:v>1.716</c:v>
                </c:pt>
                <c:pt idx="3055">
                  <c:v>1.7330000000000001</c:v>
                </c:pt>
                <c:pt idx="3056">
                  <c:v>1.7869999999999999</c:v>
                </c:pt>
                <c:pt idx="3057">
                  <c:v>1.778</c:v>
                </c:pt>
                <c:pt idx="3058">
                  <c:v>1.641</c:v>
                </c:pt>
                <c:pt idx="3059">
                  <c:v>1.734</c:v>
                </c:pt>
                <c:pt idx="3060">
                  <c:v>1.734</c:v>
                </c:pt>
                <c:pt idx="3061">
                  <c:v>1.734</c:v>
                </c:pt>
                <c:pt idx="3062">
                  <c:v>1.7869999999999999</c:v>
                </c:pt>
                <c:pt idx="3063">
                  <c:v>1.802</c:v>
                </c:pt>
                <c:pt idx="3064">
                  <c:v>1.8029999999999999</c:v>
                </c:pt>
                <c:pt idx="3065">
                  <c:v>1.792</c:v>
                </c:pt>
                <c:pt idx="3066">
                  <c:v>1.806</c:v>
                </c:pt>
                <c:pt idx="3067">
                  <c:v>1.831</c:v>
                </c:pt>
                <c:pt idx="3068">
                  <c:v>1.8879999999999999</c:v>
                </c:pt>
                <c:pt idx="3069">
                  <c:v>1.952</c:v>
                </c:pt>
                <c:pt idx="3070">
                  <c:v>1.8640000000000001</c:v>
                </c:pt>
                <c:pt idx="3071">
                  <c:v>1.91</c:v>
                </c:pt>
                <c:pt idx="3072">
                  <c:v>1.978</c:v>
                </c:pt>
                <c:pt idx="3073">
                  <c:v>2.0390000000000001</c:v>
                </c:pt>
                <c:pt idx="3074">
                  <c:v>2.0539999999999998</c:v>
                </c:pt>
                <c:pt idx="3075">
                  <c:v>2.0489999999999999</c:v>
                </c:pt>
                <c:pt idx="3076">
                  <c:v>1.966</c:v>
                </c:pt>
                <c:pt idx="3077">
                  <c:v>1.9530000000000001</c:v>
                </c:pt>
                <c:pt idx="3078">
                  <c:v>1.82</c:v>
                </c:pt>
                <c:pt idx="3079">
                  <c:v>1.756</c:v>
                </c:pt>
                <c:pt idx="3080">
                  <c:v>1.7929999999999999</c:v>
                </c:pt>
                <c:pt idx="3081">
                  <c:v>1.7969999999999999</c:v>
                </c:pt>
                <c:pt idx="3082">
                  <c:v>1.7709999999999999</c:v>
                </c:pt>
                <c:pt idx="3083">
                  <c:v>1.776</c:v>
                </c:pt>
                <c:pt idx="3084">
                  <c:v>1.825</c:v>
                </c:pt>
                <c:pt idx="3085">
                  <c:v>1.7989999999999999</c:v>
                </c:pt>
                <c:pt idx="3086">
                  <c:v>1.863</c:v>
                </c:pt>
                <c:pt idx="3087">
                  <c:v>1.8169999999999999</c:v>
                </c:pt>
                <c:pt idx="3088">
                  <c:v>1.7989999999999999</c:v>
                </c:pt>
                <c:pt idx="3089">
                  <c:v>1.8280000000000001</c:v>
                </c:pt>
                <c:pt idx="3090">
                  <c:v>1.8819999999999999</c:v>
                </c:pt>
                <c:pt idx="3091">
                  <c:v>1.8819999999999999</c:v>
                </c:pt>
                <c:pt idx="3092">
                  <c:v>1.89</c:v>
                </c:pt>
                <c:pt idx="3093">
                  <c:v>1.98</c:v>
                </c:pt>
                <c:pt idx="3094">
                  <c:v>1.9590000000000001</c:v>
                </c:pt>
                <c:pt idx="3095">
                  <c:v>1.923</c:v>
                </c:pt>
                <c:pt idx="3096">
                  <c:v>1.895</c:v>
                </c:pt>
                <c:pt idx="3097">
                  <c:v>1.86</c:v>
                </c:pt>
                <c:pt idx="3098">
                  <c:v>1.901</c:v>
                </c:pt>
                <c:pt idx="3099">
                  <c:v>1.93</c:v>
                </c:pt>
                <c:pt idx="3100">
                  <c:v>1.905</c:v>
                </c:pt>
                <c:pt idx="3101">
                  <c:v>2.0150000000000001</c:v>
                </c:pt>
                <c:pt idx="3102">
                  <c:v>1.9810000000000001</c:v>
                </c:pt>
                <c:pt idx="3103">
                  <c:v>1.962</c:v>
                </c:pt>
                <c:pt idx="3104">
                  <c:v>1.8859999999999999</c:v>
                </c:pt>
                <c:pt idx="3105">
                  <c:v>1.931</c:v>
                </c:pt>
                <c:pt idx="3106">
                  <c:v>1.85</c:v>
                </c:pt>
                <c:pt idx="3107">
                  <c:v>1.85</c:v>
                </c:pt>
                <c:pt idx="3108">
                  <c:v>1.786</c:v>
                </c:pt>
                <c:pt idx="3109">
                  <c:v>1.7909999999999999</c:v>
                </c:pt>
                <c:pt idx="3110">
                  <c:v>1.8560000000000001</c:v>
                </c:pt>
                <c:pt idx="3111">
                  <c:v>1.869</c:v>
                </c:pt>
                <c:pt idx="3112">
                  <c:v>1.9430000000000001</c:v>
                </c:pt>
                <c:pt idx="3113">
                  <c:v>1.9910000000000001</c:v>
                </c:pt>
                <c:pt idx="3114">
                  <c:v>1.9690000000000001</c:v>
                </c:pt>
                <c:pt idx="3115">
                  <c:v>1.927</c:v>
                </c:pt>
                <c:pt idx="3116">
                  <c:v>1.857</c:v>
                </c:pt>
                <c:pt idx="3117">
                  <c:v>1.782</c:v>
                </c:pt>
                <c:pt idx="3118">
                  <c:v>1.7889999999999999</c:v>
                </c:pt>
                <c:pt idx="3119">
                  <c:v>1.7669999999999999</c:v>
                </c:pt>
                <c:pt idx="3120">
                  <c:v>1.762</c:v>
                </c:pt>
                <c:pt idx="3121">
                  <c:v>1.8320000000000001</c:v>
                </c:pt>
                <c:pt idx="3122">
                  <c:v>1.8120000000000001</c:v>
                </c:pt>
                <c:pt idx="3123">
                  <c:v>1.881</c:v>
                </c:pt>
                <c:pt idx="3124">
                  <c:v>1.8420000000000001</c:v>
                </c:pt>
                <c:pt idx="3125">
                  <c:v>1.851</c:v>
                </c:pt>
                <c:pt idx="3126">
                  <c:v>1.861</c:v>
                </c:pt>
                <c:pt idx="3127">
                  <c:v>1.921</c:v>
                </c:pt>
                <c:pt idx="3128">
                  <c:v>1.895</c:v>
                </c:pt>
                <c:pt idx="3129">
                  <c:v>1.9019999999999999</c:v>
                </c:pt>
                <c:pt idx="3130">
                  <c:v>1.825</c:v>
                </c:pt>
                <c:pt idx="3131">
                  <c:v>1.839</c:v>
                </c:pt>
                <c:pt idx="3132">
                  <c:v>1.891</c:v>
                </c:pt>
                <c:pt idx="3133">
                  <c:v>1.917</c:v>
                </c:pt>
                <c:pt idx="3134">
                  <c:v>1.9570000000000001</c:v>
                </c:pt>
                <c:pt idx="3135">
                  <c:v>1.9570000000000001</c:v>
                </c:pt>
                <c:pt idx="3136">
                  <c:v>1.9410000000000001</c:v>
                </c:pt>
                <c:pt idx="3137">
                  <c:v>1.931</c:v>
                </c:pt>
                <c:pt idx="3138">
                  <c:v>1.9510000000000001</c:v>
                </c:pt>
                <c:pt idx="3139">
                  <c:v>1.8779999999999999</c:v>
                </c:pt>
                <c:pt idx="3140">
                  <c:v>1.849</c:v>
                </c:pt>
                <c:pt idx="3141">
                  <c:v>1.9419999999999999</c:v>
                </c:pt>
                <c:pt idx="3142">
                  <c:v>1.917</c:v>
                </c:pt>
                <c:pt idx="3143">
                  <c:v>2.024</c:v>
                </c:pt>
                <c:pt idx="3144">
                  <c:v>2.0169999999999999</c:v>
                </c:pt>
                <c:pt idx="3145">
                  <c:v>2.1459999999999999</c:v>
                </c:pt>
                <c:pt idx="3146">
                  <c:v>2.0129999999999999</c:v>
                </c:pt>
                <c:pt idx="3147">
                  <c:v>2.1</c:v>
                </c:pt>
                <c:pt idx="3148">
                  <c:v>2.1840000000000002</c:v>
                </c:pt>
                <c:pt idx="3149">
                  <c:v>2.2000000000000002</c:v>
                </c:pt>
                <c:pt idx="3150">
                  <c:v>2.1309999999999998</c:v>
                </c:pt>
                <c:pt idx="3151">
                  <c:v>2.1749999999999998</c:v>
                </c:pt>
                <c:pt idx="3152">
                  <c:v>2.2759999999999998</c:v>
                </c:pt>
                <c:pt idx="3153">
                  <c:v>2.327</c:v>
                </c:pt>
                <c:pt idx="3154">
                  <c:v>2.2970000000000002</c:v>
                </c:pt>
                <c:pt idx="3155">
                  <c:v>2.2599999999999998</c:v>
                </c:pt>
                <c:pt idx="3156">
                  <c:v>2.1909999999999998</c:v>
                </c:pt>
                <c:pt idx="3157">
                  <c:v>2.145</c:v>
                </c:pt>
                <c:pt idx="3158">
                  <c:v>1.917</c:v>
                </c:pt>
                <c:pt idx="3159">
                  <c:v>1.913</c:v>
                </c:pt>
                <c:pt idx="3160">
                  <c:v>1.964</c:v>
                </c:pt>
                <c:pt idx="3161">
                  <c:v>1.89</c:v>
                </c:pt>
                <c:pt idx="3162">
                  <c:v>1.8129999999999999</c:v>
                </c:pt>
                <c:pt idx="3163">
                  <c:v>1.78</c:v>
                </c:pt>
                <c:pt idx="3164">
                  <c:v>1.7789999999999999</c:v>
                </c:pt>
                <c:pt idx="3165">
                  <c:v>1.8859999999999999</c:v>
                </c:pt>
                <c:pt idx="3166">
                  <c:v>1.776</c:v>
                </c:pt>
                <c:pt idx="3167">
                  <c:v>1.7190000000000001</c:v>
                </c:pt>
                <c:pt idx="3168">
                  <c:v>1.7989999999999999</c:v>
                </c:pt>
                <c:pt idx="3169">
                  <c:v>1.778</c:v>
                </c:pt>
                <c:pt idx="3170">
                  <c:v>1.8220000000000001</c:v>
                </c:pt>
                <c:pt idx="3171">
                  <c:v>1.911</c:v>
                </c:pt>
                <c:pt idx="3172">
                  <c:v>1.825</c:v>
                </c:pt>
                <c:pt idx="3173">
                  <c:v>1.7669999999999999</c:v>
                </c:pt>
                <c:pt idx="3174">
                  <c:v>2.024</c:v>
                </c:pt>
                <c:pt idx="3175">
                  <c:v>2.1760000000000002</c:v>
                </c:pt>
                <c:pt idx="3176">
                  <c:v>2.2050000000000001</c:v>
                </c:pt>
                <c:pt idx="3177">
                  <c:v>2.036</c:v>
                </c:pt>
                <c:pt idx="3178">
                  <c:v>2.0569999999999999</c:v>
                </c:pt>
                <c:pt idx="3179">
                  <c:v>2.12</c:v>
                </c:pt>
                <c:pt idx="3180">
                  <c:v>2.1040000000000001</c:v>
                </c:pt>
                <c:pt idx="3181">
                  <c:v>1.996</c:v>
                </c:pt>
                <c:pt idx="3182">
                  <c:v>2.0569999999999999</c:v>
                </c:pt>
                <c:pt idx="3183">
                  <c:v>2.0110000000000001</c:v>
                </c:pt>
                <c:pt idx="3184">
                  <c:v>2.097</c:v>
                </c:pt>
                <c:pt idx="3185">
                  <c:v>2.1970000000000001</c:v>
                </c:pt>
                <c:pt idx="3186">
                  <c:v>2.1040000000000001</c:v>
                </c:pt>
                <c:pt idx="3187">
                  <c:v>2.1880000000000002</c:v>
                </c:pt>
                <c:pt idx="3188">
                  <c:v>2.0870000000000002</c:v>
                </c:pt>
                <c:pt idx="3189">
                  <c:v>2.081</c:v>
                </c:pt>
                <c:pt idx="3190">
                  <c:v>2</c:v>
                </c:pt>
                <c:pt idx="3191">
                  <c:v>1.94</c:v>
                </c:pt>
                <c:pt idx="3192">
                  <c:v>1.8380000000000001</c:v>
                </c:pt>
                <c:pt idx="3193">
                  <c:v>1.724</c:v>
                </c:pt>
                <c:pt idx="3194">
                  <c:v>1.8140000000000001</c:v>
                </c:pt>
                <c:pt idx="3195">
                  <c:v>1.885</c:v>
                </c:pt>
                <c:pt idx="3196">
                  <c:v>2.0049999999999999</c:v>
                </c:pt>
                <c:pt idx="3197">
                  <c:v>2.0099999999999998</c:v>
                </c:pt>
                <c:pt idx="3198">
                  <c:v>1.96</c:v>
                </c:pt>
                <c:pt idx="3199">
                  <c:v>1.827</c:v>
                </c:pt>
                <c:pt idx="3200">
                  <c:v>1.7450000000000001</c:v>
                </c:pt>
                <c:pt idx="3201">
                  <c:v>1.673</c:v>
                </c:pt>
                <c:pt idx="3202">
                  <c:v>1.77</c:v>
                </c:pt>
                <c:pt idx="3203">
                  <c:v>1.7889999999999999</c:v>
                </c:pt>
                <c:pt idx="3204">
                  <c:v>1.7989999999999999</c:v>
                </c:pt>
                <c:pt idx="3205">
                  <c:v>1.861</c:v>
                </c:pt>
                <c:pt idx="3206">
                  <c:v>1.927</c:v>
                </c:pt>
                <c:pt idx="3207">
                  <c:v>1.8759999999999999</c:v>
                </c:pt>
                <c:pt idx="3208">
                  <c:v>1.792</c:v>
                </c:pt>
                <c:pt idx="3209">
                  <c:v>1.7410000000000001</c:v>
                </c:pt>
                <c:pt idx="3210">
                  <c:v>1.77</c:v>
                </c:pt>
                <c:pt idx="3211">
                  <c:v>1.8680000000000001</c:v>
                </c:pt>
                <c:pt idx="3212">
                  <c:v>1.905</c:v>
                </c:pt>
                <c:pt idx="3213">
                  <c:v>1.8460000000000001</c:v>
                </c:pt>
                <c:pt idx="3214">
                  <c:v>1.845</c:v>
                </c:pt>
                <c:pt idx="3215">
                  <c:v>2.0059999999999998</c:v>
                </c:pt>
                <c:pt idx="3216">
                  <c:v>2.1429999999999998</c:v>
                </c:pt>
                <c:pt idx="3217">
                  <c:v>2.2170000000000001</c:v>
                </c:pt>
                <c:pt idx="3218">
                  <c:v>2.15</c:v>
                </c:pt>
                <c:pt idx="3219">
                  <c:v>2.2240000000000002</c:v>
                </c:pt>
                <c:pt idx="3220">
                  <c:v>2.1539999999999999</c:v>
                </c:pt>
                <c:pt idx="3221">
                  <c:v>2.1829999999999998</c:v>
                </c:pt>
                <c:pt idx="3222">
                  <c:v>2.2050000000000001</c:v>
                </c:pt>
                <c:pt idx="3223">
                  <c:v>2.1259999999999999</c:v>
                </c:pt>
                <c:pt idx="3224">
                  <c:v>2.101</c:v>
                </c:pt>
                <c:pt idx="3225">
                  <c:v>2.1030000000000002</c:v>
                </c:pt>
                <c:pt idx="3226">
                  <c:v>2.0859999999999999</c:v>
                </c:pt>
                <c:pt idx="3227">
                  <c:v>2.2010000000000001</c:v>
                </c:pt>
                <c:pt idx="3228">
                  <c:v>2.323</c:v>
                </c:pt>
                <c:pt idx="3229">
                  <c:v>2.3239999999999998</c:v>
                </c:pt>
                <c:pt idx="3230">
                  <c:v>2.3319999999999999</c:v>
                </c:pt>
                <c:pt idx="3231">
                  <c:v>2.3140000000000001</c:v>
                </c:pt>
                <c:pt idx="3232">
                  <c:v>2.19</c:v>
                </c:pt>
                <c:pt idx="3233">
                  <c:v>2.363</c:v>
                </c:pt>
                <c:pt idx="3234">
                  <c:v>2.2599999999999998</c:v>
                </c:pt>
                <c:pt idx="3235">
                  <c:v>2.3450000000000002</c:v>
                </c:pt>
                <c:pt idx="3236">
                  <c:v>2.2989999999999999</c:v>
                </c:pt>
                <c:pt idx="3237">
                  <c:v>2.4009999999999998</c:v>
                </c:pt>
                <c:pt idx="3238">
                  <c:v>2.4140000000000001</c:v>
                </c:pt>
                <c:pt idx="3239">
                  <c:v>2.452</c:v>
                </c:pt>
                <c:pt idx="3240">
                  <c:v>2.5369999999999999</c:v>
                </c:pt>
                <c:pt idx="3241">
                  <c:v>2.6320000000000001</c:v>
                </c:pt>
                <c:pt idx="3242">
                  <c:v>2.65</c:v>
                </c:pt>
                <c:pt idx="3243">
                  <c:v>2.738</c:v>
                </c:pt>
                <c:pt idx="3244">
                  <c:v>2.762</c:v>
                </c:pt>
                <c:pt idx="3245">
                  <c:v>2.8260000000000001</c:v>
                </c:pt>
                <c:pt idx="3246">
                  <c:v>2.8759999999999999</c:v>
                </c:pt>
                <c:pt idx="3247">
                  <c:v>2.7650000000000001</c:v>
                </c:pt>
                <c:pt idx="3248">
                  <c:v>2.6760000000000002</c:v>
                </c:pt>
                <c:pt idx="3249">
                  <c:v>2.6459999999999999</c:v>
                </c:pt>
                <c:pt idx="3250">
                  <c:v>2.694</c:v>
                </c:pt>
                <c:pt idx="3251">
                  <c:v>2.7360000000000002</c:v>
                </c:pt>
                <c:pt idx="3252">
                  <c:v>2.746</c:v>
                </c:pt>
                <c:pt idx="3253">
                  <c:v>2.7090000000000001</c:v>
                </c:pt>
                <c:pt idx="3254">
                  <c:v>2.67</c:v>
                </c:pt>
                <c:pt idx="3255">
                  <c:v>2.8279999999999998</c:v>
                </c:pt>
                <c:pt idx="3256">
                  <c:v>2.9649999999999999</c:v>
                </c:pt>
                <c:pt idx="3257">
                  <c:v>2.9319999999999999</c:v>
                </c:pt>
                <c:pt idx="3258">
                  <c:v>3.0070000000000001</c:v>
                </c:pt>
                <c:pt idx="3259">
                  <c:v>3.0179999999999998</c:v>
                </c:pt>
                <c:pt idx="3260">
                  <c:v>3.032</c:v>
                </c:pt>
                <c:pt idx="3261">
                  <c:v>3.0230000000000001</c:v>
                </c:pt>
                <c:pt idx="3262">
                  <c:v>2.9820000000000002</c:v>
                </c:pt>
                <c:pt idx="3263">
                  <c:v>2.9319999999999999</c:v>
                </c:pt>
                <c:pt idx="3264">
                  <c:v>2.8889999999999998</c:v>
                </c:pt>
                <c:pt idx="3265">
                  <c:v>2.8330000000000002</c:v>
                </c:pt>
                <c:pt idx="3266">
                  <c:v>2.8650000000000002</c:v>
                </c:pt>
                <c:pt idx="3267">
                  <c:v>2.9409999999999998</c:v>
                </c:pt>
                <c:pt idx="3268">
                  <c:v>2.9780000000000002</c:v>
                </c:pt>
                <c:pt idx="3269">
                  <c:v>2.9630000000000001</c:v>
                </c:pt>
                <c:pt idx="3270">
                  <c:v>2.9580000000000002</c:v>
                </c:pt>
                <c:pt idx="3271">
                  <c:v>2.915</c:v>
                </c:pt>
                <c:pt idx="3272">
                  <c:v>2.952</c:v>
                </c:pt>
                <c:pt idx="3273">
                  <c:v>3.0129999999999999</c:v>
                </c:pt>
                <c:pt idx="3274">
                  <c:v>2.9569999999999999</c:v>
                </c:pt>
                <c:pt idx="3275">
                  <c:v>2.96</c:v>
                </c:pt>
                <c:pt idx="3276">
                  <c:v>3.0289999999999999</c:v>
                </c:pt>
                <c:pt idx="3277">
                  <c:v>3.0529999999999999</c:v>
                </c:pt>
                <c:pt idx="3278">
                  <c:v>3.0920000000000001</c:v>
                </c:pt>
                <c:pt idx="3279">
                  <c:v>3.0230000000000001</c:v>
                </c:pt>
                <c:pt idx="3280">
                  <c:v>3.0569999999999999</c:v>
                </c:pt>
                <c:pt idx="3281">
                  <c:v>2.9889999999999999</c:v>
                </c:pt>
                <c:pt idx="3282">
                  <c:v>2.9860000000000002</c:v>
                </c:pt>
                <c:pt idx="3283">
                  <c:v>3.0190000000000001</c:v>
                </c:pt>
                <c:pt idx="3284">
                  <c:v>2.9750000000000001</c:v>
                </c:pt>
                <c:pt idx="3285">
                  <c:v>2.984</c:v>
                </c:pt>
                <c:pt idx="3286">
                  <c:v>2.9950000000000001</c:v>
                </c:pt>
                <c:pt idx="3287">
                  <c:v>3.0470000000000002</c:v>
                </c:pt>
                <c:pt idx="3288">
                  <c:v>3.0680000000000001</c:v>
                </c:pt>
                <c:pt idx="3289">
                  <c:v>3.0129999999999999</c:v>
                </c:pt>
                <c:pt idx="3290">
                  <c:v>3.0550000000000002</c:v>
                </c:pt>
                <c:pt idx="3291">
                  <c:v>3.1120000000000001</c:v>
                </c:pt>
                <c:pt idx="3292">
                  <c:v>3.1190000000000002</c:v>
                </c:pt>
                <c:pt idx="3293">
                  <c:v>3.0920000000000001</c:v>
                </c:pt>
                <c:pt idx="3294">
                  <c:v>3.1150000000000002</c:v>
                </c:pt>
                <c:pt idx="3295">
                  <c:v>3.0760000000000001</c:v>
                </c:pt>
                <c:pt idx="3296">
                  <c:v>3.1070000000000002</c:v>
                </c:pt>
                <c:pt idx="3297">
                  <c:v>3.1269999999999998</c:v>
                </c:pt>
                <c:pt idx="3298">
                  <c:v>3.121</c:v>
                </c:pt>
                <c:pt idx="3299">
                  <c:v>3.1019999999999999</c:v>
                </c:pt>
                <c:pt idx="3300">
                  <c:v>3.169</c:v>
                </c:pt>
                <c:pt idx="3301">
                  <c:v>3.2130000000000001</c:v>
                </c:pt>
                <c:pt idx="3302">
                  <c:v>3.294</c:v>
                </c:pt>
                <c:pt idx="3303">
                  <c:v>3.2770000000000001</c:v>
                </c:pt>
                <c:pt idx="3304">
                  <c:v>3.2440000000000002</c:v>
                </c:pt>
                <c:pt idx="3305">
                  <c:v>3.238</c:v>
                </c:pt>
                <c:pt idx="3306">
                  <c:v>3.262</c:v>
                </c:pt>
                <c:pt idx="3307">
                  <c:v>3.29</c:v>
                </c:pt>
                <c:pt idx="3308">
                  <c:v>3.2469999999999999</c:v>
                </c:pt>
                <c:pt idx="3309">
                  <c:v>3.2589999999999999</c:v>
                </c:pt>
                <c:pt idx="3310">
                  <c:v>3.2589999999999999</c:v>
                </c:pt>
                <c:pt idx="3311">
                  <c:v>3.2589999999999999</c:v>
                </c:pt>
                <c:pt idx="3312">
                  <c:v>3.3029999999999999</c:v>
                </c:pt>
                <c:pt idx="3313">
                  <c:v>3.274</c:v>
                </c:pt>
                <c:pt idx="3314">
                  <c:v>3.246</c:v>
                </c:pt>
                <c:pt idx="3315">
                  <c:v>3.3769999999999998</c:v>
                </c:pt>
                <c:pt idx="3316">
                  <c:v>3.427</c:v>
                </c:pt>
                <c:pt idx="3317">
                  <c:v>3.4340000000000002</c:v>
                </c:pt>
                <c:pt idx="3318">
                  <c:v>3.44</c:v>
                </c:pt>
                <c:pt idx="3319">
                  <c:v>3.4889999999999999</c:v>
                </c:pt>
                <c:pt idx="3320">
                  <c:v>3.48</c:v>
                </c:pt>
                <c:pt idx="3321">
                  <c:v>3.42</c:v>
                </c:pt>
                <c:pt idx="3322">
                  <c:v>3.4289999999999998</c:v>
                </c:pt>
                <c:pt idx="3323">
                  <c:v>3.391</c:v>
                </c:pt>
                <c:pt idx="3324">
                  <c:v>3.367</c:v>
                </c:pt>
                <c:pt idx="3325">
                  <c:v>3.371</c:v>
                </c:pt>
                <c:pt idx="3326">
                  <c:v>3.3519999999999999</c:v>
                </c:pt>
                <c:pt idx="3327">
                  <c:v>3.3380000000000001</c:v>
                </c:pt>
                <c:pt idx="3328">
                  <c:v>3.331</c:v>
                </c:pt>
                <c:pt idx="3329">
                  <c:v>3.2890000000000001</c:v>
                </c:pt>
                <c:pt idx="3330">
                  <c:v>3.278</c:v>
                </c:pt>
                <c:pt idx="3331">
                  <c:v>3.2429999999999999</c:v>
                </c:pt>
                <c:pt idx="3332">
                  <c:v>3.2349999999999999</c:v>
                </c:pt>
                <c:pt idx="3333">
                  <c:v>3.2559999999999998</c:v>
                </c:pt>
                <c:pt idx="3334">
                  <c:v>3.2320000000000002</c:v>
                </c:pt>
                <c:pt idx="3335">
                  <c:v>3.1869999999999998</c:v>
                </c:pt>
                <c:pt idx="3336">
                  <c:v>3.1669999999999998</c:v>
                </c:pt>
                <c:pt idx="3337">
                  <c:v>3.089</c:v>
                </c:pt>
                <c:pt idx="3338">
                  <c:v>3.1360000000000001</c:v>
                </c:pt>
                <c:pt idx="3339">
                  <c:v>3.2250000000000001</c:v>
                </c:pt>
                <c:pt idx="3340">
                  <c:v>3.2120000000000002</c:v>
                </c:pt>
                <c:pt idx="3341">
                  <c:v>3.2480000000000002</c:v>
                </c:pt>
                <c:pt idx="3342">
                  <c:v>3.2890000000000001</c:v>
                </c:pt>
                <c:pt idx="3343">
                  <c:v>3.3039999999999998</c:v>
                </c:pt>
                <c:pt idx="3344">
                  <c:v>3.2709999999999999</c:v>
                </c:pt>
                <c:pt idx="3345">
                  <c:v>3.2719999999999998</c:v>
                </c:pt>
                <c:pt idx="3346">
                  <c:v>3.3250000000000002</c:v>
                </c:pt>
                <c:pt idx="3347">
                  <c:v>3.1949999999999998</c:v>
                </c:pt>
                <c:pt idx="3348">
                  <c:v>3.177</c:v>
                </c:pt>
                <c:pt idx="3349">
                  <c:v>3.169</c:v>
                </c:pt>
                <c:pt idx="3350">
                  <c:v>3.15</c:v>
                </c:pt>
                <c:pt idx="3351">
                  <c:v>3.129</c:v>
                </c:pt>
                <c:pt idx="3352">
                  <c:v>3.1379999999999999</c:v>
                </c:pt>
                <c:pt idx="3353">
                  <c:v>3.1440000000000001</c:v>
                </c:pt>
                <c:pt idx="3354">
                  <c:v>3.1819999999999999</c:v>
                </c:pt>
                <c:pt idx="3355">
                  <c:v>3.2519999999999998</c:v>
                </c:pt>
                <c:pt idx="3356">
                  <c:v>3.181</c:v>
                </c:pt>
                <c:pt idx="3357">
                  <c:v>3.2349999999999999</c:v>
                </c:pt>
                <c:pt idx="3358">
                  <c:v>3.28</c:v>
                </c:pt>
                <c:pt idx="3359">
                  <c:v>3.294</c:v>
                </c:pt>
                <c:pt idx="3360">
                  <c:v>3.2919999999999998</c:v>
                </c:pt>
                <c:pt idx="3361">
                  <c:v>3.2989999999999999</c:v>
                </c:pt>
                <c:pt idx="3362">
                  <c:v>3.3050000000000002</c:v>
                </c:pt>
                <c:pt idx="3363">
                  <c:v>3.2530000000000001</c:v>
                </c:pt>
                <c:pt idx="3364">
                  <c:v>3.25</c:v>
                </c:pt>
                <c:pt idx="3365">
                  <c:v>3.2589999999999999</c:v>
                </c:pt>
                <c:pt idx="3366">
                  <c:v>3.214</c:v>
                </c:pt>
                <c:pt idx="3367">
                  <c:v>3.2570000000000001</c:v>
                </c:pt>
                <c:pt idx="3368">
                  <c:v>3.2189999999999999</c:v>
                </c:pt>
                <c:pt idx="3369">
                  <c:v>3.153</c:v>
                </c:pt>
                <c:pt idx="3370">
                  <c:v>3.1459999999999999</c:v>
                </c:pt>
                <c:pt idx="3371">
                  <c:v>3.2050000000000001</c:v>
                </c:pt>
                <c:pt idx="3372">
                  <c:v>3.1829999999999998</c:v>
                </c:pt>
                <c:pt idx="3373">
                  <c:v>3.1440000000000001</c:v>
                </c:pt>
                <c:pt idx="3374">
                  <c:v>3.15</c:v>
                </c:pt>
                <c:pt idx="3375">
                  <c:v>3.1760000000000002</c:v>
                </c:pt>
                <c:pt idx="3376">
                  <c:v>3.1629999999999998</c:v>
                </c:pt>
                <c:pt idx="3377">
                  <c:v>3.105</c:v>
                </c:pt>
                <c:pt idx="3378">
                  <c:v>3.1150000000000002</c:v>
                </c:pt>
                <c:pt idx="3379">
                  <c:v>3.0379999999999998</c:v>
                </c:pt>
                <c:pt idx="3380">
                  <c:v>3.028</c:v>
                </c:pt>
                <c:pt idx="3381">
                  <c:v>3.044</c:v>
                </c:pt>
                <c:pt idx="3382">
                  <c:v>3.052</c:v>
                </c:pt>
                <c:pt idx="3383">
                  <c:v>2.9249999999999998</c:v>
                </c:pt>
                <c:pt idx="3384">
                  <c:v>2.87</c:v>
                </c:pt>
                <c:pt idx="3385">
                  <c:v>2.8690000000000002</c:v>
                </c:pt>
                <c:pt idx="3386">
                  <c:v>2.9129999999999998</c:v>
                </c:pt>
                <c:pt idx="3387">
                  <c:v>2.9380000000000002</c:v>
                </c:pt>
                <c:pt idx="3388">
                  <c:v>2.891</c:v>
                </c:pt>
                <c:pt idx="3389">
                  <c:v>2.9220000000000002</c:v>
                </c:pt>
                <c:pt idx="3390">
                  <c:v>2.9630000000000001</c:v>
                </c:pt>
                <c:pt idx="3391">
                  <c:v>2.9590000000000001</c:v>
                </c:pt>
                <c:pt idx="3392">
                  <c:v>3.0179999999999998</c:v>
                </c:pt>
                <c:pt idx="3393">
                  <c:v>2.976</c:v>
                </c:pt>
                <c:pt idx="3394">
                  <c:v>3.0310000000000001</c:v>
                </c:pt>
                <c:pt idx="3395">
                  <c:v>2.9820000000000002</c:v>
                </c:pt>
                <c:pt idx="3396">
                  <c:v>2.9769999999999999</c:v>
                </c:pt>
                <c:pt idx="3397">
                  <c:v>2.952</c:v>
                </c:pt>
                <c:pt idx="3398">
                  <c:v>2.9860000000000002</c:v>
                </c:pt>
                <c:pt idx="3399">
                  <c:v>2.9670000000000001</c:v>
                </c:pt>
                <c:pt idx="3400">
                  <c:v>3.0289999999999999</c:v>
                </c:pt>
                <c:pt idx="3401">
                  <c:v>3.0649999999999999</c:v>
                </c:pt>
                <c:pt idx="3402">
                  <c:v>3.03</c:v>
                </c:pt>
                <c:pt idx="3403">
                  <c:v>3.0259999999999998</c:v>
                </c:pt>
                <c:pt idx="3404">
                  <c:v>2.976</c:v>
                </c:pt>
                <c:pt idx="3405">
                  <c:v>2.9540000000000002</c:v>
                </c:pt>
                <c:pt idx="3406">
                  <c:v>2.9470000000000001</c:v>
                </c:pt>
                <c:pt idx="3407">
                  <c:v>3.0139999999999998</c:v>
                </c:pt>
                <c:pt idx="3408">
                  <c:v>2.948</c:v>
                </c:pt>
                <c:pt idx="3409">
                  <c:v>2.8530000000000002</c:v>
                </c:pt>
                <c:pt idx="3410">
                  <c:v>2.8570000000000002</c:v>
                </c:pt>
                <c:pt idx="3411">
                  <c:v>2.819</c:v>
                </c:pt>
                <c:pt idx="3412">
                  <c:v>2.78</c:v>
                </c:pt>
                <c:pt idx="3413">
                  <c:v>2.67</c:v>
                </c:pt>
                <c:pt idx="3414">
                  <c:v>2.7570000000000001</c:v>
                </c:pt>
                <c:pt idx="3415">
                  <c:v>2.734</c:v>
                </c:pt>
                <c:pt idx="3416">
                  <c:v>2.7120000000000002</c:v>
                </c:pt>
                <c:pt idx="3417">
                  <c:v>2.7109999999999999</c:v>
                </c:pt>
                <c:pt idx="3418">
                  <c:v>2.552</c:v>
                </c:pt>
                <c:pt idx="3419">
                  <c:v>2.65</c:v>
                </c:pt>
                <c:pt idx="3420">
                  <c:v>2.7029999999999998</c:v>
                </c:pt>
                <c:pt idx="3421">
                  <c:v>2.7040000000000002</c:v>
                </c:pt>
                <c:pt idx="3422">
                  <c:v>2.601</c:v>
                </c:pt>
                <c:pt idx="3423">
                  <c:v>2.6219999999999999</c:v>
                </c:pt>
                <c:pt idx="3424">
                  <c:v>2.5630000000000002</c:v>
                </c:pt>
                <c:pt idx="3425">
                  <c:v>2.512</c:v>
                </c:pt>
                <c:pt idx="3426">
                  <c:v>2.4350000000000001</c:v>
                </c:pt>
                <c:pt idx="3427">
                  <c:v>2.4409999999999998</c:v>
                </c:pt>
                <c:pt idx="3428">
                  <c:v>2.407</c:v>
                </c:pt>
                <c:pt idx="3429">
                  <c:v>2.39</c:v>
                </c:pt>
                <c:pt idx="3430">
                  <c:v>2.4169999999999998</c:v>
                </c:pt>
                <c:pt idx="3431">
                  <c:v>2.3959999999999999</c:v>
                </c:pt>
                <c:pt idx="3432">
                  <c:v>2.4180000000000001</c:v>
                </c:pt>
                <c:pt idx="3433">
                  <c:v>2.4700000000000002</c:v>
                </c:pt>
                <c:pt idx="3434">
                  <c:v>2.4809999999999999</c:v>
                </c:pt>
                <c:pt idx="3435">
                  <c:v>2.5179999999999998</c:v>
                </c:pt>
                <c:pt idx="3436">
                  <c:v>2.5640000000000001</c:v>
                </c:pt>
                <c:pt idx="3437">
                  <c:v>2.5649999999999999</c:v>
                </c:pt>
                <c:pt idx="3438">
                  <c:v>2.5070000000000001</c:v>
                </c:pt>
                <c:pt idx="3439">
                  <c:v>2.4500000000000002</c:v>
                </c:pt>
                <c:pt idx="3440">
                  <c:v>2.4740000000000002</c:v>
                </c:pt>
                <c:pt idx="3441">
                  <c:v>2.484</c:v>
                </c:pt>
                <c:pt idx="3442">
                  <c:v>2.44</c:v>
                </c:pt>
                <c:pt idx="3443">
                  <c:v>2.4140000000000001</c:v>
                </c:pt>
                <c:pt idx="3444">
                  <c:v>2.3849999999999998</c:v>
                </c:pt>
                <c:pt idx="3445">
                  <c:v>2.371</c:v>
                </c:pt>
                <c:pt idx="3446">
                  <c:v>2.2949999999999999</c:v>
                </c:pt>
                <c:pt idx="3447">
                  <c:v>2.282</c:v>
                </c:pt>
                <c:pt idx="3448">
                  <c:v>2.2429999999999999</c:v>
                </c:pt>
                <c:pt idx="3449">
                  <c:v>2.2719999999999998</c:v>
                </c:pt>
                <c:pt idx="3450">
                  <c:v>2.254</c:v>
                </c:pt>
                <c:pt idx="3451">
                  <c:v>2.262</c:v>
                </c:pt>
                <c:pt idx="3452">
                  <c:v>2.2240000000000002</c:v>
                </c:pt>
                <c:pt idx="3453">
                  <c:v>2.2789999999999999</c:v>
                </c:pt>
                <c:pt idx="3454">
                  <c:v>2.2519999999999998</c:v>
                </c:pt>
                <c:pt idx="3455">
                  <c:v>2.286</c:v>
                </c:pt>
                <c:pt idx="3456">
                  <c:v>2.278</c:v>
                </c:pt>
                <c:pt idx="3457">
                  <c:v>2.2400000000000002</c:v>
                </c:pt>
                <c:pt idx="3458">
                  <c:v>2.246</c:v>
                </c:pt>
                <c:pt idx="3459">
                  <c:v>2.2690000000000001</c:v>
                </c:pt>
                <c:pt idx="3460">
                  <c:v>2.3420000000000001</c:v>
                </c:pt>
                <c:pt idx="3461">
                  <c:v>2.2850000000000001</c:v>
                </c:pt>
                <c:pt idx="3462">
                  <c:v>2.3490000000000002</c:v>
                </c:pt>
                <c:pt idx="3463">
                  <c:v>2.4529999999999998</c:v>
                </c:pt>
                <c:pt idx="3464">
                  <c:v>2.4670000000000001</c:v>
                </c:pt>
                <c:pt idx="3465">
                  <c:v>2.427</c:v>
                </c:pt>
                <c:pt idx="3466">
                  <c:v>2.4780000000000002</c:v>
                </c:pt>
                <c:pt idx="3467">
                  <c:v>2.4039999999999999</c:v>
                </c:pt>
                <c:pt idx="3468">
                  <c:v>2.371</c:v>
                </c:pt>
                <c:pt idx="3469">
                  <c:v>2.427</c:v>
                </c:pt>
                <c:pt idx="3470">
                  <c:v>2.4</c:v>
                </c:pt>
                <c:pt idx="3471">
                  <c:v>2.3359999999999999</c:v>
                </c:pt>
                <c:pt idx="3472">
                  <c:v>2.2970000000000002</c:v>
                </c:pt>
                <c:pt idx="3473">
                  <c:v>2.2549999999999999</c:v>
                </c:pt>
                <c:pt idx="3474">
                  <c:v>2.3359999999999999</c:v>
                </c:pt>
                <c:pt idx="3475">
                  <c:v>2.3540000000000001</c:v>
                </c:pt>
                <c:pt idx="3476">
                  <c:v>2.2829999999999999</c:v>
                </c:pt>
                <c:pt idx="3477">
                  <c:v>2.2240000000000002</c:v>
                </c:pt>
                <c:pt idx="3478">
                  <c:v>2.1160000000000001</c:v>
                </c:pt>
                <c:pt idx="3479">
                  <c:v>2.1349999999999998</c:v>
                </c:pt>
                <c:pt idx="3480">
                  <c:v>2.2000000000000002</c:v>
                </c:pt>
                <c:pt idx="3481">
                  <c:v>2.157</c:v>
                </c:pt>
                <c:pt idx="3482">
                  <c:v>2.1459999999999999</c:v>
                </c:pt>
                <c:pt idx="3483">
                  <c:v>2.1800000000000002</c:v>
                </c:pt>
                <c:pt idx="3484">
                  <c:v>2.286</c:v>
                </c:pt>
                <c:pt idx="3485">
                  <c:v>2.2709999999999999</c:v>
                </c:pt>
                <c:pt idx="3486">
                  <c:v>2.3119999999999998</c:v>
                </c:pt>
                <c:pt idx="3487">
                  <c:v>2.347</c:v>
                </c:pt>
                <c:pt idx="3488">
                  <c:v>2.363</c:v>
                </c:pt>
                <c:pt idx="3489">
                  <c:v>2.33</c:v>
                </c:pt>
                <c:pt idx="3490">
                  <c:v>2.3929999999999998</c:v>
                </c:pt>
                <c:pt idx="3491">
                  <c:v>2.4209999999999998</c:v>
                </c:pt>
                <c:pt idx="3492">
                  <c:v>2.4279999999999999</c:v>
                </c:pt>
                <c:pt idx="3493">
                  <c:v>2.5369999999999999</c:v>
                </c:pt>
                <c:pt idx="3494">
                  <c:v>2.5249999999999999</c:v>
                </c:pt>
                <c:pt idx="3495">
                  <c:v>2.5190000000000001</c:v>
                </c:pt>
                <c:pt idx="3496">
                  <c:v>2.5619999999999998</c:v>
                </c:pt>
                <c:pt idx="3497">
                  <c:v>2.6040000000000001</c:v>
                </c:pt>
                <c:pt idx="3498">
                  <c:v>2.6070000000000002</c:v>
                </c:pt>
                <c:pt idx="3499">
                  <c:v>2.698</c:v>
                </c:pt>
                <c:pt idx="3500">
                  <c:v>2.669</c:v>
                </c:pt>
                <c:pt idx="3501">
                  <c:v>2.7170000000000001</c:v>
                </c:pt>
                <c:pt idx="3502">
                  <c:v>2.7490000000000001</c:v>
                </c:pt>
                <c:pt idx="3503">
                  <c:v>2.77</c:v>
                </c:pt>
                <c:pt idx="3504">
                  <c:v>2.7610000000000001</c:v>
                </c:pt>
                <c:pt idx="3505">
                  <c:v>2.706</c:v>
                </c:pt>
                <c:pt idx="3506">
                  <c:v>2.665</c:v>
                </c:pt>
                <c:pt idx="3507">
                  <c:v>2.6379999999999999</c:v>
                </c:pt>
                <c:pt idx="3508">
                  <c:v>2.6360000000000001</c:v>
                </c:pt>
                <c:pt idx="3509">
                  <c:v>2.65</c:v>
                </c:pt>
                <c:pt idx="3510">
                  <c:v>2.6059999999999999</c:v>
                </c:pt>
                <c:pt idx="3511">
                  <c:v>2.653</c:v>
                </c:pt>
                <c:pt idx="3512">
                  <c:v>2.6549999999999998</c:v>
                </c:pt>
                <c:pt idx="3513">
                  <c:v>2.641</c:v>
                </c:pt>
                <c:pt idx="3514">
                  <c:v>2.589</c:v>
                </c:pt>
                <c:pt idx="3515">
                  <c:v>2.6339999999999999</c:v>
                </c:pt>
                <c:pt idx="3516">
                  <c:v>2.6320000000000001</c:v>
                </c:pt>
                <c:pt idx="3517">
                  <c:v>2.5979999999999999</c:v>
                </c:pt>
                <c:pt idx="3518">
                  <c:v>2.589</c:v>
                </c:pt>
                <c:pt idx="3519">
                  <c:v>2.5430000000000001</c:v>
                </c:pt>
                <c:pt idx="3520">
                  <c:v>2.5830000000000002</c:v>
                </c:pt>
                <c:pt idx="3521">
                  <c:v>2.5659999999999998</c:v>
                </c:pt>
                <c:pt idx="3522">
                  <c:v>2.577</c:v>
                </c:pt>
                <c:pt idx="3523">
                  <c:v>2.5590000000000002</c:v>
                </c:pt>
                <c:pt idx="3524">
                  <c:v>2.585</c:v>
                </c:pt>
                <c:pt idx="3525">
                  <c:v>2.6110000000000002</c:v>
                </c:pt>
                <c:pt idx="3526">
                  <c:v>2.6019999999999999</c:v>
                </c:pt>
                <c:pt idx="3527">
                  <c:v>2.6469999999999998</c:v>
                </c:pt>
                <c:pt idx="3528">
                  <c:v>2.6920000000000002</c:v>
                </c:pt>
                <c:pt idx="3529">
                  <c:v>2.766</c:v>
                </c:pt>
                <c:pt idx="3530">
                  <c:v>2.7290000000000001</c:v>
                </c:pt>
                <c:pt idx="3531">
                  <c:v>2.6629999999999998</c:v>
                </c:pt>
                <c:pt idx="3532">
                  <c:v>2.6709999999999998</c:v>
                </c:pt>
                <c:pt idx="3533">
                  <c:v>2.6739999999999999</c:v>
                </c:pt>
                <c:pt idx="3534">
                  <c:v>2.6379999999999999</c:v>
                </c:pt>
                <c:pt idx="3535">
                  <c:v>2.5659999999999998</c:v>
                </c:pt>
                <c:pt idx="3536">
                  <c:v>2.61</c:v>
                </c:pt>
                <c:pt idx="3537">
                  <c:v>2.5670000000000002</c:v>
                </c:pt>
                <c:pt idx="3538">
                  <c:v>2.512</c:v>
                </c:pt>
                <c:pt idx="3539">
                  <c:v>2.5630000000000002</c:v>
                </c:pt>
                <c:pt idx="3540">
                  <c:v>2.5840000000000001</c:v>
                </c:pt>
                <c:pt idx="3541">
                  <c:v>2.6760000000000002</c:v>
                </c:pt>
                <c:pt idx="3542">
                  <c:v>2.6549999999999998</c:v>
                </c:pt>
                <c:pt idx="3543">
                  <c:v>2.6749999999999998</c:v>
                </c:pt>
                <c:pt idx="3544">
                  <c:v>2.66</c:v>
                </c:pt>
                <c:pt idx="3545">
                  <c:v>2.6819999999999999</c:v>
                </c:pt>
                <c:pt idx="3546">
                  <c:v>2.7040000000000002</c:v>
                </c:pt>
                <c:pt idx="3547">
                  <c:v>2.645</c:v>
                </c:pt>
                <c:pt idx="3548">
                  <c:v>2.5779999999999998</c:v>
                </c:pt>
                <c:pt idx="3549">
                  <c:v>2.6549999999999998</c:v>
                </c:pt>
                <c:pt idx="3550">
                  <c:v>2.6659999999999999</c:v>
                </c:pt>
                <c:pt idx="3551">
                  <c:v>2.6850000000000001</c:v>
                </c:pt>
                <c:pt idx="3552">
                  <c:v>2.766</c:v>
                </c:pt>
                <c:pt idx="3553">
                  <c:v>2.831</c:v>
                </c:pt>
                <c:pt idx="3554">
                  <c:v>2.863</c:v>
                </c:pt>
                <c:pt idx="3555">
                  <c:v>2.86</c:v>
                </c:pt>
                <c:pt idx="3556">
                  <c:v>2.94</c:v>
                </c:pt>
                <c:pt idx="3557">
                  <c:v>2.9420000000000002</c:v>
                </c:pt>
                <c:pt idx="3558">
                  <c:v>2.9369999999999998</c:v>
                </c:pt>
                <c:pt idx="3559">
                  <c:v>2.9550000000000001</c:v>
                </c:pt>
                <c:pt idx="3560">
                  <c:v>2.7970000000000002</c:v>
                </c:pt>
                <c:pt idx="3561">
                  <c:v>2.7930000000000001</c:v>
                </c:pt>
                <c:pt idx="3562">
                  <c:v>2.8610000000000002</c:v>
                </c:pt>
                <c:pt idx="3563">
                  <c:v>2.9489999999999998</c:v>
                </c:pt>
                <c:pt idx="3564">
                  <c:v>3.0649999999999999</c:v>
                </c:pt>
                <c:pt idx="3565">
                  <c:v>3.0169999999999999</c:v>
                </c:pt>
                <c:pt idx="3566">
                  <c:v>3.0619999999999998</c:v>
                </c:pt>
                <c:pt idx="3567">
                  <c:v>3.0369999999999999</c:v>
                </c:pt>
                <c:pt idx="3568">
                  <c:v>2.9390000000000001</c:v>
                </c:pt>
                <c:pt idx="3569">
                  <c:v>3.0459999999999998</c:v>
                </c:pt>
                <c:pt idx="3570">
                  <c:v>3.0609999999999999</c:v>
                </c:pt>
                <c:pt idx="3571">
                  <c:v>3.052</c:v>
                </c:pt>
                <c:pt idx="3572">
                  <c:v>3.0790000000000002</c:v>
                </c:pt>
                <c:pt idx="3573">
                  <c:v>3.0979999999999999</c:v>
                </c:pt>
                <c:pt idx="3574">
                  <c:v>3.0779999999999998</c:v>
                </c:pt>
                <c:pt idx="3575">
                  <c:v>3.0840000000000001</c:v>
                </c:pt>
                <c:pt idx="3576">
                  <c:v>3.1320000000000001</c:v>
                </c:pt>
                <c:pt idx="3577">
                  <c:v>3.1379999999999999</c:v>
                </c:pt>
                <c:pt idx="3578">
                  <c:v>3.1459999999999999</c:v>
                </c:pt>
                <c:pt idx="3579">
                  <c:v>3.177</c:v>
                </c:pt>
                <c:pt idx="3580">
                  <c:v>3.1659999999999999</c:v>
                </c:pt>
                <c:pt idx="3581">
                  <c:v>3.0960000000000001</c:v>
                </c:pt>
                <c:pt idx="3582">
                  <c:v>3.1190000000000002</c:v>
                </c:pt>
                <c:pt idx="3583">
                  <c:v>3.1429999999999998</c:v>
                </c:pt>
                <c:pt idx="3584">
                  <c:v>3.09</c:v>
                </c:pt>
                <c:pt idx="3585">
                  <c:v>3.0880000000000001</c:v>
                </c:pt>
                <c:pt idx="3586">
                  <c:v>3.0880000000000001</c:v>
                </c:pt>
                <c:pt idx="3587">
                  <c:v>3.0920000000000001</c:v>
                </c:pt>
                <c:pt idx="3588">
                  <c:v>3.11</c:v>
                </c:pt>
                <c:pt idx="3589">
                  <c:v>3.1320000000000001</c:v>
                </c:pt>
                <c:pt idx="3590">
                  <c:v>3.15</c:v>
                </c:pt>
                <c:pt idx="3591">
                  <c:v>3.1520000000000001</c:v>
                </c:pt>
                <c:pt idx="3592">
                  <c:v>3.0790000000000002</c:v>
                </c:pt>
                <c:pt idx="3593">
                  <c:v>3.056</c:v>
                </c:pt>
                <c:pt idx="3594">
                  <c:v>3.07</c:v>
                </c:pt>
                <c:pt idx="3595">
                  <c:v>3.109</c:v>
                </c:pt>
                <c:pt idx="3596">
                  <c:v>3.1269999999999998</c:v>
                </c:pt>
                <c:pt idx="3597">
                  <c:v>3.1110000000000002</c:v>
                </c:pt>
                <c:pt idx="3598">
                  <c:v>3.1389999999999998</c:v>
                </c:pt>
                <c:pt idx="3599">
                  <c:v>3.1549999999999998</c:v>
                </c:pt>
                <c:pt idx="3600">
                  <c:v>3.1669999999999998</c:v>
                </c:pt>
                <c:pt idx="3601">
                  <c:v>3.1789999999999998</c:v>
                </c:pt>
                <c:pt idx="3602">
                  <c:v>3.153</c:v>
                </c:pt>
                <c:pt idx="3603">
                  <c:v>3.1320000000000001</c:v>
                </c:pt>
                <c:pt idx="3604">
                  <c:v>3.165</c:v>
                </c:pt>
                <c:pt idx="3605">
                  <c:v>3.1560000000000001</c:v>
                </c:pt>
                <c:pt idx="3606">
                  <c:v>3.1230000000000002</c:v>
                </c:pt>
                <c:pt idx="3607">
                  <c:v>3.1379999999999999</c:v>
                </c:pt>
                <c:pt idx="3608">
                  <c:v>3.1160000000000001</c:v>
                </c:pt>
                <c:pt idx="3609">
                  <c:v>3.1080000000000001</c:v>
                </c:pt>
                <c:pt idx="3610">
                  <c:v>3.101</c:v>
                </c:pt>
                <c:pt idx="3611">
                  <c:v>3.11</c:v>
                </c:pt>
                <c:pt idx="3612">
                  <c:v>3.1349999999999998</c:v>
                </c:pt>
                <c:pt idx="3613">
                  <c:v>3.1669999999999998</c:v>
                </c:pt>
                <c:pt idx="3614">
                  <c:v>3.27</c:v>
                </c:pt>
                <c:pt idx="3615">
                  <c:v>3.2850000000000001</c:v>
                </c:pt>
                <c:pt idx="3616">
                  <c:v>3.2509999999999999</c:v>
                </c:pt>
                <c:pt idx="3617">
                  <c:v>3.194</c:v>
                </c:pt>
                <c:pt idx="3618">
                  <c:v>3.2050000000000001</c:v>
                </c:pt>
                <c:pt idx="3619">
                  <c:v>3.2040000000000002</c:v>
                </c:pt>
                <c:pt idx="3620">
                  <c:v>3.1920000000000002</c:v>
                </c:pt>
                <c:pt idx="3621">
                  <c:v>3.234</c:v>
                </c:pt>
                <c:pt idx="3622">
                  <c:v>3.198</c:v>
                </c:pt>
                <c:pt idx="3623">
                  <c:v>3.1520000000000001</c:v>
                </c:pt>
                <c:pt idx="3624">
                  <c:v>3.145</c:v>
                </c:pt>
                <c:pt idx="3625">
                  <c:v>3.12</c:v>
                </c:pt>
                <c:pt idx="3626">
                  <c:v>3.1629999999999998</c:v>
                </c:pt>
                <c:pt idx="3627">
                  <c:v>3.2229999999999999</c:v>
                </c:pt>
                <c:pt idx="3628">
                  <c:v>3.1949999999999998</c:v>
                </c:pt>
                <c:pt idx="3629">
                  <c:v>3.1859999999999999</c:v>
                </c:pt>
                <c:pt idx="3630">
                  <c:v>3.1960000000000002</c:v>
                </c:pt>
                <c:pt idx="3631">
                  <c:v>3.2010000000000001</c:v>
                </c:pt>
                <c:pt idx="3632">
                  <c:v>3.2</c:v>
                </c:pt>
                <c:pt idx="3633">
                  <c:v>3.2069999999999999</c:v>
                </c:pt>
                <c:pt idx="3634">
                  <c:v>3.2170000000000001</c:v>
                </c:pt>
                <c:pt idx="3635">
                  <c:v>3.2149999999999999</c:v>
                </c:pt>
                <c:pt idx="3636">
                  <c:v>3.2069999999999999</c:v>
                </c:pt>
                <c:pt idx="3637">
                  <c:v>3.2229999999999999</c:v>
                </c:pt>
                <c:pt idx="3638">
                  <c:v>3.2770000000000001</c:v>
                </c:pt>
                <c:pt idx="3639">
                  <c:v>3.2480000000000002</c:v>
                </c:pt>
                <c:pt idx="3640">
                  <c:v>3.262</c:v>
                </c:pt>
                <c:pt idx="3641">
                  <c:v>3.298</c:v>
                </c:pt>
                <c:pt idx="3642">
                  <c:v>3.3029999999999999</c:v>
                </c:pt>
                <c:pt idx="3643">
                  <c:v>3.3130000000000002</c:v>
                </c:pt>
                <c:pt idx="3644">
                  <c:v>3.347</c:v>
                </c:pt>
                <c:pt idx="3645">
                  <c:v>3.3849999999999998</c:v>
                </c:pt>
                <c:pt idx="3646">
                  <c:v>3.37</c:v>
                </c:pt>
                <c:pt idx="3647">
                  <c:v>3.3809999999999998</c:v>
                </c:pt>
                <c:pt idx="3648">
                  <c:v>3.3730000000000002</c:v>
                </c:pt>
                <c:pt idx="3649">
                  <c:v>3.391</c:v>
                </c:pt>
                <c:pt idx="3650">
                  <c:v>3.387</c:v>
                </c:pt>
              </c:numCache>
            </c:numRef>
          </c:val>
          <c:smooth val="0"/>
          <c:extLst>
            <c:ext xmlns:c16="http://schemas.microsoft.com/office/drawing/2014/chart" uri="{C3380CC4-5D6E-409C-BE32-E72D297353CC}">
              <c16:uniqueId val="{00000002-5B40-4C57-9C52-F12B07C5FA73}"/>
            </c:ext>
          </c:extLst>
        </c:ser>
        <c:ser>
          <c:idx val="3"/>
          <c:order val="3"/>
          <c:tx>
            <c:strRef>
              <c:f>Hárok1!$E$1</c:f>
              <c:strCache>
                <c:ptCount val="1"/>
                <c:pt idx="0">
                  <c:v>10-ročný výnos SK</c:v>
                </c:pt>
              </c:strCache>
            </c:strRef>
          </c:tx>
          <c:spPr>
            <a:ln w="28575" cap="rnd">
              <a:solidFill>
                <a:schemeClr val="tx1"/>
              </a:solidFill>
              <a:round/>
            </a:ln>
            <a:effectLst/>
          </c:spPr>
          <c:marker>
            <c:symbol val="none"/>
          </c:marker>
          <c:cat>
            <c:numRef>
              <c:f>Hárok1!$A$2:$A$3652</c:f>
              <c:numCache>
                <c:formatCode>m/d/yyyy</c:formatCode>
                <c:ptCount val="3651"/>
                <c:pt idx="0">
                  <c:v>45289</c:v>
                </c:pt>
                <c:pt idx="1">
                  <c:v>45288</c:v>
                </c:pt>
                <c:pt idx="2">
                  <c:v>45287</c:v>
                </c:pt>
                <c:pt idx="3">
                  <c:v>45286</c:v>
                </c:pt>
                <c:pt idx="4">
                  <c:v>45285</c:v>
                </c:pt>
                <c:pt idx="5">
                  <c:v>45282</c:v>
                </c:pt>
                <c:pt idx="6">
                  <c:v>45281</c:v>
                </c:pt>
                <c:pt idx="7">
                  <c:v>45280</c:v>
                </c:pt>
                <c:pt idx="8">
                  <c:v>45279</c:v>
                </c:pt>
                <c:pt idx="9">
                  <c:v>45278</c:v>
                </c:pt>
                <c:pt idx="10">
                  <c:v>45275</c:v>
                </c:pt>
                <c:pt idx="11">
                  <c:v>45274</c:v>
                </c:pt>
                <c:pt idx="12">
                  <c:v>45273</c:v>
                </c:pt>
                <c:pt idx="13">
                  <c:v>45272</c:v>
                </c:pt>
                <c:pt idx="14">
                  <c:v>45271</c:v>
                </c:pt>
                <c:pt idx="15">
                  <c:v>45268</c:v>
                </c:pt>
                <c:pt idx="16">
                  <c:v>45267</c:v>
                </c:pt>
                <c:pt idx="17">
                  <c:v>45266</c:v>
                </c:pt>
                <c:pt idx="18">
                  <c:v>45265</c:v>
                </c:pt>
                <c:pt idx="19">
                  <c:v>45264</c:v>
                </c:pt>
                <c:pt idx="20">
                  <c:v>45261</c:v>
                </c:pt>
                <c:pt idx="21">
                  <c:v>45260</c:v>
                </c:pt>
                <c:pt idx="22">
                  <c:v>45259</c:v>
                </c:pt>
                <c:pt idx="23">
                  <c:v>45258</c:v>
                </c:pt>
                <c:pt idx="24">
                  <c:v>45257</c:v>
                </c:pt>
                <c:pt idx="25">
                  <c:v>45254</c:v>
                </c:pt>
                <c:pt idx="26">
                  <c:v>45253</c:v>
                </c:pt>
                <c:pt idx="27">
                  <c:v>45252</c:v>
                </c:pt>
                <c:pt idx="28">
                  <c:v>45251</c:v>
                </c:pt>
                <c:pt idx="29">
                  <c:v>45250</c:v>
                </c:pt>
                <c:pt idx="30">
                  <c:v>45247</c:v>
                </c:pt>
                <c:pt idx="31">
                  <c:v>45246</c:v>
                </c:pt>
                <c:pt idx="32">
                  <c:v>45245</c:v>
                </c:pt>
                <c:pt idx="33">
                  <c:v>45244</c:v>
                </c:pt>
                <c:pt idx="34">
                  <c:v>45243</c:v>
                </c:pt>
                <c:pt idx="35">
                  <c:v>45240</c:v>
                </c:pt>
                <c:pt idx="36">
                  <c:v>45239</c:v>
                </c:pt>
                <c:pt idx="37">
                  <c:v>45238</c:v>
                </c:pt>
                <c:pt idx="38">
                  <c:v>45237</c:v>
                </c:pt>
                <c:pt idx="39">
                  <c:v>45236</c:v>
                </c:pt>
                <c:pt idx="40">
                  <c:v>45233</c:v>
                </c:pt>
                <c:pt idx="41">
                  <c:v>45232</c:v>
                </c:pt>
                <c:pt idx="42">
                  <c:v>45231</c:v>
                </c:pt>
                <c:pt idx="43">
                  <c:v>45230</c:v>
                </c:pt>
                <c:pt idx="44">
                  <c:v>45229</c:v>
                </c:pt>
                <c:pt idx="45">
                  <c:v>45226</c:v>
                </c:pt>
                <c:pt idx="46">
                  <c:v>45225</c:v>
                </c:pt>
                <c:pt idx="47">
                  <c:v>45224</c:v>
                </c:pt>
                <c:pt idx="48">
                  <c:v>45223</c:v>
                </c:pt>
                <c:pt idx="49">
                  <c:v>45222</c:v>
                </c:pt>
                <c:pt idx="50">
                  <c:v>45219</c:v>
                </c:pt>
                <c:pt idx="51">
                  <c:v>45218</c:v>
                </c:pt>
                <c:pt idx="52">
                  <c:v>45217</c:v>
                </c:pt>
                <c:pt idx="53">
                  <c:v>45216</c:v>
                </c:pt>
                <c:pt idx="54">
                  <c:v>45215</c:v>
                </c:pt>
                <c:pt idx="55">
                  <c:v>45212</c:v>
                </c:pt>
                <c:pt idx="56">
                  <c:v>45211</c:v>
                </c:pt>
                <c:pt idx="57">
                  <c:v>45210</c:v>
                </c:pt>
                <c:pt idx="58">
                  <c:v>45209</c:v>
                </c:pt>
                <c:pt idx="59">
                  <c:v>45208</c:v>
                </c:pt>
                <c:pt idx="60">
                  <c:v>45205</c:v>
                </c:pt>
                <c:pt idx="61">
                  <c:v>45204</c:v>
                </c:pt>
                <c:pt idx="62">
                  <c:v>45203</c:v>
                </c:pt>
                <c:pt idx="63">
                  <c:v>45202</c:v>
                </c:pt>
                <c:pt idx="64">
                  <c:v>45201</c:v>
                </c:pt>
                <c:pt idx="65">
                  <c:v>45198</c:v>
                </c:pt>
                <c:pt idx="66">
                  <c:v>45197</c:v>
                </c:pt>
                <c:pt idx="67">
                  <c:v>45196</c:v>
                </c:pt>
                <c:pt idx="68">
                  <c:v>45195</c:v>
                </c:pt>
                <c:pt idx="69">
                  <c:v>45194</c:v>
                </c:pt>
                <c:pt idx="70">
                  <c:v>45191</c:v>
                </c:pt>
                <c:pt idx="71">
                  <c:v>45190</c:v>
                </c:pt>
                <c:pt idx="72">
                  <c:v>45189</c:v>
                </c:pt>
                <c:pt idx="73">
                  <c:v>45188</c:v>
                </c:pt>
                <c:pt idx="74">
                  <c:v>45187</c:v>
                </c:pt>
                <c:pt idx="75">
                  <c:v>45184</c:v>
                </c:pt>
                <c:pt idx="76">
                  <c:v>45183</c:v>
                </c:pt>
                <c:pt idx="77">
                  <c:v>45182</c:v>
                </c:pt>
                <c:pt idx="78">
                  <c:v>45181</c:v>
                </c:pt>
                <c:pt idx="79">
                  <c:v>45180</c:v>
                </c:pt>
                <c:pt idx="80">
                  <c:v>45177</c:v>
                </c:pt>
                <c:pt idx="81">
                  <c:v>45176</c:v>
                </c:pt>
                <c:pt idx="82">
                  <c:v>45175</c:v>
                </c:pt>
                <c:pt idx="83">
                  <c:v>45174</c:v>
                </c:pt>
                <c:pt idx="84">
                  <c:v>45173</c:v>
                </c:pt>
                <c:pt idx="85">
                  <c:v>45170</c:v>
                </c:pt>
                <c:pt idx="86">
                  <c:v>45169</c:v>
                </c:pt>
                <c:pt idx="87">
                  <c:v>45168</c:v>
                </c:pt>
                <c:pt idx="88">
                  <c:v>45167</c:v>
                </c:pt>
                <c:pt idx="89">
                  <c:v>45166</c:v>
                </c:pt>
                <c:pt idx="90">
                  <c:v>45163</c:v>
                </c:pt>
                <c:pt idx="91">
                  <c:v>45162</c:v>
                </c:pt>
                <c:pt idx="92">
                  <c:v>45161</c:v>
                </c:pt>
                <c:pt idx="93">
                  <c:v>45160</c:v>
                </c:pt>
                <c:pt idx="94">
                  <c:v>45159</c:v>
                </c:pt>
                <c:pt idx="95">
                  <c:v>45156</c:v>
                </c:pt>
                <c:pt idx="96">
                  <c:v>45155</c:v>
                </c:pt>
                <c:pt idx="97">
                  <c:v>45154</c:v>
                </c:pt>
                <c:pt idx="98">
                  <c:v>45153</c:v>
                </c:pt>
                <c:pt idx="99">
                  <c:v>45152</c:v>
                </c:pt>
                <c:pt idx="100">
                  <c:v>45149</c:v>
                </c:pt>
                <c:pt idx="101">
                  <c:v>45148</c:v>
                </c:pt>
                <c:pt idx="102">
                  <c:v>45147</c:v>
                </c:pt>
                <c:pt idx="103">
                  <c:v>45146</c:v>
                </c:pt>
                <c:pt idx="104">
                  <c:v>45145</c:v>
                </c:pt>
                <c:pt idx="105">
                  <c:v>45142</c:v>
                </c:pt>
                <c:pt idx="106">
                  <c:v>45141</c:v>
                </c:pt>
                <c:pt idx="107">
                  <c:v>45140</c:v>
                </c:pt>
                <c:pt idx="108">
                  <c:v>45139</c:v>
                </c:pt>
                <c:pt idx="109">
                  <c:v>45138</c:v>
                </c:pt>
                <c:pt idx="110">
                  <c:v>45135</c:v>
                </c:pt>
                <c:pt idx="111">
                  <c:v>45134</c:v>
                </c:pt>
                <c:pt idx="112">
                  <c:v>45133</c:v>
                </c:pt>
                <c:pt idx="113">
                  <c:v>45132</c:v>
                </c:pt>
                <c:pt idx="114">
                  <c:v>45131</c:v>
                </c:pt>
                <c:pt idx="115">
                  <c:v>45128</c:v>
                </c:pt>
                <c:pt idx="116">
                  <c:v>45127</c:v>
                </c:pt>
                <c:pt idx="117">
                  <c:v>45126</c:v>
                </c:pt>
                <c:pt idx="118">
                  <c:v>45125</c:v>
                </c:pt>
                <c:pt idx="119">
                  <c:v>45124</c:v>
                </c:pt>
                <c:pt idx="120">
                  <c:v>45121</c:v>
                </c:pt>
                <c:pt idx="121">
                  <c:v>45120</c:v>
                </c:pt>
                <c:pt idx="122">
                  <c:v>45119</c:v>
                </c:pt>
                <c:pt idx="123">
                  <c:v>45118</c:v>
                </c:pt>
                <c:pt idx="124">
                  <c:v>45117</c:v>
                </c:pt>
                <c:pt idx="125">
                  <c:v>45114</c:v>
                </c:pt>
                <c:pt idx="126">
                  <c:v>45113</c:v>
                </c:pt>
                <c:pt idx="127">
                  <c:v>45112</c:v>
                </c:pt>
                <c:pt idx="128">
                  <c:v>45111</c:v>
                </c:pt>
                <c:pt idx="129">
                  <c:v>45110</c:v>
                </c:pt>
                <c:pt idx="130">
                  <c:v>45107</c:v>
                </c:pt>
                <c:pt idx="131">
                  <c:v>45106</c:v>
                </c:pt>
                <c:pt idx="132">
                  <c:v>45105</c:v>
                </c:pt>
                <c:pt idx="133">
                  <c:v>45104</c:v>
                </c:pt>
                <c:pt idx="134">
                  <c:v>45103</c:v>
                </c:pt>
                <c:pt idx="135">
                  <c:v>45100</c:v>
                </c:pt>
                <c:pt idx="136">
                  <c:v>45099</c:v>
                </c:pt>
                <c:pt idx="137">
                  <c:v>45098</c:v>
                </c:pt>
                <c:pt idx="138">
                  <c:v>45097</c:v>
                </c:pt>
                <c:pt idx="139">
                  <c:v>45096</c:v>
                </c:pt>
                <c:pt idx="140">
                  <c:v>45093</c:v>
                </c:pt>
                <c:pt idx="141">
                  <c:v>45092</c:v>
                </c:pt>
                <c:pt idx="142">
                  <c:v>45091</c:v>
                </c:pt>
                <c:pt idx="143">
                  <c:v>45090</c:v>
                </c:pt>
                <c:pt idx="144">
                  <c:v>45089</c:v>
                </c:pt>
                <c:pt idx="145">
                  <c:v>45086</c:v>
                </c:pt>
                <c:pt idx="146">
                  <c:v>45085</c:v>
                </c:pt>
                <c:pt idx="147">
                  <c:v>45084</c:v>
                </c:pt>
                <c:pt idx="148">
                  <c:v>45083</c:v>
                </c:pt>
                <c:pt idx="149">
                  <c:v>45082</c:v>
                </c:pt>
                <c:pt idx="150">
                  <c:v>45079</c:v>
                </c:pt>
                <c:pt idx="151">
                  <c:v>45078</c:v>
                </c:pt>
                <c:pt idx="152">
                  <c:v>45077</c:v>
                </c:pt>
                <c:pt idx="153">
                  <c:v>45076</c:v>
                </c:pt>
                <c:pt idx="154">
                  <c:v>45075</c:v>
                </c:pt>
                <c:pt idx="155">
                  <c:v>45072</c:v>
                </c:pt>
                <c:pt idx="156">
                  <c:v>45071</c:v>
                </c:pt>
                <c:pt idx="157">
                  <c:v>45070</c:v>
                </c:pt>
                <c:pt idx="158">
                  <c:v>45069</c:v>
                </c:pt>
                <c:pt idx="159">
                  <c:v>45068</c:v>
                </c:pt>
                <c:pt idx="160">
                  <c:v>45065</c:v>
                </c:pt>
                <c:pt idx="161">
                  <c:v>45064</c:v>
                </c:pt>
                <c:pt idx="162">
                  <c:v>45063</c:v>
                </c:pt>
                <c:pt idx="163">
                  <c:v>45062</c:v>
                </c:pt>
                <c:pt idx="164">
                  <c:v>45061</c:v>
                </c:pt>
                <c:pt idx="165">
                  <c:v>45058</c:v>
                </c:pt>
                <c:pt idx="166">
                  <c:v>45057</c:v>
                </c:pt>
                <c:pt idx="167">
                  <c:v>45056</c:v>
                </c:pt>
                <c:pt idx="168">
                  <c:v>45055</c:v>
                </c:pt>
                <c:pt idx="169">
                  <c:v>45054</c:v>
                </c:pt>
                <c:pt idx="170">
                  <c:v>45051</c:v>
                </c:pt>
                <c:pt idx="171">
                  <c:v>45050</c:v>
                </c:pt>
                <c:pt idx="172">
                  <c:v>45049</c:v>
                </c:pt>
                <c:pt idx="173">
                  <c:v>45048</c:v>
                </c:pt>
                <c:pt idx="174">
                  <c:v>45047</c:v>
                </c:pt>
                <c:pt idx="175">
                  <c:v>45044</c:v>
                </c:pt>
                <c:pt idx="176">
                  <c:v>45043</c:v>
                </c:pt>
                <c:pt idx="177">
                  <c:v>45042</c:v>
                </c:pt>
                <c:pt idx="178">
                  <c:v>45041</c:v>
                </c:pt>
                <c:pt idx="179">
                  <c:v>45040</c:v>
                </c:pt>
                <c:pt idx="180">
                  <c:v>45037</c:v>
                </c:pt>
                <c:pt idx="181">
                  <c:v>45036</c:v>
                </c:pt>
                <c:pt idx="182">
                  <c:v>45035</c:v>
                </c:pt>
                <c:pt idx="183">
                  <c:v>45034</c:v>
                </c:pt>
                <c:pt idx="184">
                  <c:v>45033</c:v>
                </c:pt>
                <c:pt idx="185">
                  <c:v>45030</c:v>
                </c:pt>
                <c:pt idx="186">
                  <c:v>45029</c:v>
                </c:pt>
                <c:pt idx="187">
                  <c:v>45028</c:v>
                </c:pt>
                <c:pt idx="188">
                  <c:v>45027</c:v>
                </c:pt>
                <c:pt idx="189">
                  <c:v>45026</c:v>
                </c:pt>
                <c:pt idx="190">
                  <c:v>45023</c:v>
                </c:pt>
                <c:pt idx="191">
                  <c:v>45022</c:v>
                </c:pt>
                <c:pt idx="192">
                  <c:v>45021</c:v>
                </c:pt>
                <c:pt idx="193">
                  <c:v>45020</c:v>
                </c:pt>
                <c:pt idx="194">
                  <c:v>45019</c:v>
                </c:pt>
                <c:pt idx="195">
                  <c:v>45016</c:v>
                </c:pt>
                <c:pt idx="196">
                  <c:v>45015</c:v>
                </c:pt>
                <c:pt idx="197">
                  <c:v>45014</c:v>
                </c:pt>
                <c:pt idx="198">
                  <c:v>45013</c:v>
                </c:pt>
                <c:pt idx="199">
                  <c:v>45012</c:v>
                </c:pt>
                <c:pt idx="200">
                  <c:v>45009</c:v>
                </c:pt>
                <c:pt idx="201">
                  <c:v>45008</c:v>
                </c:pt>
                <c:pt idx="202">
                  <c:v>45007</c:v>
                </c:pt>
                <c:pt idx="203">
                  <c:v>45006</c:v>
                </c:pt>
                <c:pt idx="204">
                  <c:v>45005</c:v>
                </c:pt>
                <c:pt idx="205">
                  <c:v>45002</c:v>
                </c:pt>
                <c:pt idx="206">
                  <c:v>45001</c:v>
                </c:pt>
                <c:pt idx="207">
                  <c:v>45000</c:v>
                </c:pt>
                <c:pt idx="208">
                  <c:v>44999</c:v>
                </c:pt>
                <c:pt idx="209">
                  <c:v>44998</c:v>
                </c:pt>
                <c:pt idx="210">
                  <c:v>44995</c:v>
                </c:pt>
                <c:pt idx="211">
                  <c:v>44994</c:v>
                </c:pt>
                <c:pt idx="212">
                  <c:v>44993</c:v>
                </c:pt>
                <c:pt idx="213">
                  <c:v>44992</c:v>
                </c:pt>
                <c:pt idx="214">
                  <c:v>44991</c:v>
                </c:pt>
                <c:pt idx="215">
                  <c:v>44988</c:v>
                </c:pt>
                <c:pt idx="216">
                  <c:v>44987</c:v>
                </c:pt>
                <c:pt idx="217">
                  <c:v>44986</c:v>
                </c:pt>
                <c:pt idx="218">
                  <c:v>44985</c:v>
                </c:pt>
                <c:pt idx="219">
                  <c:v>44984</c:v>
                </c:pt>
                <c:pt idx="220">
                  <c:v>44981</c:v>
                </c:pt>
                <c:pt idx="221">
                  <c:v>44980</c:v>
                </c:pt>
                <c:pt idx="222">
                  <c:v>44979</c:v>
                </c:pt>
                <c:pt idx="223">
                  <c:v>44978</c:v>
                </c:pt>
                <c:pt idx="224">
                  <c:v>44977</c:v>
                </c:pt>
                <c:pt idx="225">
                  <c:v>44974</c:v>
                </c:pt>
                <c:pt idx="226">
                  <c:v>44973</c:v>
                </c:pt>
                <c:pt idx="227">
                  <c:v>44972</c:v>
                </c:pt>
                <c:pt idx="228">
                  <c:v>44971</c:v>
                </c:pt>
                <c:pt idx="229">
                  <c:v>44970</c:v>
                </c:pt>
                <c:pt idx="230">
                  <c:v>44967</c:v>
                </c:pt>
                <c:pt idx="231">
                  <c:v>44966</c:v>
                </c:pt>
                <c:pt idx="232">
                  <c:v>44965</c:v>
                </c:pt>
                <c:pt idx="233">
                  <c:v>44964</c:v>
                </c:pt>
                <c:pt idx="234">
                  <c:v>44963</c:v>
                </c:pt>
                <c:pt idx="235">
                  <c:v>44960</c:v>
                </c:pt>
                <c:pt idx="236">
                  <c:v>44959</c:v>
                </c:pt>
                <c:pt idx="237">
                  <c:v>44958</c:v>
                </c:pt>
                <c:pt idx="238">
                  <c:v>44957</c:v>
                </c:pt>
                <c:pt idx="239">
                  <c:v>44956</c:v>
                </c:pt>
                <c:pt idx="240">
                  <c:v>44953</c:v>
                </c:pt>
                <c:pt idx="241">
                  <c:v>44952</c:v>
                </c:pt>
                <c:pt idx="242">
                  <c:v>44951</c:v>
                </c:pt>
                <c:pt idx="243">
                  <c:v>44950</c:v>
                </c:pt>
                <c:pt idx="244">
                  <c:v>44949</c:v>
                </c:pt>
                <c:pt idx="245">
                  <c:v>44946</c:v>
                </c:pt>
                <c:pt idx="246">
                  <c:v>44945</c:v>
                </c:pt>
                <c:pt idx="247">
                  <c:v>44944</c:v>
                </c:pt>
                <c:pt idx="248">
                  <c:v>44943</c:v>
                </c:pt>
                <c:pt idx="249">
                  <c:v>44942</c:v>
                </c:pt>
                <c:pt idx="250">
                  <c:v>44939</c:v>
                </c:pt>
                <c:pt idx="251">
                  <c:v>44938</c:v>
                </c:pt>
                <c:pt idx="252">
                  <c:v>44937</c:v>
                </c:pt>
                <c:pt idx="253">
                  <c:v>44936</c:v>
                </c:pt>
                <c:pt idx="254">
                  <c:v>44935</c:v>
                </c:pt>
                <c:pt idx="255">
                  <c:v>44932</c:v>
                </c:pt>
                <c:pt idx="256">
                  <c:v>44931</c:v>
                </c:pt>
                <c:pt idx="257">
                  <c:v>44930</c:v>
                </c:pt>
                <c:pt idx="258">
                  <c:v>44929</c:v>
                </c:pt>
                <c:pt idx="259">
                  <c:v>44928</c:v>
                </c:pt>
                <c:pt idx="260">
                  <c:v>44925</c:v>
                </c:pt>
                <c:pt idx="261">
                  <c:v>44924</c:v>
                </c:pt>
                <c:pt idx="262">
                  <c:v>44923</c:v>
                </c:pt>
                <c:pt idx="263">
                  <c:v>44922</c:v>
                </c:pt>
                <c:pt idx="264">
                  <c:v>44921</c:v>
                </c:pt>
                <c:pt idx="265">
                  <c:v>44918</c:v>
                </c:pt>
                <c:pt idx="266">
                  <c:v>44917</c:v>
                </c:pt>
                <c:pt idx="267">
                  <c:v>44916</c:v>
                </c:pt>
                <c:pt idx="268">
                  <c:v>44915</c:v>
                </c:pt>
                <c:pt idx="269">
                  <c:v>44914</c:v>
                </c:pt>
                <c:pt idx="270">
                  <c:v>44911</c:v>
                </c:pt>
                <c:pt idx="271">
                  <c:v>44910</c:v>
                </c:pt>
                <c:pt idx="272">
                  <c:v>44909</c:v>
                </c:pt>
                <c:pt idx="273">
                  <c:v>44908</c:v>
                </c:pt>
                <c:pt idx="274">
                  <c:v>44907</c:v>
                </c:pt>
                <c:pt idx="275">
                  <c:v>44904</c:v>
                </c:pt>
                <c:pt idx="276">
                  <c:v>44903</c:v>
                </c:pt>
                <c:pt idx="277">
                  <c:v>44902</c:v>
                </c:pt>
                <c:pt idx="278">
                  <c:v>44901</c:v>
                </c:pt>
                <c:pt idx="279">
                  <c:v>44900</c:v>
                </c:pt>
                <c:pt idx="280">
                  <c:v>44897</c:v>
                </c:pt>
                <c:pt idx="281">
                  <c:v>44896</c:v>
                </c:pt>
                <c:pt idx="282">
                  <c:v>44895</c:v>
                </c:pt>
                <c:pt idx="283">
                  <c:v>44894</c:v>
                </c:pt>
                <c:pt idx="284">
                  <c:v>44893</c:v>
                </c:pt>
                <c:pt idx="285">
                  <c:v>44890</c:v>
                </c:pt>
                <c:pt idx="286">
                  <c:v>44889</c:v>
                </c:pt>
                <c:pt idx="287">
                  <c:v>44888</c:v>
                </c:pt>
                <c:pt idx="288">
                  <c:v>44887</c:v>
                </c:pt>
                <c:pt idx="289">
                  <c:v>44886</c:v>
                </c:pt>
                <c:pt idx="290">
                  <c:v>44883</c:v>
                </c:pt>
                <c:pt idx="291">
                  <c:v>44882</c:v>
                </c:pt>
                <c:pt idx="292">
                  <c:v>44881</c:v>
                </c:pt>
                <c:pt idx="293">
                  <c:v>44880</c:v>
                </c:pt>
                <c:pt idx="294">
                  <c:v>44879</c:v>
                </c:pt>
                <c:pt idx="295">
                  <c:v>44876</c:v>
                </c:pt>
                <c:pt idx="296">
                  <c:v>44875</c:v>
                </c:pt>
                <c:pt idx="297">
                  <c:v>44874</c:v>
                </c:pt>
                <c:pt idx="298">
                  <c:v>44873</c:v>
                </c:pt>
                <c:pt idx="299">
                  <c:v>44872</c:v>
                </c:pt>
                <c:pt idx="300">
                  <c:v>44869</c:v>
                </c:pt>
                <c:pt idx="301">
                  <c:v>44868</c:v>
                </c:pt>
                <c:pt idx="302">
                  <c:v>44867</c:v>
                </c:pt>
                <c:pt idx="303">
                  <c:v>44866</c:v>
                </c:pt>
                <c:pt idx="304">
                  <c:v>44865</c:v>
                </c:pt>
                <c:pt idx="305">
                  <c:v>44862</c:v>
                </c:pt>
                <c:pt idx="306">
                  <c:v>44861</c:v>
                </c:pt>
                <c:pt idx="307">
                  <c:v>44860</c:v>
                </c:pt>
                <c:pt idx="308">
                  <c:v>44859</c:v>
                </c:pt>
                <c:pt idx="309">
                  <c:v>44858</c:v>
                </c:pt>
                <c:pt idx="310">
                  <c:v>44855</c:v>
                </c:pt>
                <c:pt idx="311">
                  <c:v>44854</c:v>
                </c:pt>
                <c:pt idx="312">
                  <c:v>44853</c:v>
                </c:pt>
                <c:pt idx="313">
                  <c:v>44852</c:v>
                </c:pt>
                <c:pt idx="314">
                  <c:v>44851</c:v>
                </c:pt>
                <c:pt idx="315">
                  <c:v>44848</c:v>
                </c:pt>
                <c:pt idx="316">
                  <c:v>44847</c:v>
                </c:pt>
                <c:pt idx="317">
                  <c:v>44846</c:v>
                </c:pt>
                <c:pt idx="318">
                  <c:v>44845</c:v>
                </c:pt>
                <c:pt idx="319">
                  <c:v>44844</c:v>
                </c:pt>
                <c:pt idx="320">
                  <c:v>44841</c:v>
                </c:pt>
                <c:pt idx="321">
                  <c:v>44840</c:v>
                </c:pt>
                <c:pt idx="322">
                  <c:v>44839</c:v>
                </c:pt>
                <c:pt idx="323">
                  <c:v>44838</c:v>
                </c:pt>
                <c:pt idx="324">
                  <c:v>44837</c:v>
                </c:pt>
                <c:pt idx="325">
                  <c:v>44834</c:v>
                </c:pt>
                <c:pt idx="326">
                  <c:v>44833</c:v>
                </c:pt>
                <c:pt idx="327">
                  <c:v>44832</c:v>
                </c:pt>
                <c:pt idx="328">
                  <c:v>44831</c:v>
                </c:pt>
                <c:pt idx="329">
                  <c:v>44830</c:v>
                </c:pt>
                <c:pt idx="330">
                  <c:v>44827</c:v>
                </c:pt>
                <c:pt idx="331">
                  <c:v>44826</c:v>
                </c:pt>
                <c:pt idx="332">
                  <c:v>44825</c:v>
                </c:pt>
                <c:pt idx="333">
                  <c:v>44824</c:v>
                </c:pt>
                <c:pt idx="334">
                  <c:v>44823</c:v>
                </c:pt>
                <c:pt idx="335">
                  <c:v>44820</c:v>
                </c:pt>
                <c:pt idx="336">
                  <c:v>44819</c:v>
                </c:pt>
                <c:pt idx="337">
                  <c:v>44818</c:v>
                </c:pt>
                <c:pt idx="338">
                  <c:v>44817</c:v>
                </c:pt>
                <c:pt idx="339">
                  <c:v>44816</c:v>
                </c:pt>
                <c:pt idx="340">
                  <c:v>44813</c:v>
                </c:pt>
                <c:pt idx="341">
                  <c:v>44812</c:v>
                </c:pt>
                <c:pt idx="342">
                  <c:v>44811</c:v>
                </c:pt>
                <c:pt idx="343">
                  <c:v>44810</c:v>
                </c:pt>
                <c:pt idx="344">
                  <c:v>44809</c:v>
                </c:pt>
                <c:pt idx="345">
                  <c:v>44806</c:v>
                </c:pt>
                <c:pt idx="346">
                  <c:v>44805</c:v>
                </c:pt>
                <c:pt idx="347">
                  <c:v>44804</c:v>
                </c:pt>
                <c:pt idx="348">
                  <c:v>44803</c:v>
                </c:pt>
                <c:pt idx="349">
                  <c:v>44802</c:v>
                </c:pt>
                <c:pt idx="350">
                  <c:v>44799</c:v>
                </c:pt>
                <c:pt idx="351">
                  <c:v>44798</c:v>
                </c:pt>
                <c:pt idx="352">
                  <c:v>44797</c:v>
                </c:pt>
                <c:pt idx="353">
                  <c:v>44796</c:v>
                </c:pt>
                <c:pt idx="354">
                  <c:v>44795</c:v>
                </c:pt>
                <c:pt idx="355">
                  <c:v>44792</c:v>
                </c:pt>
                <c:pt idx="356">
                  <c:v>44791</c:v>
                </c:pt>
                <c:pt idx="357">
                  <c:v>44790</c:v>
                </c:pt>
                <c:pt idx="358">
                  <c:v>44789</c:v>
                </c:pt>
                <c:pt idx="359">
                  <c:v>44788</c:v>
                </c:pt>
                <c:pt idx="360">
                  <c:v>44785</c:v>
                </c:pt>
                <c:pt idx="361">
                  <c:v>44784</c:v>
                </c:pt>
                <c:pt idx="362">
                  <c:v>44783</c:v>
                </c:pt>
                <c:pt idx="363">
                  <c:v>44782</c:v>
                </c:pt>
                <c:pt idx="364">
                  <c:v>44781</c:v>
                </c:pt>
                <c:pt idx="365">
                  <c:v>44778</c:v>
                </c:pt>
                <c:pt idx="366">
                  <c:v>44777</c:v>
                </c:pt>
                <c:pt idx="367">
                  <c:v>44776</c:v>
                </c:pt>
                <c:pt idx="368">
                  <c:v>44775</c:v>
                </c:pt>
                <c:pt idx="369">
                  <c:v>44774</c:v>
                </c:pt>
                <c:pt idx="370">
                  <c:v>44771</c:v>
                </c:pt>
                <c:pt idx="371">
                  <c:v>44770</c:v>
                </c:pt>
                <c:pt idx="372">
                  <c:v>44769</c:v>
                </c:pt>
                <c:pt idx="373">
                  <c:v>44768</c:v>
                </c:pt>
                <c:pt idx="374">
                  <c:v>44767</c:v>
                </c:pt>
                <c:pt idx="375">
                  <c:v>44764</c:v>
                </c:pt>
                <c:pt idx="376">
                  <c:v>44763</c:v>
                </c:pt>
                <c:pt idx="377">
                  <c:v>44762</c:v>
                </c:pt>
                <c:pt idx="378">
                  <c:v>44761</c:v>
                </c:pt>
                <c:pt idx="379">
                  <c:v>44760</c:v>
                </c:pt>
                <c:pt idx="380">
                  <c:v>44757</c:v>
                </c:pt>
                <c:pt idx="381">
                  <c:v>44756</c:v>
                </c:pt>
                <c:pt idx="382">
                  <c:v>44755</c:v>
                </c:pt>
                <c:pt idx="383">
                  <c:v>44754</c:v>
                </c:pt>
                <c:pt idx="384">
                  <c:v>44753</c:v>
                </c:pt>
                <c:pt idx="385">
                  <c:v>44750</c:v>
                </c:pt>
                <c:pt idx="386">
                  <c:v>44749</c:v>
                </c:pt>
                <c:pt idx="387">
                  <c:v>44748</c:v>
                </c:pt>
                <c:pt idx="388">
                  <c:v>44747</c:v>
                </c:pt>
                <c:pt idx="389">
                  <c:v>44746</c:v>
                </c:pt>
                <c:pt idx="390">
                  <c:v>44743</c:v>
                </c:pt>
                <c:pt idx="391">
                  <c:v>44742</c:v>
                </c:pt>
                <c:pt idx="392">
                  <c:v>44741</c:v>
                </c:pt>
                <c:pt idx="393">
                  <c:v>44740</c:v>
                </c:pt>
                <c:pt idx="394">
                  <c:v>44739</c:v>
                </c:pt>
                <c:pt idx="395">
                  <c:v>44736</c:v>
                </c:pt>
                <c:pt idx="396">
                  <c:v>44735</c:v>
                </c:pt>
                <c:pt idx="397">
                  <c:v>44734</c:v>
                </c:pt>
                <c:pt idx="398">
                  <c:v>44733</c:v>
                </c:pt>
                <c:pt idx="399">
                  <c:v>44732</c:v>
                </c:pt>
                <c:pt idx="400">
                  <c:v>44729</c:v>
                </c:pt>
                <c:pt idx="401">
                  <c:v>44728</c:v>
                </c:pt>
                <c:pt idx="402">
                  <c:v>44727</c:v>
                </c:pt>
                <c:pt idx="403">
                  <c:v>44726</c:v>
                </c:pt>
                <c:pt idx="404">
                  <c:v>44725</c:v>
                </c:pt>
                <c:pt idx="405">
                  <c:v>44722</c:v>
                </c:pt>
                <c:pt idx="406">
                  <c:v>44721</c:v>
                </c:pt>
                <c:pt idx="407">
                  <c:v>44720</c:v>
                </c:pt>
                <c:pt idx="408">
                  <c:v>44719</c:v>
                </c:pt>
                <c:pt idx="409">
                  <c:v>44718</c:v>
                </c:pt>
                <c:pt idx="410">
                  <c:v>44715</c:v>
                </c:pt>
                <c:pt idx="411">
                  <c:v>44714</c:v>
                </c:pt>
                <c:pt idx="412">
                  <c:v>44713</c:v>
                </c:pt>
                <c:pt idx="413">
                  <c:v>44712</c:v>
                </c:pt>
                <c:pt idx="414">
                  <c:v>44711</c:v>
                </c:pt>
                <c:pt idx="415">
                  <c:v>44708</c:v>
                </c:pt>
                <c:pt idx="416">
                  <c:v>44707</c:v>
                </c:pt>
                <c:pt idx="417">
                  <c:v>44706</c:v>
                </c:pt>
                <c:pt idx="418">
                  <c:v>44705</c:v>
                </c:pt>
                <c:pt idx="419">
                  <c:v>44704</c:v>
                </c:pt>
                <c:pt idx="420">
                  <c:v>44701</c:v>
                </c:pt>
                <c:pt idx="421">
                  <c:v>44700</c:v>
                </c:pt>
                <c:pt idx="422">
                  <c:v>44699</c:v>
                </c:pt>
                <c:pt idx="423">
                  <c:v>44698</c:v>
                </c:pt>
                <c:pt idx="424">
                  <c:v>44697</c:v>
                </c:pt>
                <c:pt idx="425">
                  <c:v>44694</c:v>
                </c:pt>
                <c:pt idx="426">
                  <c:v>44693</c:v>
                </c:pt>
                <c:pt idx="427">
                  <c:v>44692</c:v>
                </c:pt>
                <c:pt idx="428">
                  <c:v>44691</c:v>
                </c:pt>
                <c:pt idx="429">
                  <c:v>44690</c:v>
                </c:pt>
                <c:pt idx="430">
                  <c:v>44687</c:v>
                </c:pt>
                <c:pt idx="431">
                  <c:v>44686</c:v>
                </c:pt>
                <c:pt idx="432">
                  <c:v>44685</c:v>
                </c:pt>
                <c:pt idx="433">
                  <c:v>44684</c:v>
                </c:pt>
                <c:pt idx="434">
                  <c:v>44683</c:v>
                </c:pt>
                <c:pt idx="435">
                  <c:v>44680</c:v>
                </c:pt>
                <c:pt idx="436">
                  <c:v>44679</c:v>
                </c:pt>
                <c:pt idx="437">
                  <c:v>44678</c:v>
                </c:pt>
                <c:pt idx="438">
                  <c:v>44677</c:v>
                </c:pt>
                <c:pt idx="439">
                  <c:v>44676</c:v>
                </c:pt>
                <c:pt idx="440">
                  <c:v>44673</c:v>
                </c:pt>
                <c:pt idx="441">
                  <c:v>44672</c:v>
                </c:pt>
                <c:pt idx="442">
                  <c:v>44671</c:v>
                </c:pt>
                <c:pt idx="443">
                  <c:v>44670</c:v>
                </c:pt>
                <c:pt idx="444">
                  <c:v>44669</c:v>
                </c:pt>
                <c:pt idx="445">
                  <c:v>44666</c:v>
                </c:pt>
                <c:pt idx="446">
                  <c:v>44665</c:v>
                </c:pt>
                <c:pt idx="447">
                  <c:v>44664</c:v>
                </c:pt>
                <c:pt idx="448">
                  <c:v>44663</c:v>
                </c:pt>
                <c:pt idx="449">
                  <c:v>44662</c:v>
                </c:pt>
                <c:pt idx="450">
                  <c:v>44659</c:v>
                </c:pt>
                <c:pt idx="451">
                  <c:v>44658</c:v>
                </c:pt>
                <c:pt idx="452">
                  <c:v>44657</c:v>
                </c:pt>
                <c:pt idx="453">
                  <c:v>44656</c:v>
                </c:pt>
                <c:pt idx="454">
                  <c:v>44655</c:v>
                </c:pt>
                <c:pt idx="455">
                  <c:v>44652</c:v>
                </c:pt>
                <c:pt idx="456">
                  <c:v>44651</c:v>
                </c:pt>
                <c:pt idx="457">
                  <c:v>44650</c:v>
                </c:pt>
                <c:pt idx="458">
                  <c:v>44649</c:v>
                </c:pt>
                <c:pt idx="459">
                  <c:v>44648</c:v>
                </c:pt>
                <c:pt idx="460">
                  <c:v>44645</c:v>
                </c:pt>
                <c:pt idx="461">
                  <c:v>44644</c:v>
                </c:pt>
                <c:pt idx="462">
                  <c:v>44643</c:v>
                </c:pt>
                <c:pt idx="463">
                  <c:v>44642</c:v>
                </c:pt>
                <c:pt idx="464">
                  <c:v>44641</c:v>
                </c:pt>
                <c:pt idx="465">
                  <c:v>44638</c:v>
                </c:pt>
                <c:pt idx="466">
                  <c:v>44637</c:v>
                </c:pt>
                <c:pt idx="467">
                  <c:v>44636</c:v>
                </c:pt>
                <c:pt idx="468">
                  <c:v>44635</c:v>
                </c:pt>
                <c:pt idx="469">
                  <c:v>44634</c:v>
                </c:pt>
                <c:pt idx="470">
                  <c:v>44631</c:v>
                </c:pt>
                <c:pt idx="471">
                  <c:v>44630</c:v>
                </c:pt>
                <c:pt idx="472">
                  <c:v>44629</c:v>
                </c:pt>
                <c:pt idx="473">
                  <c:v>44628</c:v>
                </c:pt>
                <c:pt idx="474">
                  <c:v>44627</c:v>
                </c:pt>
                <c:pt idx="475">
                  <c:v>44624</c:v>
                </c:pt>
                <c:pt idx="476">
                  <c:v>44623</c:v>
                </c:pt>
                <c:pt idx="477">
                  <c:v>44622</c:v>
                </c:pt>
                <c:pt idx="478">
                  <c:v>44621</c:v>
                </c:pt>
                <c:pt idx="479">
                  <c:v>44620</c:v>
                </c:pt>
                <c:pt idx="480">
                  <c:v>44617</c:v>
                </c:pt>
                <c:pt idx="481">
                  <c:v>44616</c:v>
                </c:pt>
                <c:pt idx="482">
                  <c:v>44615</c:v>
                </c:pt>
                <c:pt idx="483">
                  <c:v>44614</c:v>
                </c:pt>
                <c:pt idx="484">
                  <c:v>44613</c:v>
                </c:pt>
                <c:pt idx="485">
                  <c:v>44610</c:v>
                </c:pt>
                <c:pt idx="486">
                  <c:v>44609</c:v>
                </c:pt>
                <c:pt idx="487">
                  <c:v>44608</c:v>
                </c:pt>
                <c:pt idx="488">
                  <c:v>44607</c:v>
                </c:pt>
                <c:pt idx="489">
                  <c:v>44606</c:v>
                </c:pt>
                <c:pt idx="490">
                  <c:v>44603</c:v>
                </c:pt>
                <c:pt idx="491">
                  <c:v>44602</c:v>
                </c:pt>
                <c:pt idx="492">
                  <c:v>44601</c:v>
                </c:pt>
                <c:pt idx="493">
                  <c:v>44600</c:v>
                </c:pt>
                <c:pt idx="494">
                  <c:v>44599</c:v>
                </c:pt>
                <c:pt idx="495">
                  <c:v>44596</c:v>
                </c:pt>
                <c:pt idx="496">
                  <c:v>44595</c:v>
                </c:pt>
                <c:pt idx="497">
                  <c:v>44594</c:v>
                </c:pt>
                <c:pt idx="498">
                  <c:v>44593</c:v>
                </c:pt>
                <c:pt idx="499">
                  <c:v>44592</c:v>
                </c:pt>
                <c:pt idx="500">
                  <c:v>44589</c:v>
                </c:pt>
                <c:pt idx="501">
                  <c:v>44588</c:v>
                </c:pt>
                <c:pt idx="502">
                  <c:v>44587</c:v>
                </c:pt>
                <c:pt idx="503">
                  <c:v>44586</c:v>
                </c:pt>
                <c:pt idx="504">
                  <c:v>44585</c:v>
                </c:pt>
                <c:pt idx="505">
                  <c:v>44582</c:v>
                </c:pt>
                <c:pt idx="506">
                  <c:v>44581</c:v>
                </c:pt>
                <c:pt idx="507">
                  <c:v>44580</c:v>
                </c:pt>
                <c:pt idx="508">
                  <c:v>44579</c:v>
                </c:pt>
                <c:pt idx="509">
                  <c:v>44578</c:v>
                </c:pt>
                <c:pt idx="510">
                  <c:v>44575</c:v>
                </c:pt>
                <c:pt idx="511">
                  <c:v>44574</c:v>
                </c:pt>
                <c:pt idx="512">
                  <c:v>44573</c:v>
                </c:pt>
                <c:pt idx="513">
                  <c:v>44572</c:v>
                </c:pt>
                <c:pt idx="514">
                  <c:v>44571</c:v>
                </c:pt>
                <c:pt idx="515">
                  <c:v>44568</c:v>
                </c:pt>
                <c:pt idx="516">
                  <c:v>44567</c:v>
                </c:pt>
                <c:pt idx="517">
                  <c:v>44566</c:v>
                </c:pt>
                <c:pt idx="518">
                  <c:v>44565</c:v>
                </c:pt>
                <c:pt idx="519">
                  <c:v>44564</c:v>
                </c:pt>
                <c:pt idx="520">
                  <c:v>44561</c:v>
                </c:pt>
                <c:pt idx="521">
                  <c:v>44560</c:v>
                </c:pt>
                <c:pt idx="522">
                  <c:v>44559</c:v>
                </c:pt>
                <c:pt idx="523">
                  <c:v>44558</c:v>
                </c:pt>
                <c:pt idx="524">
                  <c:v>44557</c:v>
                </c:pt>
                <c:pt idx="525">
                  <c:v>44554</c:v>
                </c:pt>
                <c:pt idx="526">
                  <c:v>44553</c:v>
                </c:pt>
                <c:pt idx="527">
                  <c:v>44552</c:v>
                </c:pt>
                <c:pt idx="528">
                  <c:v>44551</c:v>
                </c:pt>
                <c:pt idx="529">
                  <c:v>44550</c:v>
                </c:pt>
                <c:pt idx="530">
                  <c:v>44547</c:v>
                </c:pt>
                <c:pt idx="531">
                  <c:v>44546</c:v>
                </c:pt>
                <c:pt idx="532">
                  <c:v>44545</c:v>
                </c:pt>
                <c:pt idx="533">
                  <c:v>44544</c:v>
                </c:pt>
                <c:pt idx="534">
                  <c:v>44543</c:v>
                </c:pt>
                <c:pt idx="535">
                  <c:v>44540</c:v>
                </c:pt>
                <c:pt idx="536">
                  <c:v>44539</c:v>
                </c:pt>
                <c:pt idx="537">
                  <c:v>44538</c:v>
                </c:pt>
                <c:pt idx="538">
                  <c:v>44537</c:v>
                </c:pt>
                <c:pt idx="539">
                  <c:v>44536</c:v>
                </c:pt>
                <c:pt idx="540">
                  <c:v>44533</c:v>
                </c:pt>
                <c:pt idx="541">
                  <c:v>44532</c:v>
                </c:pt>
                <c:pt idx="542">
                  <c:v>44531</c:v>
                </c:pt>
                <c:pt idx="543">
                  <c:v>44530</c:v>
                </c:pt>
                <c:pt idx="544">
                  <c:v>44529</c:v>
                </c:pt>
                <c:pt idx="545">
                  <c:v>44526</c:v>
                </c:pt>
                <c:pt idx="546">
                  <c:v>44525</c:v>
                </c:pt>
                <c:pt idx="547">
                  <c:v>44524</c:v>
                </c:pt>
                <c:pt idx="548">
                  <c:v>44523</c:v>
                </c:pt>
                <c:pt idx="549">
                  <c:v>44522</c:v>
                </c:pt>
                <c:pt idx="550">
                  <c:v>44519</c:v>
                </c:pt>
                <c:pt idx="551">
                  <c:v>44518</c:v>
                </c:pt>
                <c:pt idx="552">
                  <c:v>44517</c:v>
                </c:pt>
                <c:pt idx="553">
                  <c:v>44516</c:v>
                </c:pt>
                <c:pt idx="554">
                  <c:v>44515</c:v>
                </c:pt>
                <c:pt idx="555">
                  <c:v>44512</c:v>
                </c:pt>
                <c:pt idx="556">
                  <c:v>44511</c:v>
                </c:pt>
                <c:pt idx="557">
                  <c:v>44510</c:v>
                </c:pt>
                <c:pt idx="558">
                  <c:v>44509</c:v>
                </c:pt>
                <c:pt idx="559">
                  <c:v>44508</c:v>
                </c:pt>
                <c:pt idx="560">
                  <c:v>44505</c:v>
                </c:pt>
                <c:pt idx="561">
                  <c:v>44504</c:v>
                </c:pt>
                <c:pt idx="562">
                  <c:v>44503</c:v>
                </c:pt>
                <c:pt idx="563">
                  <c:v>44502</c:v>
                </c:pt>
                <c:pt idx="564">
                  <c:v>44501</c:v>
                </c:pt>
                <c:pt idx="565">
                  <c:v>44498</c:v>
                </c:pt>
                <c:pt idx="566">
                  <c:v>44497</c:v>
                </c:pt>
                <c:pt idx="567">
                  <c:v>44496</c:v>
                </c:pt>
                <c:pt idx="568">
                  <c:v>44495</c:v>
                </c:pt>
                <c:pt idx="569">
                  <c:v>44494</c:v>
                </c:pt>
                <c:pt idx="570">
                  <c:v>44491</c:v>
                </c:pt>
                <c:pt idx="571">
                  <c:v>44490</c:v>
                </c:pt>
                <c:pt idx="572">
                  <c:v>44489</c:v>
                </c:pt>
                <c:pt idx="573">
                  <c:v>44488</c:v>
                </c:pt>
                <c:pt idx="574">
                  <c:v>44487</c:v>
                </c:pt>
                <c:pt idx="575">
                  <c:v>44484</c:v>
                </c:pt>
                <c:pt idx="576">
                  <c:v>44483</c:v>
                </c:pt>
                <c:pt idx="577">
                  <c:v>44482</c:v>
                </c:pt>
                <c:pt idx="578">
                  <c:v>44481</c:v>
                </c:pt>
                <c:pt idx="579">
                  <c:v>44480</c:v>
                </c:pt>
                <c:pt idx="580">
                  <c:v>44477</c:v>
                </c:pt>
                <c:pt idx="581">
                  <c:v>44476</c:v>
                </c:pt>
                <c:pt idx="582">
                  <c:v>44475</c:v>
                </c:pt>
                <c:pt idx="583">
                  <c:v>44474</c:v>
                </c:pt>
                <c:pt idx="584">
                  <c:v>44473</c:v>
                </c:pt>
                <c:pt idx="585">
                  <c:v>44470</c:v>
                </c:pt>
                <c:pt idx="586">
                  <c:v>44469</c:v>
                </c:pt>
                <c:pt idx="587">
                  <c:v>44468</c:v>
                </c:pt>
                <c:pt idx="588">
                  <c:v>44467</c:v>
                </c:pt>
                <c:pt idx="589">
                  <c:v>44466</c:v>
                </c:pt>
                <c:pt idx="590">
                  <c:v>44463</c:v>
                </c:pt>
                <c:pt idx="591">
                  <c:v>44462</c:v>
                </c:pt>
                <c:pt idx="592">
                  <c:v>44461</c:v>
                </c:pt>
                <c:pt idx="593">
                  <c:v>44460</c:v>
                </c:pt>
                <c:pt idx="594">
                  <c:v>44459</c:v>
                </c:pt>
                <c:pt idx="595">
                  <c:v>44456</c:v>
                </c:pt>
                <c:pt idx="596">
                  <c:v>44455</c:v>
                </c:pt>
                <c:pt idx="597">
                  <c:v>44454</c:v>
                </c:pt>
                <c:pt idx="598">
                  <c:v>44453</c:v>
                </c:pt>
                <c:pt idx="599">
                  <c:v>44452</c:v>
                </c:pt>
                <c:pt idx="600">
                  <c:v>44449</c:v>
                </c:pt>
                <c:pt idx="601">
                  <c:v>44448</c:v>
                </c:pt>
                <c:pt idx="602">
                  <c:v>44447</c:v>
                </c:pt>
                <c:pt idx="603">
                  <c:v>44446</c:v>
                </c:pt>
                <c:pt idx="604">
                  <c:v>44445</c:v>
                </c:pt>
                <c:pt idx="605">
                  <c:v>44442</c:v>
                </c:pt>
                <c:pt idx="606">
                  <c:v>44441</c:v>
                </c:pt>
                <c:pt idx="607">
                  <c:v>44440</c:v>
                </c:pt>
                <c:pt idx="608">
                  <c:v>44439</c:v>
                </c:pt>
                <c:pt idx="609">
                  <c:v>44438</c:v>
                </c:pt>
                <c:pt idx="610">
                  <c:v>44435</c:v>
                </c:pt>
                <c:pt idx="611">
                  <c:v>44434</c:v>
                </c:pt>
                <c:pt idx="612">
                  <c:v>44433</c:v>
                </c:pt>
                <c:pt idx="613">
                  <c:v>44432</c:v>
                </c:pt>
                <c:pt idx="614">
                  <c:v>44431</c:v>
                </c:pt>
                <c:pt idx="615">
                  <c:v>44428</c:v>
                </c:pt>
                <c:pt idx="616">
                  <c:v>44427</c:v>
                </c:pt>
                <c:pt idx="617">
                  <c:v>44426</c:v>
                </c:pt>
                <c:pt idx="618">
                  <c:v>44425</c:v>
                </c:pt>
                <c:pt idx="619">
                  <c:v>44424</c:v>
                </c:pt>
                <c:pt idx="620">
                  <c:v>44421</c:v>
                </c:pt>
                <c:pt idx="621">
                  <c:v>44420</c:v>
                </c:pt>
                <c:pt idx="622">
                  <c:v>44419</c:v>
                </c:pt>
                <c:pt idx="623">
                  <c:v>44418</c:v>
                </c:pt>
                <c:pt idx="624">
                  <c:v>44417</c:v>
                </c:pt>
                <c:pt idx="625">
                  <c:v>44414</c:v>
                </c:pt>
                <c:pt idx="626">
                  <c:v>44413</c:v>
                </c:pt>
                <c:pt idx="627">
                  <c:v>44412</c:v>
                </c:pt>
                <c:pt idx="628">
                  <c:v>44411</c:v>
                </c:pt>
                <c:pt idx="629">
                  <c:v>44410</c:v>
                </c:pt>
                <c:pt idx="630">
                  <c:v>44407</c:v>
                </c:pt>
                <c:pt idx="631">
                  <c:v>44406</c:v>
                </c:pt>
                <c:pt idx="632">
                  <c:v>44405</c:v>
                </c:pt>
                <c:pt idx="633">
                  <c:v>44404</c:v>
                </c:pt>
                <c:pt idx="634">
                  <c:v>44403</c:v>
                </c:pt>
                <c:pt idx="635">
                  <c:v>44400</c:v>
                </c:pt>
                <c:pt idx="636">
                  <c:v>44399</c:v>
                </c:pt>
                <c:pt idx="637">
                  <c:v>44398</c:v>
                </c:pt>
                <c:pt idx="638">
                  <c:v>44397</c:v>
                </c:pt>
                <c:pt idx="639">
                  <c:v>44396</c:v>
                </c:pt>
                <c:pt idx="640">
                  <c:v>44393</c:v>
                </c:pt>
                <c:pt idx="641">
                  <c:v>44392</c:v>
                </c:pt>
                <c:pt idx="642">
                  <c:v>44391</c:v>
                </c:pt>
                <c:pt idx="643">
                  <c:v>44390</c:v>
                </c:pt>
                <c:pt idx="644">
                  <c:v>44389</c:v>
                </c:pt>
                <c:pt idx="645">
                  <c:v>44386</c:v>
                </c:pt>
                <c:pt idx="646">
                  <c:v>44385</c:v>
                </c:pt>
                <c:pt idx="647">
                  <c:v>44384</c:v>
                </c:pt>
                <c:pt idx="648">
                  <c:v>44383</c:v>
                </c:pt>
                <c:pt idx="649">
                  <c:v>44382</c:v>
                </c:pt>
                <c:pt idx="650">
                  <c:v>44379</c:v>
                </c:pt>
                <c:pt idx="651">
                  <c:v>44378</c:v>
                </c:pt>
                <c:pt idx="652">
                  <c:v>44377</c:v>
                </c:pt>
                <c:pt idx="653">
                  <c:v>44376</c:v>
                </c:pt>
                <c:pt idx="654">
                  <c:v>44375</c:v>
                </c:pt>
                <c:pt idx="655">
                  <c:v>44372</c:v>
                </c:pt>
                <c:pt idx="656">
                  <c:v>44371</c:v>
                </c:pt>
                <c:pt idx="657">
                  <c:v>44370</c:v>
                </c:pt>
                <c:pt idx="658">
                  <c:v>44369</c:v>
                </c:pt>
                <c:pt idx="659">
                  <c:v>44368</c:v>
                </c:pt>
                <c:pt idx="660">
                  <c:v>44365</c:v>
                </c:pt>
                <c:pt idx="661">
                  <c:v>44364</c:v>
                </c:pt>
                <c:pt idx="662">
                  <c:v>44363</c:v>
                </c:pt>
                <c:pt idx="663">
                  <c:v>44362</c:v>
                </c:pt>
                <c:pt idx="664">
                  <c:v>44361</c:v>
                </c:pt>
                <c:pt idx="665">
                  <c:v>44358</c:v>
                </c:pt>
                <c:pt idx="666">
                  <c:v>44357</c:v>
                </c:pt>
                <c:pt idx="667">
                  <c:v>44356</c:v>
                </c:pt>
                <c:pt idx="668">
                  <c:v>44355</c:v>
                </c:pt>
                <c:pt idx="669">
                  <c:v>44354</c:v>
                </c:pt>
                <c:pt idx="670">
                  <c:v>44351</c:v>
                </c:pt>
                <c:pt idx="671">
                  <c:v>44350</c:v>
                </c:pt>
                <c:pt idx="672">
                  <c:v>44349</c:v>
                </c:pt>
                <c:pt idx="673">
                  <c:v>44348</c:v>
                </c:pt>
                <c:pt idx="674">
                  <c:v>44347</c:v>
                </c:pt>
                <c:pt idx="675">
                  <c:v>44344</c:v>
                </c:pt>
                <c:pt idx="676">
                  <c:v>44343</c:v>
                </c:pt>
                <c:pt idx="677">
                  <c:v>44342</c:v>
                </c:pt>
                <c:pt idx="678">
                  <c:v>44341</c:v>
                </c:pt>
                <c:pt idx="679">
                  <c:v>44340</c:v>
                </c:pt>
                <c:pt idx="680">
                  <c:v>44337</c:v>
                </c:pt>
                <c:pt idx="681">
                  <c:v>44336</c:v>
                </c:pt>
                <c:pt idx="682">
                  <c:v>44335</c:v>
                </c:pt>
                <c:pt idx="683">
                  <c:v>44334</c:v>
                </c:pt>
                <c:pt idx="684">
                  <c:v>44333</c:v>
                </c:pt>
                <c:pt idx="685">
                  <c:v>44330</c:v>
                </c:pt>
                <c:pt idx="686">
                  <c:v>44329</c:v>
                </c:pt>
                <c:pt idx="687">
                  <c:v>44328</c:v>
                </c:pt>
                <c:pt idx="688">
                  <c:v>44327</c:v>
                </c:pt>
                <c:pt idx="689">
                  <c:v>44326</c:v>
                </c:pt>
                <c:pt idx="690">
                  <c:v>44323</c:v>
                </c:pt>
                <c:pt idx="691">
                  <c:v>44322</c:v>
                </c:pt>
                <c:pt idx="692">
                  <c:v>44321</c:v>
                </c:pt>
                <c:pt idx="693">
                  <c:v>44320</c:v>
                </c:pt>
                <c:pt idx="694">
                  <c:v>44319</c:v>
                </c:pt>
                <c:pt idx="695">
                  <c:v>44316</c:v>
                </c:pt>
                <c:pt idx="696">
                  <c:v>44315</c:v>
                </c:pt>
                <c:pt idx="697">
                  <c:v>44314</c:v>
                </c:pt>
                <c:pt idx="698">
                  <c:v>44313</c:v>
                </c:pt>
                <c:pt idx="699">
                  <c:v>44312</c:v>
                </c:pt>
                <c:pt idx="700">
                  <c:v>44309</c:v>
                </c:pt>
                <c:pt idx="701">
                  <c:v>44308</c:v>
                </c:pt>
                <c:pt idx="702">
                  <c:v>44307</c:v>
                </c:pt>
                <c:pt idx="703">
                  <c:v>44306</c:v>
                </c:pt>
                <c:pt idx="704">
                  <c:v>44305</c:v>
                </c:pt>
                <c:pt idx="705">
                  <c:v>44302</c:v>
                </c:pt>
                <c:pt idx="706">
                  <c:v>44301</c:v>
                </c:pt>
                <c:pt idx="707">
                  <c:v>44300</c:v>
                </c:pt>
                <c:pt idx="708">
                  <c:v>44299</c:v>
                </c:pt>
                <c:pt idx="709">
                  <c:v>44298</c:v>
                </c:pt>
                <c:pt idx="710">
                  <c:v>44295</c:v>
                </c:pt>
                <c:pt idx="711">
                  <c:v>44294</c:v>
                </c:pt>
                <c:pt idx="712">
                  <c:v>44293</c:v>
                </c:pt>
                <c:pt idx="713">
                  <c:v>44292</c:v>
                </c:pt>
                <c:pt idx="714">
                  <c:v>44291</c:v>
                </c:pt>
                <c:pt idx="715">
                  <c:v>44288</c:v>
                </c:pt>
                <c:pt idx="716">
                  <c:v>44287</c:v>
                </c:pt>
                <c:pt idx="717">
                  <c:v>44286</c:v>
                </c:pt>
                <c:pt idx="718">
                  <c:v>44285</c:v>
                </c:pt>
                <c:pt idx="719">
                  <c:v>44284</c:v>
                </c:pt>
                <c:pt idx="720">
                  <c:v>44281</c:v>
                </c:pt>
                <c:pt idx="721">
                  <c:v>44280</c:v>
                </c:pt>
                <c:pt idx="722">
                  <c:v>44279</c:v>
                </c:pt>
                <c:pt idx="723">
                  <c:v>44278</c:v>
                </c:pt>
                <c:pt idx="724">
                  <c:v>44277</c:v>
                </c:pt>
                <c:pt idx="725">
                  <c:v>44274</c:v>
                </c:pt>
                <c:pt idx="726">
                  <c:v>44273</c:v>
                </c:pt>
                <c:pt idx="727">
                  <c:v>44272</c:v>
                </c:pt>
                <c:pt idx="728">
                  <c:v>44271</c:v>
                </c:pt>
                <c:pt idx="729">
                  <c:v>44270</c:v>
                </c:pt>
                <c:pt idx="730">
                  <c:v>44267</c:v>
                </c:pt>
                <c:pt idx="731">
                  <c:v>44266</c:v>
                </c:pt>
                <c:pt idx="732">
                  <c:v>44265</c:v>
                </c:pt>
                <c:pt idx="733">
                  <c:v>44264</c:v>
                </c:pt>
                <c:pt idx="734">
                  <c:v>44263</c:v>
                </c:pt>
                <c:pt idx="735">
                  <c:v>44260</c:v>
                </c:pt>
                <c:pt idx="736">
                  <c:v>44259</c:v>
                </c:pt>
                <c:pt idx="737">
                  <c:v>44258</c:v>
                </c:pt>
                <c:pt idx="738">
                  <c:v>44257</c:v>
                </c:pt>
                <c:pt idx="739">
                  <c:v>44256</c:v>
                </c:pt>
                <c:pt idx="740">
                  <c:v>44253</c:v>
                </c:pt>
                <c:pt idx="741">
                  <c:v>44252</c:v>
                </c:pt>
                <c:pt idx="742">
                  <c:v>44251</c:v>
                </c:pt>
                <c:pt idx="743">
                  <c:v>44250</c:v>
                </c:pt>
                <c:pt idx="744">
                  <c:v>44249</c:v>
                </c:pt>
                <c:pt idx="745">
                  <c:v>44246</c:v>
                </c:pt>
                <c:pt idx="746">
                  <c:v>44245</c:v>
                </c:pt>
                <c:pt idx="747">
                  <c:v>44244</c:v>
                </c:pt>
                <c:pt idx="748">
                  <c:v>44243</c:v>
                </c:pt>
                <c:pt idx="749">
                  <c:v>44242</c:v>
                </c:pt>
                <c:pt idx="750">
                  <c:v>44239</c:v>
                </c:pt>
                <c:pt idx="751">
                  <c:v>44238</c:v>
                </c:pt>
                <c:pt idx="752">
                  <c:v>44237</c:v>
                </c:pt>
                <c:pt idx="753">
                  <c:v>44236</c:v>
                </c:pt>
                <c:pt idx="754">
                  <c:v>44235</c:v>
                </c:pt>
                <c:pt idx="755">
                  <c:v>44232</c:v>
                </c:pt>
                <c:pt idx="756">
                  <c:v>44231</c:v>
                </c:pt>
                <c:pt idx="757">
                  <c:v>44230</c:v>
                </c:pt>
                <c:pt idx="758">
                  <c:v>44229</c:v>
                </c:pt>
                <c:pt idx="759">
                  <c:v>44228</c:v>
                </c:pt>
                <c:pt idx="760">
                  <c:v>44225</c:v>
                </c:pt>
                <c:pt idx="761">
                  <c:v>44224</c:v>
                </c:pt>
                <c:pt idx="762">
                  <c:v>44223</c:v>
                </c:pt>
                <c:pt idx="763">
                  <c:v>44222</c:v>
                </c:pt>
                <c:pt idx="764">
                  <c:v>44221</c:v>
                </c:pt>
                <c:pt idx="765">
                  <c:v>44218</c:v>
                </c:pt>
                <c:pt idx="766">
                  <c:v>44217</c:v>
                </c:pt>
                <c:pt idx="767">
                  <c:v>44216</c:v>
                </c:pt>
                <c:pt idx="768">
                  <c:v>44215</c:v>
                </c:pt>
                <c:pt idx="769">
                  <c:v>44214</c:v>
                </c:pt>
                <c:pt idx="770">
                  <c:v>44211</c:v>
                </c:pt>
                <c:pt idx="771">
                  <c:v>44210</c:v>
                </c:pt>
                <c:pt idx="772">
                  <c:v>44209</c:v>
                </c:pt>
                <c:pt idx="773">
                  <c:v>44208</c:v>
                </c:pt>
                <c:pt idx="774">
                  <c:v>44207</c:v>
                </c:pt>
                <c:pt idx="775">
                  <c:v>44204</c:v>
                </c:pt>
                <c:pt idx="776">
                  <c:v>44203</c:v>
                </c:pt>
                <c:pt idx="777">
                  <c:v>44202</c:v>
                </c:pt>
                <c:pt idx="778">
                  <c:v>44201</c:v>
                </c:pt>
                <c:pt idx="779">
                  <c:v>44200</c:v>
                </c:pt>
                <c:pt idx="780">
                  <c:v>44197</c:v>
                </c:pt>
                <c:pt idx="781">
                  <c:v>44196</c:v>
                </c:pt>
                <c:pt idx="782">
                  <c:v>44195</c:v>
                </c:pt>
                <c:pt idx="783">
                  <c:v>44194</c:v>
                </c:pt>
                <c:pt idx="784">
                  <c:v>44193</c:v>
                </c:pt>
                <c:pt idx="785">
                  <c:v>44190</c:v>
                </c:pt>
                <c:pt idx="786">
                  <c:v>44189</c:v>
                </c:pt>
                <c:pt idx="787">
                  <c:v>44188</c:v>
                </c:pt>
                <c:pt idx="788">
                  <c:v>44187</c:v>
                </c:pt>
                <c:pt idx="789">
                  <c:v>44186</c:v>
                </c:pt>
                <c:pt idx="790">
                  <c:v>44183</c:v>
                </c:pt>
                <c:pt idx="791">
                  <c:v>44182</c:v>
                </c:pt>
                <c:pt idx="792">
                  <c:v>44181</c:v>
                </c:pt>
                <c:pt idx="793">
                  <c:v>44180</c:v>
                </c:pt>
                <c:pt idx="794">
                  <c:v>44179</c:v>
                </c:pt>
                <c:pt idx="795">
                  <c:v>44176</c:v>
                </c:pt>
                <c:pt idx="796">
                  <c:v>44175</c:v>
                </c:pt>
                <c:pt idx="797">
                  <c:v>44174</c:v>
                </c:pt>
                <c:pt idx="798">
                  <c:v>44173</c:v>
                </c:pt>
                <c:pt idx="799">
                  <c:v>44172</c:v>
                </c:pt>
                <c:pt idx="800">
                  <c:v>44169</c:v>
                </c:pt>
                <c:pt idx="801">
                  <c:v>44168</c:v>
                </c:pt>
                <c:pt idx="802">
                  <c:v>44167</c:v>
                </c:pt>
                <c:pt idx="803">
                  <c:v>44166</c:v>
                </c:pt>
                <c:pt idx="804">
                  <c:v>44165</c:v>
                </c:pt>
                <c:pt idx="805">
                  <c:v>44162</c:v>
                </c:pt>
                <c:pt idx="806">
                  <c:v>44161</c:v>
                </c:pt>
                <c:pt idx="807">
                  <c:v>44160</c:v>
                </c:pt>
                <c:pt idx="808">
                  <c:v>44159</c:v>
                </c:pt>
                <c:pt idx="809">
                  <c:v>44158</c:v>
                </c:pt>
                <c:pt idx="810">
                  <c:v>44155</c:v>
                </c:pt>
                <c:pt idx="811">
                  <c:v>44154</c:v>
                </c:pt>
                <c:pt idx="812">
                  <c:v>44153</c:v>
                </c:pt>
                <c:pt idx="813">
                  <c:v>44152</c:v>
                </c:pt>
                <c:pt idx="814">
                  <c:v>44151</c:v>
                </c:pt>
                <c:pt idx="815">
                  <c:v>44148</c:v>
                </c:pt>
                <c:pt idx="816">
                  <c:v>44147</c:v>
                </c:pt>
                <c:pt idx="817">
                  <c:v>44146</c:v>
                </c:pt>
                <c:pt idx="818">
                  <c:v>44145</c:v>
                </c:pt>
                <c:pt idx="819">
                  <c:v>44144</c:v>
                </c:pt>
                <c:pt idx="820">
                  <c:v>44141</c:v>
                </c:pt>
                <c:pt idx="821">
                  <c:v>44140</c:v>
                </c:pt>
                <c:pt idx="822">
                  <c:v>44139</c:v>
                </c:pt>
                <c:pt idx="823">
                  <c:v>44138</c:v>
                </c:pt>
                <c:pt idx="824">
                  <c:v>44137</c:v>
                </c:pt>
                <c:pt idx="825">
                  <c:v>44134</c:v>
                </c:pt>
                <c:pt idx="826">
                  <c:v>44133</c:v>
                </c:pt>
                <c:pt idx="827">
                  <c:v>44132</c:v>
                </c:pt>
                <c:pt idx="828">
                  <c:v>44131</c:v>
                </c:pt>
                <c:pt idx="829">
                  <c:v>44130</c:v>
                </c:pt>
                <c:pt idx="830">
                  <c:v>44127</c:v>
                </c:pt>
                <c:pt idx="831">
                  <c:v>44126</c:v>
                </c:pt>
                <c:pt idx="832">
                  <c:v>44125</c:v>
                </c:pt>
                <c:pt idx="833">
                  <c:v>44124</c:v>
                </c:pt>
                <c:pt idx="834">
                  <c:v>44123</c:v>
                </c:pt>
                <c:pt idx="835">
                  <c:v>44120</c:v>
                </c:pt>
                <c:pt idx="836">
                  <c:v>44119</c:v>
                </c:pt>
                <c:pt idx="837">
                  <c:v>44118</c:v>
                </c:pt>
                <c:pt idx="838">
                  <c:v>44117</c:v>
                </c:pt>
                <c:pt idx="839">
                  <c:v>44116</c:v>
                </c:pt>
                <c:pt idx="840">
                  <c:v>44113</c:v>
                </c:pt>
                <c:pt idx="841">
                  <c:v>44112</c:v>
                </c:pt>
                <c:pt idx="842">
                  <c:v>44111</c:v>
                </c:pt>
                <c:pt idx="843">
                  <c:v>44110</c:v>
                </c:pt>
                <c:pt idx="844">
                  <c:v>44109</c:v>
                </c:pt>
                <c:pt idx="845">
                  <c:v>44106</c:v>
                </c:pt>
                <c:pt idx="846">
                  <c:v>44105</c:v>
                </c:pt>
                <c:pt idx="847">
                  <c:v>44104</c:v>
                </c:pt>
                <c:pt idx="848">
                  <c:v>44103</c:v>
                </c:pt>
                <c:pt idx="849">
                  <c:v>44102</c:v>
                </c:pt>
                <c:pt idx="850">
                  <c:v>44099</c:v>
                </c:pt>
                <c:pt idx="851">
                  <c:v>44098</c:v>
                </c:pt>
                <c:pt idx="852">
                  <c:v>44097</c:v>
                </c:pt>
                <c:pt idx="853">
                  <c:v>44096</c:v>
                </c:pt>
                <c:pt idx="854">
                  <c:v>44095</c:v>
                </c:pt>
                <c:pt idx="855">
                  <c:v>44092</c:v>
                </c:pt>
                <c:pt idx="856">
                  <c:v>44091</c:v>
                </c:pt>
                <c:pt idx="857">
                  <c:v>44090</c:v>
                </c:pt>
                <c:pt idx="858">
                  <c:v>44089</c:v>
                </c:pt>
                <c:pt idx="859">
                  <c:v>44088</c:v>
                </c:pt>
                <c:pt idx="860">
                  <c:v>44085</c:v>
                </c:pt>
                <c:pt idx="861">
                  <c:v>44084</c:v>
                </c:pt>
                <c:pt idx="862">
                  <c:v>44083</c:v>
                </c:pt>
                <c:pt idx="863">
                  <c:v>44082</c:v>
                </c:pt>
                <c:pt idx="864">
                  <c:v>44081</c:v>
                </c:pt>
                <c:pt idx="865">
                  <c:v>44078</c:v>
                </c:pt>
                <c:pt idx="866">
                  <c:v>44077</c:v>
                </c:pt>
                <c:pt idx="867">
                  <c:v>44076</c:v>
                </c:pt>
                <c:pt idx="868">
                  <c:v>44075</c:v>
                </c:pt>
                <c:pt idx="869">
                  <c:v>44074</c:v>
                </c:pt>
                <c:pt idx="870">
                  <c:v>44071</c:v>
                </c:pt>
                <c:pt idx="871">
                  <c:v>44070</c:v>
                </c:pt>
                <c:pt idx="872">
                  <c:v>44069</c:v>
                </c:pt>
                <c:pt idx="873">
                  <c:v>44068</c:v>
                </c:pt>
                <c:pt idx="874">
                  <c:v>44067</c:v>
                </c:pt>
                <c:pt idx="875">
                  <c:v>44064</c:v>
                </c:pt>
                <c:pt idx="876">
                  <c:v>44063</c:v>
                </c:pt>
                <c:pt idx="877">
                  <c:v>44062</c:v>
                </c:pt>
                <c:pt idx="878">
                  <c:v>44061</c:v>
                </c:pt>
                <c:pt idx="879">
                  <c:v>44060</c:v>
                </c:pt>
                <c:pt idx="880">
                  <c:v>44057</c:v>
                </c:pt>
                <c:pt idx="881">
                  <c:v>44056</c:v>
                </c:pt>
                <c:pt idx="882">
                  <c:v>44055</c:v>
                </c:pt>
                <c:pt idx="883">
                  <c:v>44054</c:v>
                </c:pt>
                <c:pt idx="884">
                  <c:v>44053</c:v>
                </c:pt>
                <c:pt idx="885">
                  <c:v>44050</c:v>
                </c:pt>
                <c:pt idx="886">
                  <c:v>44049</c:v>
                </c:pt>
                <c:pt idx="887">
                  <c:v>44048</c:v>
                </c:pt>
                <c:pt idx="888">
                  <c:v>44047</c:v>
                </c:pt>
                <c:pt idx="889">
                  <c:v>44046</c:v>
                </c:pt>
                <c:pt idx="890">
                  <c:v>44043</c:v>
                </c:pt>
                <c:pt idx="891">
                  <c:v>44042</c:v>
                </c:pt>
                <c:pt idx="892">
                  <c:v>44041</c:v>
                </c:pt>
                <c:pt idx="893">
                  <c:v>44040</c:v>
                </c:pt>
                <c:pt idx="894">
                  <c:v>44039</c:v>
                </c:pt>
                <c:pt idx="895">
                  <c:v>44036</c:v>
                </c:pt>
                <c:pt idx="896">
                  <c:v>44035</c:v>
                </c:pt>
                <c:pt idx="897">
                  <c:v>44034</c:v>
                </c:pt>
                <c:pt idx="898">
                  <c:v>44033</c:v>
                </c:pt>
                <c:pt idx="899">
                  <c:v>44032</c:v>
                </c:pt>
                <c:pt idx="900">
                  <c:v>44029</c:v>
                </c:pt>
                <c:pt idx="901">
                  <c:v>44028</c:v>
                </c:pt>
                <c:pt idx="902">
                  <c:v>44027</c:v>
                </c:pt>
                <c:pt idx="903">
                  <c:v>44026</c:v>
                </c:pt>
                <c:pt idx="904">
                  <c:v>44025</c:v>
                </c:pt>
                <c:pt idx="905">
                  <c:v>44022</c:v>
                </c:pt>
                <c:pt idx="906">
                  <c:v>44021</c:v>
                </c:pt>
                <c:pt idx="907">
                  <c:v>44020</c:v>
                </c:pt>
                <c:pt idx="908">
                  <c:v>44019</c:v>
                </c:pt>
                <c:pt idx="909">
                  <c:v>44018</c:v>
                </c:pt>
                <c:pt idx="910">
                  <c:v>44015</c:v>
                </c:pt>
                <c:pt idx="911">
                  <c:v>44014</c:v>
                </c:pt>
                <c:pt idx="912">
                  <c:v>44013</c:v>
                </c:pt>
                <c:pt idx="913">
                  <c:v>44012</c:v>
                </c:pt>
                <c:pt idx="914">
                  <c:v>44011</c:v>
                </c:pt>
                <c:pt idx="915">
                  <c:v>44008</c:v>
                </c:pt>
                <c:pt idx="916">
                  <c:v>44007</c:v>
                </c:pt>
                <c:pt idx="917">
                  <c:v>44006</c:v>
                </c:pt>
                <c:pt idx="918">
                  <c:v>44005</c:v>
                </c:pt>
                <c:pt idx="919">
                  <c:v>44004</c:v>
                </c:pt>
                <c:pt idx="920">
                  <c:v>44001</c:v>
                </c:pt>
                <c:pt idx="921">
                  <c:v>44000</c:v>
                </c:pt>
                <c:pt idx="922">
                  <c:v>43999</c:v>
                </c:pt>
                <c:pt idx="923">
                  <c:v>43998</c:v>
                </c:pt>
                <c:pt idx="924">
                  <c:v>43997</c:v>
                </c:pt>
                <c:pt idx="925">
                  <c:v>43994</c:v>
                </c:pt>
                <c:pt idx="926">
                  <c:v>43993</c:v>
                </c:pt>
                <c:pt idx="927">
                  <c:v>43992</c:v>
                </c:pt>
                <c:pt idx="928">
                  <c:v>43991</c:v>
                </c:pt>
                <c:pt idx="929">
                  <c:v>43990</c:v>
                </c:pt>
                <c:pt idx="930">
                  <c:v>43987</c:v>
                </c:pt>
                <c:pt idx="931">
                  <c:v>43986</c:v>
                </c:pt>
                <c:pt idx="932">
                  <c:v>43985</c:v>
                </c:pt>
                <c:pt idx="933">
                  <c:v>43984</c:v>
                </c:pt>
                <c:pt idx="934">
                  <c:v>43983</c:v>
                </c:pt>
                <c:pt idx="935">
                  <c:v>43980</c:v>
                </c:pt>
                <c:pt idx="936">
                  <c:v>43979</c:v>
                </c:pt>
                <c:pt idx="937">
                  <c:v>43978</c:v>
                </c:pt>
                <c:pt idx="938">
                  <c:v>43977</c:v>
                </c:pt>
                <c:pt idx="939">
                  <c:v>43976</c:v>
                </c:pt>
                <c:pt idx="940">
                  <c:v>43973</c:v>
                </c:pt>
                <c:pt idx="941">
                  <c:v>43972</c:v>
                </c:pt>
                <c:pt idx="942">
                  <c:v>43971</c:v>
                </c:pt>
                <c:pt idx="943">
                  <c:v>43970</c:v>
                </c:pt>
                <c:pt idx="944">
                  <c:v>43969</c:v>
                </c:pt>
                <c:pt idx="945">
                  <c:v>43966</c:v>
                </c:pt>
                <c:pt idx="946">
                  <c:v>43965</c:v>
                </c:pt>
                <c:pt idx="947">
                  <c:v>43964</c:v>
                </c:pt>
                <c:pt idx="948">
                  <c:v>43963</c:v>
                </c:pt>
                <c:pt idx="949">
                  <c:v>43962</c:v>
                </c:pt>
                <c:pt idx="950">
                  <c:v>43959</c:v>
                </c:pt>
                <c:pt idx="951">
                  <c:v>43958</c:v>
                </c:pt>
                <c:pt idx="952">
                  <c:v>43957</c:v>
                </c:pt>
                <c:pt idx="953">
                  <c:v>43956</c:v>
                </c:pt>
                <c:pt idx="954">
                  <c:v>43955</c:v>
                </c:pt>
                <c:pt idx="955">
                  <c:v>43952</c:v>
                </c:pt>
                <c:pt idx="956">
                  <c:v>43951</c:v>
                </c:pt>
                <c:pt idx="957">
                  <c:v>43950</c:v>
                </c:pt>
                <c:pt idx="958">
                  <c:v>43949</c:v>
                </c:pt>
                <c:pt idx="959">
                  <c:v>43948</c:v>
                </c:pt>
                <c:pt idx="960">
                  <c:v>43945</c:v>
                </c:pt>
                <c:pt idx="961">
                  <c:v>43944</c:v>
                </c:pt>
                <c:pt idx="962">
                  <c:v>43943</c:v>
                </c:pt>
                <c:pt idx="963">
                  <c:v>43942</c:v>
                </c:pt>
                <c:pt idx="964">
                  <c:v>43941</c:v>
                </c:pt>
                <c:pt idx="965">
                  <c:v>43938</c:v>
                </c:pt>
                <c:pt idx="966">
                  <c:v>43937</c:v>
                </c:pt>
                <c:pt idx="967">
                  <c:v>43936</c:v>
                </c:pt>
                <c:pt idx="968">
                  <c:v>43935</c:v>
                </c:pt>
                <c:pt idx="969">
                  <c:v>43934</c:v>
                </c:pt>
                <c:pt idx="970">
                  <c:v>43931</c:v>
                </c:pt>
                <c:pt idx="971">
                  <c:v>43930</c:v>
                </c:pt>
                <c:pt idx="972">
                  <c:v>43929</c:v>
                </c:pt>
                <c:pt idx="973">
                  <c:v>43928</c:v>
                </c:pt>
                <c:pt idx="974">
                  <c:v>43927</c:v>
                </c:pt>
                <c:pt idx="975">
                  <c:v>43924</c:v>
                </c:pt>
                <c:pt idx="976">
                  <c:v>43923</c:v>
                </c:pt>
                <c:pt idx="977">
                  <c:v>43922</c:v>
                </c:pt>
                <c:pt idx="978">
                  <c:v>43921</c:v>
                </c:pt>
                <c:pt idx="979">
                  <c:v>43920</c:v>
                </c:pt>
                <c:pt idx="980">
                  <c:v>43917</c:v>
                </c:pt>
                <c:pt idx="981">
                  <c:v>43916</c:v>
                </c:pt>
                <c:pt idx="982">
                  <c:v>43915</c:v>
                </c:pt>
                <c:pt idx="983">
                  <c:v>43914</c:v>
                </c:pt>
                <c:pt idx="984">
                  <c:v>43913</c:v>
                </c:pt>
                <c:pt idx="985">
                  <c:v>43910</c:v>
                </c:pt>
                <c:pt idx="986">
                  <c:v>43909</c:v>
                </c:pt>
                <c:pt idx="987">
                  <c:v>43908</c:v>
                </c:pt>
                <c:pt idx="988">
                  <c:v>43907</c:v>
                </c:pt>
                <c:pt idx="989">
                  <c:v>43906</c:v>
                </c:pt>
                <c:pt idx="990">
                  <c:v>43903</c:v>
                </c:pt>
                <c:pt idx="991">
                  <c:v>43902</c:v>
                </c:pt>
                <c:pt idx="992">
                  <c:v>43901</c:v>
                </c:pt>
                <c:pt idx="993">
                  <c:v>43900</c:v>
                </c:pt>
                <c:pt idx="994">
                  <c:v>43899</c:v>
                </c:pt>
                <c:pt idx="995">
                  <c:v>43896</c:v>
                </c:pt>
                <c:pt idx="996">
                  <c:v>43895</c:v>
                </c:pt>
                <c:pt idx="997">
                  <c:v>43894</c:v>
                </c:pt>
                <c:pt idx="998">
                  <c:v>43893</c:v>
                </c:pt>
                <c:pt idx="999">
                  <c:v>43892</c:v>
                </c:pt>
                <c:pt idx="1000">
                  <c:v>43889</c:v>
                </c:pt>
                <c:pt idx="1001">
                  <c:v>43888</c:v>
                </c:pt>
                <c:pt idx="1002">
                  <c:v>43887</c:v>
                </c:pt>
                <c:pt idx="1003">
                  <c:v>43886</c:v>
                </c:pt>
                <c:pt idx="1004">
                  <c:v>43885</c:v>
                </c:pt>
                <c:pt idx="1005">
                  <c:v>43882</c:v>
                </c:pt>
                <c:pt idx="1006">
                  <c:v>43881</c:v>
                </c:pt>
                <c:pt idx="1007">
                  <c:v>43880</c:v>
                </c:pt>
                <c:pt idx="1008">
                  <c:v>43879</c:v>
                </c:pt>
                <c:pt idx="1009">
                  <c:v>43878</c:v>
                </c:pt>
                <c:pt idx="1010">
                  <c:v>43875</c:v>
                </c:pt>
                <c:pt idx="1011">
                  <c:v>43874</c:v>
                </c:pt>
                <c:pt idx="1012">
                  <c:v>43873</c:v>
                </c:pt>
                <c:pt idx="1013">
                  <c:v>43872</c:v>
                </c:pt>
                <c:pt idx="1014">
                  <c:v>43871</c:v>
                </c:pt>
                <c:pt idx="1015">
                  <c:v>43868</c:v>
                </c:pt>
                <c:pt idx="1016">
                  <c:v>43867</c:v>
                </c:pt>
                <c:pt idx="1017">
                  <c:v>43866</c:v>
                </c:pt>
                <c:pt idx="1018">
                  <c:v>43865</c:v>
                </c:pt>
                <c:pt idx="1019">
                  <c:v>43864</c:v>
                </c:pt>
                <c:pt idx="1020">
                  <c:v>43861</c:v>
                </c:pt>
                <c:pt idx="1021">
                  <c:v>43860</c:v>
                </c:pt>
                <c:pt idx="1022">
                  <c:v>43859</c:v>
                </c:pt>
                <c:pt idx="1023">
                  <c:v>43858</c:v>
                </c:pt>
                <c:pt idx="1024">
                  <c:v>43857</c:v>
                </c:pt>
                <c:pt idx="1025">
                  <c:v>43854</c:v>
                </c:pt>
                <c:pt idx="1026">
                  <c:v>43853</c:v>
                </c:pt>
                <c:pt idx="1027">
                  <c:v>43852</c:v>
                </c:pt>
                <c:pt idx="1028">
                  <c:v>43851</c:v>
                </c:pt>
                <c:pt idx="1029">
                  <c:v>43850</c:v>
                </c:pt>
                <c:pt idx="1030">
                  <c:v>43847</c:v>
                </c:pt>
                <c:pt idx="1031">
                  <c:v>43846</c:v>
                </c:pt>
                <c:pt idx="1032">
                  <c:v>43845</c:v>
                </c:pt>
                <c:pt idx="1033">
                  <c:v>43844</c:v>
                </c:pt>
                <c:pt idx="1034">
                  <c:v>43843</c:v>
                </c:pt>
                <c:pt idx="1035">
                  <c:v>43840</c:v>
                </c:pt>
                <c:pt idx="1036">
                  <c:v>43839</c:v>
                </c:pt>
                <c:pt idx="1037">
                  <c:v>43838</c:v>
                </c:pt>
                <c:pt idx="1038">
                  <c:v>43837</c:v>
                </c:pt>
                <c:pt idx="1039">
                  <c:v>43836</c:v>
                </c:pt>
                <c:pt idx="1040">
                  <c:v>43833</c:v>
                </c:pt>
                <c:pt idx="1041">
                  <c:v>43832</c:v>
                </c:pt>
                <c:pt idx="1042">
                  <c:v>43831</c:v>
                </c:pt>
                <c:pt idx="1043">
                  <c:v>43830</c:v>
                </c:pt>
                <c:pt idx="1044">
                  <c:v>43829</c:v>
                </c:pt>
                <c:pt idx="1045">
                  <c:v>43826</c:v>
                </c:pt>
                <c:pt idx="1046">
                  <c:v>43825</c:v>
                </c:pt>
                <c:pt idx="1047">
                  <c:v>43824</c:v>
                </c:pt>
                <c:pt idx="1048">
                  <c:v>43823</c:v>
                </c:pt>
                <c:pt idx="1049">
                  <c:v>43822</c:v>
                </c:pt>
                <c:pt idx="1050">
                  <c:v>43819</c:v>
                </c:pt>
                <c:pt idx="1051">
                  <c:v>43818</c:v>
                </c:pt>
                <c:pt idx="1052">
                  <c:v>43817</c:v>
                </c:pt>
                <c:pt idx="1053">
                  <c:v>43816</c:v>
                </c:pt>
                <c:pt idx="1054">
                  <c:v>43815</c:v>
                </c:pt>
                <c:pt idx="1055">
                  <c:v>43812</c:v>
                </c:pt>
                <c:pt idx="1056">
                  <c:v>43811</c:v>
                </c:pt>
                <c:pt idx="1057">
                  <c:v>43810</c:v>
                </c:pt>
                <c:pt idx="1058">
                  <c:v>43809</c:v>
                </c:pt>
                <c:pt idx="1059">
                  <c:v>43808</c:v>
                </c:pt>
                <c:pt idx="1060">
                  <c:v>43805</c:v>
                </c:pt>
                <c:pt idx="1061">
                  <c:v>43804</c:v>
                </c:pt>
                <c:pt idx="1062">
                  <c:v>43803</c:v>
                </c:pt>
                <c:pt idx="1063">
                  <c:v>43802</c:v>
                </c:pt>
                <c:pt idx="1064">
                  <c:v>43801</c:v>
                </c:pt>
                <c:pt idx="1065">
                  <c:v>43798</c:v>
                </c:pt>
                <c:pt idx="1066">
                  <c:v>43797</c:v>
                </c:pt>
                <c:pt idx="1067">
                  <c:v>43796</c:v>
                </c:pt>
                <c:pt idx="1068">
                  <c:v>43795</c:v>
                </c:pt>
                <c:pt idx="1069">
                  <c:v>43794</c:v>
                </c:pt>
                <c:pt idx="1070">
                  <c:v>43791</c:v>
                </c:pt>
                <c:pt idx="1071">
                  <c:v>43790</c:v>
                </c:pt>
                <c:pt idx="1072">
                  <c:v>43789</c:v>
                </c:pt>
                <c:pt idx="1073">
                  <c:v>43788</c:v>
                </c:pt>
                <c:pt idx="1074">
                  <c:v>43787</c:v>
                </c:pt>
                <c:pt idx="1075">
                  <c:v>43784</c:v>
                </c:pt>
                <c:pt idx="1076">
                  <c:v>43783</c:v>
                </c:pt>
                <c:pt idx="1077">
                  <c:v>43782</c:v>
                </c:pt>
                <c:pt idx="1078">
                  <c:v>43781</c:v>
                </c:pt>
                <c:pt idx="1079">
                  <c:v>43780</c:v>
                </c:pt>
                <c:pt idx="1080">
                  <c:v>43777</c:v>
                </c:pt>
                <c:pt idx="1081">
                  <c:v>43776</c:v>
                </c:pt>
                <c:pt idx="1082">
                  <c:v>43775</c:v>
                </c:pt>
                <c:pt idx="1083">
                  <c:v>43774</c:v>
                </c:pt>
                <c:pt idx="1084">
                  <c:v>43773</c:v>
                </c:pt>
                <c:pt idx="1085">
                  <c:v>43770</c:v>
                </c:pt>
                <c:pt idx="1086">
                  <c:v>43769</c:v>
                </c:pt>
                <c:pt idx="1087">
                  <c:v>43768</c:v>
                </c:pt>
                <c:pt idx="1088">
                  <c:v>43767</c:v>
                </c:pt>
                <c:pt idx="1089">
                  <c:v>43766</c:v>
                </c:pt>
                <c:pt idx="1090">
                  <c:v>43763</c:v>
                </c:pt>
                <c:pt idx="1091">
                  <c:v>43762</c:v>
                </c:pt>
                <c:pt idx="1092">
                  <c:v>43761</c:v>
                </c:pt>
                <c:pt idx="1093">
                  <c:v>43760</c:v>
                </c:pt>
                <c:pt idx="1094">
                  <c:v>43759</c:v>
                </c:pt>
                <c:pt idx="1095">
                  <c:v>43756</c:v>
                </c:pt>
                <c:pt idx="1096">
                  <c:v>43755</c:v>
                </c:pt>
                <c:pt idx="1097">
                  <c:v>43754</c:v>
                </c:pt>
                <c:pt idx="1098">
                  <c:v>43753</c:v>
                </c:pt>
                <c:pt idx="1099">
                  <c:v>43752</c:v>
                </c:pt>
                <c:pt idx="1100">
                  <c:v>43749</c:v>
                </c:pt>
                <c:pt idx="1101">
                  <c:v>43748</c:v>
                </c:pt>
                <c:pt idx="1102">
                  <c:v>43747</c:v>
                </c:pt>
                <c:pt idx="1103">
                  <c:v>43746</c:v>
                </c:pt>
                <c:pt idx="1104">
                  <c:v>43745</c:v>
                </c:pt>
                <c:pt idx="1105">
                  <c:v>43742</c:v>
                </c:pt>
                <c:pt idx="1106">
                  <c:v>43741</c:v>
                </c:pt>
                <c:pt idx="1107">
                  <c:v>43740</c:v>
                </c:pt>
                <c:pt idx="1108">
                  <c:v>43739</c:v>
                </c:pt>
                <c:pt idx="1109">
                  <c:v>43738</c:v>
                </c:pt>
                <c:pt idx="1110">
                  <c:v>43735</c:v>
                </c:pt>
                <c:pt idx="1111">
                  <c:v>43734</c:v>
                </c:pt>
                <c:pt idx="1112">
                  <c:v>43733</c:v>
                </c:pt>
                <c:pt idx="1113">
                  <c:v>43732</c:v>
                </c:pt>
                <c:pt idx="1114">
                  <c:v>43731</c:v>
                </c:pt>
                <c:pt idx="1115">
                  <c:v>43728</c:v>
                </c:pt>
                <c:pt idx="1116">
                  <c:v>43727</c:v>
                </c:pt>
                <c:pt idx="1117">
                  <c:v>43726</c:v>
                </c:pt>
                <c:pt idx="1118">
                  <c:v>43725</c:v>
                </c:pt>
                <c:pt idx="1119">
                  <c:v>43724</c:v>
                </c:pt>
                <c:pt idx="1120">
                  <c:v>43721</c:v>
                </c:pt>
                <c:pt idx="1121">
                  <c:v>43720</c:v>
                </c:pt>
                <c:pt idx="1122">
                  <c:v>43719</c:v>
                </c:pt>
                <c:pt idx="1123">
                  <c:v>43718</c:v>
                </c:pt>
                <c:pt idx="1124">
                  <c:v>43717</c:v>
                </c:pt>
                <c:pt idx="1125">
                  <c:v>43714</c:v>
                </c:pt>
                <c:pt idx="1126">
                  <c:v>43713</c:v>
                </c:pt>
                <c:pt idx="1127">
                  <c:v>43712</c:v>
                </c:pt>
                <c:pt idx="1128">
                  <c:v>43711</c:v>
                </c:pt>
                <c:pt idx="1129">
                  <c:v>43710</c:v>
                </c:pt>
                <c:pt idx="1130">
                  <c:v>43707</c:v>
                </c:pt>
                <c:pt idx="1131">
                  <c:v>43706</c:v>
                </c:pt>
                <c:pt idx="1132">
                  <c:v>43705</c:v>
                </c:pt>
                <c:pt idx="1133">
                  <c:v>43704</c:v>
                </c:pt>
                <c:pt idx="1134">
                  <c:v>43703</c:v>
                </c:pt>
                <c:pt idx="1135">
                  <c:v>43700</c:v>
                </c:pt>
                <c:pt idx="1136">
                  <c:v>43699</c:v>
                </c:pt>
                <c:pt idx="1137">
                  <c:v>43698</c:v>
                </c:pt>
                <c:pt idx="1138">
                  <c:v>43697</c:v>
                </c:pt>
                <c:pt idx="1139">
                  <c:v>43696</c:v>
                </c:pt>
                <c:pt idx="1140">
                  <c:v>43693</c:v>
                </c:pt>
                <c:pt idx="1141">
                  <c:v>43692</c:v>
                </c:pt>
                <c:pt idx="1142">
                  <c:v>43691</c:v>
                </c:pt>
                <c:pt idx="1143">
                  <c:v>43690</c:v>
                </c:pt>
                <c:pt idx="1144">
                  <c:v>43689</c:v>
                </c:pt>
                <c:pt idx="1145">
                  <c:v>43686</c:v>
                </c:pt>
                <c:pt idx="1146">
                  <c:v>43685</c:v>
                </c:pt>
                <c:pt idx="1147">
                  <c:v>43684</c:v>
                </c:pt>
                <c:pt idx="1148">
                  <c:v>43683</c:v>
                </c:pt>
                <c:pt idx="1149">
                  <c:v>43682</c:v>
                </c:pt>
                <c:pt idx="1150">
                  <c:v>43679</c:v>
                </c:pt>
                <c:pt idx="1151">
                  <c:v>43678</c:v>
                </c:pt>
                <c:pt idx="1152">
                  <c:v>43677</c:v>
                </c:pt>
                <c:pt idx="1153">
                  <c:v>43676</c:v>
                </c:pt>
                <c:pt idx="1154">
                  <c:v>43675</c:v>
                </c:pt>
                <c:pt idx="1155">
                  <c:v>43672</c:v>
                </c:pt>
                <c:pt idx="1156">
                  <c:v>43671</c:v>
                </c:pt>
                <c:pt idx="1157">
                  <c:v>43670</c:v>
                </c:pt>
                <c:pt idx="1158">
                  <c:v>43669</c:v>
                </c:pt>
                <c:pt idx="1159">
                  <c:v>43668</c:v>
                </c:pt>
                <c:pt idx="1160">
                  <c:v>43665</c:v>
                </c:pt>
                <c:pt idx="1161">
                  <c:v>43664</c:v>
                </c:pt>
                <c:pt idx="1162">
                  <c:v>43663</c:v>
                </c:pt>
                <c:pt idx="1163">
                  <c:v>43662</c:v>
                </c:pt>
                <c:pt idx="1164">
                  <c:v>43661</c:v>
                </c:pt>
                <c:pt idx="1165">
                  <c:v>43658</c:v>
                </c:pt>
                <c:pt idx="1166">
                  <c:v>43657</c:v>
                </c:pt>
                <c:pt idx="1167">
                  <c:v>43656</c:v>
                </c:pt>
                <c:pt idx="1168">
                  <c:v>43655</c:v>
                </c:pt>
                <c:pt idx="1169">
                  <c:v>43654</c:v>
                </c:pt>
                <c:pt idx="1170">
                  <c:v>43651</c:v>
                </c:pt>
                <c:pt idx="1171">
                  <c:v>43650</c:v>
                </c:pt>
                <c:pt idx="1172">
                  <c:v>43649</c:v>
                </c:pt>
                <c:pt idx="1173">
                  <c:v>43648</c:v>
                </c:pt>
                <c:pt idx="1174">
                  <c:v>43647</c:v>
                </c:pt>
                <c:pt idx="1175">
                  <c:v>43644</c:v>
                </c:pt>
                <c:pt idx="1176">
                  <c:v>43643</c:v>
                </c:pt>
                <c:pt idx="1177">
                  <c:v>43642</c:v>
                </c:pt>
                <c:pt idx="1178">
                  <c:v>43641</c:v>
                </c:pt>
                <c:pt idx="1179">
                  <c:v>43640</c:v>
                </c:pt>
                <c:pt idx="1180">
                  <c:v>43637</c:v>
                </c:pt>
                <c:pt idx="1181">
                  <c:v>43636</c:v>
                </c:pt>
                <c:pt idx="1182">
                  <c:v>43635</c:v>
                </c:pt>
                <c:pt idx="1183">
                  <c:v>43634</c:v>
                </c:pt>
                <c:pt idx="1184">
                  <c:v>43633</c:v>
                </c:pt>
                <c:pt idx="1185">
                  <c:v>43630</c:v>
                </c:pt>
                <c:pt idx="1186">
                  <c:v>43629</c:v>
                </c:pt>
                <c:pt idx="1187">
                  <c:v>43628</c:v>
                </c:pt>
                <c:pt idx="1188">
                  <c:v>43627</c:v>
                </c:pt>
                <c:pt idx="1189">
                  <c:v>43626</c:v>
                </c:pt>
                <c:pt idx="1190">
                  <c:v>43623</c:v>
                </c:pt>
                <c:pt idx="1191">
                  <c:v>43622</c:v>
                </c:pt>
                <c:pt idx="1192">
                  <c:v>43621</c:v>
                </c:pt>
                <c:pt idx="1193">
                  <c:v>43620</c:v>
                </c:pt>
                <c:pt idx="1194">
                  <c:v>43619</c:v>
                </c:pt>
                <c:pt idx="1195">
                  <c:v>43616</c:v>
                </c:pt>
                <c:pt idx="1196">
                  <c:v>43615</c:v>
                </c:pt>
                <c:pt idx="1197">
                  <c:v>43614</c:v>
                </c:pt>
                <c:pt idx="1198">
                  <c:v>43613</c:v>
                </c:pt>
                <c:pt idx="1199">
                  <c:v>43612</c:v>
                </c:pt>
                <c:pt idx="1200">
                  <c:v>43609</c:v>
                </c:pt>
                <c:pt idx="1201">
                  <c:v>43608</c:v>
                </c:pt>
                <c:pt idx="1202">
                  <c:v>43607</c:v>
                </c:pt>
                <c:pt idx="1203">
                  <c:v>43606</c:v>
                </c:pt>
                <c:pt idx="1204">
                  <c:v>43605</c:v>
                </c:pt>
                <c:pt idx="1205">
                  <c:v>43602</c:v>
                </c:pt>
                <c:pt idx="1206">
                  <c:v>43601</c:v>
                </c:pt>
                <c:pt idx="1207">
                  <c:v>43600</c:v>
                </c:pt>
                <c:pt idx="1208">
                  <c:v>43599</c:v>
                </c:pt>
                <c:pt idx="1209">
                  <c:v>43598</c:v>
                </c:pt>
                <c:pt idx="1210">
                  <c:v>43595</c:v>
                </c:pt>
                <c:pt idx="1211">
                  <c:v>43594</c:v>
                </c:pt>
                <c:pt idx="1212">
                  <c:v>43593</c:v>
                </c:pt>
                <c:pt idx="1213">
                  <c:v>43592</c:v>
                </c:pt>
                <c:pt idx="1214">
                  <c:v>43591</c:v>
                </c:pt>
                <c:pt idx="1215">
                  <c:v>43588</c:v>
                </c:pt>
                <c:pt idx="1216">
                  <c:v>43587</c:v>
                </c:pt>
                <c:pt idx="1217">
                  <c:v>43586</c:v>
                </c:pt>
                <c:pt idx="1218">
                  <c:v>43585</c:v>
                </c:pt>
                <c:pt idx="1219">
                  <c:v>43584</c:v>
                </c:pt>
                <c:pt idx="1220">
                  <c:v>43581</c:v>
                </c:pt>
                <c:pt idx="1221">
                  <c:v>43580</c:v>
                </c:pt>
                <c:pt idx="1222">
                  <c:v>43579</c:v>
                </c:pt>
                <c:pt idx="1223">
                  <c:v>43578</c:v>
                </c:pt>
                <c:pt idx="1224">
                  <c:v>43577</c:v>
                </c:pt>
                <c:pt idx="1225">
                  <c:v>43574</c:v>
                </c:pt>
                <c:pt idx="1226">
                  <c:v>43573</c:v>
                </c:pt>
                <c:pt idx="1227">
                  <c:v>43572</c:v>
                </c:pt>
                <c:pt idx="1228">
                  <c:v>43571</c:v>
                </c:pt>
                <c:pt idx="1229">
                  <c:v>43570</c:v>
                </c:pt>
                <c:pt idx="1230">
                  <c:v>43567</c:v>
                </c:pt>
                <c:pt idx="1231">
                  <c:v>43566</c:v>
                </c:pt>
                <c:pt idx="1232">
                  <c:v>43565</c:v>
                </c:pt>
                <c:pt idx="1233">
                  <c:v>43564</c:v>
                </c:pt>
                <c:pt idx="1234">
                  <c:v>43563</c:v>
                </c:pt>
                <c:pt idx="1235">
                  <c:v>43560</c:v>
                </c:pt>
                <c:pt idx="1236">
                  <c:v>43559</c:v>
                </c:pt>
                <c:pt idx="1237">
                  <c:v>43558</c:v>
                </c:pt>
                <c:pt idx="1238">
                  <c:v>43557</c:v>
                </c:pt>
                <c:pt idx="1239">
                  <c:v>43556</c:v>
                </c:pt>
                <c:pt idx="1240">
                  <c:v>43553</c:v>
                </c:pt>
                <c:pt idx="1241">
                  <c:v>43552</c:v>
                </c:pt>
                <c:pt idx="1242">
                  <c:v>43551</c:v>
                </c:pt>
                <c:pt idx="1243">
                  <c:v>43550</c:v>
                </c:pt>
                <c:pt idx="1244">
                  <c:v>43549</c:v>
                </c:pt>
                <c:pt idx="1245">
                  <c:v>43546</c:v>
                </c:pt>
                <c:pt idx="1246">
                  <c:v>43545</c:v>
                </c:pt>
                <c:pt idx="1247">
                  <c:v>43544</c:v>
                </c:pt>
                <c:pt idx="1248">
                  <c:v>43543</c:v>
                </c:pt>
                <c:pt idx="1249">
                  <c:v>43542</c:v>
                </c:pt>
                <c:pt idx="1250">
                  <c:v>43539</c:v>
                </c:pt>
                <c:pt idx="1251">
                  <c:v>43538</c:v>
                </c:pt>
                <c:pt idx="1252">
                  <c:v>43537</c:v>
                </c:pt>
                <c:pt idx="1253">
                  <c:v>43536</c:v>
                </c:pt>
                <c:pt idx="1254">
                  <c:v>43535</c:v>
                </c:pt>
                <c:pt idx="1255">
                  <c:v>43532</c:v>
                </c:pt>
                <c:pt idx="1256">
                  <c:v>43531</c:v>
                </c:pt>
                <c:pt idx="1257">
                  <c:v>43530</c:v>
                </c:pt>
                <c:pt idx="1258">
                  <c:v>43529</c:v>
                </c:pt>
                <c:pt idx="1259">
                  <c:v>43528</c:v>
                </c:pt>
                <c:pt idx="1260">
                  <c:v>43525</c:v>
                </c:pt>
                <c:pt idx="1261">
                  <c:v>43524</c:v>
                </c:pt>
                <c:pt idx="1262">
                  <c:v>43523</c:v>
                </c:pt>
                <c:pt idx="1263">
                  <c:v>43522</c:v>
                </c:pt>
                <c:pt idx="1264">
                  <c:v>43521</c:v>
                </c:pt>
                <c:pt idx="1265">
                  <c:v>43518</c:v>
                </c:pt>
                <c:pt idx="1266">
                  <c:v>43517</c:v>
                </c:pt>
                <c:pt idx="1267">
                  <c:v>43516</c:v>
                </c:pt>
                <c:pt idx="1268">
                  <c:v>43515</c:v>
                </c:pt>
                <c:pt idx="1269">
                  <c:v>43514</c:v>
                </c:pt>
                <c:pt idx="1270">
                  <c:v>43511</c:v>
                </c:pt>
                <c:pt idx="1271">
                  <c:v>43510</c:v>
                </c:pt>
                <c:pt idx="1272">
                  <c:v>43509</c:v>
                </c:pt>
                <c:pt idx="1273">
                  <c:v>43508</c:v>
                </c:pt>
                <c:pt idx="1274">
                  <c:v>43507</c:v>
                </c:pt>
                <c:pt idx="1275">
                  <c:v>43504</c:v>
                </c:pt>
                <c:pt idx="1276">
                  <c:v>43503</c:v>
                </c:pt>
                <c:pt idx="1277">
                  <c:v>43502</c:v>
                </c:pt>
                <c:pt idx="1278">
                  <c:v>43501</c:v>
                </c:pt>
                <c:pt idx="1279">
                  <c:v>43500</c:v>
                </c:pt>
                <c:pt idx="1280">
                  <c:v>43497</c:v>
                </c:pt>
                <c:pt idx="1281">
                  <c:v>43496</c:v>
                </c:pt>
                <c:pt idx="1282">
                  <c:v>43495</c:v>
                </c:pt>
                <c:pt idx="1283">
                  <c:v>43494</c:v>
                </c:pt>
                <c:pt idx="1284">
                  <c:v>43493</c:v>
                </c:pt>
                <c:pt idx="1285">
                  <c:v>43490</c:v>
                </c:pt>
                <c:pt idx="1286">
                  <c:v>43489</c:v>
                </c:pt>
                <c:pt idx="1287">
                  <c:v>43488</c:v>
                </c:pt>
                <c:pt idx="1288">
                  <c:v>43487</c:v>
                </c:pt>
                <c:pt idx="1289">
                  <c:v>43486</c:v>
                </c:pt>
                <c:pt idx="1290">
                  <c:v>43483</c:v>
                </c:pt>
                <c:pt idx="1291">
                  <c:v>43482</c:v>
                </c:pt>
                <c:pt idx="1292">
                  <c:v>43481</c:v>
                </c:pt>
                <c:pt idx="1293">
                  <c:v>43480</c:v>
                </c:pt>
                <c:pt idx="1294">
                  <c:v>43479</c:v>
                </c:pt>
                <c:pt idx="1295">
                  <c:v>43476</c:v>
                </c:pt>
                <c:pt idx="1296">
                  <c:v>43475</c:v>
                </c:pt>
                <c:pt idx="1297">
                  <c:v>43474</c:v>
                </c:pt>
                <c:pt idx="1298">
                  <c:v>43473</c:v>
                </c:pt>
                <c:pt idx="1299">
                  <c:v>43472</c:v>
                </c:pt>
                <c:pt idx="1300">
                  <c:v>43469</c:v>
                </c:pt>
                <c:pt idx="1301">
                  <c:v>43468</c:v>
                </c:pt>
                <c:pt idx="1302">
                  <c:v>43467</c:v>
                </c:pt>
                <c:pt idx="1303">
                  <c:v>43466</c:v>
                </c:pt>
                <c:pt idx="1304">
                  <c:v>43465</c:v>
                </c:pt>
                <c:pt idx="1305">
                  <c:v>43462</c:v>
                </c:pt>
                <c:pt idx="1306">
                  <c:v>43461</c:v>
                </c:pt>
                <c:pt idx="1307">
                  <c:v>43460</c:v>
                </c:pt>
                <c:pt idx="1308">
                  <c:v>43459</c:v>
                </c:pt>
                <c:pt idx="1309">
                  <c:v>43458</c:v>
                </c:pt>
                <c:pt idx="1310">
                  <c:v>43455</c:v>
                </c:pt>
                <c:pt idx="1311">
                  <c:v>43454</c:v>
                </c:pt>
                <c:pt idx="1312">
                  <c:v>43453</c:v>
                </c:pt>
                <c:pt idx="1313">
                  <c:v>43452</c:v>
                </c:pt>
                <c:pt idx="1314">
                  <c:v>43451</c:v>
                </c:pt>
                <c:pt idx="1315">
                  <c:v>43448</c:v>
                </c:pt>
                <c:pt idx="1316">
                  <c:v>43447</c:v>
                </c:pt>
                <c:pt idx="1317">
                  <c:v>43446</c:v>
                </c:pt>
                <c:pt idx="1318">
                  <c:v>43445</c:v>
                </c:pt>
                <c:pt idx="1319">
                  <c:v>43444</c:v>
                </c:pt>
                <c:pt idx="1320">
                  <c:v>43441</c:v>
                </c:pt>
                <c:pt idx="1321">
                  <c:v>43440</c:v>
                </c:pt>
                <c:pt idx="1322">
                  <c:v>43439</c:v>
                </c:pt>
                <c:pt idx="1323">
                  <c:v>43438</c:v>
                </c:pt>
                <c:pt idx="1324">
                  <c:v>43437</c:v>
                </c:pt>
                <c:pt idx="1325">
                  <c:v>43434</c:v>
                </c:pt>
                <c:pt idx="1326">
                  <c:v>43433</c:v>
                </c:pt>
                <c:pt idx="1327">
                  <c:v>43432</c:v>
                </c:pt>
                <c:pt idx="1328">
                  <c:v>43431</c:v>
                </c:pt>
                <c:pt idx="1329">
                  <c:v>43430</c:v>
                </c:pt>
                <c:pt idx="1330">
                  <c:v>43427</c:v>
                </c:pt>
                <c:pt idx="1331">
                  <c:v>43426</c:v>
                </c:pt>
                <c:pt idx="1332">
                  <c:v>43425</c:v>
                </c:pt>
                <c:pt idx="1333">
                  <c:v>43424</c:v>
                </c:pt>
                <c:pt idx="1334">
                  <c:v>43423</c:v>
                </c:pt>
                <c:pt idx="1335">
                  <c:v>43420</c:v>
                </c:pt>
                <c:pt idx="1336">
                  <c:v>43419</c:v>
                </c:pt>
                <c:pt idx="1337">
                  <c:v>43418</c:v>
                </c:pt>
                <c:pt idx="1338">
                  <c:v>43417</c:v>
                </c:pt>
                <c:pt idx="1339">
                  <c:v>43416</c:v>
                </c:pt>
                <c:pt idx="1340">
                  <c:v>43413</c:v>
                </c:pt>
                <c:pt idx="1341">
                  <c:v>43412</c:v>
                </c:pt>
                <c:pt idx="1342">
                  <c:v>43411</c:v>
                </c:pt>
                <c:pt idx="1343">
                  <c:v>43410</c:v>
                </c:pt>
                <c:pt idx="1344">
                  <c:v>43409</c:v>
                </c:pt>
                <c:pt idx="1345">
                  <c:v>43406</c:v>
                </c:pt>
                <c:pt idx="1346">
                  <c:v>43405</c:v>
                </c:pt>
                <c:pt idx="1347">
                  <c:v>43404</c:v>
                </c:pt>
                <c:pt idx="1348">
                  <c:v>43403</c:v>
                </c:pt>
                <c:pt idx="1349">
                  <c:v>43402</c:v>
                </c:pt>
                <c:pt idx="1350">
                  <c:v>43399</c:v>
                </c:pt>
                <c:pt idx="1351">
                  <c:v>43398</c:v>
                </c:pt>
                <c:pt idx="1352">
                  <c:v>43397</c:v>
                </c:pt>
                <c:pt idx="1353">
                  <c:v>43396</c:v>
                </c:pt>
                <c:pt idx="1354">
                  <c:v>43395</c:v>
                </c:pt>
                <c:pt idx="1355">
                  <c:v>43392</c:v>
                </c:pt>
                <c:pt idx="1356">
                  <c:v>43391</c:v>
                </c:pt>
                <c:pt idx="1357">
                  <c:v>43390</c:v>
                </c:pt>
                <c:pt idx="1358">
                  <c:v>43389</c:v>
                </c:pt>
                <c:pt idx="1359">
                  <c:v>43388</c:v>
                </c:pt>
                <c:pt idx="1360">
                  <c:v>43385</c:v>
                </c:pt>
                <c:pt idx="1361">
                  <c:v>43384</c:v>
                </c:pt>
                <c:pt idx="1362">
                  <c:v>43383</c:v>
                </c:pt>
                <c:pt idx="1363">
                  <c:v>43382</c:v>
                </c:pt>
                <c:pt idx="1364">
                  <c:v>43381</c:v>
                </c:pt>
                <c:pt idx="1365">
                  <c:v>43378</c:v>
                </c:pt>
                <c:pt idx="1366">
                  <c:v>43377</c:v>
                </c:pt>
                <c:pt idx="1367">
                  <c:v>43376</c:v>
                </c:pt>
                <c:pt idx="1368">
                  <c:v>43375</c:v>
                </c:pt>
                <c:pt idx="1369">
                  <c:v>43374</c:v>
                </c:pt>
                <c:pt idx="1370">
                  <c:v>43371</c:v>
                </c:pt>
                <c:pt idx="1371">
                  <c:v>43370</c:v>
                </c:pt>
                <c:pt idx="1372">
                  <c:v>43369</c:v>
                </c:pt>
                <c:pt idx="1373">
                  <c:v>43368</c:v>
                </c:pt>
                <c:pt idx="1374">
                  <c:v>43367</c:v>
                </c:pt>
                <c:pt idx="1375">
                  <c:v>43364</c:v>
                </c:pt>
                <c:pt idx="1376">
                  <c:v>43363</c:v>
                </c:pt>
                <c:pt idx="1377">
                  <c:v>43362</c:v>
                </c:pt>
                <c:pt idx="1378">
                  <c:v>43361</c:v>
                </c:pt>
                <c:pt idx="1379">
                  <c:v>43360</c:v>
                </c:pt>
                <c:pt idx="1380">
                  <c:v>43357</c:v>
                </c:pt>
                <c:pt idx="1381">
                  <c:v>43356</c:v>
                </c:pt>
                <c:pt idx="1382">
                  <c:v>43355</c:v>
                </c:pt>
                <c:pt idx="1383">
                  <c:v>43354</c:v>
                </c:pt>
                <c:pt idx="1384">
                  <c:v>43353</c:v>
                </c:pt>
                <c:pt idx="1385">
                  <c:v>43350</c:v>
                </c:pt>
                <c:pt idx="1386">
                  <c:v>43349</c:v>
                </c:pt>
                <c:pt idx="1387">
                  <c:v>43348</c:v>
                </c:pt>
                <c:pt idx="1388">
                  <c:v>43347</c:v>
                </c:pt>
                <c:pt idx="1389">
                  <c:v>43346</c:v>
                </c:pt>
                <c:pt idx="1390">
                  <c:v>43343</c:v>
                </c:pt>
                <c:pt idx="1391">
                  <c:v>43342</c:v>
                </c:pt>
                <c:pt idx="1392">
                  <c:v>43341</c:v>
                </c:pt>
                <c:pt idx="1393">
                  <c:v>43340</c:v>
                </c:pt>
                <c:pt idx="1394">
                  <c:v>43339</c:v>
                </c:pt>
                <c:pt idx="1395">
                  <c:v>43336</c:v>
                </c:pt>
                <c:pt idx="1396">
                  <c:v>43335</c:v>
                </c:pt>
                <c:pt idx="1397">
                  <c:v>43334</c:v>
                </c:pt>
                <c:pt idx="1398">
                  <c:v>43333</c:v>
                </c:pt>
                <c:pt idx="1399">
                  <c:v>43332</c:v>
                </c:pt>
                <c:pt idx="1400">
                  <c:v>43329</c:v>
                </c:pt>
                <c:pt idx="1401">
                  <c:v>43328</c:v>
                </c:pt>
                <c:pt idx="1402">
                  <c:v>43327</c:v>
                </c:pt>
                <c:pt idx="1403">
                  <c:v>43326</c:v>
                </c:pt>
                <c:pt idx="1404">
                  <c:v>43325</c:v>
                </c:pt>
                <c:pt idx="1405">
                  <c:v>43322</c:v>
                </c:pt>
                <c:pt idx="1406">
                  <c:v>43321</c:v>
                </c:pt>
                <c:pt idx="1407">
                  <c:v>43320</c:v>
                </c:pt>
                <c:pt idx="1408">
                  <c:v>43319</c:v>
                </c:pt>
                <c:pt idx="1409">
                  <c:v>43318</c:v>
                </c:pt>
                <c:pt idx="1410">
                  <c:v>43315</c:v>
                </c:pt>
                <c:pt idx="1411">
                  <c:v>43314</c:v>
                </c:pt>
                <c:pt idx="1412">
                  <c:v>43313</c:v>
                </c:pt>
                <c:pt idx="1413">
                  <c:v>43312</c:v>
                </c:pt>
                <c:pt idx="1414">
                  <c:v>43311</c:v>
                </c:pt>
                <c:pt idx="1415">
                  <c:v>43308</c:v>
                </c:pt>
                <c:pt idx="1416">
                  <c:v>43307</c:v>
                </c:pt>
                <c:pt idx="1417">
                  <c:v>43306</c:v>
                </c:pt>
                <c:pt idx="1418">
                  <c:v>43305</c:v>
                </c:pt>
                <c:pt idx="1419">
                  <c:v>43304</c:v>
                </c:pt>
                <c:pt idx="1420">
                  <c:v>43301</c:v>
                </c:pt>
                <c:pt idx="1421">
                  <c:v>43300</c:v>
                </c:pt>
                <c:pt idx="1422">
                  <c:v>43299</c:v>
                </c:pt>
                <c:pt idx="1423">
                  <c:v>43298</c:v>
                </c:pt>
                <c:pt idx="1424">
                  <c:v>43297</c:v>
                </c:pt>
                <c:pt idx="1425">
                  <c:v>43294</c:v>
                </c:pt>
                <c:pt idx="1426">
                  <c:v>43293</c:v>
                </c:pt>
                <c:pt idx="1427">
                  <c:v>43292</c:v>
                </c:pt>
                <c:pt idx="1428">
                  <c:v>43291</c:v>
                </c:pt>
                <c:pt idx="1429">
                  <c:v>43290</c:v>
                </c:pt>
                <c:pt idx="1430">
                  <c:v>43287</c:v>
                </c:pt>
                <c:pt idx="1431">
                  <c:v>43286</c:v>
                </c:pt>
                <c:pt idx="1432">
                  <c:v>43285</c:v>
                </c:pt>
                <c:pt idx="1433">
                  <c:v>43284</c:v>
                </c:pt>
                <c:pt idx="1434">
                  <c:v>43283</c:v>
                </c:pt>
                <c:pt idx="1435">
                  <c:v>43280</c:v>
                </c:pt>
                <c:pt idx="1436">
                  <c:v>43279</c:v>
                </c:pt>
                <c:pt idx="1437">
                  <c:v>43278</c:v>
                </c:pt>
                <c:pt idx="1438">
                  <c:v>43277</c:v>
                </c:pt>
                <c:pt idx="1439">
                  <c:v>43276</c:v>
                </c:pt>
                <c:pt idx="1440">
                  <c:v>43273</c:v>
                </c:pt>
                <c:pt idx="1441">
                  <c:v>43272</c:v>
                </c:pt>
                <c:pt idx="1442">
                  <c:v>43271</c:v>
                </c:pt>
                <c:pt idx="1443">
                  <c:v>43270</c:v>
                </c:pt>
                <c:pt idx="1444">
                  <c:v>43269</c:v>
                </c:pt>
                <c:pt idx="1445">
                  <c:v>43266</c:v>
                </c:pt>
                <c:pt idx="1446">
                  <c:v>43265</c:v>
                </c:pt>
                <c:pt idx="1447">
                  <c:v>43264</c:v>
                </c:pt>
                <c:pt idx="1448">
                  <c:v>43263</c:v>
                </c:pt>
                <c:pt idx="1449">
                  <c:v>43262</c:v>
                </c:pt>
                <c:pt idx="1450">
                  <c:v>43259</c:v>
                </c:pt>
                <c:pt idx="1451">
                  <c:v>43258</c:v>
                </c:pt>
                <c:pt idx="1452">
                  <c:v>43257</c:v>
                </c:pt>
                <c:pt idx="1453">
                  <c:v>43256</c:v>
                </c:pt>
                <c:pt idx="1454">
                  <c:v>43255</c:v>
                </c:pt>
                <c:pt idx="1455">
                  <c:v>43252</c:v>
                </c:pt>
                <c:pt idx="1456">
                  <c:v>43251</c:v>
                </c:pt>
                <c:pt idx="1457">
                  <c:v>43250</c:v>
                </c:pt>
                <c:pt idx="1458">
                  <c:v>43249</c:v>
                </c:pt>
                <c:pt idx="1459">
                  <c:v>43248</c:v>
                </c:pt>
                <c:pt idx="1460">
                  <c:v>43245</c:v>
                </c:pt>
                <c:pt idx="1461">
                  <c:v>43244</c:v>
                </c:pt>
                <c:pt idx="1462">
                  <c:v>43243</c:v>
                </c:pt>
                <c:pt idx="1463">
                  <c:v>43242</c:v>
                </c:pt>
                <c:pt idx="1464">
                  <c:v>43241</c:v>
                </c:pt>
                <c:pt idx="1465">
                  <c:v>43238</c:v>
                </c:pt>
                <c:pt idx="1466">
                  <c:v>43237</c:v>
                </c:pt>
                <c:pt idx="1467">
                  <c:v>43236</c:v>
                </c:pt>
                <c:pt idx="1468">
                  <c:v>43235</c:v>
                </c:pt>
                <c:pt idx="1469">
                  <c:v>43234</c:v>
                </c:pt>
                <c:pt idx="1470">
                  <c:v>43231</c:v>
                </c:pt>
                <c:pt idx="1471">
                  <c:v>43230</c:v>
                </c:pt>
                <c:pt idx="1472">
                  <c:v>43229</c:v>
                </c:pt>
                <c:pt idx="1473">
                  <c:v>43228</c:v>
                </c:pt>
                <c:pt idx="1474">
                  <c:v>43227</c:v>
                </c:pt>
                <c:pt idx="1475">
                  <c:v>43224</c:v>
                </c:pt>
                <c:pt idx="1476">
                  <c:v>43223</c:v>
                </c:pt>
                <c:pt idx="1477">
                  <c:v>43222</c:v>
                </c:pt>
                <c:pt idx="1478">
                  <c:v>43221</c:v>
                </c:pt>
                <c:pt idx="1479">
                  <c:v>43220</c:v>
                </c:pt>
                <c:pt idx="1480">
                  <c:v>43217</c:v>
                </c:pt>
                <c:pt idx="1481">
                  <c:v>43216</c:v>
                </c:pt>
                <c:pt idx="1482">
                  <c:v>43215</c:v>
                </c:pt>
                <c:pt idx="1483">
                  <c:v>43214</c:v>
                </c:pt>
                <c:pt idx="1484">
                  <c:v>43213</c:v>
                </c:pt>
                <c:pt idx="1485">
                  <c:v>43210</c:v>
                </c:pt>
                <c:pt idx="1486">
                  <c:v>43209</c:v>
                </c:pt>
                <c:pt idx="1487">
                  <c:v>43208</c:v>
                </c:pt>
                <c:pt idx="1488">
                  <c:v>43207</c:v>
                </c:pt>
                <c:pt idx="1489">
                  <c:v>43206</c:v>
                </c:pt>
                <c:pt idx="1490">
                  <c:v>43203</c:v>
                </c:pt>
                <c:pt idx="1491">
                  <c:v>43202</c:v>
                </c:pt>
                <c:pt idx="1492">
                  <c:v>43201</c:v>
                </c:pt>
                <c:pt idx="1493">
                  <c:v>43200</c:v>
                </c:pt>
                <c:pt idx="1494">
                  <c:v>43199</c:v>
                </c:pt>
                <c:pt idx="1495">
                  <c:v>43196</c:v>
                </c:pt>
                <c:pt idx="1496">
                  <c:v>43195</c:v>
                </c:pt>
                <c:pt idx="1497">
                  <c:v>43194</c:v>
                </c:pt>
                <c:pt idx="1498">
                  <c:v>43193</c:v>
                </c:pt>
                <c:pt idx="1499">
                  <c:v>43192</c:v>
                </c:pt>
                <c:pt idx="1500">
                  <c:v>43189</c:v>
                </c:pt>
                <c:pt idx="1501">
                  <c:v>43188</c:v>
                </c:pt>
                <c:pt idx="1502">
                  <c:v>43187</c:v>
                </c:pt>
                <c:pt idx="1503">
                  <c:v>43186</c:v>
                </c:pt>
                <c:pt idx="1504">
                  <c:v>43185</c:v>
                </c:pt>
                <c:pt idx="1505">
                  <c:v>43182</c:v>
                </c:pt>
                <c:pt idx="1506">
                  <c:v>43181</c:v>
                </c:pt>
                <c:pt idx="1507">
                  <c:v>43180</c:v>
                </c:pt>
                <c:pt idx="1508">
                  <c:v>43179</c:v>
                </c:pt>
                <c:pt idx="1509">
                  <c:v>43178</c:v>
                </c:pt>
                <c:pt idx="1510">
                  <c:v>43175</c:v>
                </c:pt>
                <c:pt idx="1511">
                  <c:v>43174</c:v>
                </c:pt>
                <c:pt idx="1512">
                  <c:v>43173</c:v>
                </c:pt>
                <c:pt idx="1513">
                  <c:v>43172</c:v>
                </c:pt>
                <c:pt idx="1514">
                  <c:v>43171</c:v>
                </c:pt>
                <c:pt idx="1515">
                  <c:v>43168</c:v>
                </c:pt>
                <c:pt idx="1516">
                  <c:v>43167</c:v>
                </c:pt>
                <c:pt idx="1517">
                  <c:v>43166</c:v>
                </c:pt>
                <c:pt idx="1518">
                  <c:v>43165</c:v>
                </c:pt>
                <c:pt idx="1519">
                  <c:v>43164</c:v>
                </c:pt>
                <c:pt idx="1520">
                  <c:v>43161</c:v>
                </c:pt>
                <c:pt idx="1521">
                  <c:v>43160</c:v>
                </c:pt>
                <c:pt idx="1522">
                  <c:v>43159</c:v>
                </c:pt>
                <c:pt idx="1523">
                  <c:v>43158</c:v>
                </c:pt>
                <c:pt idx="1524">
                  <c:v>43157</c:v>
                </c:pt>
                <c:pt idx="1525">
                  <c:v>43154</c:v>
                </c:pt>
                <c:pt idx="1526">
                  <c:v>43153</c:v>
                </c:pt>
                <c:pt idx="1527">
                  <c:v>43152</c:v>
                </c:pt>
                <c:pt idx="1528">
                  <c:v>43151</c:v>
                </c:pt>
                <c:pt idx="1529">
                  <c:v>43150</c:v>
                </c:pt>
                <c:pt idx="1530">
                  <c:v>43147</c:v>
                </c:pt>
                <c:pt idx="1531">
                  <c:v>43146</c:v>
                </c:pt>
                <c:pt idx="1532">
                  <c:v>43145</c:v>
                </c:pt>
                <c:pt idx="1533">
                  <c:v>43144</c:v>
                </c:pt>
                <c:pt idx="1534">
                  <c:v>43143</c:v>
                </c:pt>
                <c:pt idx="1535">
                  <c:v>43140</c:v>
                </c:pt>
                <c:pt idx="1536">
                  <c:v>43139</c:v>
                </c:pt>
                <c:pt idx="1537">
                  <c:v>43138</c:v>
                </c:pt>
                <c:pt idx="1538">
                  <c:v>43137</c:v>
                </c:pt>
                <c:pt idx="1539">
                  <c:v>43136</c:v>
                </c:pt>
                <c:pt idx="1540">
                  <c:v>43133</c:v>
                </c:pt>
                <c:pt idx="1541">
                  <c:v>43132</c:v>
                </c:pt>
                <c:pt idx="1542">
                  <c:v>43131</c:v>
                </c:pt>
                <c:pt idx="1543">
                  <c:v>43130</c:v>
                </c:pt>
                <c:pt idx="1544">
                  <c:v>43129</c:v>
                </c:pt>
                <c:pt idx="1545">
                  <c:v>43126</c:v>
                </c:pt>
                <c:pt idx="1546">
                  <c:v>43125</c:v>
                </c:pt>
                <c:pt idx="1547">
                  <c:v>43124</c:v>
                </c:pt>
                <c:pt idx="1548">
                  <c:v>43123</c:v>
                </c:pt>
                <c:pt idx="1549">
                  <c:v>43122</c:v>
                </c:pt>
                <c:pt idx="1550">
                  <c:v>43119</c:v>
                </c:pt>
                <c:pt idx="1551">
                  <c:v>43118</c:v>
                </c:pt>
                <c:pt idx="1552">
                  <c:v>43117</c:v>
                </c:pt>
                <c:pt idx="1553">
                  <c:v>43116</c:v>
                </c:pt>
                <c:pt idx="1554">
                  <c:v>43115</c:v>
                </c:pt>
                <c:pt idx="1555">
                  <c:v>43112</c:v>
                </c:pt>
                <c:pt idx="1556">
                  <c:v>43111</c:v>
                </c:pt>
                <c:pt idx="1557">
                  <c:v>43110</c:v>
                </c:pt>
                <c:pt idx="1558">
                  <c:v>43109</c:v>
                </c:pt>
                <c:pt idx="1559">
                  <c:v>43108</c:v>
                </c:pt>
                <c:pt idx="1560">
                  <c:v>43105</c:v>
                </c:pt>
                <c:pt idx="1561">
                  <c:v>43104</c:v>
                </c:pt>
                <c:pt idx="1562">
                  <c:v>43103</c:v>
                </c:pt>
                <c:pt idx="1563">
                  <c:v>43102</c:v>
                </c:pt>
                <c:pt idx="1564">
                  <c:v>43101</c:v>
                </c:pt>
                <c:pt idx="1565">
                  <c:v>43098</c:v>
                </c:pt>
                <c:pt idx="1566">
                  <c:v>43097</c:v>
                </c:pt>
                <c:pt idx="1567">
                  <c:v>43096</c:v>
                </c:pt>
                <c:pt idx="1568">
                  <c:v>43095</c:v>
                </c:pt>
                <c:pt idx="1569">
                  <c:v>43094</c:v>
                </c:pt>
                <c:pt idx="1570">
                  <c:v>43091</c:v>
                </c:pt>
                <c:pt idx="1571">
                  <c:v>43090</c:v>
                </c:pt>
                <c:pt idx="1572">
                  <c:v>43089</c:v>
                </c:pt>
                <c:pt idx="1573">
                  <c:v>43088</c:v>
                </c:pt>
                <c:pt idx="1574">
                  <c:v>43087</c:v>
                </c:pt>
                <c:pt idx="1575">
                  <c:v>43084</c:v>
                </c:pt>
                <c:pt idx="1576">
                  <c:v>43083</c:v>
                </c:pt>
                <c:pt idx="1577">
                  <c:v>43082</c:v>
                </c:pt>
                <c:pt idx="1578">
                  <c:v>43081</c:v>
                </c:pt>
                <c:pt idx="1579">
                  <c:v>43080</c:v>
                </c:pt>
                <c:pt idx="1580">
                  <c:v>43077</c:v>
                </c:pt>
                <c:pt idx="1581">
                  <c:v>43076</c:v>
                </c:pt>
                <c:pt idx="1582">
                  <c:v>43075</c:v>
                </c:pt>
                <c:pt idx="1583">
                  <c:v>43074</c:v>
                </c:pt>
                <c:pt idx="1584">
                  <c:v>43073</c:v>
                </c:pt>
                <c:pt idx="1585">
                  <c:v>43070</c:v>
                </c:pt>
                <c:pt idx="1586">
                  <c:v>43069</c:v>
                </c:pt>
                <c:pt idx="1587">
                  <c:v>43068</c:v>
                </c:pt>
                <c:pt idx="1588">
                  <c:v>43067</c:v>
                </c:pt>
                <c:pt idx="1589">
                  <c:v>43066</c:v>
                </c:pt>
                <c:pt idx="1590">
                  <c:v>43063</c:v>
                </c:pt>
                <c:pt idx="1591">
                  <c:v>43062</c:v>
                </c:pt>
                <c:pt idx="1592">
                  <c:v>43061</c:v>
                </c:pt>
                <c:pt idx="1593">
                  <c:v>43060</c:v>
                </c:pt>
                <c:pt idx="1594">
                  <c:v>43059</c:v>
                </c:pt>
                <c:pt idx="1595">
                  <c:v>43056</c:v>
                </c:pt>
                <c:pt idx="1596">
                  <c:v>43055</c:v>
                </c:pt>
                <c:pt idx="1597">
                  <c:v>43054</c:v>
                </c:pt>
                <c:pt idx="1598">
                  <c:v>43053</c:v>
                </c:pt>
                <c:pt idx="1599">
                  <c:v>43052</c:v>
                </c:pt>
                <c:pt idx="1600">
                  <c:v>43049</c:v>
                </c:pt>
                <c:pt idx="1601">
                  <c:v>43048</c:v>
                </c:pt>
                <c:pt idx="1602">
                  <c:v>43047</c:v>
                </c:pt>
                <c:pt idx="1603">
                  <c:v>43046</c:v>
                </c:pt>
                <c:pt idx="1604">
                  <c:v>43045</c:v>
                </c:pt>
                <c:pt idx="1605">
                  <c:v>43042</c:v>
                </c:pt>
                <c:pt idx="1606">
                  <c:v>43041</c:v>
                </c:pt>
                <c:pt idx="1607">
                  <c:v>43040</c:v>
                </c:pt>
                <c:pt idx="1608">
                  <c:v>43039</c:v>
                </c:pt>
                <c:pt idx="1609">
                  <c:v>43038</c:v>
                </c:pt>
                <c:pt idx="1610">
                  <c:v>43035</c:v>
                </c:pt>
                <c:pt idx="1611">
                  <c:v>43034</c:v>
                </c:pt>
                <c:pt idx="1612">
                  <c:v>43033</c:v>
                </c:pt>
                <c:pt idx="1613">
                  <c:v>43032</c:v>
                </c:pt>
                <c:pt idx="1614">
                  <c:v>43031</c:v>
                </c:pt>
                <c:pt idx="1615">
                  <c:v>43028</c:v>
                </c:pt>
                <c:pt idx="1616">
                  <c:v>43027</c:v>
                </c:pt>
                <c:pt idx="1617">
                  <c:v>43026</c:v>
                </c:pt>
                <c:pt idx="1618">
                  <c:v>43025</c:v>
                </c:pt>
                <c:pt idx="1619">
                  <c:v>43024</c:v>
                </c:pt>
                <c:pt idx="1620">
                  <c:v>43021</c:v>
                </c:pt>
                <c:pt idx="1621">
                  <c:v>43020</c:v>
                </c:pt>
                <c:pt idx="1622">
                  <c:v>43019</c:v>
                </c:pt>
                <c:pt idx="1623">
                  <c:v>43018</c:v>
                </c:pt>
                <c:pt idx="1624">
                  <c:v>43017</c:v>
                </c:pt>
                <c:pt idx="1625">
                  <c:v>43014</c:v>
                </c:pt>
                <c:pt idx="1626">
                  <c:v>43013</c:v>
                </c:pt>
                <c:pt idx="1627">
                  <c:v>43012</c:v>
                </c:pt>
                <c:pt idx="1628">
                  <c:v>43011</c:v>
                </c:pt>
                <c:pt idx="1629">
                  <c:v>43010</c:v>
                </c:pt>
                <c:pt idx="1630">
                  <c:v>43007</c:v>
                </c:pt>
                <c:pt idx="1631">
                  <c:v>43006</c:v>
                </c:pt>
                <c:pt idx="1632">
                  <c:v>43005</c:v>
                </c:pt>
                <c:pt idx="1633">
                  <c:v>43004</c:v>
                </c:pt>
                <c:pt idx="1634">
                  <c:v>43003</c:v>
                </c:pt>
                <c:pt idx="1635">
                  <c:v>43000</c:v>
                </c:pt>
                <c:pt idx="1636">
                  <c:v>42999</c:v>
                </c:pt>
                <c:pt idx="1637">
                  <c:v>42998</c:v>
                </c:pt>
                <c:pt idx="1638">
                  <c:v>42997</c:v>
                </c:pt>
                <c:pt idx="1639">
                  <c:v>42996</c:v>
                </c:pt>
                <c:pt idx="1640">
                  <c:v>42993</c:v>
                </c:pt>
                <c:pt idx="1641">
                  <c:v>42992</c:v>
                </c:pt>
                <c:pt idx="1642">
                  <c:v>42991</c:v>
                </c:pt>
                <c:pt idx="1643">
                  <c:v>42990</c:v>
                </c:pt>
                <c:pt idx="1644">
                  <c:v>42989</c:v>
                </c:pt>
                <c:pt idx="1645">
                  <c:v>42986</c:v>
                </c:pt>
                <c:pt idx="1646">
                  <c:v>42985</c:v>
                </c:pt>
                <c:pt idx="1647">
                  <c:v>42984</c:v>
                </c:pt>
                <c:pt idx="1648">
                  <c:v>42983</c:v>
                </c:pt>
                <c:pt idx="1649">
                  <c:v>42982</c:v>
                </c:pt>
                <c:pt idx="1650">
                  <c:v>42979</c:v>
                </c:pt>
                <c:pt idx="1651">
                  <c:v>42978</c:v>
                </c:pt>
                <c:pt idx="1652">
                  <c:v>42977</c:v>
                </c:pt>
                <c:pt idx="1653">
                  <c:v>42976</c:v>
                </c:pt>
                <c:pt idx="1654">
                  <c:v>42975</c:v>
                </c:pt>
                <c:pt idx="1655">
                  <c:v>42972</c:v>
                </c:pt>
                <c:pt idx="1656">
                  <c:v>42971</c:v>
                </c:pt>
                <c:pt idx="1657">
                  <c:v>42970</c:v>
                </c:pt>
                <c:pt idx="1658">
                  <c:v>42969</c:v>
                </c:pt>
                <c:pt idx="1659">
                  <c:v>42968</c:v>
                </c:pt>
                <c:pt idx="1660">
                  <c:v>42965</c:v>
                </c:pt>
                <c:pt idx="1661">
                  <c:v>42964</c:v>
                </c:pt>
                <c:pt idx="1662">
                  <c:v>42963</c:v>
                </c:pt>
                <c:pt idx="1663">
                  <c:v>42962</c:v>
                </c:pt>
                <c:pt idx="1664">
                  <c:v>42961</c:v>
                </c:pt>
                <c:pt idx="1665">
                  <c:v>42958</c:v>
                </c:pt>
                <c:pt idx="1666">
                  <c:v>42957</c:v>
                </c:pt>
                <c:pt idx="1667">
                  <c:v>42956</c:v>
                </c:pt>
                <c:pt idx="1668">
                  <c:v>42955</c:v>
                </c:pt>
                <c:pt idx="1669">
                  <c:v>42954</c:v>
                </c:pt>
                <c:pt idx="1670">
                  <c:v>42951</c:v>
                </c:pt>
                <c:pt idx="1671">
                  <c:v>42950</c:v>
                </c:pt>
                <c:pt idx="1672">
                  <c:v>42949</c:v>
                </c:pt>
                <c:pt idx="1673">
                  <c:v>42948</c:v>
                </c:pt>
                <c:pt idx="1674">
                  <c:v>42947</c:v>
                </c:pt>
                <c:pt idx="1675">
                  <c:v>42944</c:v>
                </c:pt>
                <c:pt idx="1676">
                  <c:v>42943</c:v>
                </c:pt>
                <c:pt idx="1677">
                  <c:v>42942</c:v>
                </c:pt>
                <c:pt idx="1678">
                  <c:v>42941</c:v>
                </c:pt>
                <c:pt idx="1679">
                  <c:v>42940</c:v>
                </c:pt>
                <c:pt idx="1680">
                  <c:v>42937</c:v>
                </c:pt>
                <c:pt idx="1681">
                  <c:v>42936</c:v>
                </c:pt>
                <c:pt idx="1682">
                  <c:v>42935</c:v>
                </c:pt>
                <c:pt idx="1683">
                  <c:v>42934</c:v>
                </c:pt>
                <c:pt idx="1684">
                  <c:v>42933</c:v>
                </c:pt>
                <c:pt idx="1685">
                  <c:v>42930</c:v>
                </c:pt>
                <c:pt idx="1686">
                  <c:v>42929</c:v>
                </c:pt>
                <c:pt idx="1687">
                  <c:v>42928</c:v>
                </c:pt>
                <c:pt idx="1688">
                  <c:v>42927</c:v>
                </c:pt>
                <c:pt idx="1689">
                  <c:v>42926</c:v>
                </c:pt>
                <c:pt idx="1690">
                  <c:v>42923</c:v>
                </c:pt>
                <c:pt idx="1691">
                  <c:v>42922</c:v>
                </c:pt>
                <c:pt idx="1692">
                  <c:v>42921</c:v>
                </c:pt>
                <c:pt idx="1693">
                  <c:v>42920</c:v>
                </c:pt>
                <c:pt idx="1694">
                  <c:v>42919</c:v>
                </c:pt>
                <c:pt idx="1695">
                  <c:v>42916</c:v>
                </c:pt>
                <c:pt idx="1696">
                  <c:v>42915</c:v>
                </c:pt>
                <c:pt idx="1697">
                  <c:v>42914</c:v>
                </c:pt>
                <c:pt idx="1698">
                  <c:v>42913</c:v>
                </c:pt>
                <c:pt idx="1699">
                  <c:v>42912</c:v>
                </c:pt>
                <c:pt idx="1700">
                  <c:v>42909</c:v>
                </c:pt>
                <c:pt idx="1701">
                  <c:v>42908</c:v>
                </c:pt>
                <c:pt idx="1702">
                  <c:v>42907</c:v>
                </c:pt>
                <c:pt idx="1703">
                  <c:v>42906</c:v>
                </c:pt>
                <c:pt idx="1704">
                  <c:v>42905</c:v>
                </c:pt>
                <c:pt idx="1705">
                  <c:v>42902</c:v>
                </c:pt>
                <c:pt idx="1706">
                  <c:v>42901</c:v>
                </c:pt>
                <c:pt idx="1707">
                  <c:v>42900</c:v>
                </c:pt>
                <c:pt idx="1708">
                  <c:v>42899</c:v>
                </c:pt>
                <c:pt idx="1709">
                  <c:v>42898</c:v>
                </c:pt>
                <c:pt idx="1710">
                  <c:v>42895</c:v>
                </c:pt>
                <c:pt idx="1711">
                  <c:v>42894</c:v>
                </c:pt>
                <c:pt idx="1712">
                  <c:v>42893</c:v>
                </c:pt>
                <c:pt idx="1713">
                  <c:v>42892</c:v>
                </c:pt>
                <c:pt idx="1714">
                  <c:v>42891</c:v>
                </c:pt>
                <c:pt idx="1715">
                  <c:v>42888</c:v>
                </c:pt>
                <c:pt idx="1716">
                  <c:v>42887</c:v>
                </c:pt>
                <c:pt idx="1717">
                  <c:v>42886</c:v>
                </c:pt>
                <c:pt idx="1718">
                  <c:v>42885</c:v>
                </c:pt>
                <c:pt idx="1719">
                  <c:v>42884</c:v>
                </c:pt>
                <c:pt idx="1720">
                  <c:v>42881</c:v>
                </c:pt>
                <c:pt idx="1721">
                  <c:v>42880</c:v>
                </c:pt>
                <c:pt idx="1722">
                  <c:v>42879</c:v>
                </c:pt>
                <c:pt idx="1723">
                  <c:v>42878</c:v>
                </c:pt>
                <c:pt idx="1724">
                  <c:v>42877</c:v>
                </c:pt>
                <c:pt idx="1725">
                  <c:v>42874</c:v>
                </c:pt>
                <c:pt idx="1726">
                  <c:v>42873</c:v>
                </c:pt>
                <c:pt idx="1727">
                  <c:v>42872</c:v>
                </c:pt>
                <c:pt idx="1728">
                  <c:v>42871</c:v>
                </c:pt>
                <c:pt idx="1729">
                  <c:v>42870</c:v>
                </c:pt>
                <c:pt idx="1730">
                  <c:v>42867</c:v>
                </c:pt>
                <c:pt idx="1731">
                  <c:v>42866</c:v>
                </c:pt>
                <c:pt idx="1732">
                  <c:v>42865</c:v>
                </c:pt>
                <c:pt idx="1733">
                  <c:v>42864</c:v>
                </c:pt>
                <c:pt idx="1734">
                  <c:v>42863</c:v>
                </c:pt>
                <c:pt idx="1735">
                  <c:v>42860</c:v>
                </c:pt>
                <c:pt idx="1736">
                  <c:v>42859</c:v>
                </c:pt>
                <c:pt idx="1737">
                  <c:v>42858</c:v>
                </c:pt>
                <c:pt idx="1738">
                  <c:v>42857</c:v>
                </c:pt>
                <c:pt idx="1739">
                  <c:v>42856</c:v>
                </c:pt>
                <c:pt idx="1740">
                  <c:v>42853</c:v>
                </c:pt>
                <c:pt idx="1741">
                  <c:v>42852</c:v>
                </c:pt>
                <c:pt idx="1742">
                  <c:v>42851</c:v>
                </c:pt>
                <c:pt idx="1743">
                  <c:v>42850</c:v>
                </c:pt>
                <c:pt idx="1744">
                  <c:v>42849</c:v>
                </c:pt>
                <c:pt idx="1745">
                  <c:v>42846</c:v>
                </c:pt>
                <c:pt idx="1746">
                  <c:v>42845</c:v>
                </c:pt>
                <c:pt idx="1747">
                  <c:v>42844</c:v>
                </c:pt>
                <c:pt idx="1748">
                  <c:v>42843</c:v>
                </c:pt>
                <c:pt idx="1749">
                  <c:v>42842</c:v>
                </c:pt>
                <c:pt idx="1750">
                  <c:v>42839</c:v>
                </c:pt>
                <c:pt idx="1751">
                  <c:v>42838</c:v>
                </c:pt>
                <c:pt idx="1752">
                  <c:v>42837</c:v>
                </c:pt>
                <c:pt idx="1753">
                  <c:v>42836</c:v>
                </c:pt>
                <c:pt idx="1754">
                  <c:v>42835</c:v>
                </c:pt>
                <c:pt idx="1755">
                  <c:v>42832</c:v>
                </c:pt>
                <c:pt idx="1756">
                  <c:v>42831</c:v>
                </c:pt>
                <c:pt idx="1757">
                  <c:v>42830</c:v>
                </c:pt>
                <c:pt idx="1758">
                  <c:v>42829</c:v>
                </c:pt>
                <c:pt idx="1759">
                  <c:v>42828</c:v>
                </c:pt>
                <c:pt idx="1760">
                  <c:v>42825</c:v>
                </c:pt>
                <c:pt idx="1761">
                  <c:v>42824</c:v>
                </c:pt>
                <c:pt idx="1762">
                  <c:v>42823</c:v>
                </c:pt>
                <c:pt idx="1763">
                  <c:v>42822</c:v>
                </c:pt>
                <c:pt idx="1764">
                  <c:v>42821</c:v>
                </c:pt>
                <c:pt idx="1765">
                  <c:v>42818</c:v>
                </c:pt>
                <c:pt idx="1766">
                  <c:v>42817</c:v>
                </c:pt>
                <c:pt idx="1767">
                  <c:v>42816</c:v>
                </c:pt>
                <c:pt idx="1768">
                  <c:v>42815</c:v>
                </c:pt>
                <c:pt idx="1769">
                  <c:v>42814</c:v>
                </c:pt>
                <c:pt idx="1770">
                  <c:v>42811</c:v>
                </c:pt>
                <c:pt idx="1771">
                  <c:v>42810</c:v>
                </c:pt>
                <c:pt idx="1772">
                  <c:v>42809</c:v>
                </c:pt>
                <c:pt idx="1773">
                  <c:v>42808</c:v>
                </c:pt>
                <c:pt idx="1774">
                  <c:v>42807</c:v>
                </c:pt>
                <c:pt idx="1775">
                  <c:v>42804</c:v>
                </c:pt>
                <c:pt idx="1776">
                  <c:v>42803</c:v>
                </c:pt>
                <c:pt idx="1777">
                  <c:v>42802</c:v>
                </c:pt>
                <c:pt idx="1778">
                  <c:v>42801</c:v>
                </c:pt>
                <c:pt idx="1779">
                  <c:v>42800</c:v>
                </c:pt>
                <c:pt idx="1780">
                  <c:v>42797</c:v>
                </c:pt>
                <c:pt idx="1781">
                  <c:v>42796</c:v>
                </c:pt>
                <c:pt idx="1782">
                  <c:v>42795</c:v>
                </c:pt>
                <c:pt idx="1783">
                  <c:v>42794</c:v>
                </c:pt>
                <c:pt idx="1784">
                  <c:v>42793</c:v>
                </c:pt>
                <c:pt idx="1785">
                  <c:v>42790</c:v>
                </c:pt>
                <c:pt idx="1786">
                  <c:v>42789</c:v>
                </c:pt>
                <c:pt idx="1787">
                  <c:v>42788</c:v>
                </c:pt>
                <c:pt idx="1788">
                  <c:v>42787</c:v>
                </c:pt>
                <c:pt idx="1789">
                  <c:v>42786</c:v>
                </c:pt>
                <c:pt idx="1790">
                  <c:v>42783</c:v>
                </c:pt>
                <c:pt idx="1791">
                  <c:v>42782</c:v>
                </c:pt>
                <c:pt idx="1792">
                  <c:v>42781</c:v>
                </c:pt>
                <c:pt idx="1793">
                  <c:v>42780</c:v>
                </c:pt>
                <c:pt idx="1794">
                  <c:v>42779</c:v>
                </c:pt>
                <c:pt idx="1795">
                  <c:v>42776</c:v>
                </c:pt>
                <c:pt idx="1796">
                  <c:v>42775</c:v>
                </c:pt>
                <c:pt idx="1797">
                  <c:v>42774</c:v>
                </c:pt>
                <c:pt idx="1798">
                  <c:v>42773</c:v>
                </c:pt>
                <c:pt idx="1799">
                  <c:v>42772</c:v>
                </c:pt>
                <c:pt idx="1800">
                  <c:v>42769</c:v>
                </c:pt>
                <c:pt idx="1801">
                  <c:v>42768</c:v>
                </c:pt>
                <c:pt idx="1802">
                  <c:v>42767</c:v>
                </c:pt>
                <c:pt idx="1803">
                  <c:v>42766</c:v>
                </c:pt>
                <c:pt idx="1804">
                  <c:v>42765</c:v>
                </c:pt>
                <c:pt idx="1805">
                  <c:v>42762</c:v>
                </c:pt>
                <c:pt idx="1806">
                  <c:v>42761</c:v>
                </c:pt>
                <c:pt idx="1807">
                  <c:v>42760</c:v>
                </c:pt>
                <c:pt idx="1808">
                  <c:v>42759</c:v>
                </c:pt>
                <c:pt idx="1809">
                  <c:v>42758</c:v>
                </c:pt>
                <c:pt idx="1810">
                  <c:v>42755</c:v>
                </c:pt>
                <c:pt idx="1811">
                  <c:v>42754</c:v>
                </c:pt>
                <c:pt idx="1812">
                  <c:v>42753</c:v>
                </c:pt>
                <c:pt idx="1813">
                  <c:v>42752</c:v>
                </c:pt>
                <c:pt idx="1814">
                  <c:v>42751</c:v>
                </c:pt>
                <c:pt idx="1815">
                  <c:v>42748</c:v>
                </c:pt>
                <c:pt idx="1816">
                  <c:v>42747</c:v>
                </c:pt>
                <c:pt idx="1817">
                  <c:v>42746</c:v>
                </c:pt>
                <c:pt idx="1818">
                  <c:v>42745</c:v>
                </c:pt>
                <c:pt idx="1819">
                  <c:v>42744</c:v>
                </c:pt>
                <c:pt idx="1820">
                  <c:v>42741</c:v>
                </c:pt>
                <c:pt idx="1821">
                  <c:v>42740</c:v>
                </c:pt>
                <c:pt idx="1822">
                  <c:v>42739</c:v>
                </c:pt>
                <c:pt idx="1823">
                  <c:v>42738</c:v>
                </c:pt>
                <c:pt idx="1824">
                  <c:v>42737</c:v>
                </c:pt>
                <c:pt idx="1825">
                  <c:v>42734</c:v>
                </c:pt>
                <c:pt idx="1826">
                  <c:v>42733</c:v>
                </c:pt>
                <c:pt idx="1827">
                  <c:v>42732</c:v>
                </c:pt>
                <c:pt idx="1828">
                  <c:v>42731</c:v>
                </c:pt>
                <c:pt idx="1829">
                  <c:v>42730</c:v>
                </c:pt>
                <c:pt idx="1830">
                  <c:v>42727</c:v>
                </c:pt>
                <c:pt idx="1831">
                  <c:v>42726</c:v>
                </c:pt>
                <c:pt idx="1832">
                  <c:v>42725</c:v>
                </c:pt>
                <c:pt idx="1833">
                  <c:v>42724</c:v>
                </c:pt>
                <c:pt idx="1834">
                  <c:v>42723</c:v>
                </c:pt>
                <c:pt idx="1835">
                  <c:v>42720</c:v>
                </c:pt>
                <c:pt idx="1836">
                  <c:v>42719</c:v>
                </c:pt>
                <c:pt idx="1837">
                  <c:v>42718</c:v>
                </c:pt>
                <c:pt idx="1838">
                  <c:v>42717</c:v>
                </c:pt>
                <c:pt idx="1839">
                  <c:v>42716</c:v>
                </c:pt>
                <c:pt idx="1840">
                  <c:v>42713</c:v>
                </c:pt>
                <c:pt idx="1841">
                  <c:v>42712</c:v>
                </c:pt>
                <c:pt idx="1842">
                  <c:v>42711</c:v>
                </c:pt>
                <c:pt idx="1843">
                  <c:v>42710</c:v>
                </c:pt>
                <c:pt idx="1844">
                  <c:v>42709</c:v>
                </c:pt>
                <c:pt idx="1845">
                  <c:v>42706</c:v>
                </c:pt>
                <c:pt idx="1846">
                  <c:v>42705</c:v>
                </c:pt>
                <c:pt idx="1847">
                  <c:v>42704</c:v>
                </c:pt>
                <c:pt idx="1848">
                  <c:v>42703</c:v>
                </c:pt>
                <c:pt idx="1849">
                  <c:v>42702</c:v>
                </c:pt>
                <c:pt idx="1850">
                  <c:v>42699</c:v>
                </c:pt>
                <c:pt idx="1851">
                  <c:v>42698</c:v>
                </c:pt>
                <c:pt idx="1852">
                  <c:v>42697</c:v>
                </c:pt>
                <c:pt idx="1853">
                  <c:v>42696</c:v>
                </c:pt>
                <c:pt idx="1854">
                  <c:v>42695</c:v>
                </c:pt>
                <c:pt idx="1855">
                  <c:v>42692</c:v>
                </c:pt>
                <c:pt idx="1856">
                  <c:v>42691</c:v>
                </c:pt>
                <c:pt idx="1857">
                  <c:v>42690</c:v>
                </c:pt>
                <c:pt idx="1858">
                  <c:v>42689</c:v>
                </c:pt>
                <c:pt idx="1859">
                  <c:v>42688</c:v>
                </c:pt>
                <c:pt idx="1860">
                  <c:v>42685</c:v>
                </c:pt>
                <c:pt idx="1861">
                  <c:v>42684</c:v>
                </c:pt>
                <c:pt idx="1862">
                  <c:v>42683</c:v>
                </c:pt>
                <c:pt idx="1863">
                  <c:v>42682</c:v>
                </c:pt>
                <c:pt idx="1864">
                  <c:v>42681</c:v>
                </c:pt>
                <c:pt idx="1865">
                  <c:v>42678</c:v>
                </c:pt>
                <c:pt idx="1866">
                  <c:v>42677</c:v>
                </c:pt>
                <c:pt idx="1867">
                  <c:v>42676</c:v>
                </c:pt>
                <c:pt idx="1868">
                  <c:v>42675</c:v>
                </c:pt>
                <c:pt idx="1869">
                  <c:v>42674</c:v>
                </c:pt>
                <c:pt idx="1870">
                  <c:v>42671</c:v>
                </c:pt>
                <c:pt idx="1871">
                  <c:v>42670</c:v>
                </c:pt>
                <c:pt idx="1872">
                  <c:v>42669</c:v>
                </c:pt>
                <c:pt idx="1873">
                  <c:v>42668</c:v>
                </c:pt>
                <c:pt idx="1874">
                  <c:v>42667</c:v>
                </c:pt>
                <c:pt idx="1875">
                  <c:v>42664</c:v>
                </c:pt>
                <c:pt idx="1876">
                  <c:v>42663</c:v>
                </c:pt>
                <c:pt idx="1877">
                  <c:v>42662</c:v>
                </c:pt>
                <c:pt idx="1878">
                  <c:v>42661</c:v>
                </c:pt>
                <c:pt idx="1879">
                  <c:v>42660</c:v>
                </c:pt>
                <c:pt idx="1880">
                  <c:v>42657</c:v>
                </c:pt>
                <c:pt idx="1881">
                  <c:v>42656</c:v>
                </c:pt>
                <c:pt idx="1882">
                  <c:v>42655</c:v>
                </c:pt>
                <c:pt idx="1883">
                  <c:v>42654</c:v>
                </c:pt>
                <c:pt idx="1884">
                  <c:v>42653</c:v>
                </c:pt>
                <c:pt idx="1885">
                  <c:v>42650</c:v>
                </c:pt>
                <c:pt idx="1886">
                  <c:v>42649</c:v>
                </c:pt>
                <c:pt idx="1887">
                  <c:v>42648</c:v>
                </c:pt>
                <c:pt idx="1888">
                  <c:v>42647</c:v>
                </c:pt>
                <c:pt idx="1889">
                  <c:v>42646</c:v>
                </c:pt>
                <c:pt idx="1890">
                  <c:v>42643</c:v>
                </c:pt>
                <c:pt idx="1891">
                  <c:v>42642</c:v>
                </c:pt>
                <c:pt idx="1892">
                  <c:v>42641</c:v>
                </c:pt>
                <c:pt idx="1893">
                  <c:v>42640</c:v>
                </c:pt>
                <c:pt idx="1894">
                  <c:v>42639</c:v>
                </c:pt>
                <c:pt idx="1895">
                  <c:v>42636</c:v>
                </c:pt>
                <c:pt idx="1896">
                  <c:v>42635</c:v>
                </c:pt>
                <c:pt idx="1897">
                  <c:v>42634</c:v>
                </c:pt>
                <c:pt idx="1898">
                  <c:v>42633</c:v>
                </c:pt>
                <c:pt idx="1899">
                  <c:v>42632</c:v>
                </c:pt>
                <c:pt idx="1900">
                  <c:v>42629</c:v>
                </c:pt>
                <c:pt idx="1901">
                  <c:v>42628</c:v>
                </c:pt>
                <c:pt idx="1902">
                  <c:v>42627</c:v>
                </c:pt>
                <c:pt idx="1903">
                  <c:v>42626</c:v>
                </c:pt>
                <c:pt idx="1904">
                  <c:v>42625</c:v>
                </c:pt>
                <c:pt idx="1905">
                  <c:v>42622</c:v>
                </c:pt>
                <c:pt idx="1906">
                  <c:v>42621</c:v>
                </c:pt>
                <c:pt idx="1907">
                  <c:v>42620</c:v>
                </c:pt>
                <c:pt idx="1908">
                  <c:v>42619</c:v>
                </c:pt>
                <c:pt idx="1909">
                  <c:v>42618</c:v>
                </c:pt>
                <c:pt idx="1910">
                  <c:v>42615</c:v>
                </c:pt>
                <c:pt idx="1911">
                  <c:v>42614</c:v>
                </c:pt>
                <c:pt idx="1912">
                  <c:v>42613</c:v>
                </c:pt>
                <c:pt idx="1913">
                  <c:v>42612</c:v>
                </c:pt>
                <c:pt idx="1914">
                  <c:v>42611</c:v>
                </c:pt>
                <c:pt idx="1915">
                  <c:v>42608</c:v>
                </c:pt>
                <c:pt idx="1916">
                  <c:v>42607</c:v>
                </c:pt>
                <c:pt idx="1917">
                  <c:v>42606</c:v>
                </c:pt>
                <c:pt idx="1918">
                  <c:v>42605</c:v>
                </c:pt>
                <c:pt idx="1919">
                  <c:v>42604</c:v>
                </c:pt>
                <c:pt idx="1920">
                  <c:v>42601</c:v>
                </c:pt>
                <c:pt idx="1921">
                  <c:v>42600</c:v>
                </c:pt>
                <c:pt idx="1922">
                  <c:v>42599</c:v>
                </c:pt>
                <c:pt idx="1923">
                  <c:v>42598</c:v>
                </c:pt>
                <c:pt idx="1924">
                  <c:v>42597</c:v>
                </c:pt>
                <c:pt idx="1925">
                  <c:v>42594</c:v>
                </c:pt>
                <c:pt idx="1926">
                  <c:v>42593</c:v>
                </c:pt>
                <c:pt idx="1927">
                  <c:v>42592</c:v>
                </c:pt>
                <c:pt idx="1928">
                  <c:v>42591</c:v>
                </c:pt>
                <c:pt idx="1929">
                  <c:v>42590</c:v>
                </c:pt>
                <c:pt idx="1930">
                  <c:v>42587</c:v>
                </c:pt>
                <c:pt idx="1931">
                  <c:v>42586</c:v>
                </c:pt>
                <c:pt idx="1932">
                  <c:v>42585</c:v>
                </c:pt>
                <c:pt idx="1933">
                  <c:v>42584</c:v>
                </c:pt>
                <c:pt idx="1934">
                  <c:v>42583</c:v>
                </c:pt>
                <c:pt idx="1935">
                  <c:v>42580</c:v>
                </c:pt>
                <c:pt idx="1936">
                  <c:v>42579</c:v>
                </c:pt>
                <c:pt idx="1937">
                  <c:v>42578</c:v>
                </c:pt>
                <c:pt idx="1938">
                  <c:v>42577</c:v>
                </c:pt>
                <c:pt idx="1939">
                  <c:v>42576</c:v>
                </c:pt>
                <c:pt idx="1940">
                  <c:v>42573</c:v>
                </c:pt>
                <c:pt idx="1941">
                  <c:v>42572</c:v>
                </c:pt>
                <c:pt idx="1942">
                  <c:v>42571</c:v>
                </c:pt>
                <c:pt idx="1943">
                  <c:v>42570</c:v>
                </c:pt>
                <c:pt idx="1944">
                  <c:v>42569</c:v>
                </c:pt>
                <c:pt idx="1945">
                  <c:v>42566</c:v>
                </c:pt>
                <c:pt idx="1946">
                  <c:v>42565</c:v>
                </c:pt>
                <c:pt idx="1947">
                  <c:v>42564</c:v>
                </c:pt>
                <c:pt idx="1948">
                  <c:v>42563</c:v>
                </c:pt>
                <c:pt idx="1949">
                  <c:v>42562</c:v>
                </c:pt>
                <c:pt idx="1950">
                  <c:v>42559</c:v>
                </c:pt>
                <c:pt idx="1951">
                  <c:v>42558</c:v>
                </c:pt>
                <c:pt idx="1952">
                  <c:v>42557</c:v>
                </c:pt>
                <c:pt idx="1953">
                  <c:v>42556</c:v>
                </c:pt>
                <c:pt idx="1954">
                  <c:v>42555</c:v>
                </c:pt>
                <c:pt idx="1955">
                  <c:v>42552</c:v>
                </c:pt>
                <c:pt idx="1956">
                  <c:v>42551</c:v>
                </c:pt>
                <c:pt idx="1957">
                  <c:v>42550</c:v>
                </c:pt>
                <c:pt idx="1958">
                  <c:v>42549</c:v>
                </c:pt>
                <c:pt idx="1959">
                  <c:v>42548</c:v>
                </c:pt>
                <c:pt idx="1960">
                  <c:v>42545</c:v>
                </c:pt>
                <c:pt idx="1961">
                  <c:v>42544</c:v>
                </c:pt>
                <c:pt idx="1962">
                  <c:v>42543</c:v>
                </c:pt>
                <c:pt idx="1963">
                  <c:v>42542</c:v>
                </c:pt>
                <c:pt idx="1964">
                  <c:v>42541</c:v>
                </c:pt>
                <c:pt idx="1965">
                  <c:v>42538</c:v>
                </c:pt>
                <c:pt idx="1966">
                  <c:v>42537</c:v>
                </c:pt>
                <c:pt idx="1967">
                  <c:v>42536</c:v>
                </c:pt>
                <c:pt idx="1968">
                  <c:v>42535</c:v>
                </c:pt>
                <c:pt idx="1969">
                  <c:v>42534</c:v>
                </c:pt>
                <c:pt idx="1970">
                  <c:v>42531</c:v>
                </c:pt>
                <c:pt idx="1971">
                  <c:v>42530</c:v>
                </c:pt>
                <c:pt idx="1972">
                  <c:v>42529</c:v>
                </c:pt>
                <c:pt idx="1973">
                  <c:v>42528</c:v>
                </c:pt>
                <c:pt idx="1974">
                  <c:v>42527</c:v>
                </c:pt>
                <c:pt idx="1975">
                  <c:v>42524</c:v>
                </c:pt>
                <c:pt idx="1976">
                  <c:v>42523</c:v>
                </c:pt>
                <c:pt idx="1977">
                  <c:v>42522</c:v>
                </c:pt>
                <c:pt idx="1978">
                  <c:v>42521</c:v>
                </c:pt>
                <c:pt idx="1979">
                  <c:v>42520</c:v>
                </c:pt>
                <c:pt idx="1980">
                  <c:v>42517</c:v>
                </c:pt>
                <c:pt idx="1981">
                  <c:v>42516</c:v>
                </c:pt>
                <c:pt idx="1982">
                  <c:v>42515</c:v>
                </c:pt>
                <c:pt idx="1983">
                  <c:v>42514</c:v>
                </c:pt>
                <c:pt idx="1984">
                  <c:v>42513</c:v>
                </c:pt>
                <c:pt idx="1985">
                  <c:v>42510</c:v>
                </c:pt>
                <c:pt idx="1986">
                  <c:v>42509</c:v>
                </c:pt>
                <c:pt idx="1987">
                  <c:v>42508</c:v>
                </c:pt>
                <c:pt idx="1988">
                  <c:v>42507</c:v>
                </c:pt>
                <c:pt idx="1989">
                  <c:v>42506</c:v>
                </c:pt>
                <c:pt idx="1990">
                  <c:v>42503</c:v>
                </c:pt>
                <c:pt idx="1991">
                  <c:v>42502</c:v>
                </c:pt>
                <c:pt idx="1992">
                  <c:v>42501</c:v>
                </c:pt>
                <c:pt idx="1993">
                  <c:v>42500</c:v>
                </c:pt>
                <c:pt idx="1994">
                  <c:v>42499</c:v>
                </c:pt>
                <c:pt idx="1995">
                  <c:v>42496</c:v>
                </c:pt>
                <c:pt idx="1996">
                  <c:v>42495</c:v>
                </c:pt>
                <c:pt idx="1997">
                  <c:v>42494</c:v>
                </c:pt>
                <c:pt idx="1998">
                  <c:v>42493</c:v>
                </c:pt>
                <c:pt idx="1999">
                  <c:v>42492</c:v>
                </c:pt>
                <c:pt idx="2000">
                  <c:v>42489</c:v>
                </c:pt>
                <c:pt idx="2001">
                  <c:v>42488</c:v>
                </c:pt>
                <c:pt idx="2002">
                  <c:v>42487</c:v>
                </c:pt>
                <c:pt idx="2003">
                  <c:v>42486</c:v>
                </c:pt>
                <c:pt idx="2004">
                  <c:v>42485</c:v>
                </c:pt>
                <c:pt idx="2005">
                  <c:v>42482</c:v>
                </c:pt>
                <c:pt idx="2006">
                  <c:v>42481</c:v>
                </c:pt>
                <c:pt idx="2007">
                  <c:v>42480</c:v>
                </c:pt>
                <c:pt idx="2008">
                  <c:v>42479</c:v>
                </c:pt>
                <c:pt idx="2009">
                  <c:v>42478</c:v>
                </c:pt>
                <c:pt idx="2010">
                  <c:v>42475</c:v>
                </c:pt>
                <c:pt idx="2011">
                  <c:v>42474</c:v>
                </c:pt>
                <c:pt idx="2012">
                  <c:v>42473</c:v>
                </c:pt>
                <c:pt idx="2013">
                  <c:v>42472</c:v>
                </c:pt>
                <c:pt idx="2014">
                  <c:v>42471</c:v>
                </c:pt>
                <c:pt idx="2015">
                  <c:v>42468</c:v>
                </c:pt>
                <c:pt idx="2016">
                  <c:v>42467</c:v>
                </c:pt>
                <c:pt idx="2017">
                  <c:v>42466</c:v>
                </c:pt>
                <c:pt idx="2018">
                  <c:v>42465</c:v>
                </c:pt>
                <c:pt idx="2019">
                  <c:v>42464</c:v>
                </c:pt>
                <c:pt idx="2020">
                  <c:v>42461</c:v>
                </c:pt>
                <c:pt idx="2021">
                  <c:v>42460</c:v>
                </c:pt>
                <c:pt idx="2022">
                  <c:v>42459</c:v>
                </c:pt>
                <c:pt idx="2023">
                  <c:v>42458</c:v>
                </c:pt>
                <c:pt idx="2024">
                  <c:v>42457</c:v>
                </c:pt>
                <c:pt idx="2025">
                  <c:v>42454</c:v>
                </c:pt>
                <c:pt idx="2026">
                  <c:v>42453</c:v>
                </c:pt>
                <c:pt idx="2027">
                  <c:v>42452</c:v>
                </c:pt>
                <c:pt idx="2028">
                  <c:v>42451</c:v>
                </c:pt>
                <c:pt idx="2029">
                  <c:v>42450</c:v>
                </c:pt>
                <c:pt idx="2030">
                  <c:v>42447</c:v>
                </c:pt>
                <c:pt idx="2031">
                  <c:v>42446</c:v>
                </c:pt>
                <c:pt idx="2032">
                  <c:v>42445</c:v>
                </c:pt>
                <c:pt idx="2033">
                  <c:v>42444</c:v>
                </c:pt>
                <c:pt idx="2034">
                  <c:v>42443</c:v>
                </c:pt>
                <c:pt idx="2035">
                  <c:v>42440</c:v>
                </c:pt>
                <c:pt idx="2036">
                  <c:v>42439</c:v>
                </c:pt>
                <c:pt idx="2037">
                  <c:v>42438</c:v>
                </c:pt>
                <c:pt idx="2038">
                  <c:v>42437</c:v>
                </c:pt>
                <c:pt idx="2039">
                  <c:v>42436</c:v>
                </c:pt>
                <c:pt idx="2040">
                  <c:v>42433</c:v>
                </c:pt>
                <c:pt idx="2041">
                  <c:v>42432</c:v>
                </c:pt>
                <c:pt idx="2042">
                  <c:v>42431</c:v>
                </c:pt>
                <c:pt idx="2043">
                  <c:v>42430</c:v>
                </c:pt>
                <c:pt idx="2044">
                  <c:v>42429</c:v>
                </c:pt>
                <c:pt idx="2045">
                  <c:v>42426</c:v>
                </c:pt>
                <c:pt idx="2046">
                  <c:v>42425</c:v>
                </c:pt>
                <c:pt idx="2047">
                  <c:v>42424</c:v>
                </c:pt>
                <c:pt idx="2048">
                  <c:v>42423</c:v>
                </c:pt>
                <c:pt idx="2049">
                  <c:v>42422</c:v>
                </c:pt>
                <c:pt idx="2050">
                  <c:v>42419</c:v>
                </c:pt>
                <c:pt idx="2051">
                  <c:v>42418</c:v>
                </c:pt>
                <c:pt idx="2052">
                  <c:v>42417</c:v>
                </c:pt>
                <c:pt idx="2053">
                  <c:v>42416</c:v>
                </c:pt>
                <c:pt idx="2054">
                  <c:v>42415</c:v>
                </c:pt>
                <c:pt idx="2055">
                  <c:v>42412</c:v>
                </c:pt>
                <c:pt idx="2056">
                  <c:v>42411</c:v>
                </c:pt>
                <c:pt idx="2057">
                  <c:v>42410</c:v>
                </c:pt>
                <c:pt idx="2058">
                  <c:v>42409</c:v>
                </c:pt>
                <c:pt idx="2059">
                  <c:v>42408</c:v>
                </c:pt>
                <c:pt idx="2060">
                  <c:v>42405</c:v>
                </c:pt>
                <c:pt idx="2061">
                  <c:v>42404</c:v>
                </c:pt>
                <c:pt idx="2062">
                  <c:v>42403</c:v>
                </c:pt>
                <c:pt idx="2063">
                  <c:v>42402</c:v>
                </c:pt>
                <c:pt idx="2064">
                  <c:v>42401</c:v>
                </c:pt>
                <c:pt idx="2065">
                  <c:v>42398</c:v>
                </c:pt>
                <c:pt idx="2066">
                  <c:v>42397</c:v>
                </c:pt>
                <c:pt idx="2067">
                  <c:v>42396</c:v>
                </c:pt>
                <c:pt idx="2068">
                  <c:v>42395</c:v>
                </c:pt>
                <c:pt idx="2069">
                  <c:v>42394</c:v>
                </c:pt>
                <c:pt idx="2070">
                  <c:v>42391</c:v>
                </c:pt>
                <c:pt idx="2071">
                  <c:v>42390</c:v>
                </c:pt>
                <c:pt idx="2072">
                  <c:v>42389</c:v>
                </c:pt>
                <c:pt idx="2073">
                  <c:v>42388</c:v>
                </c:pt>
                <c:pt idx="2074">
                  <c:v>42387</c:v>
                </c:pt>
                <c:pt idx="2075">
                  <c:v>42384</c:v>
                </c:pt>
                <c:pt idx="2076">
                  <c:v>42383</c:v>
                </c:pt>
                <c:pt idx="2077">
                  <c:v>42382</c:v>
                </c:pt>
                <c:pt idx="2078">
                  <c:v>42381</c:v>
                </c:pt>
                <c:pt idx="2079">
                  <c:v>42380</c:v>
                </c:pt>
                <c:pt idx="2080">
                  <c:v>42377</c:v>
                </c:pt>
                <c:pt idx="2081">
                  <c:v>42376</c:v>
                </c:pt>
                <c:pt idx="2082">
                  <c:v>42375</c:v>
                </c:pt>
                <c:pt idx="2083">
                  <c:v>42374</c:v>
                </c:pt>
                <c:pt idx="2084">
                  <c:v>42373</c:v>
                </c:pt>
                <c:pt idx="2085">
                  <c:v>42370</c:v>
                </c:pt>
                <c:pt idx="2086">
                  <c:v>42369</c:v>
                </c:pt>
                <c:pt idx="2087">
                  <c:v>42368</c:v>
                </c:pt>
                <c:pt idx="2088">
                  <c:v>42367</c:v>
                </c:pt>
                <c:pt idx="2089">
                  <c:v>42366</c:v>
                </c:pt>
                <c:pt idx="2090">
                  <c:v>42363</c:v>
                </c:pt>
                <c:pt idx="2091">
                  <c:v>42362</c:v>
                </c:pt>
                <c:pt idx="2092">
                  <c:v>42361</c:v>
                </c:pt>
                <c:pt idx="2093">
                  <c:v>42360</c:v>
                </c:pt>
                <c:pt idx="2094">
                  <c:v>42359</c:v>
                </c:pt>
                <c:pt idx="2095">
                  <c:v>42356</c:v>
                </c:pt>
                <c:pt idx="2096">
                  <c:v>42355</c:v>
                </c:pt>
                <c:pt idx="2097">
                  <c:v>42354</c:v>
                </c:pt>
                <c:pt idx="2098">
                  <c:v>42353</c:v>
                </c:pt>
                <c:pt idx="2099">
                  <c:v>42352</c:v>
                </c:pt>
                <c:pt idx="2100">
                  <c:v>42349</c:v>
                </c:pt>
                <c:pt idx="2101">
                  <c:v>42348</c:v>
                </c:pt>
                <c:pt idx="2102">
                  <c:v>42347</c:v>
                </c:pt>
                <c:pt idx="2103">
                  <c:v>42346</c:v>
                </c:pt>
                <c:pt idx="2104">
                  <c:v>42345</c:v>
                </c:pt>
                <c:pt idx="2105">
                  <c:v>42342</c:v>
                </c:pt>
                <c:pt idx="2106">
                  <c:v>42341</c:v>
                </c:pt>
                <c:pt idx="2107">
                  <c:v>42340</c:v>
                </c:pt>
                <c:pt idx="2108">
                  <c:v>42339</c:v>
                </c:pt>
                <c:pt idx="2109">
                  <c:v>42338</c:v>
                </c:pt>
                <c:pt idx="2110">
                  <c:v>42335</c:v>
                </c:pt>
                <c:pt idx="2111">
                  <c:v>42334</c:v>
                </c:pt>
                <c:pt idx="2112">
                  <c:v>42333</c:v>
                </c:pt>
                <c:pt idx="2113">
                  <c:v>42332</c:v>
                </c:pt>
                <c:pt idx="2114">
                  <c:v>42331</c:v>
                </c:pt>
                <c:pt idx="2115">
                  <c:v>42328</c:v>
                </c:pt>
                <c:pt idx="2116">
                  <c:v>42327</c:v>
                </c:pt>
                <c:pt idx="2117">
                  <c:v>42326</c:v>
                </c:pt>
                <c:pt idx="2118">
                  <c:v>42325</c:v>
                </c:pt>
                <c:pt idx="2119">
                  <c:v>42324</c:v>
                </c:pt>
                <c:pt idx="2120">
                  <c:v>42321</c:v>
                </c:pt>
                <c:pt idx="2121">
                  <c:v>42320</c:v>
                </c:pt>
                <c:pt idx="2122">
                  <c:v>42319</c:v>
                </c:pt>
                <c:pt idx="2123">
                  <c:v>42318</c:v>
                </c:pt>
                <c:pt idx="2124">
                  <c:v>42317</c:v>
                </c:pt>
                <c:pt idx="2125">
                  <c:v>42314</c:v>
                </c:pt>
                <c:pt idx="2126">
                  <c:v>42313</c:v>
                </c:pt>
                <c:pt idx="2127">
                  <c:v>42312</c:v>
                </c:pt>
                <c:pt idx="2128">
                  <c:v>42311</c:v>
                </c:pt>
                <c:pt idx="2129">
                  <c:v>42310</c:v>
                </c:pt>
                <c:pt idx="2130">
                  <c:v>42307</c:v>
                </c:pt>
                <c:pt idx="2131">
                  <c:v>42306</c:v>
                </c:pt>
                <c:pt idx="2132">
                  <c:v>42305</c:v>
                </c:pt>
                <c:pt idx="2133">
                  <c:v>42304</c:v>
                </c:pt>
                <c:pt idx="2134">
                  <c:v>42303</c:v>
                </c:pt>
                <c:pt idx="2135">
                  <c:v>42300</c:v>
                </c:pt>
                <c:pt idx="2136">
                  <c:v>42299</c:v>
                </c:pt>
                <c:pt idx="2137">
                  <c:v>42298</c:v>
                </c:pt>
                <c:pt idx="2138">
                  <c:v>42297</c:v>
                </c:pt>
                <c:pt idx="2139">
                  <c:v>42296</c:v>
                </c:pt>
                <c:pt idx="2140">
                  <c:v>42293</c:v>
                </c:pt>
                <c:pt idx="2141">
                  <c:v>42292</c:v>
                </c:pt>
                <c:pt idx="2142">
                  <c:v>42291</c:v>
                </c:pt>
                <c:pt idx="2143">
                  <c:v>42290</c:v>
                </c:pt>
                <c:pt idx="2144">
                  <c:v>42289</c:v>
                </c:pt>
                <c:pt idx="2145">
                  <c:v>42286</c:v>
                </c:pt>
                <c:pt idx="2146">
                  <c:v>42285</c:v>
                </c:pt>
                <c:pt idx="2147">
                  <c:v>42284</c:v>
                </c:pt>
                <c:pt idx="2148">
                  <c:v>42283</c:v>
                </c:pt>
                <c:pt idx="2149">
                  <c:v>42282</c:v>
                </c:pt>
                <c:pt idx="2150">
                  <c:v>42279</c:v>
                </c:pt>
                <c:pt idx="2151">
                  <c:v>42278</c:v>
                </c:pt>
                <c:pt idx="2152">
                  <c:v>42277</c:v>
                </c:pt>
                <c:pt idx="2153">
                  <c:v>42276</c:v>
                </c:pt>
                <c:pt idx="2154">
                  <c:v>42275</c:v>
                </c:pt>
                <c:pt idx="2155">
                  <c:v>42272</c:v>
                </c:pt>
                <c:pt idx="2156">
                  <c:v>42271</c:v>
                </c:pt>
                <c:pt idx="2157">
                  <c:v>42270</c:v>
                </c:pt>
                <c:pt idx="2158">
                  <c:v>42269</c:v>
                </c:pt>
                <c:pt idx="2159">
                  <c:v>42268</c:v>
                </c:pt>
                <c:pt idx="2160">
                  <c:v>42265</c:v>
                </c:pt>
                <c:pt idx="2161">
                  <c:v>42264</c:v>
                </c:pt>
                <c:pt idx="2162">
                  <c:v>42263</c:v>
                </c:pt>
                <c:pt idx="2163">
                  <c:v>42262</c:v>
                </c:pt>
                <c:pt idx="2164">
                  <c:v>42261</c:v>
                </c:pt>
                <c:pt idx="2165">
                  <c:v>42258</c:v>
                </c:pt>
                <c:pt idx="2166">
                  <c:v>42257</c:v>
                </c:pt>
                <c:pt idx="2167">
                  <c:v>42256</c:v>
                </c:pt>
                <c:pt idx="2168">
                  <c:v>42255</c:v>
                </c:pt>
                <c:pt idx="2169">
                  <c:v>42254</c:v>
                </c:pt>
                <c:pt idx="2170">
                  <c:v>42251</c:v>
                </c:pt>
                <c:pt idx="2171">
                  <c:v>42250</c:v>
                </c:pt>
                <c:pt idx="2172">
                  <c:v>42249</c:v>
                </c:pt>
                <c:pt idx="2173">
                  <c:v>42248</c:v>
                </c:pt>
                <c:pt idx="2174">
                  <c:v>42247</c:v>
                </c:pt>
                <c:pt idx="2175">
                  <c:v>42244</c:v>
                </c:pt>
                <c:pt idx="2176">
                  <c:v>42243</c:v>
                </c:pt>
                <c:pt idx="2177">
                  <c:v>42242</c:v>
                </c:pt>
                <c:pt idx="2178">
                  <c:v>42241</c:v>
                </c:pt>
                <c:pt idx="2179">
                  <c:v>42240</c:v>
                </c:pt>
                <c:pt idx="2180">
                  <c:v>42237</c:v>
                </c:pt>
                <c:pt idx="2181">
                  <c:v>42236</c:v>
                </c:pt>
                <c:pt idx="2182">
                  <c:v>42235</c:v>
                </c:pt>
                <c:pt idx="2183">
                  <c:v>42234</c:v>
                </c:pt>
                <c:pt idx="2184">
                  <c:v>42233</c:v>
                </c:pt>
                <c:pt idx="2185">
                  <c:v>42230</c:v>
                </c:pt>
                <c:pt idx="2186">
                  <c:v>42229</c:v>
                </c:pt>
                <c:pt idx="2187">
                  <c:v>42228</c:v>
                </c:pt>
                <c:pt idx="2188">
                  <c:v>42227</c:v>
                </c:pt>
                <c:pt idx="2189">
                  <c:v>42226</c:v>
                </c:pt>
                <c:pt idx="2190">
                  <c:v>42223</c:v>
                </c:pt>
                <c:pt idx="2191">
                  <c:v>42222</c:v>
                </c:pt>
                <c:pt idx="2192">
                  <c:v>42221</c:v>
                </c:pt>
                <c:pt idx="2193">
                  <c:v>42220</c:v>
                </c:pt>
                <c:pt idx="2194">
                  <c:v>42219</c:v>
                </c:pt>
                <c:pt idx="2195">
                  <c:v>42216</c:v>
                </c:pt>
                <c:pt idx="2196">
                  <c:v>42215</c:v>
                </c:pt>
                <c:pt idx="2197">
                  <c:v>42214</c:v>
                </c:pt>
                <c:pt idx="2198">
                  <c:v>42213</c:v>
                </c:pt>
                <c:pt idx="2199">
                  <c:v>42212</c:v>
                </c:pt>
                <c:pt idx="2200">
                  <c:v>42209</c:v>
                </c:pt>
                <c:pt idx="2201">
                  <c:v>42208</c:v>
                </c:pt>
                <c:pt idx="2202">
                  <c:v>42207</c:v>
                </c:pt>
                <c:pt idx="2203">
                  <c:v>42206</c:v>
                </c:pt>
                <c:pt idx="2204">
                  <c:v>42205</c:v>
                </c:pt>
                <c:pt idx="2205">
                  <c:v>42202</c:v>
                </c:pt>
                <c:pt idx="2206">
                  <c:v>42201</c:v>
                </c:pt>
                <c:pt idx="2207">
                  <c:v>42200</c:v>
                </c:pt>
                <c:pt idx="2208">
                  <c:v>42199</c:v>
                </c:pt>
                <c:pt idx="2209">
                  <c:v>42198</c:v>
                </c:pt>
                <c:pt idx="2210">
                  <c:v>42195</c:v>
                </c:pt>
                <c:pt idx="2211">
                  <c:v>42194</c:v>
                </c:pt>
                <c:pt idx="2212">
                  <c:v>42193</c:v>
                </c:pt>
                <c:pt idx="2213">
                  <c:v>42192</c:v>
                </c:pt>
                <c:pt idx="2214">
                  <c:v>42191</c:v>
                </c:pt>
                <c:pt idx="2215">
                  <c:v>42188</c:v>
                </c:pt>
                <c:pt idx="2216">
                  <c:v>42187</c:v>
                </c:pt>
                <c:pt idx="2217">
                  <c:v>42186</c:v>
                </c:pt>
                <c:pt idx="2218">
                  <c:v>42185</c:v>
                </c:pt>
                <c:pt idx="2219">
                  <c:v>42184</c:v>
                </c:pt>
                <c:pt idx="2220">
                  <c:v>42181</c:v>
                </c:pt>
                <c:pt idx="2221">
                  <c:v>42180</c:v>
                </c:pt>
                <c:pt idx="2222">
                  <c:v>42179</c:v>
                </c:pt>
                <c:pt idx="2223">
                  <c:v>42178</c:v>
                </c:pt>
                <c:pt idx="2224">
                  <c:v>42177</c:v>
                </c:pt>
                <c:pt idx="2225">
                  <c:v>42174</c:v>
                </c:pt>
                <c:pt idx="2226">
                  <c:v>42173</c:v>
                </c:pt>
                <c:pt idx="2227">
                  <c:v>42172</c:v>
                </c:pt>
                <c:pt idx="2228">
                  <c:v>42171</c:v>
                </c:pt>
                <c:pt idx="2229">
                  <c:v>42170</c:v>
                </c:pt>
                <c:pt idx="2230">
                  <c:v>42167</c:v>
                </c:pt>
                <c:pt idx="2231">
                  <c:v>42166</c:v>
                </c:pt>
                <c:pt idx="2232">
                  <c:v>42165</c:v>
                </c:pt>
                <c:pt idx="2233">
                  <c:v>42164</c:v>
                </c:pt>
                <c:pt idx="2234">
                  <c:v>42163</c:v>
                </c:pt>
                <c:pt idx="2235">
                  <c:v>42160</c:v>
                </c:pt>
                <c:pt idx="2236">
                  <c:v>42159</c:v>
                </c:pt>
                <c:pt idx="2237">
                  <c:v>42158</c:v>
                </c:pt>
                <c:pt idx="2238">
                  <c:v>42157</c:v>
                </c:pt>
                <c:pt idx="2239">
                  <c:v>42156</c:v>
                </c:pt>
                <c:pt idx="2240">
                  <c:v>42153</c:v>
                </c:pt>
                <c:pt idx="2241">
                  <c:v>42152</c:v>
                </c:pt>
                <c:pt idx="2242">
                  <c:v>42151</c:v>
                </c:pt>
                <c:pt idx="2243">
                  <c:v>42150</c:v>
                </c:pt>
                <c:pt idx="2244">
                  <c:v>42149</c:v>
                </c:pt>
                <c:pt idx="2245">
                  <c:v>42146</c:v>
                </c:pt>
                <c:pt idx="2246">
                  <c:v>42145</c:v>
                </c:pt>
                <c:pt idx="2247">
                  <c:v>42144</c:v>
                </c:pt>
                <c:pt idx="2248">
                  <c:v>42143</c:v>
                </c:pt>
                <c:pt idx="2249">
                  <c:v>42142</c:v>
                </c:pt>
                <c:pt idx="2250">
                  <c:v>42139</c:v>
                </c:pt>
                <c:pt idx="2251">
                  <c:v>42138</c:v>
                </c:pt>
                <c:pt idx="2252">
                  <c:v>42137</c:v>
                </c:pt>
                <c:pt idx="2253">
                  <c:v>42136</c:v>
                </c:pt>
                <c:pt idx="2254">
                  <c:v>42135</c:v>
                </c:pt>
                <c:pt idx="2255">
                  <c:v>42132</c:v>
                </c:pt>
                <c:pt idx="2256">
                  <c:v>42131</c:v>
                </c:pt>
                <c:pt idx="2257">
                  <c:v>42130</c:v>
                </c:pt>
                <c:pt idx="2258">
                  <c:v>42129</c:v>
                </c:pt>
                <c:pt idx="2259">
                  <c:v>42128</c:v>
                </c:pt>
                <c:pt idx="2260">
                  <c:v>42125</c:v>
                </c:pt>
                <c:pt idx="2261">
                  <c:v>42124</c:v>
                </c:pt>
                <c:pt idx="2262">
                  <c:v>42123</c:v>
                </c:pt>
                <c:pt idx="2263">
                  <c:v>42122</c:v>
                </c:pt>
                <c:pt idx="2264">
                  <c:v>42121</c:v>
                </c:pt>
                <c:pt idx="2265">
                  <c:v>42118</c:v>
                </c:pt>
                <c:pt idx="2266">
                  <c:v>42117</c:v>
                </c:pt>
                <c:pt idx="2267">
                  <c:v>42116</c:v>
                </c:pt>
                <c:pt idx="2268">
                  <c:v>42115</c:v>
                </c:pt>
                <c:pt idx="2269">
                  <c:v>42114</c:v>
                </c:pt>
                <c:pt idx="2270">
                  <c:v>42111</c:v>
                </c:pt>
                <c:pt idx="2271">
                  <c:v>42110</c:v>
                </c:pt>
                <c:pt idx="2272">
                  <c:v>42109</c:v>
                </c:pt>
                <c:pt idx="2273">
                  <c:v>42108</c:v>
                </c:pt>
                <c:pt idx="2274">
                  <c:v>42107</c:v>
                </c:pt>
                <c:pt idx="2275">
                  <c:v>42104</c:v>
                </c:pt>
                <c:pt idx="2276">
                  <c:v>42103</c:v>
                </c:pt>
                <c:pt idx="2277">
                  <c:v>42102</c:v>
                </c:pt>
                <c:pt idx="2278">
                  <c:v>42101</c:v>
                </c:pt>
                <c:pt idx="2279">
                  <c:v>42100</c:v>
                </c:pt>
                <c:pt idx="2280">
                  <c:v>42097</c:v>
                </c:pt>
                <c:pt idx="2281">
                  <c:v>42096</c:v>
                </c:pt>
                <c:pt idx="2282">
                  <c:v>42095</c:v>
                </c:pt>
                <c:pt idx="2283">
                  <c:v>42094</c:v>
                </c:pt>
                <c:pt idx="2284">
                  <c:v>42093</c:v>
                </c:pt>
                <c:pt idx="2285">
                  <c:v>42090</c:v>
                </c:pt>
                <c:pt idx="2286">
                  <c:v>42089</c:v>
                </c:pt>
                <c:pt idx="2287">
                  <c:v>42088</c:v>
                </c:pt>
                <c:pt idx="2288">
                  <c:v>42087</c:v>
                </c:pt>
                <c:pt idx="2289">
                  <c:v>42086</c:v>
                </c:pt>
                <c:pt idx="2290">
                  <c:v>42083</c:v>
                </c:pt>
                <c:pt idx="2291">
                  <c:v>42082</c:v>
                </c:pt>
                <c:pt idx="2292">
                  <c:v>42081</c:v>
                </c:pt>
                <c:pt idx="2293">
                  <c:v>42080</c:v>
                </c:pt>
                <c:pt idx="2294">
                  <c:v>42079</c:v>
                </c:pt>
                <c:pt idx="2295">
                  <c:v>42076</c:v>
                </c:pt>
                <c:pt idx="2296">
                  <c:v>42075</c:v>
                </c:pt>
                <c:pt idx="2297">
                  <c:v>42074</c:v>
                </c:pt>
                <c:pt idx="2298">
                  <c:v>42073</c:v>
                </c:pt>
                <c:pt idx="2299">
                  <c:v>42072</c:v>
                </c:pt>
                <c:pt idx="2300">
                  <c:v>42069</c:v>
                </c:pt>
                <c:pt idx="2301">
                  <c:v>42068</c:v>
                </c:pt>
                <c:pt idx="2302">
                  <c:v>42067</c:v>
                </c:pt>
                <c:pt idx="2303">
                  <c:v>42066</c:v>
                </c:pt>
                <c:pt idx="2304">
                  <c:v>42065</c:v>
                </c:pt>
                <c:pt idx="2305">
                  <c:v>42062</c:v>
                </c:pt>
                <c:pt idx="2306">
                  <c:v>42061</c:v>
                </c:pt>
                <c:pt idx="2307">
                  <c:v>42060</c:v>
                </c:pt>
                <c:pt idx="2308">
                  <c:v>42059</c:v>
                </c:pt>
                <c:pt idx="2309">
                  <c:v>42058</c:v>
                </c:pt>
                <c:pt idx="2310">
                  <c:v>42055</c:v>
                </c:pt>
                <c:pt idx="2311">
                  <c:v>42054</c:v>
                </c:pt>
                <c:pt idx="2312">
                  <c:v>42053</c:v>
                </c:pt>
                <c:pt idx="2313">
                  <c:v>42052</c:v>
                </c:pt>
                <c:pt idx="2314">
                  <c:v>42051</c:v>
                </c:pt>
                <c:pt idx="2315">
                  <c:v>42048</c:v>
                </c:pt>
                <c:pt idx="2316">
                  <c:v>42047</c:v>
                </c:pt>
                <c:pt idx="2317">
                  <c:v>42046</c:v>
                </c:pt>
                <c:pt idx="2318">
                  <c:v>42045</c:v>
                </c:pt>
                <c:pt idx="2319">
                  <c:v>42044</c:v>
                </c:pt>
                <c:pt idx="2320">
                  <c:v>42041</c:v>
                </c:pt>
                <c:pt idx="2321">
                  <c:v>42040</c:v>
                </c:pt>
                <c:pt idx="2322">
                  <c:v>42039</c:v>
                </c:pt>
                <c:pt idx="2323">
                  <c:v>42038</c:v>
                </c:pt>
                <c:pt idx="2324">
                  <c:v>42037</c:v>
                </c:pt>
                <c:pt idx="2325">
                  <c:v>42034</c:v>
                </c:pt>
                <c:pt idx="2326">
                  <c:v>42033</c:v>
                </c:pt>
                <c:pt idx="2327">
                  <c:v>42032</c:v>
                </c:pt>
                <c:pt idx="2328">
                  <c:v>42031</c:v>
                </c:pt>
                <c:pt idx="2329">
                  <c:v>42030</c:v>
                </c:pt>
                <c:pt idx="2330">
                  <c:v>42027</c:v>
                </c:pt>
                <c:pt idx="2331">
                  <c:v>42026</c:v>
                </c:pt>
                <c:pt idx="2332">
                  <c:v>42025</c:v>
                </c:pt>
                <c:pt idx="2333">
                  <c:v>42024</c:v>
                </c:pt>
                <c:pt idx="2334">
                  <c:v>42023</c:v>
                </c:pt>
                <c:pt idx="2335">
                  <c:v>42020</c:v>
                </c:pt>
                <c:pt idx="2336">
                  <c:v>42019</c:v>
                </c:pt>
                <c:pt idx="2337">
                  <c:v>42018</c:v>
                </c:pt>
                <c:pt idx="2338">
                  <c:v>42017</c:v>
                </c:pt>
                <c:pt idx="2339">
                  <c:v>42016</c:v>
                </c:pt>
                <c:pt idx="2340">
                  <c:v>42013</c:v>
                </c:pt>
                <c:pt idx="2341">
                  <c:v>42012</c:v>
                </c:pt>
                <c:pt idx="2342">
                  <c:v>42011</c:v>
                </c:pt>
                <c:pt idx="2343">
                  <c:v>42010</c:v>
                </c:pt>
                <c:pt idx="2344">
                  <c:v>42009</c:v>
                </c:pt>
                <c:pt idx="2345">
                  <c:v>42006</c:v>
                </c:pt>
                <c:pt idx="2346">
                  <c:v>42005</c:v>
                </c:pt>
                <c:pt idx="2347">
                  <c:v>42004</c:v>
                </c:pt>
                <c:pt idx="2348">
                  <c:v>42003</c:v>
                </c:pt>
                <c:pt idx="2349">
                  <c:v>42002</c:v>
                </c:pt>
                <c:pt idx="2350">
                  <c:v>41999</c:v>
                </c:pt>
                <c:pt idx="2351">
                  <c:v>41998</c:v>
                </c:pt>
                <c:pt idx="2352">
                  <c:v>41997</c:v>
                </c:pt>
                <c:pt idx="2353">
                  <c:v>41996</c:v>
                </c:pt>
                <c:pt idx="2354">
                  <c:v>41995</c:v>
                </c:pt>
                <c:pt idx="2355">
                  <c:v>41992</c:v>
                </c:pt>
                <c:pt idx="2356">
                  <c:v>41991</c:v>
                </c:pt>
                <c:pt idx="2357">
                  <c:v>41990</c:v>
                </c:pt>
                <c:pt idx="2358">
                  <c:v>41989</c:v>
                </c:pt>
                <c:pt idx="2359">
                  <c:v>41988</c:v>
                </c:pt>
                <c:pt idx="2360">
                  <c:v>41985</c:v>
                </c:pt>
                <c:pt idx="2361">
                  <c:v>41984</c:v>
                </c:pt>
                <c:pt idx="2362">
                  <c:v>41983</c:v>
                </c:pt>
                <c:pt idx="2363">
                  <c:v>41982</c:v>
                </c:pt>
                <c:pt idx="2364">
                  <c:v>41981</c:v>
                </c:pt>
                <c:pt idx="2365">
                  <c:v>41978</c:v>
                </c:pt>
                <c:pt idx="2366">
                  <c:v>41977</c:v>
                </c:pt>
                <c:pt idx="2367">
                  <c:v>41976</c:v>
                </c:pt>
                <c:pt idx="2368">
                  <c:v>41975</c:v>
                </c:pt>
                <c:pt idx="2369">
                  <c:v>41974</c:v>
                </c:pt>
                <c:pt idx="2370">
                  <c:v>41971</c:v>
                </c:pt>
                <c:pt idx="2371">
                  <c:v>41970</c:v>
                </c:pt>
                <c:pt idx="2372">
                  <c:v>41969</c:v>
                </c:pt>
                <c:pt idx="2373">
                  <c:v>41968</c:v>
                </c:pt>
                <c:pt idx="2374">
                  <c:v>41967</c:v>
                </c:pt>
                <c:pt idx="2375">
                  <c:v>41964</c:v>
                </c:pt>
                <c:pt idx="2376">
                  <c:v>41963</c:v>
                </c:pt>
                <c:pt idx="2377">
                  <c:v>41962</c:v>
                </c:pt>
                <c:pt idx="2378">
                  <c:v>41961</c:v>
                </c:pt>
                <c:pt idx="2379">
                  <c:v>41960</c:v>
                </c:pt>
                <c:pt idx="2380">
                  <c:v>41957</c:v>
                </c:pt>
                <c:pt idx="2381">
                  <c:v>41956</c:v>
                </c:pt>
                <c:pt idx="2382">
                  <c:v>41955</c:v>
                </c:pt>
                <c:pt idx="2383">
                  <c:v>41954</c:v>
                </c:pt>
                <c:pt idx="2384">
                  <c:v>41953</c:v>
                </c:pt>
                <c:pt idx="2385">
                  <c:v>41950</c:v>
                </c:pt>
                <c:pt idx="2386">
                  <c:v>41949</c:v>
                </c:pt>
                <c:pt idx="2387">
                  <c:v>41948</c:v>
                </c:pt>
                <c:pt idx="2388">
                  <c:v>41947</c:v>
                </c:pt>
                <c:pt idx="2389">
                  <c:v>41946</c:v>
                </c:pt>
                <c:pt idx="2390">
                  <c:v>41943</c:v>
                </c:pt>
                <c:pt idx="2391">
                  <c:v>41942</c:v>
                </c:pt>
                <c:pt idx="2392">
                  <c:v>41941</c:v>
                </c:pt>
                <c:pt idx="2393">
                  <c:v>41940</c:v>
                </c:pt>
                <c:pt idx="2394">
                  <c:v>41939</c:v>
                </c:pt>
                <c:pt idx="2395">
                  <c:v>41936</c:v>
                </c:pt>
                <c:pt idx="2396">
                  <c:v>41935</c:v>
                </c:pt>
                <c:pt idx="2397">
                  <c:v>41934</c:v>
                </c:pt>
                <c:pt idx="2398">
                  <c:v>41933</c:v>
                </c:pt>
                <c:pt idx="2399">
                  <c:v>41932</c:v>
                </c:pt>
                <c:pt idx="2400">
                  <c:v>41929</c:v>
                </c:pt>
                <c:pt idx="2401">
                  <c:v>41928</c:v>
                </c:pt>
                <c:pt idx="2402">
                  <c:v>41927</c:v>
                </c:pt>
                <c:pt idx="2403">
                  <c:v>41926</c:v>
                </c:pt>
                <c:pt idx="2404">
                  <c:v>41925</c:v>
                </c:pt>
                <c:pt idx="2405">
                  <c:v>41922</c:v>
                </c:pt>
                <c:pt idx="2406">
                  <c:v>41921</c:v>
                </c:pt>
                <c:pt idx="2407">
                  <c:v>41920</c:v>
                </c:pt>
                <c:pt idx="2408">
                  <c:v>41919</c:v>
                </c:pt>
                <c:pt idx="2409">
                  <c:v>41918</c:v>
                </c:pt>
                <c:pt idx="2410">
                  <c:v>41915</c:v>
                </c:pt>
                <c:pt idx="2411">
                  <c:v>41914</c:v>
                </c:pt>
                <c:pt idx="2412">
                  <c:v>41913</c:v>
                </c:pt>
                <c:pt idx="2413">
                  <c:v>41912</c:v>
                </c:pt>
                <c:pt idx="2414">
                  <c:v>41911</c:v>
                </c:pt>
                <c:pt idx="2415">
                  <c:v>41908</c:v>
                </c:pt>
                <c:pt idx="2416">
                  <c:v>41907</c:v>
                </c:pt>
                <c:pt idx="2417">
                  <c:v>41906</c:v>
                </c:pt>
                <c:pt idx="2418">
                  <c:v>41905</c:v>
                </c:pt>
                <c:pt idx="2419">
                  <c:v>41904</c:v>
                </c:pt>
                <c:pt idx="2420">
                  <c:v>41901</c:v>
                </c:pt>
                <c:pt idx="2421">
                  <c:v>41900</c:v>
                </c:pt>
                <c:pt idx="2422">
                  <c:v>41899</c:v>
                </c:pt>
                <c:pt idx="2423">
                  <c:v>41898</c:v>
                </c:pt>
                <c:pt idx="2424">
                  <c:v>41897</c:v>
                </c:pt>
                <c:pt idx="2425">
                  <c:v>41894</c:v>
                </c:pt>
                <c:pt idx="2426">
                  <c:v>41893</c:v>
                </c:pt>
                <c:pt idx="2427">
                  <c:v>41892</c:v>
                </c:pt>
                <c:pt idx="2428">
                  <c:v>41891</c:v>
                </c:pt>
                <c:pt idx="2429">
                  <c:v>41890</c:v>
                </c:pt>
                <c:pt idx="2430">
                  <c:v>41887</c:v>
                </c:pt>
                <c:pt idx="2431">
                  <c:v>41886</c:v>
                </c:pt>
                <c:pt idx="2432">
                  <c:v>41885</c:v>
                </c:pt>
                <c:pt idx="2433">
                  <c:v>41884</c:v>
                </c:pt>
                <c:pt idx="2434">
                  <c:v>41883</c:v>
                </c:pt>
                <c:pt idx="2435">
                  <c:v>41880</c:v>
                </c:pt>
                <c:pt idx="2436">
                  <c:v>41879</c:v>
                </c:pt>
                <c:pt idx="2437">
                  <c:v>41878</c:v>
                </c:pt>
                <c:pt idx="2438">
                  <c:v>41877</c:v>
                </c:pt>
                <c:pt idx="2439">
                  <c:v>41876</c:v>
                </c:pt>
                <c:pt idx="2440">
                  <c:v>41873</c:v>
                </c:pt>
                <c:pt idx="2441">
                  <c:v>41872</c:v>
                </c:pt>
                <c:pt idx="2442">
                  <c:v>41871</c:v>
                </c:pt>
                <c:pt idx="2443">
                  <c:v>41870</c:v>
                </c:pt>
                <c:pt idx="2444">
                  <c:v>41869</c:v>
                </c:pt>
                <c:pt idx="2445">
                  <c:v>41866</c:v>
                </c:pt>
                <c:pt idx="2446">
                  <c:v>41865</c:v>
                </c:pt>
                <c:pt idx="2447">
                  <c:v>41864</c:v>
                </c:pt>
                <c:pt idx="2448">
                  <c:v>41863</c:v>
                </c:pt>
                <c:pt idx="2449">
                  <c:v>41862</c:v>
                </c:pt>
                <c:pt idx="2450">
                  <c:v>41859</c:v>
                </c:pt>
                <c:pt idx="2451">
                  <c:v>41858</c:v>
                </c:pt>
                <c:pt idx="2452">
                  <c:v>41857</c:v>
                </c:pt>
                <c:pt idx="2453">
                  <c:v>41856</c:v>
                </c:pt>
                <c:pt idx="2454">
                  <c:v>41855</c:v>
                </c:pt>
                <c:pt idx="2455">
                  <c:v>41852</c:v>
                </c:pt>
                <c:pt idx="2456">
                  <c:v>41851</c:v>
                </c:pt>
                <c:pt idx="2457">
                  <c:v>41850</c:v>
                </c:pt>
                <c:pt idx="2458">
                  <c:v>41849</c:v>
                </c:pt>
                <c:pt idx="2459">
                  <c:v>41848</c:v>
                </c:pt>
                <c:pt idx="2460">
                  <c:v>41845</c:v>
                </c:pt>
                <c:pt idx="2461">
                  <c:v>41844</c:v>
                </c:pt>
                <c:pt idx="2462">
                  <c:v>41843</c:v>
                </c:pt>
                <c:pt idx="2463">
                  <c:v>41842</c:v>
                </c:pt>
                <c:pt idx="2464">
                  <c:v>41841</c:v>
                </c:pt>
                <c:pt idx="2465">
                  <c:v>41838</c:v>
                </c:pt>
                <c:pt idx="2466">
                  <c:v>41837</c:v>
                </c:pt>
                <c:pt idx="2467">
                  <c:v>41836</c:v>
                </c:pt>
                <c:pt idx="2468">
                  <c:v>41835</c:v>
                </c:pt>
                <c:pt idx="2469">
                  <c:v>41834</c:v>
                </c:pt>
                <c:pt idx="2470">
                  <c:v>41831</c:v>
                </c:pt>
                <c:pt idx="2471">
                  <c:v>41830</c:v>
                </c:pt>
                <c:pt idx="2472">
                  <c:v>41829</c:v>
                </c:pt>
                <c:pt idx="2473">
                  <c:v>41828</c:v>
                </c:pt>
                <c:pt idx="2474">
                  <c:v>41827</c:v>
                </c:pt>
                <c:pt idx="2475">
                  <c:v>41824</c:v>
                </c:pt>
                <c:pt idx="2476">
                  <c:v>41823</c:v>
                </c:pt>
                <c:pt idx="2477">
                  <c:v>41822</c:v>
                </c:pt>
                <c:pt idx="2478">
                  <c:v>41821</c:v>
                </c:pt>
                <c:pt idx="2479">
                  <c:v>41820</c:v>
                </c:pt>
                <c:pt idx="2480">
                  <c:v>41817</c:v>
                </c:pt>
                <c:pt idx="2481">
                  <c:v>41816</c:v>
                </c:pt>
                <c:pt idx="2482">
                  <c:v>41815</c:v>
                </c:pt>
                <c:pt idx="2483">
                  <c:v>41814</c:v>
                </c:pt>
                <c:pt idx="2484">
                  <c:v>41813</c:v>
                </c:pt>
                <c:pt idx="2485">
                  <c:v>41810</c:v>
                </c:pt>
                <c:pt idx="2486">
                  <c:v>41809</c:v>
                </c:pt>
                <c:pt idx="2487">
                  <c:v>41808</c:v>
                </c:pt>
                <c:pt idx="2488">
                  <c:v>41807</c:v>
                </c:pt>
                <c:pt idx="2489">
                  <c:v>41806</c:v>
                </c:pt>
                <c:pt idx="2490">
                  <c:v>41803</c:v>
                </c:pt>
                <c:pt idx="2491">
                  <c:v>41802</c:v>
                </c:pt>
                <c:pt idx="2492">
                  <c:v>41801</c:v>
                </c:pt>
                <c:pt idx="2493">
                  <c:v>41800</c:v>
                </c:pt>
                <c:pt idx="2494">
                  <c:v>41799</c:v>
                </c:pt>
                <c:pt idx="2495">
                  <c:v>41796</c:v>
                </c:pt>
                <c:pt idx="2496">
                  <c:v>41795</c:v>
                </c:pt>
                <c:pt idx="2497">
                  <c:v>41794</c:v>
                </c:pt>
                <c:pt idx="2498">
                  <c:v>41793</c:v>
                </c:pt>
                <c:pt idx="2499">
                  <c:v>41792</c:v>
                </c:pt>
                <c:pt idx="2500">
                  <c:v>41789</c:v>
                </c:pt>
                <c:pt idx="2501">
                  <c:v>41788</c:v>
                </c:pt>
                <c:pt idx="2502">
                  <c:v>41787</c:v>
                </c:pt>
                <c:pt idx="2503">
                  <c:v>41786</c:v>
                </c:pt>
                <c:pt idx="2504">
                  <c:v>41785</c:v>
                </c:pt>
                <c:pt idx="2505">
                  <c:v>41782</c:v>
                </c:pt>
                <c:pt idx="2506">
                  <c:v>41781</c:v>
                </c:pt>
                <c:pt idx="2507">
                  <c:v>41780</c:v>
                </c:pt>
                <c:pt idx="2508">
                  <c:v>41779</c:v>
                </c:pt>
                <c:pt idx="2509">
                  <c:v>41778</c:v>
                </c:pt>
                <c:pt idx="2510">
                  <c:v>41775</c:v>
                </c:pt>
                <c:pt idx="2511">
                  <c:v>41774</c:v>
                </c:pt>
                <c:pt idx="2512">
                  <c:v>41773</c:v>
                </c:pt>
                <c:pt idx="2513">
                  <c:v>41772</c:v>
                </c:pt>
                <c:pt idx="2514">
                  <c:v>41771</c:v>
                </c:pt>
                <c:pt idx="2515">
                  <c:v>41768</c:v>
                </c:pt>
                <c:pt idx="2516">
                  <c:v>41767</c:v>
                </c:pt>
                <c:pt idx="2517">
                  <c:v>41766</c:v>
                </c:pt>
                <c:pt idx="2518">
                  <c:v>41765</c:v>
                </c:pt>
                <c:pt idx="2519">
                  <c:v>41764</c:v>
                </c:pt>
                <c:pt idx="2520">
                  <c:v>41761</c:v>
                </c:pt>
                <c:pt idx="2521">
                  <c:v>41760</c:v>
                </c:pt>
                <c:pt idx="2522">
                  <c:v>41759</c:v>
                </c:pt>
                <c:pt idx="2523">
                  <c:v>41758</c:v>
                </c:pt>
                <c:pt idx="2524">
                  <c:v>41757</c:v>
                </c:pt>
                <c:pt idx="2525">
                  <c:v>41754</c:v>
                </c:pt>
                <c:pt idx="2526">
                  <c:v>41753</c:v>
                </c:pt>
                <c:pt idx="2527">
                  <c:v>41752</c:v>
                </c:pt>
                <c:pt idx="2528">
                  <c:v>41751</c:v>
                </c:pt>
                <c:pt idx="2529">
                  <c:v>41750</c:v>
                </c:pt>
                <c:pt idx="2530">
                  <c:v>41747</c:v>
                </c:pt>
                <c:pt idx="2531">
                  <c:v>41746</c:v>
                </c:pt>
                <c:pt idx="2532">
                  <c:v>41745</c:v>
                </c:pt>
                <c:pt idx="2533">
                  <c:v>41744</c:v>
                </c:pt>
                <c:pt idx="2534">
                  <c:v>41743</c:v>
                </c:pt>
                <c:pt idx="2535">
                  <c:v>41740</c:v>
                </c:pt>
                <c:pt idx="2536">
                  <c:v>41739</c:v>
                </c:pt>
                <c:pt idx="2537">
                  <c:v>41738</c:v>
                </c:pt>
                <c:pt idx="2538">
                  <c:v>41737</c:v>
                </c:pt>
                <c:pt idx="2539">
                  <c:v>41736</c:v>
                </c:pt>
                <c:pt idx="2540">
                  <c:v>41733</c:v>
                </c:pt>
                <c:pt idx="2541">
                  <c:v>41732</c:v>
                </c:pt>
                <c:pt idx="2542">
                  <c:v>41731</c:v>
                </c:pt>
                <c:pt idx="2543">
                  <c:v>41730</c:v>
                </c:pt>
                <c:pt idx="2544">
                  <c:v>41729</c:v>
                </c:pt>
                <c:pt idx="2545">
                  <c:v>41726</c:v>
                </c:pt>
                <c:pt idx="2546">
                  <c:v>41725</c:v>
                </c:pt>
                <c:pt idx="2547">
                  <c:v>41724</c:v>
                </c:pt>
                <c:pt idx="2548">
                  <c:v>41723</c:v>
                </c:pt>
                <c:pt idx="2549">
                  <c:v>41722</c:v>
                </c:pt>
                <c:pt idx="2550">
                  <c:v>41719</c:v>
                </c:pt>
                <c:pt idx="2551">
                  <c:v>41718</c:v>
                </c:pt>
                <c:pt idx="2552">
                  <c:v>41717</c:v>
                </c:pt>
                <c:pt idx="2553">
                  <c:v>41716</c:v>
                </c:pt>
                <c:pt idx="2554">
                  <c:v>41715</c:v>
                </c:pt>
                <c:pt idx="2555">
                  <c:v>41712</c:v>
                </c:pt>
                <c:pt idx="2556">
                  <c:v>41711</c:v>
                </c:pt>
                <c:pt idx="2557">
                  <c:v>41710</c:v>
                </c:pt>
                <c:pt idx="2558">
                  <c:v>41709</c:v>
                </c:pt>
                <c:pt idx="2559">
                  <c:v>41708</c:v>
                </c:pt>
                <c:pt idx="2560">
                  <c:v>41705</c:v>
                </c:pt>
                <c:pt idx="2561">
                  <c:v>41704</c:v>
                </c:pt>
                <c:pt idx="2562">
                  <c:v>41703</c:v>
                </c:pt>
                <c:pt idx="2563">
                  <c:v>41702</c:v>
                </c:pt>
                <c:pt idx="2564">
                  <c:v>41701</c:v>
                </c:pt>
                <c:pt idx="2565">
                  <c:v>41698</c:v>
                </c:pt>
                <c:pt idx="2566">
                  <c:v>41697</c:v>
                </c:pt>
                <c:pt idx="2567">
                  <c:v>41696</c:v>
                </c:pt>
                <c:pt idx="2568">
                  <c:v>41695</c:v>
                </c:pt>
                <c:pt idx="2569">
                  <c:v>41694</c:v>
                </c:pt>
                <c:pt idx="2570">
                  <c:v>41691</c:v>
                </c:pt>
                <c:pt idx="2571">
                  <c:v>41690</c:v>
                </c:pt>
                <c:pt idx="2572">
                  <c:v>41689</c:v>
                </c:pt>
                <c:pt idx="2573">
                  <c:v>41688</c:v>
                </c:pt>
                <c:pt idx="2574">
                  <c:v>41687</c:v>
                </c:pt>
                <c:pt idx="2575">
                  <c:v>41684</c:v>
                </c:pt>
                <c:pt idx="2576">
                  <c:v>41683</c:v>
                </c:pt>
                <c:pt idx="2577">
                  <c:v>41682</c:v>
                </c:pt>
                <c:pt idx="2578">
                  <c:v>41681</c:v>
                </c:pt>
                <c:pt idx="2579">
                  <c:v>41680</c:v>
                </c:pt>
                <c:pt idx="2580">
                  <c:v>41677</c:v>
                </c:pt>
                <c:pt idx="2581">
                  <c:v>41676</c:v>
                </c:pt>
                <c:pt idx="2582">
                  <c:v>41675</c:v>
                </c:pt>
                <c:pt idx="2583">
                  <c:v>41674</c:v>
                </c:pt>
                <c:pt idx="2584">
                  <c:v>41673</c:v>
                </c:pt>
                <c:pt idx="2585">
                  <c:v>41670</c:v>
                </c:pt>
                <c:pt idx="2586">
                  <c:v>41669</c:v>
                </c:pt>
                <c:pt idx="2587">
                  <c:v>41668</c:v>
                </c:pt>
                <c:pt idx="2588">
                  <c:v>41667</c:v>
                </c:pt>
                <c:pt idx="2589">
                  <c:v>41666</c:v>
                </c:pt>
                <c:pt idx="2590">
                  <c:v>41663</c:v>
                </c:pt>
                <c:pt idx="2591">
                  <c:v>41662</c:v>
                </c:pt>
                <c:pt idx="2592">
                  <c:v>41661</c:v>
                </c:pt>
                <c:pt idx="2593">
                  <c:v>41660</c:v>
                </c:pt>
                <c:pt idx="2594">
                  <c:v>41659</c:v>
                </c:pt>
                <c:pt idx="2595">
                  <c:v>41656</c:v>
                </c:pt>
                <c:pt idx="2596">
                  <c:v>41655</c:v>
                </c:pt>
                <c:pt idx="2597">
                  <c:v>41654</c:v>
                </c:pt>
                <c:pt idx="2598">
                  <c:v>41653</c:v>
                </c:pt>
                <c:pt idx="2599">
                  <c:v>41652</c:v>
                </c:pt>
                <c:pt idx="2600">
                  <c:v>41649</c:v>
                </c:pt>
                <c:pt idx="2601">
                  <c:v>41648</c:v>
                </c:pt>
                <c:pt idx="2602">
                  <c:v>41647</c:v>
                </c:pt>
                <c:pt idx="2603">
                  <c:v>41646</c:v>
                </c:pt>
                <c:pt idx="2604">
                  <c:v>41645</c:v>
                </c:pt>
                <c:pt idx="2605">
                  <c:v>41642</c:v>
                </c:pt>
                <c:pt idx="2606">
                  <c:v>41641</c:v>
                </c:pt>
                <c:pt idx="2607">
                  <c:v>41640</c:v>
                </c:pt>
                <c:pt idx="2608">
                  <c:v>41639</c:v>
                </c:pt>
                <c:pt idx="2609">
                  <c:v>41638</c:v>
                </c:pt>
                <c:pt idx="2610">
                  <c:v>41635</c:v>
                </c:pt>
                <c:pt idx="2611">
                  <c:v>41634</c:v>
                </c:pt>
                <c:pt idx="2612">
                  <c:v>41633</c:v>
                </c:pt>
                <c:pt idx="2613">
                  <c:v>41632</c:v>
                </c:pt>
                <c:pt idx="2614">
                  <c:v>41631</c:v>
                </c:pt>
                <c:pt idx="2615">
                  <c:v>41628</c:v>
                </c:pt>
                <c:pt idx="2616">
                  <c:v>41627</c:v>
                </c:pt>
                <c:pt idx="2617">
                  <c:v>41626</c:v>
                </c:pt>
                <c:pt idx="2618">
                  <c:v>41625</c:v>
                </c:pt>
                <c:pt idx="2619">
                  <c:v>41624</c:v>
                </c:pt>
                <c:pt idx="2620">
                  <c:v>41621</c:v>
                </c:pt>
                <c:pt idx="2621">
                  <c:v>41620</c:v>
                </c:pt>
                <c:pt idx="2622">
                  <c:v>41619</c:v>
                </c:pt>
                <c:pt idx="2623">
                  <c:v>41618</c:v>
                </c:pt>
                <c:pt idx="2624">
                  <c:v>41617</c:v>
                </c:pt>
                <c:pt idx="2625">
                  <c:v>41614</c:v>
                </c:pt>
                <c:pt idx="2626">
                  <c:v>41613</c:v>
                </c:pt>
                <c:pt idx="2627">
                  <c:v>41612</c:v>
                </c:pt>
                <c:pt idx="2628">
                  <c:v>41611</c:v>
                </c:pt>
                <c:pt idx="2629">
                  <c:v>41610</c:v>
                </c:pt>
                <c:pt idx="2630">
                  <c:v>41607</c:v>
                </c:pt>
                <c:pt idx="2631">
                  <c:v>41606</c:v>
                </c:pt>
                <c:pt idx="2632">
                  <c:v>41605</c:v>
                </c:pt>
                <c:pt idx="2633">
                  <c:v>41604</c:v>
                </c:pt>
                <c:pt idx="2634">
                  <c:v>41603</c:v>
                </c:pt>
                <c:pt idx="2635">
                  <c:v>41600</c:v>
                </c:pt>
                <c:pt idx="2636">
                  <c:v>41599</c:v>
                </c:pt>
                <c:pt idx="2637">
                  <c:v>41598</c:v>
                </c:pt>
                <c:pt idx="2638">
                  <c:v>41597</c:v>
                </c:pt>
                <c:pt idx="2639">
                  <c:v>41596</c:v>
                </c:pt>
                <c:pt idx="2640">
                  <c:v>41593</c:v>
                </c:pt>
                <c:pt idx="2641">
                  <c:v>41592</c:v>
                </c:pt>
                <c:pt idx="2642">
                  <c:v>41591</c:v>
                </c:pt>
                <c:pt idx="2643">
                  <c:v>41590</c:v>
                </c:pt>
                <c:pt idx="2644">
                  <c:v>41589</c:v>
                </c:pt>
                <c:pt idx="2645">
                  <c:v>41586</c:v>
                </c:pt>
                <c:pt idx="2646">
                  <c:v>41585</c:v>
                </c:pt>
                <c:pt idx="2647">
                  <c:v>41584</c:v>
                </c:pt>
                <c:pt idx="2648">
                  <c:v>41583</c:v>
                </c:pt>
                <c:pt idx="2649">
                  <c:v>41582</c:v>
                </c:pt>
                <c:pt idx="2650">
                  <c:v>41579</c:v>
                </c:pt>
                <c:pt idx="2651">
                  <c:v>41578</c:v>
                </c:pt>
                <c:pt idx="2652">
                  <c:v>41577</c:v>
                </c:pt>
                <c:pt idx="2653">
                  <c:v>41576</c:v>
                </c:pt>
                <c:pt idx="2654">
                  <c:v>41575</c:v>
                </c:pt>
                <c:pt idx="2655">
                  <c:v>41572</c:v>
                </c:pt>
                <c:pt idx="2656">
                  <c:v>41571</c:v>
                </c:pt>
                <c:pt idx="2657">
                  <c:v>41570</c:v>
                </c:pt>
                <c:pt idx="2658">
                  <c:v>41569</c:v>
                </c:pt>
                <c:pt idx="2659">
                  <c:v>41568</c:v>
                </c:pt>
                <c:pt idx="2660">
                  <c:v>41565</c:v>
                </c:pt>
                <c:pt idx="2661">
                  <c:v>41564</c:v>
                </c:pt>
                <c:pt idx="2662">
                  <c:v>41563</c:v>
                </c:pt>
                <c:pt idx="2663">
                  <c:v>41562</c:v>
                </c:pt>
                <c:pt idx="2664">
                  <c:v>41561</c:v>
                </c:pt>
                <c:pt idx="2665">
                  <c:v>41558</c:v>
                </c:pt>
                <c:pt idx="2666">
                  <c:v>41557</c:v>
                </c:pt>
                <c:pt idx="2667">
                  <c:v>41556</c:v>
                </c:pt>
                <c:pt idx="2668">
                  <c:v>41555</c:v>
                </c:pt>
                <c:pt idx="2669">
                  <c:v>41554</c:v>
                </c:pt>
                <c:pt idx="2670">
                  <c:v>41551</c:v>
                </c:pt>
                <c:pt idx="2671">
                  <c:v>41550</c:v>
                </c:pt>
                <c:pt idx="2672">
                  <c:v>41549</c:v>
                </c:pt>
                <c:pt idx="2673">
                  <c:v>41548</c:v>
                </c:pt>
                <c:pt idx="2674">
                  <c:v>41547</c:v>
                </c:pt>
                <c:pt idx="2675">
                  <c:v>41544</c:v>
                </c:pt>
                <c:pt idx="2676">
                  <c:v>41543</c:v>
                </c:pt>
                <c:pt idx="2677">
                  <c:v>41542</c:v>
                </c:pt>
                <c:pt idx="2678">
                  <c:v>41541</c:v>
                </c:pt>
                <c:pt idx="2679">
                  <c:v>41540</c:v>
                </c:pt>
                <c:pt idx="2680">
                  <c:v>41537</c:v>
                </c:pt>
                <c:pt idx="2681">
                  <c:v>41536</c:v>
                </c:pt>
                <c:pt idx="2682">
                  <c:v>41535</c:v>
                </c:pt>
                <c:pt idx="2683">
                  <c:v>41534</c:v>
                </c:pt>
                <c:pt idx="2684">
                  <c:v>41533</c:v>
                </c:pt>
                <c:pt idx="2685">
                  <c:v>41530</c:v>
                </c:pt>
                <c:pt idx="2686">
                  <c:v>41529</c:v>
                </c:pt>
                <c:pt idx="2687">
                  <c:v>41528</c:v>
                </c:pt>
                <c:pt idx="2688">
                  <c:v>41527</c:v>
                </c:pt>
                <c:pt idx="2689">
                  <c:v>41526</c:v>
                </c:pt>
                <c:pt idx="2690">
                  <c:v>41523</c:v>
                </c:pt>
                <c:pt idx="2691">
                  <c:v>41522</c:v>
                </c:pt>
                <c:pt idx="2692">
                  <c:v>41521</c:v>
                </c:pt>
                <c:pt idx="2693">
                  <c:v>41520</c:v>
                </c:pt>
                <c:pt idx="2694">
                  <c:v>41519</c:v>
                </c:pt>
                <c:pt idx="2695">
                  <c:v>41516</c:v>
                </c:pt>
                <c:pt idx="2696">
                  <c:v>41515</c:v>
                </c:pt>
                <c:pt idx="2697">
                  <c:v>41514</c:v>
                </c:pt>
                <c:pt idx="2698">
                  <c:v>41513</c:v>
                </c:pt>
                <c:pt idx="2699">
                  <c:v>41512</c:v>
                </c:pt>
                <c:pt idx="2700">
                  <c:v>41509</c:v>
                </c:pt>
                <c:pt idx="2701">
                  <c:v>41508</c:v>
                </c:pt>
                <c:pt idx="2702">
                  <c:v>41507</c:v>
                </c:pt>
                <c:pt idx="2703">
                  <c:v>41506</c:v>
                </c:pt>
                <c:pt idx="2704">
                  <c:v>41505</c:v>
                </c:pt>
                <c:pt idx="2705">
                  <c:v>41502</c:v>
                </c:pt>
                <c:pt idx="2706">
                  <c:v>41501</c:v>
                </c:pt>
                <c:pt idx="2707">
                  <c:v>41500</c:v>
                </c:pt>
                <c:pt idx="2708">
                  <c:v>41499</c:v>
                </c:pt>
                <c:pt idx="2709">
                  <c:v>41498</c:v>
                </c:pt>
                <c:pt idx="2710">
                  <c:v>41495</c:v>
                </c:pt>
                <c:pt idx="2711">
                  <c:v>41494</c:v>
                </c:pt>
                <c:pt idx="2712">
                  <c:v>41493</c:v>
                </c:pt>
                <c:pt idx="2713">
                  <c:v>41492</c:v>
                </c:pt>
                <c:pt idx="2714">
                  <c:v>41491</c:v>
                </c:pt>
                <c:pt idx="2715">
                  <c:v>41488</c:v>
                </c:pt>
                <c:pt idx="2716">
                  <c:v>41487</c:v>
                </c:pt>
                <c:pt idx="2717">
                  <c:v>41486</c:v>
                </c:pt>
                <c:pt idx="2718">
                  <c:v>41485</c:v>
                </c:pt>
                <c:pt idx="2719">
                  <c:v>41484</c:v>
                </c:pt>
                <c:pt idx="2720">
                  <c:v>41481</c:v>
                </c:pt>
                <c:pt idx="2721">
                  <c:v>41480</c:v>
                </c:pt>
                <c:pt idx="2722">
                  <c:v>41479</c:v>
                </c:pt>
                <c:pt idx="2723">
                  <c:v>41478</c:v>
                </c:pt>
                <c:pt idx="2724">
                  <c:v>41477</c:v>
                </c:pt>
                <c:pt idx="2725">
                  <c:v>41474</c:v>
                </c:pt>
                <c:pt idx="2726">
                  <c:v>41473</c:v>
                </c:pt>
                <c:pt idx="2727">
                  <c:v>41472</c:v>
                </c:pt>
                <c:pt idx="2728">
                  <c:v>41471</c:v>
                </c:pt>
                <c:pt idx="2729">
                  <c:v>41470</c:v>
                </c:pt>
                <c:pt idx="2730">
                  <c:v>41467</c:v>
                </c:pt>
                <c:pt idx="2731">
                  <c:v>41466</c:v>
                </c:pt>
                <c:pt idx="2732">
                  <c:v>41465</c:v>
                </c:pt>
                <c:pt idx="2733">
                  <c:v>41464</c:v>
                </c:pt>
                <c:pt idx="2734">
                  <c:v>41463</c:v>
                </c:pt>
                <c:pt idx="2735">
                  <c:v>41460</c:v>
                </c:pt>
                <c:pt idx="2736">
                  <c:v>41459</c:v>
                </c:pt>
                <c:pt idx="2737">
                  <c:v>41458</c:v>
                </c:pt>
                <c:pt idx="2738">
                  <c:v>41457</c:v>
                </c:pt>
                <c:pt idx="2739">
                  <c:v>41456</c:v>
                </c:pt>
                <c:pt idx="2740">
                  <c:v>41453</c:v>
                </c:pt>
                <c:pt idx="2741">
                  <c:v>41452</c:v>
                </c:pt>
                <c:pt idx="2742">
                  <c:v>41451</c:v>
                </c:pt>
                <c:pt idx="2743">
                  <c:v>41450</c:v>
                </c:pt>
                <c:pt idx="2744">
                  <c:v>41449</c:v>
                </c:pt>
                <c:pt idx="2745">
                  <c:v>41446</c:v>
                </c:pt>
                <c:pt idx="2746">
                  <c:v>41445</c:v>
                </c:pt>
                <c:pt idx="2747">
                  <c:v>41444</c:v>
                </c:pt>
                <c:pt idx="2748">
                  <c:v>41443</c:v>
                </c:pt>
                <c:pt idx="2749">
                  <c:v>41442</c:v>
                </c:pt>
                <c:pt idx="2750">
                  <c:v>41439</c:v>
                </c:pt>
                <c:pt idx="2751">
                  <c:v>41438</c:v>
                </c:pt>
                <c:pt idx="2752">
                  <c:v>41437</c:v>
                </c:pt>
                <c:pt idx="2753">
                  <c:v>41436</c:v>
                </c:pt>
                <c:pt idx="2754">
                  <c:v>41435</c:v>
                </c:pt>
                <c:pt idx="2755">
                  <c:v>41432</c:v>
                </c:pt>
                <c:pt idx="2756">
                  <c:v>41431</c:v>
                </c:pt>
                <c:pt idx="2757">
                  <c:v>41430</c:v>
                </c:pt>
                <c:pt idx="2758">
                  <c:v>41429</c:v>
                </c:pt>
                <c:pt idx="2759">
                  <c:v>41428</c:v>
                </c:pt>
                <c:pt idx="2760">
                  <c:v>41425</c:v>
                </c:pt>
                <c:pt idx="2761">
                  <c:v>41424</c:v>
                </c:pt>
                <c:pt idx="2762">
                  <c:v>41423</c:v>
                </c:pt>
                <c:pt idx="2763">
                  <c:v>41422</c:v>
                </c:pt>
                <c:pt idx="2764">
                  <c:v>41421</c:v>
                </c:pt>
                <c:pt idx="2765">
                  <c:v>41418</c:v>
                </c:pt>
                <c:pt idx="2766">
                  <c:v>41417</c:v>
                </c:pt>
                <c:pt idx="2767">
                  <c:v>41416</c:v>
                </c:pt>
                <c:pt idx="2768">
                  <c:v>41415</c:v>
                </c:pt>
                <c:pt idx="2769">
                  <c:v>41414</c:v>
                </c:pt>
                <c:pt idx="2770">
                  <c:v>41411</c:v>
                </c:pt>
                <c:pt idx="2771">
                  <c:v>41410</c:v>
                </c:pt>
                <c:pt idx="2772">
                  <c:v>41409</c:v>
                </c:pt>
                <c:pt idx="2773">
                  <c:v>41408</c:v>
                </c:pt>
                <c:pt idx="2774">
                  <c:v>41407</c:v>
                </c:pt>
                <c:pt idx="2775">
                  <c:v>41404</c:v>
                </c:pt>
                <c:pt idx="2776">
                  <c:v>41403</c:v>
                </c:pt>
                <c:pt idx="2777">
                  <c:v>41402</c:v>
                </c:pt>
                <c:pt idx="2778">
                  <c:v>41401</c:v>
                </c:pt>
                <c:pt idx="2779">
                  <c:v>41400</c:v>
                </c:pt>
                <c:pt idx="2780">
                  <c:v>41397</c:v>
                </c:pt>
                <c:pt idx="2781">
                  <c:v>41396</c:v>
                </c:pt>
                <c:pt idx="2782">
                  <c:v>41395</c:v>
                </c:pt>
                <c:pt idx="2783">
                  <c:v>41394</c:v>
                </c:pt>
                <c:pt idx="2784">
                  <c:v>41393</c:v>
                </c:pt>
                <c:pt idx="2785">
                  <c:v>41390</c:v>
                </c:pt>
                <c:pt idx="2786">
                  <c:v>41389</c:v>
                </c:pt>
                <c:pt idx="2787">
                  <c:v>41388</c:v>
                </c:pt>
                <c:pt idx="2788">
                  <c:v>41387</c:v>
                </c:pt>
                <c:pt idx="2789">
                  <c:v>41386</c:v>
                </c:pt>
                <c:pt idx="2790">
                  <c:v>41383</c:v>
                </c:pt>
                <c:pt idx="2791">
                  <c:v>41382</c:v>
                </c:pt>
                <c:pt idx="2792">
                  <c:v>41381</c:v>
                </c:pt>
                <c:pt idx="2793">
                  <c:v>41380</c:v>
                </c:pt>
                <c:pt idx="2794">
                  <c:v>41379</c:v>
                </c:pt>
                <c:pt idx="2795">
                  <c:v>41376</c:v>
                </c:pt>
                <c:pt idx="2796">
                  <c:v>41375</c:v>
                </c:pt>
                <c:pt idx="2797">
                  <c:v>41374</c:v>
                </c:pt>
                <c:pt idx="2798">
                  <c:v>41373</c:v>
                </c:pt>
                <c:pt idx="2799">
                  <c:v>41372</c:v>
                </c:pt>
                <c:pt idx="2800">
                  <c:v>41369</c:v>
                </c:pt>
                <c:pt idx="2801">
                  <c:v>41368</c:v>
                </c:pt>
                <c:pt idx="2802">
                  <c:v>41367</c:v>
                </c:pt>
                <c:pt idx="2803">
                  <c:v>41366</c:v>
                </c:pt>
                <c:pt idx="2804">
                  <c:v>41365</c:v>
                </c:pt>
                <c:pt idx="2805">
                  <c:v>41362</c:v>
                </c:pt>
                <c:pt idx="2806">
                  <c:v>41361</c:v>
                </c:pt>
                <c:pt idx="2807">
                  <c:v>41360</c:v>
                </c:pt>
                <c:pt idx="2808">
                  <c:v>41359</c:v>
                </c:pt>
                <c:pt idx="2809">
                  <c:v>41358</c:v>
                </c:pt>
                <c:pt idx="2810">
                  <c:v>41355</c:v>
                </c:pt>
                <c:pt idx="2811">
                  <c:v>41354</c:v>
                </c:pt>
                <c:pt idx="2812">
                  <c:v>41353</c:v>
                </c:pt>
                <c:pt idx="2813">
                  <c:v>41352</c:v>
                </c:pt>
                <c:pt idx="2814">
                  <c:v>41351</c:v>
                </c:pt>
                <c:pt idx="2815">
                  <c:v>41348</c:v>
                </c:pt>
                <c:pt idx="2816">
                  <c:v>41347</c:v>
                </c:pt>
                <c:pt idx="2817">
                  <c:v>41346</c:v>
                </c:pt>
                <c:pt idx="2818">
                  <c:v>41345</c:v>
                </c:pt>
                <c:pt idx="2819">
                  <c:v>41344</c:v>
                </c:pt>
                <c:pt idx="2820">
                  <c:v>41341</c:v>
                </c:pt>
                <c:pt idx="2821">
                  <c:v>41340</c:v>
                </c:pt>
                <c:pt idx="2822">
                  <c:v>41339</c:v>
                </c:pt>
                <c:pt idx="2823">
                  <c:v>41338</c:v>
                </c:pt>
                <c:pt idx="2824">
                  <c:v>41337</c:v>
                </c:pt>
                <c:pt idx="2825">
                  <c:v>41334</c:v>
                </c:pt>
                <c:pt idx="2826">
                  <c:v>41333</c:v>
                </c:pt>
                <c:pt idx="2827">
                  <c:v>41332</c:v>
                </c:pt>
                <c:pt idx="2828">
                  <c:v>41331</c:v>
                </c:pt>
                <c:pt idx="2829">
                  <c:v>41330</c:v>
                </c:pt>
                <c:pt idx="2830">
                  <c:v>41327</c:v>
                </c:pt>
                <c:pt idx="2831">
                  <c:v>41326</c:v>
                </c:pt>
                <c:pt idx="2832">
                  <c:v>41325</c:v>
                </c:pt>
                <c:pt idx="2833">
                  <c:v>41324</c:v>
                </c:pt>
                <c:pt idx="2834">
                  <c:v>41323</c:v>
                </c:pt>
                <c:pt idx="2835">
                  <c:v>41320</c:v>
                </c:pt>
                <c:pt idx="2836">
                  <c:v>41319</c:v>
                </c:pt>
                <c:pt idx="2837">
                  <c:v>41318</c:v>
                </c:pt>
                <c:pt idx="2838">
                  <c:v>41317</c:v>
                </c:pt>
                <c:pt idx="2839">
                  <c:v>41316</c:v>
                </c:pt>
                <c:pt idx="2840">
                  <c:v>41313</c:v>
                </c:pt>
                <c:pt idx="2841">
                  <c:v>41312</c:v>
                </c:pt>
                <c:pt idx="2842">
                  <c:v>41311</c:v>
                </c:pt>
                <c:pt idx="2843">
                  <c:v>41310</c:v>
                </c:pt>
                <c:pt idx="2844">
                  <c:v>41309</c:v>
                </c:pt>
                <c:pt idx="2845">
                  <c:v>41306</c:v>
                </c:pt>
                <c:pt idx="2846">
                  <c:v>41305</c:v>
                </c:pt>
                <c:pt idx="2847">
                  <c:v>41304</c:v>
                </c:pt>
                <c:pt idx="2848">
                  <c:v>41303</c:v>
                </c:pt>
                <c:pt idx="2849">
                  <c:v>41302</c:v>
                </c:pt>
                <c:pt idx="2850">
                  <c:v>41299</c:v>
                </c:pt>
                <c:pt idx="2851">
                  <c:v>41298</c:v>
                </c:pt>
                <c:pt idx="2852">
                  <c:v>41297</c:v>
                </c:pt>
                <c:pt idx="2853">
                  <c:v>41296</c:v>
                </c:pt>
                <c:pt idx="2854">
                  <c:v>41295</c:v>
                </c:pt>
                <c:pt idx="2855">
                  <c:v>41292</c:v>
                </c:pt>
                <c:pt idx="2856">
                  <c:v>41291</c:v>
                </c:pt>
                <c:pt idx="2857">
                  <c:v>41290</c:v>
                </c:pt>
                <c:pt idx="2858">
                  <c:v>41289</c:v>
                </c:pt>
                <c:pt idx="2859">
                  <c:v>41288</c:v>
                </c:pt>
                <c:pt idx="2860">
                  <c:v>41285</c:v>
                </c:pt>
                <c:pt idx="2861">
                  <c:v>41284</c:v>
                </c:pt>
                <c:pt idx="2862">
                  <c:v>41283</c:v>
                </c:pt>
                <c:pt idx="2863">
                  <c:v>41282</c:v>
                </c:pt>
                <c:pt idx="2864">
                  <c:v>41281</c:v>
                </c:pt>
                <c:pt idx="2865">
                  <c:v>41278</c:v>
                </c:pt>
                <c:pt idx="2866">
                  <c:v>41277</c:v>
                </c:pt>
                <c:pt idx="2867">
                  <c:v>41276</c:v>
                </c:pt>
                <c:pt idx="2868">
                  <c:v>41275</c:v>
                </c:pt>
                <c:pt idx="2869">
                  <c:v>41274</c:v>
                </c:pt>
                <c:pt idx="2870">
                  <c:v>41271</c:v>
                </c:pt>
                <c:pt idx="2871">
                  <c:v>41270</c:v>
                </c:pt>
                <c:pt idx="2872">
                  <c:v>41269</c:v>
                </c:pt>
                <c:pt idx="2873">
                  <c:v>41268</c:v>
                </c:pt>
                <c:pt idx="2874">
                  <c:v>41267</c:v>
                </c:pt>
                <c:pt idx="2875">
                  <c:v>41264</c:v>
                </c:pt>
                <c:pt idx="2876">
                  <c:v>41263</c:v>
                </c:pt>
                <c:pt idx="2877">
                  <c:v>41262</c:v>
                </c:pt>
                <c:pt idx="2878">
                  <c:v>41261</c:v>
                </c:pt>
                <c:pt idx="2879">
                  <c:v>41260</c:v>
                </c:pt>
                <c:pt idx="2880">
                  <c:v>41257</c:v>
                </c:pt>
                <c:pt idx="2881">
                  <c:v>41256</c:v>
                </c:pt>
                <c:pt idx="2882">
                  <c:v>41255</c:v>
                </c:pt>
                <c:pt idx="2883">
                  <c:v>41254</c:v>
                </c:pt>
                <c:pt idx="2884">
                  <c:v>41253</c:v>
                </c:pt>
                <c:pt idx="2885">
                  <c:v>41250</c:v>
                </c:pt>
                <c:pt idx="2886">
                  <c:v>41249</c:v>
                </c:pt>
                <c:pt idx="2887">
                  <c:v>41248</c:v>
                </c:pt>
                <c:pt idx="2888">
                  <c:v>41247</c:v>
                </c:pt>
                <c:pt idx="2889">
                  <c:v>41246</c:v>
                </c:pt>
                <c:pt idx="2890">
                  <c:v>41243</c:v>
                </c:pt>
                <c:pt idx="2891">
                  <c:v>41242</c:v>
                </c:pt>
                <c:pt idx="2892">
                  <c:v>41241</c:v>
                </c:pt>
                <c:pt idx="2893">
                  <c:v>41240</c:v>
                </c:pt>
                <c:pt idx="2894">
                  <c:v>41239</c:v>
                </c:pt>
                <c:pt idx="2895">
                  <c:v>41236</c:v>
                </c:pt>
                <c:pt idx="2896">
                  <c:v>41235</c:v>
                </c:pt>
                <c:pt idx="2897">
                  <c:v>41234</c:v>
                </c:pt>
                <c:pt idx="2898">
                  <c:v>41233</c:v>
                </c:pt>
                <c:pt idx="2899">
                  <c:v>41232</c:v>
                </c:pt>
                <c:pt idx="2900">
                  <c:v>41229</c:v>
                </c:pt>
                <c:pt idx="2901">
                  <c:v>41228</c:v>
                </c:pt>
                <c:pt idx="2902">
                  <c:v>41227</c:v>
                </c:pt>
                <c:pt idx="2903">
                  <c:v>41226</c:v>
                </c:pt>
                <c:pt idx="2904">
                  <c:v>41225</c:v>
                </c:pt>
                <c:pt idx="2905">
                  <c:v>41222</c:v>
                </c:pt>
                <c:pt idx="2906">
                  <c:v>41221</c:v>
                </c:pt>
                <c:pt idx="2907">
                  <c:v>41220</c:v>
                </c:pt>
                <c:pt idx="2908">
                  <c:v>41219</c:v>
                </c:pt>
                <c:pt idx="2909">
                  <c:v>41218</c:v>
                </c:pt>
                <c:pt idx="2910">
                  <c:v>41215</c:v>
                </c:pt>
                <c:pt idx="2911">
                  <c:v>41214</c:v>
                </c:pt>
                <c:pt idx="2912">
                  <c:v>41213</c:v>
                </c:pt>
                <c:pt idx="2913">
                  <c:v>41212</c:v>
                </c:pt>
                <c:pt idx="2914">
                  <c:v>41211</c:v>
                </c:pt>
                <c:pt idx="2915">
                  <c:v>41208</c:v>
                </c:pt>
                <c:pt idx="2916">
                  <c:v>41207</c:v>
                </c:pt>
                <c:pt idx="2917">
                  <c:v>41206</c:v>
                </c:pt>
                <c:pt idx="2918">
                  <c:v>41205</c:v>
                </c:pt>
                <c:pt idx="2919">
                  <c:v>41204</c:v>
                </c:pt>
                <c:pt idx="2920">
                  <c:v>41201</c:v>
                </c:pt>
                <c:pt idx="2921">
                  <c:v>41200</c:v>
                </c:pt>
                <c:pt idx="2922">
                  <c:v>41199</c:v>
                </c:pt>
                <c:pt idx="2923">
                  <c:v>41198</c:v>
                </c:pt>
                <c:pt idx="2924">
                  <c:v>41197</c:v>
                </c:pt>
                <c:pt idx="2925">
                  <c:v>41194</c:v>
                </c:pt>
                <c:pt idx="2926">
                  <c:v>41193</c:v>
                </c:pt>
                <c:pt idx="2927">
                  <c:v>41192</c:v>
                </c:pt>
                <c:pt idx="2928">
                  <c:v>41191</c:v>
                </c:pt>
                <c:pt idx="2929">
                  <c:v>41190</c:v>
                </c:pt>
                <c:pt idx="2930">
                  <c:v>41187</c:v>
                </c:pt>
                <c:pt idx="2931">
                  <c:v>41186</c:v>
                </c:pt>
                <c:pt idx="2932">
                  <c:v>41185</c:v>
                </c:pt>
                <c:pt idx="2933">
                  <c:v>41184</c:v>
                </c:pt>
                <c:pt idx="2934">
                  <c:v>41183</c:v>
                </c:pt>
                <c:pt idx="2935">
                  <c:v>41180</c:v>
                </c:pt>
                <c:pt idx="2936">
                  <c:v>41179</c:v>
                </c:pt>
                <c:pt idx="2937">
                  <c:v>41178</c:v>
                </c:pt>
                <c:pt idx="2938">
                  <c:v>41177</c:v>
                </c:pt>
                <c:pt idx="2939">
                  <c:v>41176</c:v>
                </c:pt>
                <c:pt idx="2940">
                  <c:v>41173</c:v>
                </c:pt>
                <c:pt idx="2941">
                  <c:v>41172</c:v>
                </c:pt>
                <c:pt idx="2942">
                  <c:v>41171</c:v>
                </c:pt>
                <c:pt idx="2943">
                  <c:v>41170</c:v>
                </c:pt>
                <c:pt idx="2944">
                  <c:v>41169</c:v>
                </c:pt>
                <c:pt idx="2945">
                  <c:v>41166</c:v>
                </c:pt>
                <c:pt idx="2946">
                  <c:v>41165</c:v>
                </c:pt>
                <c:pt idx="2947">
                  <c:v>41164</c:v>
                </c:pt>
                <c:pt idx="2948">
                  <c:v>41163</c:v>
                </c:pt>
                <c:pt idx="2949">
                  <c:v>41162</c:v>
                </c:pt>
                <c:pt idx="2950">
                  <c:v>41159</c:v>
                </c:pt>
                <c:pt idx="2951">
                  <c:v>41158</c:v>
                </c:pt>
                <c:pt idx="2952">
                  <c:v>41157</c:v>
                </c:pt>
                <c:pt idx="2953">
                  <c:v>41156</c:v>
                </c:pt>
                <c:pt idx="2954">
                  <c:v>41155</c:v>
                </c:pt>
                <c:pt idx="2955">
                  <c:v>41152</c:v>
                </c:pt>
                <c:pt idx="2956">
                  <c:v>41151</c:v>
                </c:pt>
                <c:pt idx="2957">
                  <c:v>41150</c:v>
                </c:pt>
                <c:pt idx="2958">
                  <c:v>41149</c:v>
                </c:pt>
                <c:pt idx="2959">
                  <c:v>41148</c:v>
                </c:pt>
                <c:pt idx="2960">
                  <c:v>41145</c:v>
                </c:pt>
                <c:pt idx="2961">
                  <c:v>41144</c:v>
                </c:pt>
                <c:pt idx="2962">
                  <c:v>41143</c:v>
                </c:pt>
                <c:pt idx="2963">
                  <c:v>41142</c:v>
                </c:pt>
                <c:pt idx="2964">
                  <c:v>41141</c:v>
                </c:pt>
                <c:pt idx="2965">
                  <c:v>41138</c:v>
                </c:pt>
                <c:pt idx="2966">
                  <c:v>41137</c:v>
                </c:pt>
                <c:pt idx="2967">
                  <c:v>41136</c:v>
                </c:pt>
                <c:pt idx="2968">
                  <c:v>41135</c:v>
                </c:pt>
                <c:pt idx="2969">
                  <c:v>41134</c:v>
                </c:pt>
                <c:pt idx="2970">
                  <c:v>41131</c:v>
                </c:pt>
                <c:pt idx="2971">
                  <c:v>41130</c:v>
                </c:pt>
                <c:pt idx="2972">
                  <c:v>41129</c:v>
                </c:pt>
                <c:pt idx="2973">
                  <c:v>41128</c:v>
                </c:pt>
                <c:pt idx="2974">
                  <c:v>41127</c:v>
                </c:pt>
                <c:pt idx="2975">
                  <c:v>41124</c:v>
                </c:pt>
                <c:pt idx="2976">
                  <c:v>41123</c:v>
                </c:pt>
                <c:pt idx="2977">
                  <c:v>41122</c:v>
                </c:pt>
                <c:pt idx="2978">
                  <c:v>41121</c:v>
                </c:pt>
                <c:pt idx="2979">
                  <c:v>41120</c:v>
                </c:pt>
                <c:pt idx="2980">
                  <c:v>41117</c:v>
                </c:pt>
                <c:pt idx="2981">
                  <c:v>41116</c:v>
                </c:pt>
                <c:pt idx="2982">
                  <c:v>41115</c:v>
                </c:pt>
                <c:pt idx="2983">
                  <c:v>41114</c:v>
                </c:pt>
                <c:pt idx="2984">
                  <c:v>41113</c:v>
                </c:pt>
                <c:pt idx="2985">
                  <c:v>41110</c:v>
                </c:pt>
                <c:pt idx="2986">
                  <c:v>41109</c:v>
                </c:pt>
                <c:pt idx="2987">
                  <c:v>41108</c:v>
                </c:pt>
                <c:pt idx="2988">
                  <c:v>41107</c:v>
                </c:pt>
                <c:pt idx="2989">
                  <c:v>41106</c:v>
                </c:pt>
                <c:pt idx="2990">
                  <c:v>41103</c:v>
                </c:pt>
                <c:pt idx="2991">
                  <c:v>41102</c:v>
                </c:pt>
                <c:pt idx="2992">
                  <c:v>41101</c:v>
                </c:pt>
                <c:pt idx="2993">
                  <c:v>41100</c:v>
                </c:pt>
                <c:pt idx="2994">
                  <c:v>41099</c:v>
                </c:pt>
                <c:pt idx="2995">
                  <c:v>41096</c:v>
                </c:pt>
                <c:pt idx="2996">
                  <c:v>41095</c:v>
                </c:pt>
                <c:pt idx="2997">
                  <c:v>41094</c:v>
                </c:pt>
                <c:pt idx="2998">
                  <c:v>41093</c:v>
                </c:pt>
                <c:pt idx="2999">
                  <c:v>41092</c:v>
                </c:pt>
                <c:pt idx="3000">
                  <c:v>41089</c:v>
                </c:pt>
                <c:pt idx="3001">
                  <c:v>41088</c:v>
                </c:pt>
                <c:pt idx="3002">
                  <c:v>41087</c:v>
                </c:pt>
                <c:pt idx="3003">
                  <c:v>41086</c:v>
                </c:pt>
                <c:pt idx="3004">
                  <c:v>41085</c:v>
                </c:pt>
                <c:pt idx="3005">
                  <c:v>41082</c:v>
                </c:pt>
                <c:pt idx="3006">
                  <c:v>41081</c:v>
                </c:pt>
                <c:pt idx="3007">
                  <c:v>41080</c:v>
                </c:pt>
                <c:pt idx="3008">
                  <c:v>41079</c:v>
                </c:pt>
                <c:pt idx="3009">
                  <c:v>41078</c:v>
                </c:pt>
                <c:pt idx="3010">
                  <c:v>41075</c:v>
                </c:pt>
                <c:pt idx="3011">
                  <c:v>41074</c:v>
                </c:pt>
                <c:pt idx="3012">
                  <c:v>41073</c:v>
                </c:pt>
                <c:pt idx="3013">
                  <c:v>41072</c:v>
                </c:pt>
                <c:pt idx="3014">
                  <c:v>41071</c:v>
                </c:pt>
                <c:pt idx="3015">
                  <c:v>41068</c:v>
                </c:pt>
                <c:pt idx="3016">
                  <c:v>41067</c:v>
                </c:pt>
                <c:pt idx="3017">
                  <c:v>41066</c:v>
                </c:pt>
                <c:pt idx="3018">
                  <c:v>41065</c:v>
                </c:pt>
                <c:pt idx="3019">
                  <c:v>41064</c:v>
                </c:pt>
                <c:pt idx="3020">
                  <c:v>41061</c:v>
                </c:pt>
                <c:pt idx="3021">
                  <c:v>41060</c:v>
                </c:pt>
                <c:pt idx="3022">
                  <c:v>41059</c:v>
                </c:pt>
                <c:pt idx="3023">
                  <c:v>41058</c:v>
                </c:pt>
                <c:pt idx="3024">
                  <c:v>41057</c:v>
                </c:pt>
                <c:pt idx="3025">
                  <c:v>41054</c:v>
                </c:pt>
                <c:pt idx="3026">
                  <c:v>41053</c:v>
                </c:pt>
                <c:pt idx="3027">
                  <c:v>41052</c:v>
                </c:pt>
                <c:pt idx="3028">
                  <c:v>41051</c:v>
                </c:pt>
                <c:pt idx="3029">
                  <c:v>41050</c:v>
                </c:pt>
                <c:pt idx="3030">
                  <c:v>41047</c:v>
                </c:pt>
                <c:pt idx="3031">
                  <c:v>41046</c:v>
                </c:pt>
                <c:pt idx="3032">
                  <c:v>41045</c:v>
                </c:pt>
                <c:pt idx="3033">
                  <c:v>41044</c:v>
                </c:pt>
                <c:pt idx="3034">
                  <c:v>41043</c:v>
                </c:pt>
                <c:pt idx="3035">
                  <c:v>41040</c:v>
                </c:pt>
                <c:pt idx="3036">
                  <c:v>41039</c:v>
                </c:pt>
                <c:pt idx="3037">
                  <c:v>41038</c:v>
                </c:pt>
                <c:pt idx="3038">
                  <c:v>41037</c:v>
                </c:pt>
                <c:pt idx="3039">
                  <c:v>41036</c:v>
                </c:pt>
                <c:pt idx="3040">
                  <c:v>41033</c:v>
                </c:pt>
                <c:pt idx="3041">
                  <c:v>41032</c:v>
                </c:pt>
                <c:pt idx="3042">
                  <c:v>41031</c:v>
                </c:pt>
                <c:pt idx="3043">
                  <c:v>41030</c:v>
                </c:pt>
                <c:pt idx="3044">
                  <c:v>41029</c:v>
                </c:pt>
                <c:pt idx="3045">
                  <c:v>41026</c:v>
                </c:pt>
                <c:pt idx="3046">
                  <c:v>41025</c:v>
                </c:pt>
                <c:pt idx="3047">
                  <c:v>41024</c:v>
                </c:pt>
                <c:pt idx="3048">
                  <c:v>41023</c:v>
                </c:pt>
                <c:pt idx="3049">
                  <c:v>41022</c:v>
                </c:pt>
                <c:pt idx="3050">
                  <c:v>41019</c:v>
                </c:pt>
                <c:pt idx="3051">
                  <c:v>41018</c:v>
                </c:pt>
                <c:pt idx="3052">
                  <c:v>41017</c:v>
                </c:pt>
                <c:pt idx="3053">
                  <c:v>41016</c:v>
                </c:pt>
                <c:pt idx="3054">
                  <c:v>41015</c:v>
                </c:pt>
                <c:pt idx="3055">
                  <c:v>41012</c:v>
                </c:pt>
                <c:pt idx="3056">
                  <c:v>41011</c:v>
                </c:pt>
                <c:pt idx="3057">
                  <c:v>41010</c:v>
                </c:pt>
                <c:pt idx="3058">
                  <c:v>41009</c:v>
                </c:pt>
                <c:pt idx="3059">
                  <c:v>41008</c:v>
                </c:pt>
                <c:pt idx="3060">
                  <c:v>41005</c:v>
                </c:pt>
                <c:pt idx="3061">
                  <c:v>41004</c:v>
                </c:pt>
                <c:pt idx="3062">
                  <c:v>41003</c:v>
                </c:pt>
                <c:pt idx="3063">
                  <c:v>41002</c:v>
                </c:pt>
                <c:pt idx="3064">
                  <c:v>41001</c:v>
                </c:pt>
                <c:pt idx="3065">
                  <c:v>40998</c:v>
                </c:pt>
                <c:pt idx="3066">
                  <c:v>40997</c:v>
                </c:pt>
                <c:pt idx="3067">
                  <c:v>40996</c:v>
                </c:pt>
                <c:pt idx="3068">
                  <c:v>40995</c:v>
                </c:pt>
                <c:pt idx="3069">
                  <c:v>40994</c:v>
                </c:pt>
                <c:pt idx="3070">
                  <c:v>40991</c:v>
                </c:pt>
                <c:pt idx="3071">
                  <c:v>40990</c:v>
                </c:pt>
                <c:pt idx="3072">
                  <c:v>40989</c:v>
                </c:pt>
                <c:pt idx="3073">
                  <c:v>40988</c:v>
                </c:pt>
                <c:pt idx="3074">
                  <c:v>40987</c:v>
                </c:pt>
                <c:pt idx="3075">
                  <c:v>40984</c:v>
                </c:pt>
                <c:pt idx="3076">
                  <c:v>40983</c:v>
                </c:pt>
                <c:pt idx="3077">
                  <c:v>40982</c:v>
                </c:pt>
                <c:pt idx="3078">
                  <c:v>40981</c:v>
                </c:pt>
                <c:pt idx="3079">
                  <c:v>40980</c:v>
                </c:pt>
                <c:pt idx="3080">
                  <c:v>40977</c:v>
                </c:pt>
                <c:pt idx="3081">
                  <c:v>40976</c:v>
                </c:pt>
                <c:pt idx="3082">
                  <c:v>40975</c:v>
                </c:pt>
                <c:pt idx="3083">
                  <c:v>40974</c:v>
                </c:pt>
                <c:pt idx="3084">
                  <c:v>40973</c:v>
                </c:pt>
                <c:pt idx="3085">
                  <c:v>40970</c:v>
                </c:pt>
                <c:pt idx="3086">
                  <c:v>40969</c:v>
                </c:pt>
                <c:pt idx="3087">
                  <c:v>40968</c:v>
                </c:pt>
                <c:pt idx="3088">
                  <c:v>40967</c:v>
                </c:pt>
                <c:pt idx="3089">
                  <c:v>40966</c:v>
                </c:pt>
                <c:pt idx="3090">
                  <c:v>40963</c:v>
                </c:pt>
                <c:pt idx="3091">
                  <c:v>40962</c:v>
                </c:pt>
                <c:pt idx="3092">
                  <c:v>40961</c:v>
                </c:pt>
                <c:pt idx="3093">
                  <c:v>40960</c:v>
                </c:pt>
                <c:pt idx="3094">
                  <c:v>40959</c:v>
                </c:pt>
                <c:pt idx="3095">
                  <c:v>40956</c:v>
                </c:pt>
                <c:pt idx="3096">
                  <c:v>40955</c:v>
                </c:pt>
                <c:pt idx="3097">
                  <c:v>40954</c:v>
                </c:pt>
                <c:pt idx="3098">
                  <c:v>40953</c:v>
                </c:pt>
                <c:pt idx="3099">
                  <c:v>40952</c:v>
                </c:pt>
                <c:pt idx="3100">
                  <c:v>40949</c:v>
                </c:pt>
                <c:pt idx="3101">
                  <c:v>40948</c:v>
                </c:pt>
                <c:pt idx="3102">
                  <c:v>40947</c:v>
                </c:pt>
                <c:pt idx="3103">
                  <c:v>40946</c:v>
                </c:pt>
                <c:pt idx="3104">
                  <c:v>40945</c:v>
                </c:pt>
                <c:pt idx="3105">
                  <c:v>40942</c:v>
                </c:pt>
                <c:pt idx="3106">
                  <c:v>40941</c:v>
                </c:pt>
                <c:pt idx="3107">
                  <c:v>40940</c:v>
                </c:pt>
                <c:pt idx="3108">
                  <c:v>40939</c:v>
                </c:pt>
                <c:pt idx="3109">
                  <c:v>40938</c:v>
                </c:pt>
                <c:pt idx="3110">
                  <c:v>40935</c:v>
                </c:pt>
                <c:pt idx="3111">
                  <c:v>40934</c:v>
                </c:pt>
                <c:pt idx="3112">
                  <c:v>40933</c:v>
                </c:pt>
                <c:pt idx="3113">
                  <c:v>40932</c:v>
                </c:pt>
                <c:pt idx="3114">
                  <c:v>40931</c:v>
                </c:pt>
                <c:pt idx="3115">
                  <c:v>40928</c:v>
                </c:pt>
                <c:pt idx="3116">
                  <c:v>40927</c:v>
                </c:pt>
                <c:pt idx="3117">
                  <c:v>40926</c:v>
                </c:pt>
                <c:pt idx="3118">
                  <c:v>40925</c:v>
                </c:pt>
                <c:pt idx="3119">
                  <c:v>40924</c:v>
                </c:pt>
                <c:pt idx="3120">
                  <c:v>40921</c:v>
                </c:pt>
                <c:pt idx="3121">
                  <c:v>40920</c:v>
                </c:pt>
                <c:pt idx="3122">
                  <c:v>40919</c:v>
                </c:pt>
                <c:pt idx="3123">
                  <c:v>40918</c:v>
                </c:pt>
                <c:pt idx="3124">
                  <c:v>40917</c:v>
                </c:pt>
                <c:pt idx="3125">
                  <c:v>40914</c:v>
                </c:pt>
                <c:pt idx="3126">
                  <c:v>40913</c:v>
                </c:pt>
                <c:pt idx="3127">
                  <c:v>40912</c:v>
                </c:pt>
                <c:pt idx="3128">
                  <c:v>40911</c:v>
                </c:pt>
                <c:pt idx="3129">
                  <c:v>40910</c:v>
                </c:pt>
                <c:pt idx="3130">
                  <c:v>40907</c:v>
                </c:pt>
                <c:pt idx="3131">
                  <c:v>40906</c:v>
                </c:pt>
                <c:pt idx="3132">
                  <c:v>40905</c:v>
                </c:pt>
                <c:pt idx="3133">
                  <c:v>40904</c:v>
                </c:pt>
                <c:pt idx="3134">
                  <c:v>40903</c:v>
                </c:pt>
                <c:pt idx="3135">
                  <c:v>40900</c:v>
                </c:pt>
                <c:pt idx="3136">
                  <c:v>40899</c:v>
                </c:pt>
                <c:pt idx="3137">
                  <c:v>40898</c:v>
                </c:pt>
                <c:pt idx="3138">
                  <c:v>40897</c:v>
                </c:pt>
                <c:pt idx="3139">
                  <c:v>40896</c:v>
                </c:pt>
                <c:pt idx="3140">
                  <c:v>40893</c:v>
                </c:pt>
                <c:pt idx="3141">
                  <c:v>40892</c:v>
                </c:pt>
                <c:pt idx="3142">
                  <c:v>40891</c:v>
                </c:pt>
                <c:pt idx="3143">
                  <c:v>40890</c:v>
                </c:pt>
                <c:pt idx="3144">
                  <c:v>40889</c:v>
                </c:pt>
                <c:pt idx="3145">
                  <c:v>40886</c:v>
                </c:pt>
                <c:pt idx="3146">
                  <c:v>40885</c:v>
                </c:pt>
                <c:pt idx="3147">
                  <c:v>40884</c:v>
                </c:pt>
                <c:pt idx="3148">
                  <c:v>40883</c:v>
                </c:pt>
                <c:pt idx="3149">
                  <c:v>40882</c:v>
                </c:pt>
                <c:pt idx="3150">
                  <c:v>40879</c:v>
                </c:pt>
                <c:pt idx="3151">
                  <c:v>40878</c:v>
                </c:pt>
                <c:pt idx="3152">
                  <c:v>40877</c:v>
                </c:pt>
                <c:pt idx="3153">
                  <c:v>40876</c:v>
                </c:pt>
                <c:pt idx="3154">
                  <c:v>40875</c:v>
                </c:pt>
                <c:pt idx="3155">
                  <c:v>40872</c:v>
                </c:pt>
                <c:pt idx="3156">
                  <c:v>40871</c:v>
                </c:pt>
                <c:pt idx="3157">
                  <c:v>40870</c:v>
                </c:pt>
                <c:pt idx="3158">
                  <c:v>40869</c:v>
                </c:pt>
                <c:pt idx="3159">
                  <c:v>40868</c:v>
                </c:pt>
                <c:pt idx="3160">
                  <c:v>40865</c:v>
                </c:pt>
                <c:pt idx="3161">
                  <c:v>40864</c:v>
                </c:pt>
                <c:pt idx="3162">
                  <c:v>40863</c:v>
                </c:pt>
                <c:pt idx="3163">
                  <c:v>40862</c:v>
                </c:pt>
                <c:pt idx="3164">
                  <c:v>40861</c:v>
                </c:pt>
                <c:pt idx="3165">
                  <c:v>40858</c:v>
                </c:pt>
                <c:pt idx="3166">
                  <c:v>40857</c:v>
                </c:pt>
                <c:pt idx="3167">
                  <c:v>40856</c:v>
                </c:pt>
                <c:pt idx="3168">
                  <c:v>40855</c:v>
                </c:pt>
                <c:pt idx="3169">
                  <c:v>40854</c:v>
                </c:pt>
                <c:pt idx="3170">
                  <c:v>40851</c:v>
                </c:pt>
                <c:pt idx="3171">
                  <c:v>40850</c:v>
                </c:pt>
                <c:pt idx="3172">
                  <c:v>40849</c:v>
                </c:pt>
                <c:pt idx="3173">
                  <c:v>40848</c:v>
                </c:pt>
                <c:pt idx="3174">
                  <c:v>40847</c:v>
                </c:pt>
                <c:pt idx="3175">
                  <c:v>40844</c:v>
                </c:pt>
                <c:pt idx="3176">
                  <c:v>40843</c:v>
                </c:pt>
                <c:pt idx="3177">
                  <c:v>40842</c:v>
                </c:pt>
                <c:pt idx="3178">
                  <c:v>40841</c:v>
                </c:pt>
                <c:pt idx="3179">
                  <c:v>40840</c:v>
                </c:pt>
                <c:pt idx="3180">
                  <c:v>40837</c:v>
                </c:pt>
                <c:pt idx="3181">
                  <c:v>40836</c:v>
                </c:pt>
                <c:pt idx="3182">
                  <c:v>40835</c:v>
                </c:pt>
                <c:pt idx="3183">
                  <c:v>40834</c:v>
                </c:pt>
                <c:pt idx="3184">
                  <c:v>40833</c:v>
                </c:pt>
                <c:pt idx="3185">
                  <c:v>40830</c:v>
                </c:pt>
                <c:pt idx="3186">
                  <c:v>40829</c:v>
                </c:pt>
                <c:pt idx="3187">
                  <c:v>40828</c:v>
                </c:pt>
                <c:pt idx="3188">
                  <c:v>40827</c:v>
                </c:pt>
                <c:pt idx="3189">
                  <c:v>40826</c:v>
                </c:pt>
                <c:pt idx="3190">
                  <c:v>40823</c:v>
                </c:pt>
                <c:pt idx="3191">
                  <c:v>40822</c:v>
                </c:pt>
                <c:pt idx="3192">
                  <c:v>40821</c:v>
                </c:pt>
                <c:pt idx="3193">
                  <c:v>40820</c:v>
                </c:pt>
                <c:pt idx="3194">
                  <c:v>40819</c:v>
                </c:pt>
                <c:pt idx="3195">
                  <c:v>40816</c:v>
                </c:pt>
                <c:pt idx="3196">
                  <c:v>40815</c:v>
                </c:pt>
                <c:pt idx="3197">
                  <c:v>40814</c:v>
                </c:pt>
                <c:pt idx="3198">
                  <c:v>40813</c:v>
                </c:pt>
                <c:pt idx="3199">
                  <c:v>40812</c:v>
                </c:pt>
                <c:pt idx="3200">
                  <c:v>40809</c:v>
                </c:pt>
                <c:pt idx="3201">
                  <c:v>40808</c:v>
                </c:pt>
                <c:pt idx="3202">
                  <c:v>40807</c:v>
                </c:pt>
                <c:pt idx="3203">
                  <c:v>40806</c:v>
                </c:pt>
                <c:pt idx="3204">
                  <c:v>40805</c:v>
                </c:pt>
                <c:pt idx="3205">
                  <c:v>40802</c:v>
                </c:pt>
                <c:pt idx="3206">
                  <c:v>40801</c:v>
                </c:pt>
                <c:pt idx="3207">
                  <c:v>40800</c:v>
                </c:pt>
                <c:pt idx="3208">
                  <c:v>40799</c:v>
                </c:pt>
                <c:pt idx="3209">
                  <c:v>40798</c:v>
                </c:pt>
                <c:pt idx="3210">
                  <c:v>40795</c:v>
                </c:pt>
                <c:pt idx="3211">
                  <c:v>40794</c:v>
                </c:pt>
                <c:pt idx="3212">
                  <c:v>40793</c:v>
                </c:pt>
                <c:pt idx="3213">
                  <c:v>40792</c:v>
                </c:pt>
                <c:pt idx="3214">
                  <c:v>40791</c:v>
                </c:pt>
                <c:pt idx="3215">
                  <c:v>40788</c:v>
                </c:pt>
                <c:pt idx="3216">
                  <c:v>40787</c:v>
                </c:pt>
                <c:pt idx="3217">
                  <c:v>40786</c:v>
                </c:pt>
                <c:pt idx="3218">
                  <c:v>40785</c:v>
                </c:pt>
                <c:pt idx="3219">
                  <c:v>40784</c:v>
                </c:pt>
                <c:pt idx="3220">
                  <c:v>40781</c:v>
                </c:pt>
                <c:pt idx="3221">
                  <c:v>40780</c:v>
                </c:pt>
                <c:pt idx="3222">
                  <c:v>40779</c:v>
                </c:pt>
                <c:pt idx="3223">
                  <c:v>40778</c:v>
                </c:pt>
                <c:pt idx="3224">
                  <c:v>40777</c:v>
                </c:pt>
                <c:pt idx="3225">
                  <c:v>40774</c:v>
                </c:pt>
                <c:pt idx="3226">
                  <c:v>40773</c:v>
                </c:pt>
                <c:pt idx="3227">
                  <c:v>40772</c:v>
                </c:pt>
                <c:pt idx="3228">
                  <c:v>40771</c:v>
                </c:pt>
                <c:pt idx="3229">
                  <c:v>40770</c:v>
                </c:pt>
                <c:pt idx="3230">
                  <c:v>40767</c:v>
                </c:pt>
                <c:pt idx="3231">
                  <c:v>40766</c:v>
                </c:pt>
                <c:pt idx="3232">
                  <c:v>40765</c:v>
                </c:pt>
                <c:pt idx="3233">
                  <c:v>40764</c:v>
                </c:pt>
                <c:pt idx="3234">
                  <c:v>40763</c:v>
                </c:pt>
                <c:pt idx="3235">
                  <c:v>40760</c:v>
                </c:pt>
                <c:pt idx="3236">
                  <c:v>40759</c:v>
                </c:pt>
                <c:pt idx="3237">
                  <c:v>40758</c:v>
                </c:pt>
                <c:pt idx="3238">
                  <c:v>40757</c:v>
                </c:pt>
                <c:pt idx="3239">
                  <c:v>40756</c:v>
                </c:pt>
                <c:pt idx="3240">
                  <c:v>40753</c:v>
                </c:pt>
                <c:pt idx="3241">
                  <c:v>40752</c:v>
                </c:pt>
                <c:pt idx="3242">
                  <c:v>40751</c:v>
                </c:pt>
                <c:pt idx="3243">
                  <c:v>40750</c:v>
                </c:pt>
                <c:pt idx="3244">
                  <c:v>40749</c:v>
                </c:pt>
                <c:pt idx="3245">
                  <c:v>40746</c:v>
                </c:pt>
                <c:pt idx="3246">
                  <c:v>40745</c:v>
                </c:pt>
                <c:pt idx="3247">
                  <c:v>40744</c:v>
                </c:pt>
                <c:pt idx="3248">
                  <c:v>40743</c:v>
                </c:pt>
                <c:pt idx="3249">
                  <c:v>40742</c:v>
                </c:pt>
                <c:pt idx="3250">
                  <c:v>40739</c:v>
                </c:pt>
                <c:pt idx="3251">
                  <c:v>40738</c:v>
                </c:pt>
                <c:pt idx="3252">
                  <c:v>40737</c:v>
                </c:pt>
                <c:pt idx="3253">
                  <c:v>40736</c:v>
                </c:pt>
                <c:pt idx="3254">
                  <c:v>40735</c:v>
                </c:pt>
                <c:pt idx="3255">
                  <c:v>40732</c:v>
                </c:pt>
                <c:pt idx="3256">
                  <c:v>40731</c:v>
                </c:pt>
                <c:pt idx="3257">
                  <c:v>40730</c:v>
                </c:pt>
                <c:pt idx="3258">
                  <c:v>40729</c:v>
                </c:pt>
                <c:pt idx="3259">
                  <c:v>40728</c:v>
                </c:pt>
                <c:pt idx="3260">
                  <c:v>40725</c:v>
                </c:pt>
                <c:pt idx="3261">
                  <c:v>40724</c:v>
                </c:pt>
                <c:pt idx="3262">
                  <c:v>40723</c:v>
                </c:pt>
                <c:pt idx="3263">
                  <c:v>40722</c:v>
                </c:pt>
                <c:pt idx="3264">
                  <c:v>40721</c:v>
                </c:pt>
                <c:pt idx="3265">
                  <c:v>40718</c:v>
                </c:pt>
                <c:pt idx="3266">
                  <c:v>40717</c:v>
                </c:pt>
                <c:pt idx="3267">
                  <c:v>40716</c:v>
                </c:pt>
                <c:pt idx="3268">
                  <c:v>40715</c:v>
                </c:pt>
                <c:pt idx="3269">
                  <c:v>40714</c:v>
                </c:pt>
                <c:pt idx="3270">
                  <c:v>40711</c:v>
                </c:pt>
                <c:pt idx="3271">
                  <c:v>40710</c:v>
                </c:pt>
                <c:pt idx="3272">
                  <c:v>40709</c:v>
                </c:pt>
                <c:pt idx="3273">
                  <c:v>40708</c:v>
                </c:pt>
                <c:pt idx="3274">
                  <c:v>40707</c:v>
                </c:pt>
                <c:pt idx="3275">
                  <c:v>40704</c:v>
                </c:pt>
                <c:pt idx="3276">
                  <c:v>40703</c:v>
                </c:pt>
                <c:pt idx="3277">
                  <c:v>40702</c:v>
                </c:pt>
                <c:pt idx="3278">
                  <c:v>40701</c:v>
                </c:pt>
                <c:pt idx="3279">
                  <c:v>40700</c:v>
                </c:pt>
                <c:pt idx="3280">
                  <c:v>40697</c:v>
                </c:pt>
                <c:pt idx="3281">
                  <c:v>40696</c:v>
                </c:pt>
                <c:pt idx="3282">
                  <c:v>40695</c:v>
                </c:pt>
                <c:pt idx="3283">
                  <c:v>40694</c:v>
                </c:pt>
                <c:pt idx="3284">
                  <c:v>40693</c:v>
                </c:pt>
                <c:pt idx="3285">
                  <c:v>40690</c:v>
                </c:pt>
                <c:pt idx="3286">
                  <c:v>40689</c:v>
                </c:pt>
                <c:pt idx="3287">
                  <c:v>40688</c:v>
                </c:pt>
                <c:pt idx="3288">
                  <c:v>40687</c:v>
                </c:pt>
                <c:pt idx="3289">
                  <c:v>40686</c:v>
                </c:pt>
                <c:pt idx="3290">
                  <c:v>40683</c:v>
                </c:pt>
                <c:pt idx="3291">
                  <c:v>40682</c:v>
                </c:pt>
                <c:pt idx="3292">
                  <c:v>40681</c:v>
                </c:pt>
                <c:pt idx="3293">
                  <c:v>40680</c:v>
                </c:pt>
                <c:pt idx="3294">
                  <c:v>40679</c:v>
                </c:pt>
                <c:pt idx="3295">
                  <c:v>40676</c:v>
                </c:pt>
                <c:pt idx="3296">
                  <c:v>40675</c:v>
                </c:pt>
                <c:pt idx="3297">
                  <c:v>40674</c:v>
                </c:pt>
                <c:pt idx="3298">
                  <c:v>40673</c:v>
                </c:pt>
                <c:pt idx="3299">
                  <c:v>40672</c:v>
                </c:pt>
                <c:pt idx="3300">
                  <c:v>40669</c:v>
                </c:pt>
                <c:pt idx="3301">
                  <c:v>40668</c:v>
                </c:pt>
                <c:pt idx="3302">
                  <c:v>40667</c:v>
                </c:pt>
                <c:pt idx="3303">
                  <c:v>40666</c:v>
                </c:pt>
                <c:pt idx="3304">
                  <c:v>40665</c:v>
                </c:pt>
                <c:pt idx="3305">
                  <c:v>40662</c:v>
                </c:pt>
                <c:pt idx="3306">
                  <c:v>40661</c:v>
                </c:pt>
                <c:pt idx="3307">
                  <c:v>40660</c:v>
                </c:pt>
                <c:pt idx="3308">
                  <c:v>40659</c:v>
                </c:pt>
                <c:pt idx="3309">
                  <c:v>40658</c:v>
                </c:pt>
                <c:pt idx="3310">
                  <c:v>40655</c:v>
                </c:pt>
                <c:pt idx="3311">
                  <c:v>40654</c:v>
                </c:pt>
                <c:pt idx="3312">
                  <c:v>40653</c:v>
                </c:pt>
                <c:pt idx="3313">
                  <c:v>40652</c:v>
                </c:pt>
                <c:pt idx="3314">
                  <c:v>40651</c:v>
                </c:pt>
                <c:pt idx="3315">
                  <c:v>40648</c:v>
                </c:pt>
                <c:pt idx="3316">
                  <c:v>40647</c:v>
                </c:pt>
                <c:pt idx="3317">
                  <c:v>40646</c:v>
                </c:pt>
                <c:pt idx="3318">
                  <c:v>40645</c:v>
                </c:pt>
                <c:pt idx="3319">
                  <c:v>40644</c:v>
                </c:pt>
                <c:pt idx="3320">
                  <c:v>40641</c:v>
                </c:pt>
                <c:pt idx="3321">
                  <c:v>40640</c:v>
                </c:pt>
                <c:pt idx="3322">
                  <c:v>40639</c:v>
                </c:pt>
                <c:pt idx="3323">
                  <c:v>40638</c:v>
                </c:pt>
                <c:pt idx="3324">
                  <c:v>40637</c:v>
                </c:pt>
                <c:pt idx="3325">
                  <c:v>40634</c:v>
                </c:pt>
                <c:pt idx="3326">
                  <c:v>40633</c:v>
                </c:pt>
                <c:pt idx="3327">
                  <c:v>40632</c:v>
                </c:pt>
                <c:pt idx="3328">
                  <c:v>40631</c:v>
                </c:pt>
                <c:pt idx="3329">
                  <c:v>40630</c:v>
                </c:pt>
                <c:pt idx="3330">
                  <c:v>40627</c:v>
                </c:pt>
                <c:pt idx="3331">
                  <c:v>40626</c:v>
                </c:pt>
                <c:pt idx="3332">
                  <c:v>40625</c:v>
                </c:pt>
                <c:pt idx="3333">
                  <c:v>40624</c:v>
                </c:pt>
                <c:pt idx="3334">
                  <c:v>40623</c:v>
                </c:pt>
                <c:pt idx="3335">
                  <c:v>40620</c:v>
                </c:pt>
                <c:pt idx="3336">
                  <c:v>40619</c:v>
                </c:pt>
                <c:pt idx="3337">
                  <c:v>40618</c:v>
                </c:pt>
                <c:pt idx="3338">
                  <c:v>40617</c:v>
                </c:pt>
                <c:pt idx="3339">
                  <c:v>40616</c:v>
                </c:pt>
                <c:pt idx="3340">
                  <c:v>40613</c:v>
                </c:pt>
                <c:pt idx="3341">
                  <c:v>40612</c:v>
                </c:pt>
                <c:pt idx="3342">
                  <c:v>40611</c:v>
                </c:pt>
                <c:pt idx="3343">
                  <c:v>40610</c:v>
                </c:pt>
                <c:pt idx="3344">
                  <c:v>40609</c:v>
                </c:pt>
                <c:pt idx="3345">
                  <c:v>40606</c:v>
                </c:pt>
                <c:pt idx="3346">
                  <c:v>40605</c:v>
                </c:pt>
                <c:pt idx="3347">
                  <c:v>40604</c:v>
                </c:pt>
                <c:pt idx="3348">
                  <c:v>40603</c:v>
                </c:pt>
                <c:pt idx="3349">
                  <c:v>40602</c:v>
                </c:pt>
                <c:pt idx="3350">
                  <c:v>40599</c:v>
                </c:pt>
                <c:pt idx="3351">
                  <c:v>40598</c:v>
                </c:pt>
                <c:pt idx="3352">
                  <c:v>40597</c:v>
                </c:pt>
                <c:pt idx="3353">
                  <c:v>40596</c:v>
                </c:pt>
                <c:pt idx="3354">
                  <c:v>40595</c:v>
                </c:pt>
                <c:pt idx="3355">
                  <c:v>40592</c:v>
                </c:pt>
                <c:pt idx="3356">
                  <c:v>40591</c:v>
                </c:pt>
                <c:pt idx="3357">
                  <c:v>40590</c:v>
                </c:pt>
                <c:pt idx="3358">
                  <c:v>40589</c:v>
                </c:pt>
                <c:pt idx="3359">
                  <c:v>40588</c:v>
                </c:pt>
                <c:pt idx="3360">
                  <c:v>40585</c:v>
                </c:pt>
                <c:pt idx="3361">
                  <c:v>40584</c:v>
                </c:pt>
                <c:pt idx="3362">
                  <c:v>40583</c:v>
                </c:pt>
                <c:pt idx="3363">
                  <c:v>40582</c:v>
                </c:pt>
                <c:pt idx="3364">
                  <c:v>40581</c:v>
                </c:pt>
                <c:pt idx="3365">
                  <c:v>40578</c:v>
                </c:pt>
                <c:pt idx="3366">
                  <c:v>40577</c:v>
                </c:pt>
                <c:pt idx="3367">
                  <c:v>40576</c:v>
                </c:pt>
                <c:pt idx="3368">
                  <c:v>40575</c:v>
                </c:pt>
                <c:pt idx="3369">
                  <c:v>40574</c:v>
                </c:pt>
                <c:pt idx="3370">
                  <c:v>40571</c:v>
                </c:pt>
                <c:pt idx="3371">
                  <c:v>40570</c:v>
                </c:pt>
                <c:pt idx="3372">
                  <c:v>40569</c:v>
                </c:pt>
                <c:pt idx="3373">
                  <c:v>40568</c:v>
                </c:pt>
                <c:pt idx="3374">
                  <c:v>40567</c:v>
                </c:pt>
                <c:pt idx="3375">
                  <c:v>40564</c:v>
                </c:pt>
                <c:pt idx="3376">
                  <c:v>40563</c:v>
                </c:pt>
                <c:pt idx="3377">
                  <c:v>40562</c:v>
                </c:pt>
                <c:pt idx="3378">
                  <c:v>40561</c:v>
                </c:pt>
                <c:pt idx="3379">
                  <c:v>40560</c:v>
                </c:pt>
                <c:pt idx="3380">
                  <c:v>40557</c:v>
                </c:pt>
                <c:pt idx="3381">
                  <c:v>40556</c:v>
                </c:pt>
                <c:pt idx="3382">
                  <c:v>40555</c:v>
                </c:pt>
                <c:pt idx="3383">
                  <c:v>40554</c:v>
                </c:pt>
                <c:pt idx="3384">
                  <c:v>40553</c:v>
                </c:pt>
                <c:pt idx="3385">
                  <c:v>40550</c:v>
                </c:pt>
                <c:pt idx="3386">
                  <c:v>40549</c:v>
                </c:pt>
                <c:pt idx="3387">
                  <c:v>40548</c:v>
                </c:pt>
                <c:pt idx="3388">
                  <c:v>40547</c:v>
                </c:pt>
                <c:pt idx="3389">
                  <c:v>40546</c:v>
                </c:pt>
                <c:pt idx="3390">
                  <c:v>40543</c:v>
                </c:pt>
                <c:pt idx="3391">
                  <c:v>40542</c:v>
                </c:pt>
                <c:pt idx="3392">
                  <c:v>40541</c:v>
                </c:pt>
                <c:pt idx="3393">
                  <c:v>40540</c:v>
                </c:pt>
                <c:pt idx="3394">
                  <c:v>40539</c:v>
                </c:pt>
                <c:pt idx="3395">
                  <c:v>40536</c:v>
                </c:pt>
                <c:pt idx="3396">
                  <c:v>40535</c:v>
                </c:pt>
                <c:pt idx="3397">
                  <c:v>40534</c:v>
                </c:pt>
                <c:pt idx="3398">
                  <c:v>40533</c:v>
                </c:pt>
                <c:pt idx="3399">
                  <c:v>40532</c:v>
                </c:pt>
                <c:pt idx="3400">
                  <c:v>40529</c:v>
                </c:pt>
                <c:pt idx="3401">
                  <c:v>40528</c:v>
                </c:pt>
                <c:pt idx="3402">
                  <c:v>40527</c:v>
                </c:pt>
                <c:pt idx="3403">
                  <c:v>40526</c:v>
                </c:pt>
                <c:pt idx="3404">
                  <c:v>40525</c:v>
                </c:pt>
                <c:pt idx="3405">
                  <c:v>40522</c:v>
                </c:pt>
                <c:pt idx="3406">
                  <c:v>40521</c:v>
                </c:pt>
                <c:pt idx="3407">
                  <c:v>40520</c:v>
                </c:pt>
                <c:pt idx="3408">
                  <c:v>40519</c:v>
                </c:pt>
                <c:pt idx="3409">
                  <c:v>40518</c:v>
                </c:pt>
                <c:pt idx="3410">
                  <c:v>40515</c:v>
                </c:pt>
                <c:pt idx="3411">
                  <c:v>40514</c:v>
                </c:pt>
                <c:pt idx="3412">
                  <c:v>40513</c:v>
                </c:pt>
                <c:pt idx="3413">
                  <c:v>40512</c:v>
                </c:pt>
                <c:pt idx="3414">
                  <c:v>40511</c:v>
                </c:pt>
                <c:pt idx="3415">
                  <c:v>40508</c:v>
                </c:pt>
                <c:pt idx="3416">
                  <c:v>40507</c:v>
                </c:pt>
                <c:pt idx="3417">
                  <c:v>40506</c:v>
                </c:pt>
                <c:pt idx="3418">
                  <c:v>40505</c:v>
                </c:pt>
                <c:pt idx="3419">
                  <c:v>40504</c:v>
                </c:pt>
                <c:pt idx="3420">
                  <c:v>40501</c:v>
                </c:pt>
                <c:pt idx="3421">
                  <c:v>40500</c:v>
                </c:pt>
                <c:pt idx="3422">
                  <c:v>40499</c:v>
                </c:pt>
                <c:pt idx="3423">
                  <c:v>40498</c:v>
                </c:pt>
                <c:pt idx="3424">
                  <c:v>40497</c:v>
                </c:pt>
                <c:pt idx="3425">
                  <c:v>40494</c:v>
                </c:pt>
                <c:pt idx="3426">
                  <c:v>40493</c:v>
                </c:pt>
                <c:pt idx="3427">
                  <c:v>40492</c:v>
                </c:pt>
                <c:pt idx="3428">
                  <c:v>40491</c:v>
                </c:pt>
                <c:pt idx="3429">
                  <c:v>40490</c:v>
                </c:pt>
                <c:pt idx="3430">
                  <c:v>40487</c:v>
                </c:pt>
                <c:pt idx="3431">
                  <c:v>40486</c:v>
                </c:pt>
                <c:pt idx="3432">
                  <c:v>40485</c:v>
                </c:pt>
                <c:pt idx="3433">
                  <c:v>40484</c:v>
                </c:pt>
                <c:pt idx="3434">
                  <c:v>40483</c:v>
                </c:pt>
                <c:pt idx="3435">
                  <c:v>40480</c:v>
                </c:pt>
                <c:pt idx="3436">
                  <c:v>40479</c:v>
                </c:pt>
                <c:pt idx="3437">
                  <c:v>40478</c:v>
                </c:pt>
                <c:pt idx="3438">
                  <c:v>40477</c:v>
                </c:pt>
                <c:pt idx="3439">
                  <c:v>40476</c:v>
                </c:pt>
                <c:pt idx="3440">
                  <c:v>40473</c:v>
                </c:pt>
                <c:pt idx="3441">
                  <c:v>40472</c:v>
                </c:pt>
                <c:pt idx="3442">
                  <c:v>40471</c:v>
                </c:pt>
                <c:pt idx="3443">
                  <c:v>40470</c:v>
                </c:pt>
                <c:pt idx="3444">
                  <c:v>40469</c:v>
                </c:pt>
                <c:pt idx="3445">
                  <c:v>40466</c:v>
                </c:pt>
                <c:pt idx="3446">
                  <c:v>40465</c:v>
                </c:pt>
                <c:pt idx="3447">
                  <c:v>40464</c:v>
                </c:pt>
                <c:pt idx="3448">
                  <c:v>40463</c:v>
                </c:pt>
                <c:pt idx="3449">
                  <c:v>40462</c:v>
                </c:pt>
                <c:pt idx="3450">
                  <c:v>40459</c:v>
                </c:pt>
                <c:pt idx="3451">
                  <c:v>40458</c:v>
                </c:pt>
                <c:pt idx="3452">
                  <c:v>40457</c:v>
                </c:pt>
                <c:pt idx="3453">
                  <c:v>40456</c:v>
                </c:pt>
                <c:pt idx="3454">
                  <c:v>40455</c:v>
                </c:pt>
                <c:pt idx="3455">
                  <c:v>40452</c:v>
                </c:pt>
                <c:pt idx="3456">
                  <c:v>40451</c:v>
                </c:pt>
                <c:pt idx="3457">
                  <c:v>40450</c:v>
                </c:pt>
                <c:pt idx="3458">
                  <c:v>40449</c:v>
                </c:pt>
                <c:pt idx="3459">
                  <c:v>40448</c:v>
                </c:pt>
                <c:pt idx="3460">
                  <c:v>40445</c:v>
                </c:pt>
                <c:pt idx="3461">
                  <c:v>40444</c:v>
                </c:pt>
                <c:pt idx="3462">
                  <c:v>40443</c:v>
                </c:pt>
                <c:pt idx="3463">
                  <c:v>40442</c:v>
                </c:pt>
                <c:pt idx="3464">
                  <c:v>40441</c:v>
                </c:pt>
                <c:pt idx="3465">
                  <c:v>40438</c:v>
                </c:pt>
                <c:pt idx="3466">
                  <c:v>40437</c:v>
                </c:pt>
                <c:pt idx="3467">
                  <c:v>40436</c:v>
                </c:pt>
                <c:pt idx="3468">
                  <c:v>40435</c:v>
                </c:pt>
                <c:pt idx="3469">
                  <c:v>40434</c:v>
                </c:pt>
                <c:pt idx="3470">
                  <c:v>40431</c:v>
                </c:pt>
                <c:pt idx="3471">
                  <c:v>40430</c:v>
                </c:pt>
                <c:pt idx="3472">
                  <c:v>40429</c:v>
                </c:pt>
                <c:pt idx="3473">
                  <c:v>40428</c:v>
                </c:pt>
                <c:pt idx="3474">
                  <c:v>40427</c:v>
                </c:pt>
                <c:pt idx="3475">
                  <c:v>40424</c:v>
                </c:pt>
                <c:pt idx="3476">
                  <c:v>40423</c:v>
                </c:pt>
                <c:pt idx="3477">
                  <c:v>40422</c:v>
                </c:pt>
                <c:pt idx="3478">
                  <c:v>40421</c:v>
                </c:pt>
                <c:pt idx="3479">
                  <c:v>40420</c:v>
                </c:pt>
                <c:pt idx="3480">
                  <c:v>40417</c:v>
                </c:pt>
                <c:pt idx="3481">
                  <c:v>40416</c:v>
                </c:pt>
                <c:pt idx="3482">
                  <c:v>40415</c:v>
                </c:pt>
                <c:pt idx="3483">
                  <c:v>40414</c:v>
                </c:pt>
                <c:pt idx="3484">
                  <c:v>40413</c:v>
                </c:pt>
                <c:pt idx="3485">
                  <c:v>40410</c:v>
                </c:pt>
                <c:pt idx="3486">
                  <c:v>40409</c:v>
                </c:pt>
                <c:pt idx="3487">
                  <c:v>40408</c:v>
                </c:pt>
                <c:pt idx="3488">
                  <c:v>40407</c:v>
                </c:pt>
                <c:pt idx="3489">
                  <c:v>40406</c:v>
                </c:pt>
                <c:pt idx="3490">
                  <c:v>40403</c:v>
                </c:pt>
                <c:pt idx="3491">
                  <c:v>40402</c:v>
                </c:pt>
                <c:pt idx="3492">
                  <c:v>40401</c:v>
                </c:pt>
                <c:pt idx="3493">
                  <c:v>40400</c:v>
                </c:pt>
                <c:pt idx="3494">
                  <c:v>40399</c:v>
                </c:pt>
                <c:pt idx="3495">
                  <c:v>40396</c:v>
                </c:pt>
                <c:pt idx="3496">
                  <c:v>40395</c:v>
                </c:pt>
                <c:pt idx="3497">
                  <c:v>40394</c:v>
                </c:pt>
                <c:pt idx="3498">
                  <c:v>40393</c:v>
                </c:pt>
                <c:pt idx="3499">
                  <c:v>40392</c:v>
                </c:pt>
                <c:pt idx="3500">
                  <c:v>40389</c:v>
                </c:pt>
                <c:pt idx="3501">
                  <c:v>40388</c:v>
                </c:pt>
                <c:pt idx="3502">
                  <c:v>40387</c:v>
                </c:pt>
                <c:pt idx="3503">
                  <c:v>40386</c:v>
                </c:pt>
                <c:pt idx="3504">
                  <c:v>40385</c:v>
                </c:pt>
                <c:pt idx="3505">
                  <c:v>40382</c:v>
                </c:pt>
                <c:pt idx="3506">
                  <c:v>40381</c:v>
                </c:pt>
                <c:pt idx="3507">
                  <c:v>40380</c:v>
                </c:pt>
                <c:pt idx="3508">
                  <c:v>40379</c:v>
                </c:pt>
                <c:pt idx="3509">
                  <c:v>40378</c:v>
                </c:pt>
                <c:pt idx="3510">
                  <c:v>40375</c:v>
                </c:pt>
                <c:pt idx="3511">
                  <c:v>40374</c:v>
                </c:pt>
                <c:pt idx="3512">
                  <c:v>40373</c:v>
                </c:pt>
                <c:pt idx="3513">
                  <c:v>40372</c:v>
                </c:pt>
                <c:pt idx="3514">
                  <c:v>40371</c:v>
                </c:pt>
                <c:pt idx="3515">
                  <c:v>40368</c:v>
                </c:pt>
                <c:pt idx="3516">
                  <c:v>40367</c:v>
                </c:pt>
                <c:pt idx="3517">
                  <c:v>40366</c:v>
                </c:pt>
                <c:pt idx="3518">
                  <c:v>40365</c:v>
                </c:pt>
                <c:pt idx="3519">
                  <c:v>40364</c:v>
                </c:pt>
                <c:pt idx="3520">
                  <c:v>40361</c:v>
                </c:pt>
                <c:pt idx="3521">
                  <c:v>40360</c:v>
                </c:pt>
                <c:pt idx="3522">
                  <c:v>40359</c:v>
                </c:pt>
                <c:pt idx="3523">
                  <c:v>40358</c:v>
                </c:pt>
                <c:pt idx="3524">
                  <c:v>40357</c:v>
                </c:pt>
                <c:pt idx="3525">
                  <c:v>40354</c:v>
                </c:pt>
                <c:pt idx="3526">
                  <c:v>40353</c:v>
                </c:pt>
                <c:pt idx="3527">
                  <c:v>40352</c:v>
                </c:pt>
                <c:pt idx="3528">
                  <c:v>40351</c:v>
                </c:pt>
                <c:pt idx="3529">
                  <c:v>40350</c:v>
                </c:pt>
                <c:pt idx="3530">
                  <c:v>40347</c:v>
                </c:pt>
                <c:pt idx="3531">
                  <c:v>40346</c:v>
                </c:pt>
                <c:pt idx="3532">
                  <c:v>40345</c:v>
                </c:pt>
                <c:pt idx="3533">
                  <c:v>40344</c:v>
                </c:pt>
                <c:pt idx="3534">
                  <c:v>40343</c:v>
                </c:pt>
                <c:pt idx="3535">
                  <c:v>40340</c:v>
                </c:pt>
                <c:pt idx="3536">
                  <c:v>40339</c:v>
                </c:pt>
                <c:pt idx="3537">
                  <c:v>40338</c:v>
                </c:pt>
                <c:pt idx="3538">
                  <c:v>40337</c:v>
                </c:pt>
                <c:pt idx="3539">
                  <c:v>40336</c:v>
                </c:pt>
                <c:pt idx="3540">
                  <c:v>40333</c:v>
                </c:pt>
                <c:pt idx="3541">
                  <c:v>40332</c:v>
                </c:pt>
                <c:pt idx="3542">
                  <c:v>40331</c:v>
                </c:pt>
                <c:pt idx="3543">
                  <c:v>40330</c:v>
                </c:pt>
                <c:pt idx="3544">
                  <c:v>40329</c:v>
                </c:pt>
                <c:pt idx="3545">
                  <c:v>40326</c:v>
                </c:pt>
                <c:pt idx="3546">
                  <c:v>40325</c:v>
                </c:pt>
                <c:pt idx="3547">
                  <c:v>40324</c:v>
                </c:pt>
                <c:pt idx="3548">
                  <c:v>40323</c:v>
                </c:pt>
                <c:pt idx="3549">
                  <c:v>40322</c:v>
                </c:pt>
                <c:pt idx="3550">
                  <c:v>40319</c:v>
                </c:pt>
                <c:pt idx="3551">
                  <c:v>40318</c:v>
                </c:pt>
                <c:pt idx="3552">
                  <c:v>40317</c:v>
                </c:pt>
                <c:pt idx="3553">
                  <c:v>40316</c:v>
                </c:pt>
                <c:pt idx="3554">
                  <c:v>40315</c:v>
                </c:pt>
                <c:pt idx="3555">
                  <c:v>40312</c:v>
                </c:pt>
                <c:pt idx="3556">
                  <c:v>40311</c:v>
                </c:pt>
                <c:pt idx="3557">
                  <c:v>40310</c:v>
                </c:pt>
                <c:pt idx="3558">
                  <c:v>40309</c:v>
                </c:pt>
                <c:pt idx="3559">
                  <c:v>40308</c:v>
                </c:pt>
                <c:pt idx="3560">
                  <c:v>40305</c:v>
                </c:pt>
                <c:pt idx="3561">
                  <c:v>40304</c:v>
                </c:pt>
                <c:pt idx="3562">
                  <c:v>40303</c:v>
                </c:pt>
                <c:pt idx="3563">
                  <c:v>40302</c:v>
                </c:pt>
                <c:pt idx="3564">
                  <c:v>40301</c:v>
                </c:pt>
                <c:pt idx="3565">
                  <c:v>40298</c:v>
                </c:pt>
                <c:pt idx="3566">
                  <c:v>40297</c:v>
                </c:pt>
                <c:pt idx="3567">
                  <c:v>40296</c:v>
                </c:pt>
                <c:pt idx="3568">
                  <c:v>40295</c:v>
                </c:pt>
                <c:pt idx="3569">
                  <c:v>40294</c:v>
                </c:pt>
                <c:pt idx="3570">
                  <c:v>40291</c:v>
                </c:pt>
                <c:pt idx="3571">
                  <c:v>40290</c:v>
                </c:pt>
                <c:pt idx="3572">
                  <c:v>40289</c:v>
                </c:pt>
                <c:pt idx="3573">
                  <c:v>40288</c:v>
                </c:pt>
                <c:pt idx="3574">
                  <c:v>40287</c:v>
                </c:pt>
                <c:pt idx="3575">
                  <c:v>40284</c:v>
                </c:pt>
                <c:pt idx="3576">
                  <c:v>40283</c:v>
                </c:pt>
                <c:pt idx="3577">
                  <c:v>40282</c:v>
                </c:pt>
                <c:pt idx="3578">
                  <c:v>40281</c:v>
                </c:pt>
                <c:pt idx="3579">
                  <c:v>40280</c:v>
                </c:pt>
                <c:pt idx="3580">
                  <c:v>40277</c:v>
                </c:pt>
                <c:pt idx="3581">
                  <c:v>40276</c:v>
                </c:pt>
                <c:pt idx="3582">
                  <c:v>40275</c:v>
                </c:pt>
                <c:pt idx="3583">
                  <c:v>40274</c:v>
                </c:pt>
                <c:pt idx="3584">
                  <c:v>40273</c:v>
                </c:pt>
                <c:pt idx="3585">
                  <c:v>40270</c:v>
                </c:pt>
                <c:pt idx="3586">
                  <c:v>40269</c:v>
                </c:pt>
                <c:pt idx="3587">
                  <c:v>40268</c:v>
                </c:pt>
                <c:pt idx="3588">
                  <c:v>40267</c:v>
                </c:pt>
                <c:pt idx="3589">
                  <c:v>40266</c:v>
                </c:pt>
                <c:pt idx="3590">
                  <c:v>40263</c:v>
                </c:pt>
                <c:pt idx="3591">
                  <c:v>40262</c:v>
                </c:pt>
                <c:pt idx="3592">
                  <c:v>40261</c:v>
                </c:pt>
                <c:pt idx="3593">
                  <c:v>40260</c:v>
                </c:pt>
                <c:pt idx="3594">
                  <c:v>40259</c:v>
                </c:pt>
                <c:pt idx="3595">
                  <c:v>40256</c:v>
                </c:pt>
                <c:pt idx="3596">
                  <c:v>40255</c:v>
                </c:pt>
                <c:pt idx="3597">
                  <c:v>40254</c:v>
                </c:pt>
                <c:pt idx="3598">
                  <c:v>40253</c:v>
                </c:pt>
                <c:pt idx="3599">
                  <c:v>40252</c:v>
                </c:pt>
                <c:pt idx="3600">
                  <c:v>40249</c:v>
                </c:pt>
                <c:pt idx="3601">
                  <c:v>40248</c:v>
                </c:pt>
                <c:pt idx="3602">
                  <c:v>40247</c:v>
                </c:pt>
                <c:pt idx="3603">
                  <c:v>40246</c:v>
                </c:pt>
                <c:pt idx="3604">
                  <c:v>40245</c:v>
                </c:pt>
                <c:pt idx="3605">
                  <c:v>40242</c:v>
                </c:pt>
                <c:pt idx="3606">
                  <c:v>40241</c:v>
                </c:pt>
                <c:pt idx="3607">
                  <c:v>40240</c:v>
                </c:pt>
                <c:pt idx="3608">
                  <c:v>40239</c:v>
                </c:pt>
                <c:pt idx="3609">
                  <c:v>40238</c:v>
                </c:pt>
                <c:pt idx="3610">
                  <c:v>40235</c:v>
                </c:pt>
                <c:pt idx="3611">
                  <c:v>40234</c:v>
                </c:pt>
                <c:pt idx="3612">
                  <c:v>40233</c:v>
                </c:pt>
                <c:pt idx="3613">
                  <c:v>40232</c:v>
                </c:pt>
                <c:pt idx="3614">
                  <c:v>40231</c:v>
                </c:pt>
                <c:pt idx="3615">
                  <c:v>40228</c:v>
                </c:pt>
                <c:pt idx="3616">
                  <c:v>40227</c:v>
                </c:pt>
                <c:pt idx="3617">
                  <c:v>40226</c:v>
                </c:pt>
                <c:pt idx="3618">
                  <c:v>40225</c:v>
                </c:pt>
                <c:pt idx="3619">
                  <c:v>40224</c:v>
                </c:pt>
                <c:pt idx="3620">
                  <c:v>40221</c:v>
                </c:pt>
                <c:pt idx="3621">
                  <c:v>40220</c:v>
                </c:pt>
                <c:pt idx="3622">
                  <c:v>40219</c:v>
                </c:pt>
                <c:pt idx="3623">
                  <c:v>40218</c:v>
                </c:pt>
                <c:pt idx="3624">
                  <c:v>40217</c:v>
                </c:pt>
                <c:pt idx="3625">
                  <c:v>40214</c:v>
                </c:pt>
                <c:pt idx="3626">
                  <c:v>40213</c:v>
                </c:pt>
                <c:pt idx="3627">
                  <c:v>40212</c:v>
                </c:pt>
                <c:pt idx="3628">
                  <c:v>40211</c:v>
                </c:pt>
                <c:pt idx="3629">
                  <c:v>40210</c:v>
                </c:pt>
                <c:pt idx="3630">
                  <c:v>40207</c:v>
                </c:pt>
                <c:pt idx="3631">
                  <c:v>40206</c:v>
                </c:pt>
                <c:pt idx="3632">
                  <c:v>40205</c:v>
                </c:pt>
                <c:pt idx="3633">
                  <c:v>40204</c:v>
                </c:pt>
                <c:pt idx="3634">
                  <c:v>40203</c:v>
                </c:pt>
                <c:pt idx="3635">
                  <c:v>40200</c:v>
                </c:pt>
                <c:pt idx="3636">
                  <c:v>40199</c:v>
                </c:pt>
                <c:pt idx="3637">
                  <c:v>40198</c:v>
                </c:pt>
                <c:pt idx="3638">
                  <c:v>40197</c:v>
                </c:pt>
                <c:pt idx="3639">
                  <c:v>40196</c:v>
                </c:pt>
                <c:pt idx="3640">
                  <c:v>40193</c:v>
                </c:pt>
                <c:pt idx="3641">
                  <c:v>40192</c:v>
                </c:pt>
                <c:pt idx="3642">
                  <c:v>40191</c:v>
                </c:pt>
                <c:pt idx="3643">
                  <c:v>40190</c:v>
                </c:pt>
                <c:pt idx="3644">
                  <c:v>40189</c:v>
                </c:pt>
                <c:pt idx="3645">
                  <c:v>40186</c:v>
                </c:pt>
                <c:pt idx="3646">
                  <c:v>40185</c:v>
                </c:pt>
                <c:pt idx="3647">
                  <c:v>40184</c:v>
                </c:pt>
                <c:pt idx="3648">
                  <c:v>40183</c:v>
                </c:pt>
                <c:pt idx="3649">
                  <c:v>40182</c:v>
                </c:pt>
                <c:pt idx="3650">
                  <c:v>40179</c:v>
                </c:pt>
              </c:numCache>
            </c:numRef>
          </c:cat>
          <c:val>
            <c:numRef>
              <c:f>Hárok1!$E$2:$E$3652</c:f>
              <c:numCache>
                <c:formatCode>General</c:formatCode>
                <c:ptCount val="3651"/>
                <c:pt idx="0">
                  <c:v>3.1749999999999998</c:v>
                </c:pt>
                <c:pt idx="1">
                  <c:v>3.0870000000000002</c:v>
                </c:pt>
                <c:pt idx="2">
                  <c:v>3.032</c:v>
                </c:pt>
                <c:pt idx="3">
                  <c:v>3.0840000000000001</c:v>
                </c:pt>
                <c:pt idx="4">
                  <c:v>3.0840000000000001</c:v>
                </c:pt>
                <c:pt idx="5">
                  <c:v>3.0840000000000001</c:v>
                </c:pt>
                <c:pt idx="6">
                  <c:v>3.089</c:v>
                </c:pt>
                <c:pt idx="7">
                  <c:v>3.101</c:v>
                </c:pt>
                <c:pt idx="8">
                  <c:v>3.1360000000000001</c:v>
                </c:pt>
                <c:pt idx="9">
                  <c:v>3.234</c:v>
                </c:pt>
                <c:pt idx="10">
                  <c:v>3.1669999999999998</c:v>
                </c:pt>
                <c:pt idx="11">
                  <c:v>3.2650000000000001</c:v>
                </c:pt>
                <c:pt idx="12">
                  <c:v>3.3490000000000002</c:v>
                </c:pt>
                <c:pt idx="13">
                  <c:v>3.3959999999999999</c:v>
                </c:pt>
                <c:pt idx="14">
                  <c:v>3.4430000000000001</c:v>
                </c:pt>
                <c:pt idx="15">
                  <c:v>3.4470000000000001</c:v>
                </c:pt>
                <c:pt idx="16">
                  <c:v>3.34</c:v>
                </c:pt>
                <c:pt idx="17">
                  <c:v>3.363</c:v>
                </c:pt>
                <c:pt idx="18">
                  <c:v>3.4169999999999998</c:v>
                </c:pt>
                <c:pt idx="19">
                  <c:v>3.5430000000000001</c:v>
                </c:pt>
                <c:pt idx="20">
                  <c:v>3.5259999999999998</c:v>
                </c:pt>
                <c:pt idx="21">
                  <c:v>3.645</c:v>
                </c:pt>
                <c:pt idx="22">
                  <c:v>3.613</c:v>
                </c:pt>
                <c:pt idx="23">
                  <c:v>3.6909999999999998</c:v>
                </c:pt>
                <c:pt idx="24">
                  <c:v>3.726</c:v>
                </c:pt>
                <c:pt idx="25">
                  <c:v>3.8279999999999998</c:v>
                </c:pt>
                <c:pt idx="26">
                  <c:v>3.8069999999999999</c:v>
                </c:pt>
                <c:pt idx="27">
                  <c:v>3.75</c:v>
                </c:pt>
                <c:pt idx="28">
                  <c:v>3.7559999999999998</c:v>
                </c:pt>
                <c:pt idx="29">
                  <c:v>3.7850000000000001</c:v>
                </c:pt>
                <c:pt idx="30">
                  <c:v>3.7679999999999998</c:v>
                </c:pt>
                <c:pt idx="31">
                  <c:v>3.766</c:v>
                </c:pt>
                <c:pt idx="32">
                  <c:v>3.8580000000000001</c:v>
                </c:pt>
                <c:pt idx="33">
                  <c:v>3.82</c:v>
                </c:pt>
                <c:pt idx="34">
                  <c:v>3.9289999999999998</c:v>
                </c:pt>
                <c:pt idx="35">
                  <c:v>3.948</c:v>
                </c:pt>
                <c:pt idx="36">
                  <c:v>3.863</c:v>
                </c:pt>
                <c:pt idx="37">
                  <c:v>3.8359999999999999</c:v>
                </c:pt>
                <c:pt idx="38">
                  <c:v>3.8839999999999999</c:v>
                </c:pt>
                <c:pt idx="39">
                  <c:v>3.9620000000000002</c:v>
                </c:pt>
                <c:pt idx="40">
                  <c:v>3.855</c:v>
                </c:pt>
                <c:pt idx="41">
                  <c:v>3.9359999999999999</c:v>
                </c:pt>
                <c:pt idx="42">
                  <c:v>3.9830000000000001</c:v>
                </c:pt>
                <c:pt idx="43">
                  <c:v>4.0380000000000003</c:v>
                </c:pt>
                <c:pt idx="44">
                  <c:v>4.0259999999999998</c:v>
                </c:pt>
                <c:pt idx="45">
                  <c:v>4.0519999999999996</c:v>
                </c:pt>
                <c:pt idx="46">
                  <c:v>4.0830000000000002</c:v>
                </c:pt>
                <c:pt idx="47">
                  <c:v>4.1040000000000001</c:v>
                </c:pt>
                <c:pt idx="48">
                  <c:v>4.0620000000000003</c:v>
                </c:pt>
                <c:pt idx="49">
                  <c:v>4.1050000000000004</c:v>
                </c:pt>
                <c:pt idx="50">
                  <c:v>4.1539999999999999</c:v>
                </c:pt>
                <c:pt idx="51">
                  <c:v>4.1710000000000003</c:v>
                </c:pt>
                <c:pt idx="52">
                  <c:v>4.149</c:v>
                </c:pt>
                <c:pt idx="53">
                  <c:v>4.1180000000000003</c:v>
                </c:pt>
                <c:pt idx="54">
                  <c:v>4.0049999999999999</c:v>
                </c:pt>
                <c:pt idx="55">
                  <c:v>3.9990000000000001</c:v>
                </c:pt>
                <c:pt idx="56">
                  <c:v>4.0149999999999997</c:v>
                </c:pt>
                <c:pt idx="57">
                  <c:v>3.9390000000000001</c:v>
                </c:pt>
                <c:pt idx="58">
                  <c:v>4.0140000000000002</c:v>
                </c:pt>
                <c:pt idx="59">
                  <c:v>4.024</c:v>
                </c:pt>
                <c:pt idx="60">
                  <c:v>4.1239999999999997</c:v>
                </c:pt>
                <c:pt idx="61">
                  <c:v>4.1120000000000001</c:v>
                </c:pt>
                <c:pt idx="62">
                  <c:v>4.1479999999999997</c:v>
                </c:pt>
                <c:pt idx="63">
                  <c:v>4.1970000000000001</c:v>
                </c:pt>
                <c:pt idx="64">
                  <c:v>4.1500000000000004</c:v>
                </c:pt>
                <c:pt idx="65">
                  <c:v>4.069</c:v>
                </c:pt>
                <c:pt idx="66">
                  <c:v>4.149</c:v>
                </c:pt>
                <c:pt idx="67">
                  <c:v>4.0609999999999999</c:v>
                </c:pt>
                <c:pt idx="68">
                  <c:v>4.0279999999999996</c:v>
                </c:pt>
                <c:pt idx="69">
                  <c:v>4.0170000000000003</c:v>
                </c:pt>
                <c:pt idx="70">
                  <c:v>3.9489999999999998</c:v>
                </c:pt>
                <c:pt idx="71">
                  <c:v>3.944</c:v>
                </c:pt>
                <c:pt idx="72">
                  <c:v>3.9039999999999999</c:v>
                </c:pt>
                <c:pt idx="73">
                  <c:v>3.9460000000000002</c:v>
                </c:pt>
                <c:pt idx="74">
                  <c:v>3.9220000000000002</c:v>
                </c:pt>
                <c:pt idx="75">
                  <c:v>3.8889999999999998</c:v>
                </c:pt>
                <c:pt idx="76">
                  <c:v>3.8</c:v>
                </c:pt>
                <c:pt idx="77">
                  <c:v>3.8639999999999999</c:v>
                </c:pt>
                <c:pt idx="78">
                  <c:v>3.8479999999999999</c:v>
                </c:pt>
                <c:pt idx="79">
                  <c:v>3.831</c:v>
                </c:pt>
                <c:pt idx="80">
                  <c:v>3.7879999999999998</c:v>
                </c:pt>
                <c:pt idx="81">
                  <c:v>3.782</c:v>
                </c:pt>
                <c:pt idx="82">
                  <c:v>3.827</c:v>
                </c:pt>
                <c:pt idx="83">
                  <c:v>3.887</c:v>
                </c:pt>
                <c:pt idx="84">
                  <c:v>3.7639999999999998</c:v>
                </c:pt>
                <c:pt idx="85">
                  <c:v>3.734</c:v>
                </c:pt>
                <c:pt idx="86">
                  <c:v>3.6320000000000001</c:v>
                </c:pt>
                <c:pt idx="87">
                  <c:v>3.7080000000000002</c:v>
                </c:pt>
                <c:pt idx="88">
                  <c:v>3.7029999999999998</c:v>
                </c:pt>
                <c:pt idx="89">
                  <c:v>3.7679999999999998</c:v>
                </c:pt>
                <c:pt idx="90">
                  <c:v>3.778</c:v>
                </c:pt>
                <c:pt idx="91">
                  <c:v>3.7650000000000001</c:v>
                </c:pt>
                <c:pt idx="92">
                  <c:v>3.7589999999999999</c:v>
                </c:pt>
                <c:pt idx="93">
                  <c:v>3.89</c:v>
                </c:pt>
                <c:pt idx="94">
                  <c:v>3.9460000000000002</c:v>
                </c:pt>
                <c:pt idx="95">
                  <c:v>3.8879999999999999</c:v>
                </c:pt>
                <c:pt idx="96">
                  <c:v>3.964</c:v>
                </c:pt>
                <c:pt idx="97">
                  <c:v>3.8959999999999999</c:v>
                </c:pt>
                <c:pt idx="98">
                  <c:v>3.9180000000000001</c:v>
                </c:pt>
                <c:pt idx="99">
                  <c:v>3.8450000000000002</c:v>
                </c:pt>
                <c:pt idx="100">
                  <c:v>3.8380000000000001</c:v>
                </c:pt>
                <c:pt idx="101">
                  <c:v>3.7530000000000001</c:v>
                </c:pt>
                <c:pt idx="102">
                  <c:v>3.6949999999999998</c:v>
                </c:pt>
                <c:pt idx="103">
                  <c:v>3.714</c:v>
                </c:pt>
                <c:pt idx="104">
                  <c:v>3.82</c:v>
                </c:pt>
                <c:pt idx="105">
                  <c:v>3.8</c:v>
                </c:pt>
                <c:pt idx="106">
                  <c:v>3.8260000000000001</c:v>
                </c:pt>
                <c:pt idx="107">
                  <c:v>3.7789999999999999</c:v>
                </c:pt>
                <c:pt idx="108">
                  <c:v>3.7919999999999998</c:v>
                </c:pt>
                <c:pt idx="109">
                  <c:v>3.7290000000000001</c:v>
                </c:pt>
                <c:pt idx="110">
                  <c:v>3.754</c:v>
                </c:pt>
                <c:pt idx="111">
                  <c:v>3.714</c:v>
                </c:pt>
                <c:pt idx="112">
                  <c:v>3.7280000000000002</c:v>
                </c:pt>
                <c:pt idx="113">
                  <c:v>3.6739999999999999</c:v>
                </c:pt>
                <c:pt idx="114">
                  <c:v>3.6739999999999999</c:v>
                </c:pt>
                <c:pt idx="115">
                  <c:v>3.7160000000000002</c:v>
                </c:pt>
                <c:pt idx="116">
                  <c:v>3.734</c:v>
                </c:pt>
                <c:pt idx="117">
                  <c:v>3.71</c:v>
                </c:pt>
                <c:pt idx="118">
                  <c:v>3.66</c:v>
                </c:pt>
                <c:pt idx="119">
                  <c:v>3.7410000000000001</c:v>
                </c:pt>
                <c:pt idx="120">
                  <c:v>3.774</c:v>
                </c:pt>
                <c:pt idx="121">
                  <c:v>3.746</c:v>
                </c:pt>
                <c:pt idx="122">
                  <c:v>3.8159999999999998</c:v>
                </c:pt>
                <c:pt idx="123">
                  <c:v>3.9249999999999998</c:v>
                </c:pt>
                <c:pt idx="124">
                  <c:v>3.9279999999999999</c:v>
                </c:pt>
                <c:pt idx="125">
                  <c:v>3.8959999999999999</c:v>
                </c:pt>
                <c:pt idx="126">
                  <c:v>3.92</c:v>
                </c:pt>
                <c:pt idx="127">
                  <c:v>3.7549999999999999</c:v>
                </c:pt>
                <c:pt idx="128">
                  <c:v>3.7389999999999999</c:v>
                </c:pt>
                <c:pt idx="129">
                  <c:v>3.72</c:v>
                </c:pt>
                <c:pt idx="130">
                  <c:v>3.6579999999999999</c:v>
                </c:pt>
                <c:pt idx="131">
                  <c:v>3.706</c:v>
                </c:pt>
                <c:pt idx="132">
                  <c:v>3.6139999999999999</c:v>
                </c:pt>
                <c:pt idx="133">
                  <c:v>3.6360000000000001</c:v>
                </c:pt>
                <c:pt idx="134">
                  <c:v>3.6040000000000001</c:v>
                </c:pt>
                <c:pt idx="135">
                  <c:v>3.6389999999999998</c:v>
                </c:pt>
                <c:pt idx="136">
                  <c:v>3.7730000000000001</c:v>
                </c:pt>
                <c:pt idx="137">
                  <c:v>3.7210000000000001</c:v>
                </c:pt>
                <c:pt idx="138">
                  <c:v>3.681</c:v>
                </c:pt>
                <c:pt idx="139">
                  <c:v>3.7970000000000002</c:v>
                </c:pt>
                <c:pt idx="140">
                  <c:v>3.7360000000000002</c:v>
                </c:pt>
                <c:pt idx="141">
                  <c:v>3.8140000000000001</c:v>
                </c:pt>
                <c:pt idx="142">
                  <c:v>3.7669999999999999</c:v>
                </c:pt>
                <c:pt idx="143">
                  <c:v>3.6789999999999998</c:v>
                </c:pt>
                <c:pt idx="144">
                  <c:v>3.6440000000000001</c:v>
                </c:pt>
                <c:pt idx="145">
                  <c:v>3.6520000000000001</c:v>
                </c:pt>
                <c:pt idx="146">
                  <c:v>3.6749999999999998</c:v>
                </c:pt>
                <c:pt idx="147">
                  <c:v>3.72</c:v>
                </c:pt>
                <c:pt idx="148">
                  <c:v>3.6070000000000002</c:v>
                </c:pt>
                <c:pt idx="149">
                  <c:v>3.6360000000000001</c:v>
                </c:pt>
                <c:pt idx="150">
                  <c:v>3.59</c:v>
                </c:pt>
                <c:pt idx="151">
                  <c:v>3.5289999999999999</c:v>
                </c:pt>
                <c:pt idx="152">
                  <c:v>3.544</c:v>
                </c:pt>
                <c:pt idx="153">
                  <c:v>3.5979999999999999</c:v>
                </c:pt>
                <c:pt idx="154">
                  <c:v>3.68</c:v>
                </c:pt>
                <c:pt idx="155">
                  <c:v>3.8069999999999999</c:v>
                </c:pt>
                <c:pt idx="156">
                  <c:v>3.8029999999999999</c:v>
                </c:pt>
                <c:pt idx="157">
                  <c:v>3.758</c:v>
                </c:pt>
                <c:pt idx="158">
                  <c:v>3.7610000000000001</c:v>
                </c:pt>
                <c:pt idx="159">
                  <c:v>3.7490000000000001</c:v>
                </c:pt>
                <c:pt idx="160">
                  <c:v>3.7229999999999999</c:v>
                </c:pt>
                <c:pt idx="161">
                  <c:v>3.762</c:v>
                </c:pt>
                <c:pt idx="162">
                  <c:v>3.6309999999999998</c:v>
                </c:pt>
                <c:pt idx="163">
                  <c:v>3.6440000000000001</c:v>
                </c:pt>
                <c:pt idx="164">
                  <c:v>3.5920000000000001</c:v>
                </c:pt>
                <c:pt idx="165">
                  <c:v>3.556</c:v>
                </c:pt>
                <c:pt idx="166">
                  <c:v>3.5059999999999998</c:v>
                </c:pt>
                <c:pt idx="167">
                  <c:v>3.5750000000000002</c:v>
                </c:pt>
                <c:pt idx="168">
                  <c:v>3.637</c:v>
                </c:pt>
                <c:pt idx="169">
                  <c:v>3.5840000000000001</c:v>
                </c:pt>
                <c:pt idx="170">
                  <c:v>3.5630000000000002</c:v>
                </c:pt>
                <c:pt idx="171">
                  <c:v>3.4910000000000001</c:v>
                </c:pt>
                <c:pt idx="172">
                  <c:v>3.5409999999999999</c:v>
                </c:pt>
                <c:pt idx="173">
                  <c:v>3.5539999999999998</c:v>
                </c:pt>
                <c:pt idx="174">
                  <c:v>3.5960000000000001</c:v>
                </c:pt>
                <c:pt idx="175">
                  <c:v>3.5960000000000001</c:v>
                </c:pt>
                <c:pt idx="176">
                  <c:v>3.7189999999999999</c:v>
                </c:pt>
                <c:pt idx="177">
                  <c:v>3.6579999999999999</c:v>
                </c:pt>
                <c:pt idx="178">
                  <c:v>3.6509999999999998</c:v>
                </c:pt>
                <c:pt idx="179">
                  <c:v>3.7730000000000001</c:v>
                </c:pt>
                <c:pt idx="180">
                  <c:v>3.7509999999999999</c:v>
                </c:pt>
                <c:pt idx="181">
                  <c:v>3.718</c:v>
                </c:pt>
                <c:pt idx="182">
                  <c:v>3.7669999999999999</c:v>
                </c:pt>
                <c:pt idx="183">
                  <c:v>3.7269999999999999</c:v>
                </c:pt>
                <c:pt idx="184">
                  <c:v>3.7360000000000002</c:v>
                </c:pt>
                <c:pt idx="185">
                  <c:v>3.694</c:v>
                </c:pt>
                <c:pt idx="186">
                  <c:v>3.6389999999999998</c:v>
                </c:pt>
                <c:pt idx="187">
                  <c:v>3.629</c:v>
                </c:pt>
                <c:pt idx="188">
                  <c:v>3.5840000000000001</c:v>
                </c:pt>
                <c:pt idx="189">
                  <c:v>3.4889999999999999</c:v>
                </c:pt>
                <c:pt idx="190">
                  <c:v>3.4889999999999999</c:v>
                </c:pt>
                <c:pt idx="191">
                  <c:v>3.4889999999999999</c:v>
                </c:pt>
                <c:pt idx="192">
                  <c:v>3.4630000000000001</c:v>
                </c:pt>
                <c:pt idx="193">
                  <c:v>3.5310000000000001</c:v>
                </c:pt>
                <c:pt idx="194">
                  <c:v>3.5579999999999998</c:v>
                </c:pt>
                <c:pt idx="195">
                  <c:v>3.56</c:v>
                </c:pt>
                <c:pt idx="196">
                  <c:v>3.609</c:v>
                </c:pt>
                <c:pt idx="197">
                  <c:v>3.5830000000000002</c:v>
                </c:pt>
                <c:pt idx="198">
                  <c:v>3.5409999999999999</c:v>
                </c:pt>
                <c:pt idx="199">
                  <c:v>3.4870000000000001</c:v>
                </c:pt>
                <c:pt idx="200">
                  <c:v>3.3639999999999999</c:v>
                </c:pt>
                <c:pt idx="201">
                  <c:v>3.4830000000000001</c:v>
                </c:pt>
                <c:pt idx="202">
                  <c:v>3.593</c:v>
                </c:pt>
                <c:pt idx="203">
                  <c:v>3.5590000000000002</c:v>
                </c:pt>
                <c:pt idx="204">
                  <c:v>3.4329999999999998</c:v>
                </c:pt>
                <c:pt idx="205">
                  <c:v>3.387</c:v>
                </c:pt>
                <c:pt idx="206">
                  <c:v>3.5259999999999998</c:v>
                </c:pt>
                <c:pt idx="207">
                  <c:v>3.3660000000000001</c:v>
                </c:pt>
                <c:pt idx="208">
                  <c:v>3.589</c:v>
                </c:pt>
                <c:pt idx="209">
                  <c:v>3.3959999999999999</c:v>
                </c:pt>
                <c:pt idx="210">
                  <c:v>3.552</c:v>
                </c:pt>
                <c:pt idx="211">
                  <c:v>3.6760000000000002</c:v>
                </c:pt>
                <c:pt idx="212">
                  <c:v>3.6920000000000002</c:v>
                </c:pt>
                <c:pt idx="213">
                  <c:v>3.738</c:v>
                </c:pt>
                <c:pt idx="214">
                  <c:v>3.7709999999999999</c:v>
                </c:pt>
                <c:pt idx="215">
                  <c:v>3.7549999999999999</c:v>
                </c:pt>
                <c:pt idx="216">
                  <c:v>3.7360000000000002</c:v>
                </c:pt>
                <c:pt idx="217">
                  <c:v>3.7029999999999998</c:v>
                </c:pt>
                <c:pt idx="218">
                  <c:v>3.64</c:v>
                </c:pt>
                <c:pt idx="219">
                  <c:v>3.5830000000000002</c:v>
                </c:pt>
                <c:pt idx="220">
                  <c:v>3.56</c:v>
                </c:pt>
                <c:pt idx="221">
                  <c:v>3.4929999999999999</c:v>
                </c:pt>
                <c:pt idx="222">
                  <c:v>3.53</c:v>
                </c:pt>
                <c:pt idx="223">
                  <c:v>3.5339999999999998</c:v>
                </c:pt>
                <c:pt idx="224">
                  <c:v>3.4260000000000002</c:v>
                </c:pt>
                <c:pt idx="225">
                  <c:v>3.41</c:v>
                </c:pt>
                <c:pt idx="226">
                  <c:v>3.431</c:v>
                </c:pt>
                <c:pt idx="227">
                  <c:v>3.419</c:v>
                </c:pt>
                <c:pt idx="228">
                  <c:v>3.37</c:v>
                </c:pt>
                <c:pt idx="229">
                  <c:v>3.2959999999999998</c:v>
                </c:pt>
                <c:pt idx="230">
                  <c:v>3.2770000000000001</c:v>
                </c:pt>
                <c:pt idx="231">
                  <c:v>3.2360000000000002</c:v>
                </c:pt>
                <c:pt idx="232">
                  <c:v>3.274</c:v>
                </c:pt>
                <c:pt idx="233">
                  <c:v>3.246</c:v>
                </c:pt>
                <c:pt idx="234">
                  <c:v>3.1840000000000002</c:v>
                </c:pt>
                <c:pt idx="235">
                  <c:v>3.141</c:v>
                </c:pt>
                <c:pt idx="236">
                  <c:v>3.0259999999999998</c:v>
                </c:pt>
                <c:pt idx="237">
                  <c:v>3.2469999999999999</c:v>
                </c:pt>
                <c:pt idx="238">
                  <c:v>3.26</c:v>
                </c:pt>
                <c:pt idx="239">
                  <c:v>3.2869999999999999</c:v>
                </c:pt>
                <c:pt idx="240">
                  <c:v>3.2109999999999999</c:v>
                </c:pt>
                <c:pt idx="241">
                  <c:v>3.1819999999999999</c:v>
                </c:pt>
                <c:pt idx="242">
                  <c:v>3.117</c:v>
                </c:pt>
                <c:pt idx="243">
                  <c:v>3.1219999999999999</c:v>
                </c:pt>
                <c:pt idx="244">
                  <c:v>3.177</c:v>
                </c:pt>
                <c:pt idx="245">
                  <c:v>3.129</c:v>
                </c:pt>
                <c:pt idx="246">
                  <c:v>3.0139999999999998</c:v>
                </c:pt>
                <c:pt idx="247">
                  <c:v>2.9729999999999999</c:v>
                </c:pt>
                <c:pt idx="248">
                  <c:v>3.0720000000000001</c:v>
                </c:pt>
                <c:pt idx="249">
                  <c:v>3.1789999999999998</c:v>
                </c:pt>
                <c:pt idx="250">
                  <c:v>3.161</c:v>
                </c:pt>
                <c:pt idx="251">
                  <c:v>3.153</c:v>
                </c:pt>
                <c:pt idx="252">
                  <c:v>3.21</c:v>
                </c:pt>
                <c:pt idx="253">
                  <c:v>3.3820000000000001</c:v>
                </c:pt>
                <c:pt idx="254">
                  <c:v>3.327</c:v>
                </c:pt>
                <c:pt idx="255">
                  <c:v>3.335</c:v>
                </c:pt>
                <c:pt idx="256">
                  <c:v>3.4279999999999999</c:v>
                </c:pt>
                <c:pt idx="257">
                  <c:v>3.363</c:v>
                </c:pt>
                <c:pt idx="258">
                  <c:v>3.516</c:v>
                </c:pt>
                <c:pt idx="259">
                  <c:v>3.5750000000000002</c:v>
                </c:pt>
                <c:pt idx="260">
                  <c:v>3.6970000000000001</c:v>
                </c:pt>
                <c:pt idx="261">
                  <c:v>3.585</c:v>
                </c:pt>
                <c:pt idx="262">
                  <c:v>3.6179999999999999</c:v>
                </c:pt>
                <c:pt idx="263">
                  <c:v>3.6469999999999998</c:v>
                </c:pt>
                <c:pt idx="264">
                  <c:v>3.5249999999999999</c:v>
                </c:pt>
                <c:pt idx="265">
                  <c:v>3.5249999999999999</c:v>
                </c:pt>
                <c:pt idx="266">
                  <c:v>3.5169999999999999</c:v>
                </c:pt>
                <c:pt idx="267">
                  <c:v>3.46</c:v>
                </c:pt>
                <c:pt idx="268">
                  <c:v>3.4359999999999999</c:v>
                </c:pt>
                <c:pt idx="269">
                  <c:v>3.33</c:v>
                </c:pt>
                <c:pt idx="270">
                  <c:v>3.302</c:v>
                </c:pt>
                <c:pt idx="271">
                  <c:v>3.15</c:v>
                </c:pt>
                <c:pt idx="272">
                  <c:v>3.03</c:v>
                </c:pt>
                <c:pt idx="273">
                  <c:v>2.988</c:v>
                </c:pt>
                <c:pt idx="274">
                  <c:v>3.0070000000000001</c:v>
                </c:pt>
                <c:pt idx="275">
                  <c:v>2.992</c:v>
                </c:pt>
                <c:pt idx="276">
                  <c:v>2.891</c:v>
                </c:pt>
                <c:pt idx="277">
                  <c:v>2.8940000000000001</c:v>
                </c:pt>
                <c:pt idx="278">
                  <c:v>2.92</c:v>
                </c:pt>
                <c:pt idx="279">
                  <c:v>2.9860000000000002</c:v>
                </c:pt>
                <c:pt idx="280">
                  <c:v>2.9940000000000002</c:v>
                </c:pt>
                <c:pt idx="281">
                  <c:v>2.9620000000000002</c:v>
                </c:pt>
                <c:pt idx="282">
                  <c:v>3.1539999999999999</c:v>
                </c:pt>
                <c:pt idx="283">
                  <c:v>3.1579999999999999</c:v>
                </c:pt>
                <c:pt idx="284">
                  <c:v>3.238</c:v>
                </c:pt>
                <c:pt idx="285">
                  <c:v>3.2429999999999999</c:v>
                </c:pt>
                <c:pt idx="286">
                  <c:v>3.149</c:v>
                </c:pt>
                <c:pt idx="287">
                  <c:v>3.222</c:v>
                </c:pt>
                <c:pt idx="288">
                  <c:v>3.306</c:v>
                </c:pt>
                <c:pt idx="289">
                  <c:v>3.3239999999999998</c:v>
                </c:pt>
                <c:pt idx="290">
                  <c:v>3.3359999999999999</c:v>
                </c:pt>
                <c:pt idx="291">
                  <c:v>3.3380000000000001</c:v>
                </c:pt>
                <c:pt idx="292">
                  <c:v>3.31</c:v>
                </c:pt>
                <c:pt idx="293">
                  <c:v>3.431</c:v>
                </c:pt>
                <c:pt idx="294">
                  <c:v>3.5139999999999998</c:v>
                </c:pt>
                <c:pt idx="295">
                  <c:v>3.5379999999999998</c:v>
                </c:pt>
                <c:pt idx="296">
                  <c:v>3.355</c:v>
                </c:pt>
                <c:pt idx="297">
                  <c:v>3.5129999999999999</c:v>
                </c:pt>
                <c:pt idx="298">
                  <c:v>3.645</c:v>
                </c:pt>
                <c:pt idx="299">
                  <c:v>3.7090000000000001</c:v>
                </c:pt>
                <c:pt idx="300">
                  <c:v>3.6720000000000002</c:v>
                </c:pt>
                <c:pt idx="301">
                  <c:v>3.6269999999999998</c:v>
                </c:pt>
                <c:pt idx="302">
                  <c:v>3.5219999999999998</c:v>
                </c:pt>
                <c:pt idx="303">
                  <c:v>3.5129999999999999</c:v>
                </c:pt>
                <c:pt idx="304">
                  <c:v>3.5259999999999998</c:v>
                </c:pt>
                <c:pt idx="305">
                  <c:v>3.4790000000000001</c:v>
                </c:pt>
                <c:pt idx="306">
                  <c:v>3.3410000000000002</c:v>
                </c:pt>
                <c:pt idx="307">
                  <c:v>3.5259999999999998</c:v>
                </c:pt>
                <c:pt idx="308">
                  <c:v>3.5459999999999998</c:v>
                </c:pt>
                <c:pt idx="309">
                  <c:v>3.7029999999999998</c:v>
                </c:pt>
                <c:pt idx="310">
                  <c:v>3.819</c:v>
                </c:pt>
                <c:pt idx="311">
                  <c:v>3.8090000000000002</c:v>
                </c:pt>
                <c:pt idx="312">
                  <c:v>3.7890000000000001</c:v>
                </c:pt>
                <c:pt idx="313">
                  <c:v>3.7189999999999999</c:v>
                </c:pt>
                <c:pt idx="314">
                  <c:v>3.7069999999999999</c:v>
                </c:pt>
                <c:pt idx="315">
                  <c:v>3.7919999999999998</c:v>
                </c:pt>
                <c:pt idx="316">
                  <c:v>3.72</c:v>
                </c:pt>
                <c:pt idx="317">
                  <c:v>3.778</c:v>
                </c:pt>
                <c:pt idx="318">
                  <c:v>3.6339999999999999</c:v>
                </c:pt>
                <c:pt idx="319">
                  <c:v>3.6219999999999999</c:v>
                </c:pt>
                <c:pt idx="320">
                  <c:v>3.512</c:v>
                </c:pt>
                <c:pt idx="321">
                  <c:v>3.3919999999999999</c:v>
                </c:pt>
                <c:pt idx="322">
                  <c:v>3.282</c:v>
                </c:pt>
                <c:pt idx="323">
                  <c:v>3.1040000000000001</c:v>
                </c:pt>
                <c:pt idx="324">
                  <c:v>3.105</c:v>
                </c:pt>
                <c:pt idx="325">
                  <c:v>3.3079999999999998</c:v>
                </c:pt>
                <c:pt idx="326">
                  <c:v>3.3540000000000001</c:v>
                </c:pt>
                <c:pt idx="327">
                  <c:v>3.298</c:v>
                </c:pt>
                <c:pt idx="328">
                  <c:v>3.3580000000000001</c:v>
                </c:pt>
                <c:pt idx="329">
                  <c:v>3.2010000000000001</c:v>
                </c:pt>
                <c:pt idx="330">
                  <c:v>3.069</c:v>
                </c:pt>
                <c:pt idx="331">
                  <c:v>3.01</c:v>
                </c:pt>
                <c:pt idx="332">
                  <c:v>2.9119999999999999</c:v>
                </c:pt>
                <c:pt idx="333">
                  <c:v>2.9409999999999998</c:v>
                </c:pt>
                <c:pt idx="334">
                  <c:v>2.81</c:v>
                </c:pt>
                <c:pt idx="335">
                  <c:v>2.7679999999999998</c:v>
                </c:pt>
                <c:pt idx="336">
                  <c:v>2.786</c:v>
                </c:pt>
                <c:pt idx="337">
                  <c:v>2.7679999999999998</c:v>
                </c:pt>
                <c:pt idx="338">
                  <c:v>2.798</c:v>
                </c:pt>
                <c:pt idx="339">
                  <c:v>2.7559999999999998</c:v>
                </c:pt>
                <c:pt idx="340">
                  <c:v>2.8039999999999998</c:v>
                </c:pt>
                <c:pt idx="341">
                  <c:v>2.738</c:v>
                </c:pt>
                <c:pt idx="342">
                  <c:v>2.6160000000000001</c:v>
                </c:pt>
                <c:pt idx="343">
                  <c:v>2.6829999999999998</c:v>
                </c:pt>
                <c:pt idx="344">
                  <c:v>2.64</c:v>
                </c:pt>
                <c:pt idx="345">
                  <c:v>2.5529999999999999</c:v>
                </c:pt>
                <c:pt idx="346">
                  <c:v>2.581</c:v>
                </c:pt>
                <c:pt idx="347">
                  <c:v>2.5510000000000002</c:v>
                </c:pt>
                <c:pt idx="348">
                  <c:v>2.5350000000000001</c:v>
                </c:pt>
                <c:pt idx="349">
                  <c:v>2.532</c:v>
                </c:pt>
                <c:pt idx="350">
                  <c:v>2.4249999999999998</c:v>
                </c:pt>
                <c:pt idx="351">
                  <c:v>2.339</c:v>
                </c:pt>
                <c:pt idx="352">
                  <c:v>2.3559999999999999</c:v>
                </c:pt>
                <c:pt idx="353">
                  <c:v>2.2959999999999998</c:v>
                </c:pt>
                <c:pt idx="354">
                  <c:v>2.2669999999999999</c:v>
                </c:pt>
                <c:pt idx="355">
                  <c:v>2.1789999999999998</c:v>
                </c:pt>
                <c:pt idx="356">
                  <c:v>2.0710000000000002</c:v>
                </c:pt>
                <c:pt idx="357">
                  <c:v>2.0099999999999998</c:v>
                </c:pt>
                <c:pt idx="358">
                  <c:v>1.9139999999999999</c:v>
                </c:pt>
                <c:pt idx="359">
                  <c:v>1.853</c:v>
                </c:pt>
                <c:pt idx="360">
                  <c:v>1.9359999999999999</c:v>
                </c:pt>
                <c:pt idx="361">
                  <c:v>1.9339999999999999</c:v>
                </c:pt>
                <c:pt idx="362">
                  <c:v>1.8560000000000001</c:v>
                </c:pt>
                <c:pt idx="363">
                  <c:v>1.8720000000000001</c:v>
                </c:pt>
                <c:pt idx="364">
                  <c:v>1.841</c:v>
                </c:pt>
                <c:pt idx="365">
                  <c:v>1.9039999999999999</c:v>
                </c:pt>
                <c:pt idx="366">
                  <c:v>1.74</c:v>
                </c:pt>
                <c:pt idx="367">
                  <c:v>1.8280000000000001</c:v>
                </c:pt>
                <c:pt idx="368">
                  <c:v>1.8</c:v>
                </c:pt>
                <c:pt idx="369">
                  <c:v>1.7430000000000001</c:v>
                </c:pt>
                <c:pt idx="370">
                  <c:v>1.78</c:v>
                </c:pt>
                <c:pt idx="371">
                  <c:v>1.8069999999999999</c:v>
                </c:pt>
                <c:pt idx="372">
                  <c:v>1.9339999999999999</c:v>
                </c:pt>
                <c:pt idx="373">
                  <c:v>1.921</c:v>
                </c:pt>
                <c:pt idx="374">
                  <c:v>2.0049999999999999</c:v>
                </c:pt>
                <c:pt idx="375">
                  <c:v>2.0289999999999999</c:v>
                </c:pt>
                <c:pt idx="376">
                  <c:v>2.214</c:v>
                </c:pt>
                <c:pt idx="377">
                  <c:v>2.2240000000000002</c:v>
                </c:pt>
                <c:pt idx="378">
                  <c:v>2.226</c:v>
                </c:pt>
                <c:pt idx="379">
                  <c:v>2.2040000000000002</c:v>
                </c:pt>
                <c:pt idx="380">
                  <c:v>2.129</c:v>
                </c:pt>
                <c:pt idx="381">
                  <c:v>2.15</c:v>
                </c:pt>
                <c:pt idx="382">
                  <c:v>2.1190000000000002</c:v>
                </c:pt>
                <c:pt idx="383">
                  <c:v>2.1120000000000001</c:v>
                </c:pt>
                <c:pt idx="384">
                  <c:v>2.2370000000000001</c:v>
                </c:pt>
                <c:pt idx="385">
                  <c:v>2.339</c:v>
                </c:pt>
                <c:pt idx="386">
                  <c:v>2.3109999999999999</c:v>
                </c:pt>
                <c:pt idx="387">
                  <c:v>2.2080000000000002</c:v>
                </c:pt>
                <c:pt idx="388">
                  <c:v>2.2349999999999999</c:v>
                </c:pt>
                <c:pt idx="389">
                  <c:v>2.3650000000000002</c:v>
                </c:pt>
                <c:pt idx="390">
                  <c:v>2.2429999999999999</c:v>
                </c:pt>
                <c:pt idx="391">
                  <c:v>2.3530000000000002</c:v>
                </c:pt>
                <c:pt idx="392">
                  <c:v>2.5</c:v>
                </c:pt>
                <c:pt idx="393">
                  <c:v>2.6120000000000001</c:v>
                </c:pt>
                <c:pt idx="394">
                  <c:v>2.524</c:v>
                </c:pt>
                <c:pt idx="395">
                  <c:v>2.4079999999999999</c:v>
                </c:pt>
                <c:pt idx="396">
                  <c:v>2.3980000000000001</c:v>
                </c:pt>
                <c:pt idx="397">
                  <c:v>2.6219999999999999</c:v>
                </c:pt>
                <c:pt idx="398">
                  <c:v>2.766</c:v>
                </c:pt>
                <c:pt idx="399">
                  <c:v>2.758</c:v>
                </c:pt>
                <c:pt idx="400">
                  <c:v>2.6320000000000001</c:v>
                </c:pt>
                <c:pt idx="401">
                  <c:v>2.694</c:v>
                </c:pt>
                <c:pt idx="402">
                  <c:v>2.6339999999999999</c:v>
                </c:pt>
                <c:pt idx="403">
                  <c:v>2.7890000000000001</c:v>
                </c:pt>
                <c:pt idx="404">
                  <c:v>2.6219999999999999</c:v>
                </c:pt>
                <c:pt idx="405">
                  <c:v>2.4329999999999998</c:v>
                </c:pt>
                <c:pt idx="406">
                  <c:v>2.278</c:v>
                </c:pt>
                <c:pt idx="407">
                  <c:v>2.1760000000000002</c:v>
                </c:pt>
                <c:pt idx="408">
                  <c:v>2.1190000000000002</c:v>
                </c:pt>
                <c:pt idx="409">
                  <c:v>2.141</c:v>
                </c:pt>
                <c:pt idx="410">
                  <c:v>2.1320000000000001</c:v>
                </c:pt>
                <c:pt idx="411">
                  <c:v>2.1070000000000002</c:v>
                </c:pt>
                <c:pt idx="412">
                  <c:v>2.048</c:v>
                </c:pt>
                <c:pt idx="413">
                  <c:v>1.9890000000000001</c:v>
                </c:pt>
                <c:pt idx="414">
                  <c:v>1.9530000000000001</c:v>
                </c:pt>
                <c:pt idx="415">
                  <c:v>1.865</c:v>
                </c:pt>
                <c:pt idx="416">
                  <c:v>1.8919999999999999</c:v>
                </c:pt>
                <c:pt idx="417">
                  <c:v>1.867</c:v>
                </c:pt>
                <c:pt idx="418">
                  <c:v>1.883</c:v>
                </c:pt>
                <c:pt idx="419">
                  <c:v>1.9279999999999999</c:v>
                </c:pt>
                <c:pt idx="420">
                  <c:v>1.861</c:v>
                </c:pt>
                <c:pt idx="421">
                  <c:v>1.847</c:v>
                </c:pt>
                <c:pt idx="422">
                  <c:v>1.907</c:v>
                </c:pt>
                <c:pt idx="423">
                  <c:v>1.927</c:v>
                </c:pt>
                <c:pt idx="424">
                  <c:v>1.819</c:v>
                </c:pt>
                <c:pt idx="425">
                  <c:v>1.8009999999999999</c:v>
                </c:pt>
                <c:pt idx="426">
                  <c:v>1.7110000000000001</c:v>
                </c:pt>
                <c:pt idx="427">
                  <c:v>1.829</c:v>
                </c:pt>
                <c:pt idx="428">
                  <c:v>1.8859999999999999</c:v>
                </c:pt>
                <c:pt idx="429">
                  <c:v>1.9630000000000001</c:v>
                </c:pt>
                <c:pt idx="430">
                  <c:v>1.96</c:v>
                </c:pt>
                <c:pt idx="431">
                  <c:v>1.8580000000000001</c:v>
                </c:pt>
                <c:pt idx="432">
                  <c:v>1.7849999999999999</c:v>
                </c:pt>
                <c:pt idx="433">
                  <c:v>1.746</c:v>
                </c:pt>
                <c:pt idx="434">
                  <c:v>1.7509999999999999</c:v>
                </c:pt>
                <c:pt idx="435">
                  <c:v>1.74</c:v>
                </c:pt>
                <c:pt idx="436">
                  <c:v>1.653</c:v>
                </c:pt>
                <c:pt idx="437">
                  <c:v>1.5589999999999999</c:v>
                </c:pt>
                <c:pt idx="438">
                  <c:v>1.57</c:v>
                </c:pt>
                <c:pt idx="439">
                  <c:v>1.5680000000000001</c:v>
                </c:pt>
                <c:pt idx="440">
                  <c:v>1.6739999999999999</c:v>
                </c:pt>
                <c:pt idx="441">
                  <c:v>1.657</c:v>
                </c:pt>
                <c:pt idx="442">
                  <c:v>1.581</c:v>
                </c:pt>
                <c:pt idx="443">
                  <c:v>1.627</c:v>
                </c:pt>
                <c:pt idx="444">
                  <c:v>1.5880000000000001</c:v>
                </c:pt>
                <c:pt idx="445">
                  <c:v>1.5880000000000001</c:v>
                </c:pt>
                <c:pt idx="446">
                  <c:v>1.5880000000000001</c:v>
                </c:pt>
                <c:pt idx="447">
                  <c:v>1.5109999999999999</c:v>
                </c:pt>
                <c:pt idx="448">
                  <c:v>1.55</c:v>
                </c:pt>
                <c:pt idx="449">
                  <c:v>1.5609999999999999</c:v>
                </c:pt>
                <c:pt idx="450">
                  <c:v>1.512</c:v>
                </c:pt>
                <c:pt idx="451">
                  <c:v>1.4710000000000001</c:v>
                </c:pt>
                <c:pt idx="452">
                  <c:v>1.4430000000000001</c:v>
                </c:pt>
                <c:pt idx="453">
                  <c:v>1.4179999999999999</c:v>
                </c:pt>
                <c:pt idx="454">
                  <c:v>1.2749999999999999</c:v>
                </c:pt>
                <c:pt idx="455">
                  <c:v>1.2989999999999999</c:v>
                </c:pt>
                <c:pt idx="456">
                  <c:v>1.256</c:v>
                </c:pt>
                <c:pt idx="457">
                  <c:v>1.3480000000000001</c:v>
                </c:pt>
                <c:pt idx="458">
                  <c:v>1.3280000000000001</c:v>
                </c:pt>
                <c:pt idx="459">
                  <c:v>1.2729999999999999</c:v>
                </c:pt>
                <c:pt idx="460">
                  <c:v>1.272</c:v>
                </c:pt>
                <c:pt idx="461">
                  <c:v>1.2490000000000001</c:v>
                </c:pt>
                <c:pt idx="462">
                  <c:v>1.1870000000000001</c:v>
                </c:pt>
                <c:pt idx="463">
                  <c:v>1.2230000000000001</c:v>
                </c:pt>
                <c:pt idx="464">
                  <c:v>1.2030000000000001</c:v>
                </c:pt>
                <c:pt idx="465">
                  <c:v>1.0640000000000001</c:v>
                </c:pt>
                <c:pt idx="466">
                  <c:v>1.0900000000000001</c:v>
                </c:pt>
                <c:pt idx="467">
                  <c:v>1.0620000000000001</c:v>
                </c:pt>
                <c:pt idx="468">
                  <c:v>0.94599999999999995</c:v>
                </c:pt>
                <c:pt idx="469">
                  <c:v>0.94699999999999995</c:v>
                </c:pt>
                <c:pt idx="470">
                  <c:v>0.81100000000000005</c:v>
                </c:pt>
                <c:pt idx="471">
                  <c:v>0.86499999999999999</c:v>
                </c:pt>
                <c:pt idx="472">
                  <c:v>0.76700000000000002</c:v>
                </c:pt>
                <c:pt idx="473">
                  <c:v>0.66100000000000003</c:v>
                </c:pt>
                <c:pt idx="474">
                  <c:v>0.55400000000000005</c:v>
                </c:pt>
                <c:pt idx="475">
                  <c:v>0.51300000000000001</c:v>
                </c:pt>
                <c:pt idx="476">
                  <c:v>0.56699999999999995</c:v>
                </c:pt>
                <c:pt idx="477">
                  <c:v>0.56000000000000005</c:v>
                </c:pt>
                <c:pt idx="478">
                  <c:v>0.44700000000000001</c:v>
                </c:pt>
                <c:pt idx="479">
                  <c:v>0.68100000000000005</c:v>
                </c:pt>
                <c:pt idx="480">
                  <c:v>0.78800000000000003</c:v>
                </c:pt>
                <c:pt idx="481">
                  <c:v>0.73299999999999998</c:v>
                </c:pt>
                <c:pt idx="482">
                  <c:v>0.79800000000000004</c:v>
                </c:pt>
                <c:pt idx="483">
                  <c:v>0.8</c:v>
                </c:pt>
                <c:pt idx="484">
                  <c:v>0.77800000000000002</c:v>
                </c:pt>
                <c:pt idx="485">
                  <c:v>0.75600000000000001</c:v>
                </c:pt>
                <c:pt idx="486">
                  <c:v>0.76600000000000001</c:v>
                </c:pt>
                <c:pt idx="487">
                  <c:v>0.81899999999999995</c:v>
                </c:pt>
                <c:pt idx="488">
                  <c:v>0.84199999999999997</c:v>
                </c:pt>
                <c:pt idx="489">
                  <c:v>0.82199999999999995</c:v>
                </c:pt>
                <c:pt idx="490">
                  <c:v>0.82599999999999996</c:v>
                </c:pt>
                <c:pt idx="491">
                  <c:v>0.78300000000000003</c:v>
                </c:pt>
                <c:pt idx="492">
                  <c:v>0.67900000000000005</c:v>
                </c:pt>
                <c:pt idx="493">
                  <c:v>0.73199999999999998</c:v>
                </c:pt>
                <c:pt idx="494">
                  <c:v>0.65600000000000003</c:v>
                </c:pt>
                <c:pt idx="495">
                  <c:v>0.60399999999999998</c:v>
                </c:pt>
                <c:pt idx="496">
                  <c:v>0.54300000000000004</c:v>
                </c:pt>
                <c:pt idx="497">
                  <c:v>0.39300000000000002</c:v>
                </c:pt>
                <c:pt idx="498">
                  <c:v>0.39</c:v>
                </c:pt>
                <c:pt idx="499">
                  <c:v>0.35499999999999998</c:v>
                </c:pt>
                <c:pt idx="500">
                  <c:v>0.3</c:v>
                </c:pt>
                <c:pt idx="501">
                  <c:v>0.27500000000000002</c:v>
                </c:pt>
                <c:pt idx="502">
                  <c:v>0.27</c:v>
                </c:pt>
                <c:pt idx="503">
                  <c:v>0.26100000000000001</c:v>
                </c:pt>
                <c:pt idx="504">
                  <c:v>0.215</c:v>
                </c:pt>
                <c:pt idx="505">
                  <c:v>0.25</c:v>
                </c:pt>
                <c:pt idx="506">
                  <c:v>0.28000000000000003</c:v>
                </c:pt>
                <c:pt idx="507">
                  <c:v>0.29899999999999999</c:v>
                </c:pt>
                <c:pt idx="508">
                  <c:v>0.28399999999999997</c:v>
                </c:pt>
                <c:pt idx="509">
                  <c:v>0.28599999999999998</c:v>
                </c:pt>
                <c:pt idx="510">
                  <c:v>0.255</c:v>
                </c:pt>
                <c:pt idx="511">
                  <c:v>0.22</c:v>
                </c:pt>
                <c:pt idx="512">
                  <c:v>0.215</c:v>
                </c:pt>
                <c:pt idx="513">
                  <c:v>0.24199999999999999</c:v>
                </c:pt>
                <c:pt idx="514">
                  <c:v>0.23599999999999999</c:v>
                </c:pt>
                <c:pt idx="515">
                  <c:v>0.23</c:v>
                </c:pt>
                <c:pt idx="516">
                  <c:v>0.214</c:v>
                </c:pt>
                <c:pt idx="517">
                  <c:v>0.182</c:v>
                </c:pt>
                <c:pt idx="518">
                  <c:v>0.183</c:v>
                </c:pt>
                <c:pt idx="519">
                  <c:v>0.17299999999999999</c:v>
                </c:pt>
                <c:pt idx="520">
                  <c:v>0.14099999999999999</c:v>
                </c:pt>
                <c:pt idx="521">
                  <c:v>0.14199999999999999</c:v>
                </c:pt>
                <c:pt idx="522">
                  <c:v>0.14299999999999999</c:v>
                </c:pt>
                <c:pt idx="523">
                  <c:v>7.8E-2</c:v>
                </c:pt>
                <c:pt idx="524">
                  <c:v>7.1999999999999995E-2</c:v>
                </c:pt>
                <c:pt idx="525">
                  <c:v>6.7000000000000004E-2</c:v>
                </c:pt>
                <c:pt idx="526">
                  <c:v>6.8000000000000005E-2</c:v>
                </c:pt>
                <c:pt idx="527">
                  <c:v>2.3E-2</c:v>
                </c:pt>
                <c:pt idx="528">
                  <c:v>2E-3</c:v>
                </c:pt>
                <c:pt idx="529">
                  <c:v>-6.6000000000000003E-2</c:v>
                </c:pt>
                <c:pt idx="530">
                  <c:v>-0.08</c:v>
                </c:pt>
                <c:pt idx="531">
                  <c:v>-5.1999999999999998E-2</c:v>
                </c:pt>
                <c:pt idx="532">
                  <c:v>-6.7000000000000004E-2</c:v>
                </c:pt>
                <c:pt idx="533">
                  <c:v>-7.2999999999999995E-2</c:v>
                </c:pt>
                <c:pt idx="534">
                  <c:v>-8.5999999999999993E-2</c:v>
                </c:pt>
                <c:pt idx="535">
                  <c:v>-4.5999999999999999E-2</c:v>
                </c:pt>
                <c:pt idx="536">
                  <c:v>-5.6000000000000001E-2</c:v>
                </c:pt>
                <c:pt idx="537">
                  <c:v>-8.0000000000000002E-3</c:v>
                </c:pt>
                <c:pt idx="538">
                  <c:v>-7.5999999999999998E-2</c:v>
                </c:pt>
                <c:pt idx="539">
                  <c:v>-0.08</c:v>
                </c:pt>
                <c:pt idx="540">
                  <c:v>-7.5999999999999998E-2</c:v>
                </c:pt>
                <c:pt idx="541">
                  <c:v>-7.4999999999999997E-2</c:v>
                </c:pt>
                <c:pt idx="542">
                  <c:v>-3.2000000000000001E-2</c:v>
                </c:pt>
                <c:pt idx="543">
                  <c:v>-4.7E-2</c:v>
                </c:pt>
                <c:pt idx="544">
                  <c:v>-0.01</c:v>
                </c:pt>
                <c:pt idx="545">
                  <c:v>-3.4000000000000002E-2</c:v>
                </c:pt>
                <c:pt idx="546">
                  <c:v>5.5E-2</c:v>
                </c:pt>
                <c:pt idx="547">
                  <c:v>7.2999999999999995E-2</c:v>
                </c:pt>
                <c:pt idx="548">
                  <c:v>8.3000000000000004E-2</c:v>
                </c:pt>
                <c:pt idx="549">
                  <c:v>-5.0000000000000001E-3</c:v>
                </c:pt>
                <c:pt idx="550">
                  <c:v>-4.7E-2</c:v>
                </c:pt>
                <c:pt idx="551">
                  <c:v>1.7000000000000001E-2</c:v>
                </c:pt>
                <c:pt idx="552">
                  <c:v>5.8999999999999997E-2</c:v>
                </c:pt>
                <c:pt idx="553">
                  <c:v>5.7000000000000002E-2</c:v>
                </c:pt>
                <c:pt idx="554">
                  <c:v>7.2999999999999995E-2</c:v>
                </c:pt>
                <c:pt idx="555">
                  <c:v>4.7E-2</c:v>
                </c:pt>
                <c:pt idx="556">
                  <c:v>7.3999999999999996E-2</c:v>
                </c:pt>
                <c:pt idx="557">
                  <c:v>5.8000000000000003E-2</c:v>
                </c:pt>
                <c:pt idx="558">
                  <c:v>-6.0000000000000001E-3</c:v>
                </c:pt>
                <c:pt idx="559">
                  <c:v>4.3999999999999997E-2</c:v>
                </c:pt>
                <c:pt idx="560">
                  <c:v>8.0000000000000002E-3</c:v>
                </c:pt>
                <c:pt idx="561">
                  <c:v>6.4000000000000001E-2</c:v>
                </c:pt>
                <c:pt idx="562">
                  <c:v>0.112</c:v>
                </c:pt>
                <c:pt idx="563">
                  <c:v>0.126</c:v>
                </c:pt>
                <c:pt idx="564">
                  <c:v>0.221</c:v>
                </c:pt>
                <c:pt idx="565">
                  <c:v>0.20399999999999999</c:v>
                </c:pt>
                <c:pt idx="566">
                  <c:v>0.16400000000000001</c:v>
                </c:pt>
                <c:pt idx="567">
                  <c:v>0.11700000000000001</c:v>
                </c:pt>
                <c:pt idx="568">
                  <c:v>0.17499999999999999</c:v>
                </c:pt>
                <c:pt idx="569">
                  <c:v>0.17299999999999999</c:v>
                </c:pt>
                <c:pt idx="570">
                  <c:v>0.186</c:v>
                </c:pt>
                <c:pt idx="571">
                  <c:v>0.184</c:v>
                </c:pt>
                <c:pt idx="572">
                  <c:v>0.16300000000000001</c:v>
                </c:pt>
                <c:pt idx="573">
                  <c:v>0.187</c:v>
                </c:pt>
                <c:pt idx="574">
                  <c:v>0.14799999999999999</c:v>
                </c:pt>
                <c:pt idx="575">
                  <c:v>0.13700000000000001</c:v>
                </c:pt>
                <c:pt idx="576">
                  <c:v>0.108</c:v>
                </c:pt>
                <c:pt idx="577">
                  <c:v>0.16200000000000001</c:v>
                </c:pt>
                <c:pt idx="578">
                  <c:v>0.215</c:v>
                </c:pt>
                <c:pt idx="579">
                  <c:v>0.188</c:v>
                </c:pt>
                <c:pt idx="580">
                  <c:v>0.152</c:v>
                </c:pt>
                <c:pt idx="581">
                  <c:v>0.13500000000000001</c:v>
                </c:pt>
                <c:pt idx="582">
                  <c:v>0.14899999999999999</c:v>
                </c:pt>
                <c:pt idx="583">
                  <c:v>0.14599999999999999</c:v>
                </c:pt>
                <c:pt idx="584">
                  <c:v>0.11899999999999999</c:v>
                </c:pt>
                <c:pt idx="585">
                  <c:v>0.113</c:v>
                </c:pt>
                <c:pt idx="586">
                  <c:v>0.13300000000000001</c:v>
                </c:pt>
                <c:pt idx="587">
                  <c:v>0.115</c:v>
                </c:pt>
                <c:pt idx="588">
                  <c:v>0.129</c:v>
                </c:pt>
                <c:pt idx="589">
                  <c:v>0.10299999999999999</c:v>
                </c:pt>
                <c:pt idx="590">
                  <c:v>0.11</c:v>
                </c:pt>
                <c:pt idx="591">
                  <c:v>6.3E-2</c:v>
                </c:pt>
                <c:pt idx="592">
                  <c:v>-1.0999999999999999E-2</c:v>
                </c:pt>
                <c:pt idx="593">
                  <c:v>4.0000000000000001E-3</c:v>
                </c:pt>
                <c:pt idx="594">
                  <c:v>3.0000000000000001E-3</c:v>
                </c:pt>
                <c:pt idx="595">
                  <c:v>0.03</c:v>
                </c:pt>
                <c:pt idx="596">
                  <c:v>4.0000000000000001E-3</c:v>
                </c:pt>
                <c:pt idx="597">
                  <c:v>6.0000000000000001E-3</c:v>
                </c:pt>
                <c:pt idx="598">
                  <c:v>-3.5000000000000003E-2</c:v>
                </c:pt>
                <c:pt idx="599">
                  <c:v>-1.7000000000000001E-2</c:v>
                </c:pt>
                <c:pt idx="600">
                  <c:v>-2.3E-2</c:v>
                </c:pt>
                <c:pt idx="601">
                  <c:v>-5.5E-2</c:v>
                </c:pt>
                <c:pt idx="602">
                  <c:v>-5.0000000000000001E-3</c:v>
                </c:pt>
                <c:pt idx="603">
                  <c:v>-2E-3</c:v>
                </c:pt>
                <c:pt idx="604">
                  <c:v>-5.1999999999999998E-2</c:v>
                </c:pt>
                <c:pt idx="605">
                  <c:v>-4.8000000000000001E-2</c:v>
                </c:pt>
                <c:pt idx="606">
                  <c:v>-6.7000000000000004E-2</c:v>
                </c:pt>
                <c:pt idx="607">
                  <c:v>-5.1999999999999998E-2</c:v>
                </c:pt>
                <c:pt idx="608">
                  <c:v>-5.6000000000000001E-2</c:v>
                </c:pt>
                <c:pt idx="609">
                  <c:v>-0.11700000000000001</c:v>
                </c:pt>
                <c:pt idx="610">
                  <c:v>-9.1999999999999998E-2</c:v>
                </c:pt>
                <c:pt idx="611">
                  <c:v>-7.0000000000000007E-2</c:v>
                </c:pt>
                <c:pt idx="612">
                  <c:v>-8.2000000000000003E-2</c:v>
                </c:pt>
                <c:pt idx="613">
                  <c:v>-0.14699999999999999</c:v>
                </c:pt>
                <c:pt idx="614">
                  <c:v>-0.151</c:v>
                </c:pt>
                <c:pt idx="615">
                  <c:v>-0.16400000000000001</c:v>
                </c:pt>
                <c:pt idx="616">
                  <c:v>-0.156</c:v>
                </c:pt>
                <c:pt idx="617">
                  <c:v>-0.14299999999999999</c:v>
                </c:pt>
                <c:pt idx="618">
                  <c:v>-0.13200000000000001</c:v>
                </c:pt>
                <c:pt idx="619">
                  <c:v>-0.13600000000000001</c:v>
                </c:pt>
                <c:pt idx="620">
                  <c:v>-0.122</c:v>
                </c:pt>
                <c:pt idx="621">
                  <c:v>-0.13400000000000001</c:v>
                </c:pt>
                <c:pt idx="622">
                  <c:v>-0.13300000000000001</c:v>
                </c:pt>
                <c:pt idx="623">
                  <c:v>-0.13600000000000001</c:v>
                </c:pt>
                <c:pt idx="624">
                  <c:v>-0.13300000000000001</c:v>
                </c:pt>
                <c:pt idx="625">
                  <c:v>-0.127</c:v>
                </c:pt>
                <c:pt idx="626">
                  <c:v>-0.16900000000000001</c:v>
                </c:pt>
                <c:pt idx="627">
                  <c:v>-0.16</c:v>
                </c:pt>
                <c:pt idx="628">
                  <c:v>-0.14099999999999999</c:v>
                </c:pt>
                <c:pt idx="629">
                  <c:v>-0.14399999999999999</c:v>
                </c:pt>
                <c:pt idx="630">
                  <c:v>-0.115</c:v>
                </c:pt>
                <c:pt idx="631">
                  <c:v>-0.107</c:v>
                </c:pt>
                <c:pt idx="632">
                  <c:v>-9.8000000000000004E-2</c:v>
                </c:pt>
                <c:pt idx="633">
                  <c:v>-0.1</c:v>
                </c:pt>
                <c:pt idx="634">
                  <c:v>-0.09</c:v>
                </c:pt>
                <c:pt idx="635">
                  <c:v>-9.9000000000000005E-2</c:v>
                </c:pt>
                <c:pt idx="636">
                  <c:v>-9.6000000000000002E-2</c:v>
                </c:pt>
                <c:pt idx="637">
                  <c:v>-5.8999999999999997E-2</c:v>
                </c:pt>
                <c:pt idx="638">
                  <c:v>-7.3999999999999996E-2</c:v>
                </c:pt>
                <c:pt idx="639">
                  <c:v>-5.1999999999999998E-2</c:v>
                </c:pt>
                <c:pt idx="640">
                  <c:v>-3.2000000000000001E-2</c:v>
                </c:pt>
                <c:pt idx="641">
                  <c:v>-1.6E-2</c:v>
                </c:pt>
                <c:pt idx="642">
                  <c:v>4.0000000000000001E-3</c:v>
                </c:pt>
                <c:pt idx="643">
                  <c:v>2.9000000000000001E-2</c:v>
                </c:pt>
                <c:pt idx="644">
                  <c:v>3.5000000000000003E-2</c:v>
                </c:pt>
                <c:pt idx="645">
                  <c:v>0.04</c:v>
                </c:pt>
                <c:pt idx="646">
                  <c:v>2.4E-2</c:v>
                </c:pt>
                <c:pt idx="647">
                  <c:v>2.5999999999999999E-2</c:v>
                </c:pt>
                <c:pt idx="648">
                  <c:v>6.0999999999999999E-2</c:v>
                </c:pt>
                <c:pt idx="649">
                  <c:v>0.11899999999999999</c:v>
                </c:pt>
                <c:pt idx="650">
                  <c:v>0.09</c:v>
                </c:pt>
                <c:pt idx="651">
                  <c:v>0.13</c:v>
                </c:pt>
                <c:pt idx="652">
                  <c:v>0.129</c:v>
                </c:pt>
                <c:pt idx="653">
                  <c:v>0.16700000000000001</c:v>
                </c:pt>
                <c:pt idx="654">
                  <c:v>0.17799999999999999</c:v>
                </c:pt>
                <c:pt idx="655">
                  <c:v>0.21299999999999999</c:v>
                </c:pt>
                <c:pt idx="656">
                  <c:v>0.187</c:v>
                </c:pt>
                <c:pt idx="657">
                  <c:v>0.19500000000000001</c:v>
                </c:pt>
                <c:pt idx="658">
                  <c:v>0.216</c:v>
                </c:pt>
                <c:pt idx="659">
                  <c:v>0.21199999999999999</c:v>
                </c:pt>
                <c:pt idx="660">
                  <c:v>0.186</c:v>
                </c:pt>
                <c:pt idx="661">
                  <c:v>0.17100000000000001</c:v>
                </c:pt>
                <c:pt idx="662">
                  <c:v>0.14299999999999999</c:v>
                </c:pt>
                <c:pt idx="663">
                  <c:v>0.157</c:v>
                </c:pt>
                <c:pt idx="664">
                  <c:v>0.13700000000000001</c:v>
                </c:pt>
                <c:pt idx="665">
                  <c:v>0.108</c:v>
                </c:pt>
                <c:pt idx="666">
                  <c:v>0.122</c:v>
                </c:pt>
                <c:pt idx="667">
                  <c:v>0.122</c:v>
                </c:pt>
                <c:pt idx="668">
                  <c:v>0.14199999999999999</c:v>
                </c:pt>
                <c:pt idx="669">
                  <c:v>0.16800000000000001</c:v>
                </c:pt>
                <c:pt idx="670">
                  <c:v>0.157</c:v>
                </c:pt>
                <c:pt idx="671">
                  <c:v>0.186</c:v>
                </c:pt>
                <c:pt idx="672">
                  <c:v>0.16800000000000001</c:v>
                </c:pt>
                <c:pt idx="673">
                  <c:v>0.182</c:v>
                </c:pt>
                <c:pt idx="674">
                  <c:v>0.17399999999999999</c:v>
                </c:pt>
                <c:pt idx="675">
                  <c:v>0.17</c:v>
                </c:pt>
                <c:pt idx="676">
                  <c:v>0.185</c:v>
                </c:pt>
                <c:pt idx="677">
                  <c:v>0.14699999999999999</c:v>
                </c:pt>
                <c:pt idx="678">
                  <c:v>0.192</c:v>
                </c:pt>
                <c:pt idx="679">
                  <c:v>0.224</c:v>
                </c:pt>
                <c:pt idx="680">
                  <c:v>0.23400000000000001</c:v>
                </c:pt>
                <c:pt idx="681">
                  <c:v>0.252</c:v>
                </c:pt>
                <c:pt idx="682">
                  <c:v>0.27200000000000002</c:v>
                </c:pt>
                <c:pt idx="683">
                  <c:v>0.28100000000000003</c:v>
                </c:pt>
                <c:pt idx="684">
                  <c:v>0.29399999999999998</c:v>
                </c:pt>
                <c:pt idx="685">
                  <c:v>2E-3</c:v>
                </c:pt>
                <c:pt idx="686">
                  <c:v>2.4E-2</c:v>
                </c:pt>
                <c:pt idx="687">
                  <c:v>1.4E-2</c:v>
                </c:pt>
                <c:pt idx="688">
                  <c:v>-1.9E-2</c:v>
                </c:pt>
                <c:pt idx="689">
                  <c:v>-7.6999999999999999E-2</c:v>
                </c:pt>
                <c:pt idx="690">
                  <c:v>-0.08</c:v>
                </c:pt>
                <c:pt idx="691">
                  <c:v>-9.4E-2</c:v>
                </c:pt>
                <c:pt idx="692">
                  <c:v>-9.9000000000000005E-2</c:v>
                </c:pt>
                <c:pt idx="693">
                  <c:v>-0.109</c:v>
                </c:pt>
                <c:pt idx="694">
                  <c:v>-9.6000000000000002E-2</c:v>
                </c:pt>
                <c:pt idx="695">
                  <c:v>-8.1000000000000003E-2</c:v>
                </c:pt>
                <c:pt idx="696">
                  <c:v>-7.6999999999999999E-2</c:v>
                </c:pt>
                <c:pt idx="697">
                  <c:v>-9.9000000000000005E-2</c:v>
                </c:pt>
                <c:pt idx="698">
                  <c:v>-0.11600000000000001</c:v>
                </c:pt>
                <c:pt idx="699">
                  <c:v>-0.114</c:v>
                </c:pt>
                <c:pt idx="700">
                  <c:v>-0.113</c:v>
                </c:pt>
                <c:pt idx="701">
                  <c:v>-0.106</c:v>
                </c:pt>
                <c:pt idx="702">
                  <c:v>-9.8000000000000004E-2</c:v>
                </c:pt>
                <c:pt idx="703">
                  <c:v>-9.2999999999999999E-2</c:v>
                </c:pt>
                <c:pt idx="704">
                  <c:v>-6.4000000000000001E-2</c:v>
                </c:pt>
                <c:pt idx="705">
                  <c:v>-8.1000000000000003E-2</c:v>
                </c:pt>
                <c:pt idx="706">
                  <c:v>-9.9000000000000005E-2</c:v>
                </c:pt>
                <c:pt idx="707">
                  <c:v>-7.2999999999999995E-2</c:v>
                </c:pt>
                <c:pt idx="708">
                  <c:v>-0.10299999999999999</c:v>
                </c:pt>
                <c:pt idx="709">
                  <c:v>-0.10100000000000001</c:v>
                </c:pt>
                <c:pt idx="710">
                  <c:v>-0.11700000000000001</c:v>
                </c:pt>
                <c:pt idx="711">
                  <c:v>-0.14199999999999999</c:v>
                </c:pt>
                <c:pt idx="712">
                  <c:v>-0.13500000000000001</c:v>
                </c:pt>
                <c:pt idx="713">
                  <c:v>-0.129</c:v>
                </c:pt>
                <c:pt idx="714">
                  <c:v>-0.14699999999999999</c:v>
                </c:pt>
                <c:pt idx="715">
                  <c:v>-0.14699999999999999</c:v>
                </c:pt>
                <c:pt idx="716">
                  <c:v>-0.14699999999999999</c:v>
                </c:pt>
                <c:pt idx="717">
                  <c:v>-0.11600000000000001</c:v>
                </c:pt>
                <c:pt idx="718">
                  <c:v>-0.111</c:v>
                </c:pt>
                <c:pt idx="719">
                  <c:v>-0.13700000000000001</c:v>
                </c:pt>
                <c:pt idx="720">
                  <c:v>-0.158</c:v>
                </c:pt>
                <c:pt idx="721">
                  <c:v>-0.19</c:v>
                </c:pt>
                <c:pt idx="722">
                  <c:v>-0.16300000000000001</c:v>
                </c:pt>
                <c:pt idx="723">
                  <c:v>-0.14899999999999999</c:v>
                </c:pt>
                <c:pt idx="724">
                  <c:v>-0.128</c:v>
                </c:pt>
                <c:pt idx="725">
                  <c:v>-0.115</c:v>
                </c:pt>
                <c:pt idx="726">
                  <c:v>-9.7000000000000003E-2</c:v>
                </c:pt>
                <c:pt idx="727">
                  <c:v>-0.107</c:v>
                </c:pt>
                <c:pt idx="728">
                  <c:v>-0.14399999999999999</c:v>
                </c:pt>
                <c:pt idx="729">
                  <c:v>-0.123</c:v>
                </c:pt>
                <c:pt idx="730">
                  <c:v>-8.2000000000000003E-2</c:v>
                </c:pt>
                <c:pt idx="731">
                  <c:v>-0.125</c:v>
                </c:pt>
                <c:pt idx="732">
                  <c:v>-9.6000000000000002E-2</c:v>
                </c:pt>
                <c:pt idx="733">
                  <c:v>-8.5000000000000006E-2</c:v>
                </c:pt>
                <c:pt idx="734">
                  <c:v>-7.9000000000000001E-2</c:v>
                </c:pt>
                <c:pt idx="735">
                  <c:v>-9.9000000000000005E-2</c:v>
                </c:pt>
                <c:pt idx="736">
                  <c:v>-0.113</c:v>
                </c:pt>
                <c:pt idx="737">
                  <c:v>-0.1</c:v>
                </c:pt>
                <c:pt idx="738">
                  <c:v>-0.151</c:v>
                </c:pt>
                <c:pt idx="739">
                  <c:v>-0.13900000000000001</c:v>
                </c:pt>
                <c:pt idx="740">
                  <c:v>-7.4999999999999997E-2</c:v>
                </c:pt>
                <c:pt idx="741">
                  <c:v>-5.1999999999999998E-2</c:v>
                </c:pt>
                <c:pt idx="742">
                  <c:v>-0.11899999999999999</c:v>
                </c:pt>
                <c:pt idx="743">
                  <c:v>-0.128</c:v>
                </c:pt>
                <c:pt idx="744">
                  <c:v>-0.14699999999999999</c:v>
                </c:pt>
                <c:pt idx="745">
                  <c:v>-0.127</c:v>
                </c:pt>
                <c:pt idx="746">
                  <c:v>-0.15</c:v>
                </c:pt>
                <c:pt idx="747">
                  <c:v>-0.20200000000000001</c:v>
                </c:pt>
                <c:pt idx="748">
                  <c:v>-0.2</c:v>
                </c:pt>
                <c:pt idx="749">
                  <c:v>-0.24099999999999999</c:v>
                </c:pt>
                <c:pt idx="750">
                  <c:v>-0.30099999999999999</c:v>
                </c:pt>
                <c:pt idx="751">
                  <c:v>-0.371</c:v>
                </c:pt>
                <c:pt idx="752">
                  <c:v>-0.39</c:v>
                </c:pt>
                <c:pt idx="753">
                  <c:v>-0.41</c:v>
                </c:pt>
                <c:pt idx="754">
                  <c:v>-0.372</c:v>
                </c:pt>
                <c:pt idx="755">
                  <c:v>-0.42</c:v>
                </c:pt>
                <c:pt idx="756">
                  <c:v>-0.41499999999999998</c:v>
                </c:pt>
                <c:pt idx="757">
                  <c:v>-0.41099999999999998</c:v>
                </c:pt>
                <c:pt idx="758">
                  <c:v>-0.42499999999999999</c:v>
                </c:pt>
                <c:pt idx="759">
                  <c:v>-0.45700000000000002</c:v>
                </c:pt>
                <c:pt idx="760">
                  <c:v>-0.44900000000000001</c:v>
                </c:pt>
                <c:pt idx="761">
                  <c:v>-0.46700000000000003</c:v>
                </c:pt>
                <c:pt idx="762">
                  <c:v>-0.46800000000000003</c:v>
                </c:pt>
                <c:pt idx="763">
                  <c:v>-0.46400000000000002</c:v>
                </c:pt>
                <c:pt idx="764">
                  <c:v>-0.47599999999999998</c:v>
                </c:pt>
                <c:pt idx="765">
                  <c:v>-0.443</c:v>
                </c:pt>
                <c:pt idx="766">
                  <c:v>-0.434</c:v>
                </c:pt>
                <c:pt idx="767">
                  <c:v>-0.47199999999999998</c:v>
                </c:pt>
                <c:pt idx="768">
                  <c:v>-0.47299999999999998</c:v>
                </c:pt>
                <c:pt idx="769">
                  <c:v>-0.48199999999999998</c:v>
                </c:pt>
                <c:pt idx="770">
                  <c:v>-0.48599999999999999</c:v>
                </c:pt>
                <c:pt idx="771">
                  <c:v>-0.501</c:v>
                </c:pt>
                <c:pt idx="772">
                  <c:v>-0.48599999999999999</c:v>
                </c:pt>
                <c:pt idx="773">
                  <c:v>-0.46</c:v>
                </c:pt>
                <c:pt idx="774">
                  <c:v>-0.47899999999999998</c:v>
                </c:pt>
                <c:pt idx="775">
                  <c:v>-0.499</c:v>
                </c:pt>
                <c:pt idx="776">
                  <c:v>-0.50600000000000001</c:v>
                </c:pt>
                <c:pt idx="777">
                  <c:v>-0.51200000000000001</c:v>
                </c:pt>
                <c:pt idx="778">
                  <c:v>-0.52900000000000003</c:v>
                </c:pt>
                <c:pt idx="779">
                  <c:v>-0.54900000000000004</c:v>
                </c:pt>
                <c:pt idx="780">
                  <c:v>-0.51900000000000002</c:v>
                </c:pt>
                <c:pt idx="781">
                  <c:v>-0.51900000000000002</c:v>
                </c:pt>
                <c:pt idx="782">
                  <c:v>-0.51900000000000002</c:v>
                </c:pt>
                <c:pt idx="783">
                  <c:v>-0.52500000000000002</c:v>
                </c:pt>
                <c:pt idx="784">
                  <c:v>-0.52100000000000002</c:v>
                </c:pt>
                <c:pt idx="785">
                  <c:v>-0.50700000000000001</c:v>
                </c:pt>
                <c:pt idx="786">
                  <c:v>-0.50700000000000001</c:v>
                </c:pt>
                <c:pt idx="787">
                  <c:v>-0.50700000000000001</c:v>
                </c:pt>
                <c:pt idx="788">
                  <c:v>-0.53400000000000003</c:v>
                </c:pt>
                <c:pt idx="789">
                  <c:v>-0.52</c:v>
                </c:pt>
                <c:pt idx="790">
                  <c:v>-0.51800000000000002</c:v>
                </c:pt>
                <c:pt idx="791">
                  <c:v>-0.52200000000000002</c:v>
                </c:pt>
                <c:pt idx="792">
                  <c:v>-0.51400000000000001</c:v>
                </c:pt>
                <c:pt idx="793">
                  <c:v>-0.55400000000000005</c:v>
                </c:pt>
                <c:pt idx="794">
                  <c:v>-0.56399999999999995</c:v>
                </c:pt>
                <c:pt idx="795">
                  <c:v>-0.56200000000000006</c:v>
                </c:pt>
                <c:pt idx="796">
                  <c:v>-0.53900000000000003</c:v>
                </c:pt>
                <c:pt idx="797">
                  <c:v>-0.53900000000000003</c:v>
                </c:pt>
                <c:pt idx="798">
                  <c:v>-0.54100000000000004</c:v>
                </c:pt>
                <c:pt idx="799">
                  <c:v>-0.51800000000000002</c:v>
                </c:pt>
                <c:pt idx="800">
                  <c:v>-0.495</c:v>
                </c:pt>
                <c:pt idx="801">
                  <c:v>-0.50600000000000001</c:v>
                </c:pt>
                <c:pt idx="802">
                  <c:v>-0.47599999999999998</c:v>
                </c:pt>
                <c:pt idx="803">
                  <c:v>-0.48</c:v>
                </c:pt>
                <c:pt idx="804">
                  <c:v>-0.50700000000000001</c:v>
                </c:pt>
                <c:pt idx="805">
                  <c:v>-0.51600000000000001</c:v>
                </c:pt>
                <c:pt idx="806">
                  <c:v>-0.48099999999999998</c:v>
                </c:pt>
                <c:pt idx="807">
                  <c:v>-0.41399999999999998</c:v>
                </c:pt>
                <c:pt idx="808">
                  <c:v>-0.376</c:v>
                </c:pt>
                <c:pt idx="809">
                  <c:v>-0.36599999999999999</c:v>
                </c:pt>
                <c:pt idx="810">
                  <c:v>-0.36699999999999999</c:v>
                </c:pt>
                <c:pt idx="811">
                  <c:v>-0.34599999999999997</c:v>
                </c:pt>
                <c:pt idx="812">
                  <c:v>-0.33300000000000002</c:v>
                </c:pt>
                <c:pt idx="813">
                  <c:v>-0.34799999999999998</c:v>
                </c:pt>
                <c:pt idx="814">
                  <c:v>-0.33</c:v>
                </c:pt>
                <c:pt idx="815">
                  <c:v>-0.33400000000000002</c:v>
                </c:pt>
                <c:pt idx="816">
                  <c:v>-0.32200000000000001</c:v>
                </c:pt>
                <c:pt idx="817">
                  <c:v>-0.3</c:v>
                </c:pt>
                <c:pt idx="818">
                  <c:v>-0.27100000000000002</c:v>
                </c:pt>
                <c:pt idx="819">
                  <c:v>-0.28799999999999998</c:v>
                </c:pt>
                <c:pt idx="820">
                  <c:v>-0.38700000000000001</c:v>
                </c:pt>
                <c:pt idx="821">
                  <c:v>-0.39900000000000002</c:v>
                </c:pt>
                <c:pt idx="822">
                  <c:v>-0.39400000000000002</c:v>
                </c:pt>
                <c:pt idx="823">
                  <c:v>-0.375</c:v>
                </c:pt>
                <c:pt idx="824">
                  <c:v>-0.38200000000000001</c:v>
                </c:pt>
                <c:pt idx="825">
                  <c:v>-0.379</c:v>
                </c:pt>
                <c:pt idx="826">
                  <c:v>-0.38400000000000001</c:v>
                </c:pt>
                <c:pt idx="827">
                  <c:v>-0.36399999999999999</c:v>
                </c:pt>
                <c:pt idx="828">
                  <c:v>-0.35499999999999998</c:v>
                </c:pt>
                <c:pt idx="829">
                  <c:v>-0.32500000000000001</c:v>
                </c:pt>
                <c:pt idx="830">
                  <c:v>-0.315</c:v>
                </c:pt>
                <c:pt idx="831">
                  <c:v>-0.27200000000000002</c:v>
                </c:pt>
                <c:pt idx="832">
                  <c:v>-0.27700000000000002</c:v>
                </c:pt>
                <c:pt idx="833">
                  <c:v>-0.29099999999999998</c:v>
                </c:pt>
                <c:pt idx="834">
                  <c:v>-0.30599999999999999</c:v>
                </c:pt>
                <c:pt idx="835">
                  <c:v>-0.33700000000000002</c:v>
                </c:pt>
                <c:pt idx="836">
                  <c:v>-0.32200000000000001</c:v>
                </c:pt>
                <c:pt idx="837">
                  <c:v>-0.30399999999999999</c:v>
                </c:pt>
                <c:pt idx="838">
                  <c:v>-0.24</c:v>
                </c:pt>
                <c:pt idx="839">
                  <c:v>-0.23699999999999999</c:v>
                </c:pt>
                <c:pt idx="840">
                  <c:v>-0.20300000000000001</c:v>
                </c:pt>
                <c:pt idx="841">
                  <c:v>-0.19600000000000001</c:v>
                </c:pt>
                <c:pt idx="842">
                  <c:v>-0.182</c:v>
                </c:pt>
                <c:pt idx="843">
                  <c:v>-0.185</c:v>
                </c:pt>
                <c:pt idx="844">
                  <c:v>-0.17899999999999999</c:v>
                </c:pt>
                <c:pt idx="845">
                  <c:v>-0.19500000000000001</c:v>
                </c:pt>
                <c:pt idx="846">
                  <c:v>-0.192</c:v>
                </c:pt>
                <c:pt idx="847">
                  <c:v>-0.2</c:v>
                </c:pt>
                <c:pt idx="848">
                  <c:v>-0.215</c:v>
                </c:pt>
                <c:pt idx="849">
                  <c:v>-0.308</c:v>
                </c:pt>
                <c:pt idx="850">
                  <c:v>-0.30499999999999999</c:v>
                </c:pt>
                <c:pt idx="851">
                  <c:v>-0.28999999999999998</c:v>
                </c:pt>
                <c:pt idx="852">
                  <c:v>-0.28899999999999998</c:v>
                </c:pt>
                <c:pt idx="853">
                  <c:v>-0.29799999999999999</c:v>
                </c:pt>
                <c:pt idx="854">
                  <c:v>-0.308</c:v>
                </c:pt>
                <c:pt idx="855">
                  <c:v>-0.27400000000000002</c:v>
                </c:pt>
                <c:pt idx="856">
                  <c:v>-0.28199999999999997</c:v>
                </c:pt>
                <c:pt idx="857">
                  <c:v>-0.27200000000000002</c:v>
                </c:pt>
                <c:pt idx="858">
                  <c:v>-0.26600000000000001</c:v>
                </c:pt>
                <c:pt idx="859">
                  <c:v>-0.25900000000000001</c:v>
                </c:pt>
                <c:pt idx="860">
                  <c:v>-0.249</c:v>
                </c:pt>
                <c:pt idx="861">
                  <c:v>-0.21299999999999999</c:v>
                </c:pt>
                <c:pt idx="862">
                  <c:v>-0.23499999999999999</c:v>
                </c:pt>
                <c:pt idx="863">
                  <c:v>-0.25900000000000001</c:v>
                </c:pt>
                <c:pt idx="864">
                  <c:v>-0.23100000000000001</c:v>
                </c:pt>
                <c:pt idx="865">
                  <c:v>-0.23499999999999999</c:v>
                </c:pt>
                <c:pt idx="866">
                  <c:v>-0.251</c:v>
                </c:pt>
                <c:pt idx="867">
                  <c:v>-0.23699999999999999</c:v>
                </c:pt>
                <c:pt idx="868">
                  <c:v>-0.17299999999999999</c:v>
                </c:pt>
                <c:pt idx="869">
                  <c:v>-0.159</c:v>
                </c:pt>
                <c:pt idx="870">
                  <c:v>-0.16900000000000001</c:v>
                </c:pt>
                <c:pt idx="871">
                  <c:v>-0.17799999999999999</c:v>
                </c:pt>
                <c:pt idx="872">
                  <c:v>-0.184</c:v>
                </c:pt>
                <c:pt idx="873">
                  <c:v>-0.20499999999999999</c:v>
                </c:pt>
                <c:pt idx="874">
                  <c:v>-0.25700000000000001</c:v>
                </c:pt>
                <c:pt idx="875">
                  <c:v>-0.26200000000000001</c:v>
                </c:pt>
                <c:pt idx="876">
                  <c:v>-0.25800000000000001</c:v>
                </c:pt>
                <c:pt idx="877">
                  <c:v>-0.23300000000000001</c:v>
                </c:pt>
                <c:pt idx="878">
                  <c:v>-0.22</c:v>
                </c:pt>
                <c:pt idx="879">
                  <c:v>-0.20399999999999999</c:v>
                </c:pt>
                <c:pt idx="880">
                  <c:v>-0.17599999999999999</c:v>
                </c:pt>
                <c:pt idx="881">
                  <c:v>-0.17199999999999999</c:v>
                </c:pt>
                <c:pt idx="882">
                  <c:v>-0.214</c:v>
                </c:pt>
                <c:pt idx="883">
                  <c:v>-0.219</c:v>
                </c:pt>
                <c:pt idx="884">
                  <c:v>-0.26100000000000001</c:v>
                </c:pt>
                <c:pt idx="885">
                  <c:v>-0.22</c:v>
                </c:pt>
                <c:pt idx="886">
                  <c:v>-0.248</c:v>
                </c:pt>
                <c:pt idx="887">
                  <c:v>-0.222</c:v>
                </c:pt>
                <c:pt idx="888">
                  <c:v>-0.25800000000000001</c:v>
                </c:pt>
                <c:pt idx="889">
                  <c:v>-0.218</c:v>
                </c:pt>
                <c:pt idx="890">
                  <c:v>-0.22700000000000001</c:v>
                </c:pt>
                <c:pt idx="891">
                  <c:v>-0.23699999999999999</c:v>
                </c:pt>
                <c:pt idx="892">
                  <c:v>-0.19900000000000001</c:v>
                </c:pt>
                <c:pt idx="893">
                  <c:v>-0.2</c:v>
                </c:pt>
                <c:pt idx="894">
                  <c:v>-0.18099999999999999</c:v>
                </c:pt>
                <c:pt idx="895">
                  <c:v>-0.14399999999999999</c:v>
                </c:pt>
                <c:pt idx="896">
                  <c:v>-0.17799999999999999</c:v>
                </c:pt>
                <c:pt idx="897">
                  <c:v>-0.184</c:v>
                </c:pt>
                <c:pt idx="898">
                  <c:v>-0.159</c:v>
                </c:pt>
                <c:pt idx="899">
                  <c:v>-0.151</c:v>
                </c:pt>
                <c:pt idx="900">
                  <c:v>-0.155</c:v>
                </c:pt>
                <c:pt idx="901">
                  <c:v>-0.17899999999999999</c:v>
                </c:pt>
                <c:pt idx="902">
                  <c:v>-0.16200000000000001</c:v>
                </c:pt>
                <c:pt idx="903">
                  <c:v>-0.14000000000000001</c:v>
                </c:pt>
                <c:pt idx="904">
                  <c:v>-0.107</c:v>
                </c:pt>
                <c:pt idx="905">
                  <c:v>-0.11799999999999999</c:v>
                </c:pt>
                <c:pt idx="906">
                  <c:v>-0.115</c:v>
                </c:pt>
                <c:pt idx="907">
                  <c:v>-9.1999999999999998E-2</c:v>
                </c:pt>
                <c:pt idx="908">
                  <c:v>-8.1000000000000003E-2</c:v>
                </c:pt>
                <c:pt idx="909">
                  <c:v>-7.2999999999999995E-2</c:v>
                </c:pt>
                <c:pt idx="910">
                  <c:v>-0.06</c:v>
                </c:pt>
                <c:pt idx="911">
                  <c:v>-6.0999999999999999E-2</c:v>
                </c:pt>
                <c:pt idx="912">
                  <c:v>-2.3E-2</c:v>
                </c:pt>
                <c:pt idx="913">
                  <c:v>-6.4000000000000001E-2</c:v>
                </c:pt>
                <c:pt idx="914">
                  <c:v>-5.2999999999999999E-2</c:v>
                </c:pt>
                <c:pt idx="915">
                  <c:v>-5.8999999999999997E-2</c:v>
                </c:pt>
                <c:pt idx="916">
                  <c:v>-5.7000000000000002E-2</c:v>
                </c:pt>
                <c:pt idx="917">
                  <c:v>-3.1E-2</c:v>
                </c:pt>
                <c:pt idx="918">
                  <c:v>-1.9E-2</c:v>
                </c:pt>
                <c:pt idx="919">
                  <c:v>-3.6999999999999998E-2</c:v>
                </c:pt>
                <c:pt idx="920">
                  <c:v>-2.7E-2</c:v>
                </c:pt>
                <c:pt idx="921">
                  <c:v>-5.0000000000000001E-3</c:v>
                </c:pt>
                <c:pt idx="922">
                  <c:v>2.8000000000000001E-2</c:v>
                </c:pt>
                <c:pt idx="923">
                  <c:v>2.1999999999999999E-2</c:v>
                </c:pt>
                <c:pt idx="924">
                  <c:v>1E-3</c:v>
                </c:pt>
                <c:pt idx="925">
                  <c:v>2.1000000000000001E-2</c:v>
                </c:pt>
                <c:pt idx="926">
                  <c:v>5.0999999999999997E-2</c:v>
                </c:pt>
                <c:pt idx="927">
                  <c:v>9.8000000000000004E-2</c:v>
                </c:pt>
                <c:pt idx="928">
                  <c:v>8.8999999999999996E-2</c:v>
                </c:pt>
                <c:pt idx="929">
                  <c:v>7.9000000000000001E-2</c:v>
                </c:pt>
                <c:pt idx="930">
                  <c:v>0.156</c:v>
                </c:pt>
                <c:pt idx="931">
                  <c:v>0.17299999999999999</c:v>
                </c:pt>
                <c:pt idx="932">
                  <c:v>0.187</c:v>
                </c:pt>
                <c:pt idx="933">
                  <c:v>0.23499999999999999</c:v>
                </c:pt>
                <c:pt idx="934">
                  <c:v>0.311</c:v>
                </c:pt>
                <c:pt idx="935">
                  <c:v>0.255</c:v>
                </c:pt>
                <c:pt idx="936">
                  <c:v>0.307</c:v>
                </c:pt>
                <c:pt idx="937">
                  <c:v>0.36699999999999999</c:v>
                </c:pt>
                <c:pt idx="938">
                  <c:v>0.39600000000000002</c:v>
                </c:pt>
                <c:pt idx="939">
                  <c:v>0.42499999999999999</c:v>
                </c:pt>
                <c:pt idx="940">
                  <c:v>0.50800000000000001</c:v>
                </c:pt>
                <c:pt idx="941">
                  <c:v>0.56799999999999995</c:v>
                </c:pt>
                <c:pt idx="942">
                  <c:v>0.58699999999999997</c:v>
                </c:pt>
                <c:pt idx="943">
                  <c:v>0.61399999999999999</c:v>
                </c:pt>
                <c:pt idx="944">
                  <c:v>0.65900000000000003</c:v>
                </c:pt>
                <c:pt idx="945">
                  <c:v>0.66400000000000003</c:v>
                </c:pt>
                <c:pt idx="946">
                  <c:v>0.66100000000000003</c:v>
                </c:pt>
                <c:pt idx="947">
                  <c:v>0.67800000000000005</c:v>
                </c:pt>
                <c:pt idx="948">
                  <c:v>0.71199999999999997</c:v>
                </c:pt>
                <c:pt idx="949">
                  <c:v>0.73599999999999999</c:v>
                </c:pt>
                <c:pt idx="950">
                  <c:v>0.71899999999999997</c:v>
                </c:pt>
                <c:pt idx="951">
                  <c:v>0.73199999999999998</c:v>
                </c:pt>
                <c:pt idx="952">
                  <c:v>0.76500000000000001</c:v>
                </c:pt>
                <c:pt idx="953">
                  <c:v>0.66700000000000004</c:v>
                </c:pt>
                <c:pt idx="954">
                  <c:v>0.63300000000000001</c:v>
                </c:pt>
                <c:pt idx="955">
                  <c:v>0.63800000000000001</c:v>
                </c:pt>
                <c:pt idx="956">
                  <c:v>0.63800000000000001</c:v>
                </c:pt>
                <c:pt idx="957">
                  <c:v>0.70099999999999996</c:v>
                </c:pt>
                <c:pt idx="958">
                  <c:v>0.76900000000000002</c:v>
                </c:pt>
                <c:pt idx="959">
                  <c:v>0.78300000000000003</c:v>
                </c:pt>
                <c:pt idx="960">
                  <c:v>0.79400000000000004</c:v>
                </c:pt>
                <c:pt idx="961">
                  <c:v>0.82799999999999996</c:v>
                </c:pt>
                <c:pt idx="962">
                  <c:v>0.83699999999999997</c:v>
                </c:pt>
                <c:pt idx="963">
                  <c:v>0.78</c:v>
                </c:pt>
                <c:pt idx="964">
                  <c:v>0.73399999999999999</c:v>
                </c:pt>
                <c:pt idx="965">
                  <c:v>0.65900000000000003</c:v>
                </c:pt>
                <c:pt idx="966">
                  <c:v>0.63600000000000001</c:v>
                </c:pt>
                <c:pt idx="967">
                  <c:v>0.65600000000000003</c:v>
                </c:pt>
                <c:pt idx="968">
                  <c:v>0.68300000000000005</c:v>
                </c:pt>
                <c:pt idx="969">
                  <c:v>0.68200000000000005</c:v>
                </c:pt>
                <c:pt idx="970">
                  <c:v>0.68200000000000005</c:v>
                </c:pt>
                <c:pt idx="971">
                  <c:v>0.68200000000000005</c:v>
                </c:pt>
                <c:pt idx="972">
                  <c:v>0.74199999999999999</c:v>
                </c:pt>
                <c:pt idx="973">
                  <c:v>0.64100000000000001</c:v>
                </c:pt>
                <c:pt idx="974">
                  <c:v>0.6</c:v>
                </c:pt>
                <c:pt idx="975">
                  <c:v>0.61299999999999999</c:v>
                </c:pt>
                <c:pt idx="976">
                  <c:v>0.56599999999999995</c:v>
                </c:pt>
                <c:pt idx="977">
                  <c:v>0.51300000000000001</c:v>
                </c:pt>
                <c:pt idx="978">
                  <c:v>0.51500000000000001</c:v>
                </c:pt>
                <c:pt idx="979">
                  <c:v>0.46700000000000003</c:v>
                </c:pt>
                <c:pt idx="980">
                  <c:v>0.36899999999999999</c:v>
                </c:pt>
                <c:pt idx="981">
                  <c:v>0.40500000000000003</c:v>
                </c:pt>
                <c:pt idx="982">
                  <c:v>0.57399999999999995</c:v>
                </c:pt>
                <c:pt idx="983">
                  <c:v>0.48799999999999999</c:v>
                </c:pt>
                <c:pt idx="984">
                  <c:v>0.42399999999999999</c:v>
                </c:pt>
                <c:pt idx="985">
                  <c:v>0.45700000000000002</c:v>
                </c:pt>
                <c:pt idx="986">
                  <c:v>0.49399999999999999</c:v>
                </c:pt>
                <c:pt idx="987">
                  <c:v>0.66700000000000004</c:v>
                </c:pt>
                <c:pt idx="988">
                  <c:v>0.49399999999999999</c:v>
                </c:pt>
                <c:pt idx="989">
                  <c:v>0.28100000000000003</c:v>
                </c:pt>
                <c:pt idx="990">
                  <c:v>0.125</c:v>
                </c:pt>
                <c:pt idx="991">
                  <c:v>7.3999999999999996E-2</c:v>
                </c:pt>
                <c:pt idx="992">
                  <c:v>-9.5000000000000001E-2</c:v>
                </c:pt>
                <c:pt idx="993">
                  <c:v>-8.7999999999999995E-2</c:v>
                </c:pt>
                <c:pt idx="994">
                  <c:v>-0.17</c:v>
                </c:pt>
                <c:pt idx="995">
                  <c:v>-0.127</c:v>
                </c:pt>
                <c:pt idx="996">
                  <c:v>-0.13800000000000001</c:v>
                </c:pt>
                <c:pt idx="997">
                  <c:v>-0.115</c:v>
                </c:pt>
                <c:pt idx="998">
                  <c:v>-0.114</c:v>
                </c:pt>
                <c:pt idx="999">
                  <c:v>-0.10100000000000001</c:v>
                </c:pt>
                <c:pt idx="1000">
                  <c:v>-8.8999999999999996E-2</c:v>
                </c:pt>
                <c:pt idx="1001">
                  <c:v>-6.9000000000000006E-2</c:v>
                </c:pt>
                <c:pt idx="1002">
                  <c:v>-5.3999999999999999E-2</c:v>
                </c:pt>
                <c:pt idx="1003">
                  <c:v>-7.9000000000000001E-2</c:v>
                </c:pt>
                <c:pt idx="1004">
                  <c:v>-6.6000000000000003E-2</c:v>
                </c:pt>
                <c:pt idx="1005">
                  <c:v>-4.2999999999999997E-2</c:v>
                </c:pt>
                <c:pt idx="1006">
                  <c:v>-3.9E-2</c:v>
                </c:pt>
                <c:pt idx="1007">
                  <c:v>-1.4999999999999999E-2</c:v>
                </c:pt>
                <c:pt idx="1008">
                  <c:v>-1E-3</c:v>
                </c:pt>
                <c:pt idx="1009">
                  <c:v>5.0000000000000001E-3</c:v>
                </c:pt>
                <c:pt idx="1010">
                  <c:v>8.9999999999999993E-3</c:v>
                </c:pt>
                <c:pt idx="1011">
                  <c:v>0.02</c:v>
                </c:pt>
                <c:pt idx="1012">
                  <c:v>3.5000000000000003E-2</c:v>
                </c:pt>
                <c:pt idx="1013">
                  <c:v>3.1E-2</c:v>
                </c:pt>
                <c:pt idx="1014">
                  <c:v>1.2E-2</c:v>
                </c:pt>
                <c:pt idx="1015">
                  <c:v>4.1000000000000002E-2</c:v>
                </c:pt>
                <c:pt idx="1016">
                  <c:v>6.5000000000000002E-2</c:v>
                </c:pt>
                <c:pt idx="1017">
                  <c:v>6.6000000000000003E-2</c:v>
                </c:pt>
                <c:pt idx="1018">
                  <c:v>3.2000000000000001E-2</c:v>
                </c:pt>
                <c:pt idx="1019">
                  <c:v>-5.0000000000000001E-3</c:v>
                </c:pt>
                <c:pt idx="1020">
                  <c:v>-8.0000000000000002E-3</c:v>
                </c:pt>
                <c:pt idx="1021">
                  <c:v>1.4999999999999999E-2</c:v>
                </c:pt>
                <c:pt idx="1022">
                  <c:v>3.9E-2</c:v>
                </c:pt>
                <c:pt idx="1023">
                  <c:v>5.0999999999999997E-2</c:v>
                </c:pt>
                <c:pt idx="1024">
                  <c:v>1.7999999999999999E-2</c:v>
                </c:pt>
                <c:pt idx="1025">
                  <c:v>7.6999999999999999E-2</c:v>
                </c:pt>
                <c:pt idx="1026">
                  <c:v>9.6000000000000002E-2</c:v>
                </c:pt>
                <c:pt idx="1027">
                  <c:v>0.129</c:v>
                </c:pt>
                <c:pt idx="1028">
                  <c:v>0.13800000000000001</c:v>
                </c:pt>
                <c:pt idx="1029">
                  <c:v>0.161</c:v>
                </c:pt>
                <c:pt idx="1030">
                  <c:v>0.16800000000000001</c:v>
                </c:pt>
                <c:pt idx="1031">
                  <c:v>0.16</c:v>
                </c:pt>
                <c:pt idx="1032">
                  <c:v>0.17899999999999999</c:v>
                </c:pt>
                <c:pt idx="1033">
                  <c:v>0.20399999999999999</c:v>
                </c:pt>
                <c:pt idx="1034">
                  <c:v>0.20899999999999999</c:v>
                </c:pt>
                <c:pt idx="1035">
                  <c:v>0.186</c:v>
                </c:pt>
                <c:pt idx="1036">
                  <c:v>0.19500000000000001</c:v>
                </c:pt>
                <c:pt idx="1037">
                  <c:v>0.16500000000000001</c:v>
                </c:pt>
                <c:pt idx="1038">
                  <c:v>0.13</c:v>
                </c:pt>
                <c:pt idx="1039">
                  <c:v>0.126</c:v>
                </c:pt>
                <c:pt idx="1040">
                  <c:v>0.13</c:v>
                </c:pt>
                <c:pt idx="1041">
                  <c:v>0.17599999999999999</c:v>
                </c:pt>
                <c:pt idx="1042">
                  <c:v>0.192</c:v>
                </c:pt>
                <c:pt idx="1043">
                  <c:v>0.192</c:v>
                </c:pt>
                <c:pt idx="1044">
                  <c:v>0.20200000000000001</c:v>
                </c:pt>
                <c:pt idx="1045">
                  <c:v>0.155</c:v>
                </c:pt>
                <c:pt idx="1046">
                  <c:v>0.16700000000000001</c:v>
                </c:pt>
                <c:pt idx="1047">
                  <c:v>0.16700000000000001</c:v>
                </c:pt>
                <c:pt idx="1048">
                  <c:v>0.16700000000000001</c:v>
                </c:pt>
                <c:pt idx="1049">
                  <c:v>0.16600000000000001</c:v>
                </c:pt>
                <c:pt idx="1050">
                  <c:v>0.16200000000000001</c:v>
                </c:pt>
                <c:pt idx="1051">
                  <c:v>0.17100000000000001</c:v>
                </c:pt>
                <c:pt idx="1052">
                  <c:v>0.16</c:v>
                </c:pt>
                <c:pt idx="1053">
                  <c:v>0.113</c:v>
                </c:pt>
                <c:pt idx="1054">
                  <c:v>0.122</c:v>
                </c:pt>
                <c:pt idx="1055">
                  <c:v>0.11</c:v>
                </c:pt>
                <c:pt idx="1056">
                  <c:v>0.13200000000000001</c:v>
                </c:pt>
                <c:pt idx="1057">
                  <c:v>9.2999999999999999E-2</c:v>
                </c:pt>
                <c:pt idx="1058">
                  <c:v>0.11799999999999999</c:v>
                </c:pt>
                <c:pt idx="1059">
                  <c:v>0.11</c:v>
                </c:pt>
                <c:pt idx="1060">
                  <c:v>0.126</c:v>
                </c:pt>
                <c:pt idx="1061">
                  <c:v>0.11899999999999999</c:v>
                </c:pt>
                <c:pt idx="1062">
                  <c:v>0.09</c:v>
                </c:pt>
                <c:pt idx="1063">
                  <c:v>6.5000000000000002E-2</c:v>
                </c:pt>
                <c:pt idx="1064">
                  <c:v>0.13500000000000001</c:v>
                </c:pt>
                <c:pt idx="1065">
                  <c:v>5.8000000000000003E-2</c:v>
                </c:pt>
                <c:pt idx="1066">
                  <c:v>5.0999999999999997E-2</c:v>
                </c:pt>
                <c:pt idx="1067">
                  <c:v>5.0999999999999997E-2</c:v>
                </c:pt>
                <c:pt idx="1068">
                  <c:v>5.5E-2</c:v>
                </c:pt>
                <c:pt idx="1069">
                  <c:v>7.3999999999999996E-2</c:v>
                </c:pt>
                <c:pt idx="1070">
                  <c:v>6.4000000000000001E-2</c:v>
                </c:pt>
                <c:pt idx="1071">
                  <c:v>9.7000000000000003E-2</c:v>
                </c:pt>
                <c:pt idx="1072">
                  <c:v>7.0999999999999994E-2</c:v>
                </c:pt>
                <c:pt idx="1073">
                  <c:v>8.7999999999999995E-2</c:v>
                </c:pt>
                <c:pt idx="1074">
                  <c:v>8.8999999999999996E-2</c:v>
                </c:pt>
                <c:pt idx="1075">
                  <c:v>8.5999999999999993E-2</c:v>
                </c:pt>
                <c:pt idx="1076">
                  <c:v>7.0999999999999994E-2</c:v>
                </c:pt>
                <c:pt idx="1077">
                  <c:v>0.10299999999999999</c:v>
                </c:pt>
                <c:pt idx="1078">
                  <c:v>0.14699999999999999</c:v>
                </c:pt>
                <c:pt idx="1079">
                  <c:v>0.158</c:v>
                </c:pt>
                <c:pt idx="1080">
                  <c:v>0.153</c:v>
                </c:pt>
                <c:pt idx="1081">
                  <c:v>0.17199999999999999</c:v>
                </c:pt>
                <c:pt idx="1082">
                  <c:v>0.09</c:v>
                </c:pt>
                <c:pt idx="1083">
                  <c:v>0.111</c:v>
                </c:pt>
                <c:pt idx="1084">
                  <c:v>0.08</c:v>
                </c:pt>
                <c:pt idx="1085">
                  <c:v>4.9000000000000002E-2</c:v>
                </c:pt>
                <c:pt idx="1086">
                  <c:v>2.8000000000000001E-2</c:v>
                </c:pt>
                <c:pt idx="1087">
                  <c:v>7.2999999999999995E-2</c:v>
                </c:pt>
                <c:pt idx="1088">
                  <c:v>7.4999999999999997E-2</c:v>
                </c:pt>
                <c:pt idx="1089">
                  <c:v>9.2999999999999999E-2</c:v>
                </c:pt>
                <c:pt idx="1090">
                  <c:v>5.8000000000000003E-2</c:v>
                </c:pt>
                <c:pt idx="1091">
                  <c:v>2.3E-2</c:v>
                </c:pt>
                <c:pt idx="1092">
                  <c:v>0.03</c:v>
                </c:pt>
                <c:pt idx="1093">
                  <c:v>6.5000000000000002E-2</c:v>
                </c:pt>
                <c:pt idx="1094">
                  <c:v>9.1999999999999998E-2</c:v>
                </c:pt>
                <c:pt idx="1095">
                  <c:v>6.3E-2</c:v>
                </c:pt>
                <c:pt idx="1096">
                  <c:v>3.9E-2</c:v>
                </c:pt>
                <c:pt idx="1097">
                  <c:v>4.9000000000000002E-2</c:v>
                </c:pt>
                <c:pt idx="1098">
                  <c:v>4.3999999999999997E-2</c:v>
                </c:pt>
                <c:pt idx="1099">
                  <c:v>6.0000000000000001E-3</c:v>
                </c:pt>
                <c:pt idx="1100">
                  <c:v>0.03</c:v>
                </c:pt>
                <c:pt idx="1101">
                  <c:v>8.9999999999999993E-3</c:v>
                </c:pt>
                <c:pt idx="1102">
                  <c:v>-0.28100000000000003</c:v>
                </c:pt>
                <c:pt idx="1103">
                  <c:v>-0.31</c:v>
                </c:pt>
                <c:pt idx="1104">
                  <c:v>-0.29699999999999999</c:v>
                </c:pt>
                <c:pt idx="1105">
                  <c:v>-0.312</c:v>
                </c:pt>
                <c:pt idx="1106">
                  <c:v>-0.30399999999999999</c:v>
                </c:pt>
                <c:pt idx="1107">
                  <c:v>-0.27700000000000002</c:v>
                </c:pt>
                <c:pt idx="1108">
                  <c:v>-0.29199999999999998</c:v>
                </c:pt>
                <c:pt idx="1109">
                  <c:v>-0.29299999999999998</c:v>
                </c:pt>
                <c:pt idx="1110">
                  <c:v>-0.307</c:v>
                </c:pt>
                <c:pt idx="1111">
                  <c:v>-0.308</c:v>
                </c:pt>
                <c:pt idx="1112">
                  <c:v>-0.307</c:v>
                </c:pt>
                <c:pt idx="1113">
                  <c:v>-0.31900000000000001</c:v>
                </c:pt>
                <c:pt idx="1114">
                  <c:v>-0.311</c:v>
                </c:pt>
                <c:pt idx="1115">
                  <c:v>-0.254</c:v>
                </c:pt>
                <c:pt idx="1116">
                  <c:v>-0.29699999999999999</c:v>
                </c:pt>
                <c:pt idx="1117">
                  <c:v>-0.311</c:v>
                </c:pt>
                <c:pt idx="1118">
                  <c:v>-0.28000000000000003</c:v>
                </c:pt>
                <c:pt idx="1119">
                  <c:v>-0.29799999999999999</c:v>
                </c:pt>
                <c:pt idx="1120">
                  <c:v>-0.28599999999999998</c:v>
                </c:pt>
                <c:pt idx="1121">
                  <c:v>-0.33800000000000002</c:v>
                </c:pt>
                <c:pt idx="1122">
                  <c:v>-0.36899999999999999</c:v>
                </c:pt>
                <c:pt idx="1123">
                  <c:v>-0.35299999999999998</c:v>
                </c:pt>
                <c:pt idx="1124">
                  <c:v>-0.372</c:v>
                </c:pt>
                <c:pt idx="1125">
                  <c:v>-0.42299999999999999</c:v>
                </c:pt>
                <c:pt idx="1126">
                  <c:v>-0.372</c:v>
                </c:pt>
                <c:pt idx="1127">
                  <c:v>-0.443</c:v>
                </c:pt>
                <c:pt idx="1128">
                  <c:v>-0.44</c:v>
                </c:pt>
                <c:pt idx="1129">
                  <c:v>-0.42799999999999999</c:v>
                </c:pt>
                <c:pt idx="1130">
                  <c:v>-0.45100000000000001</c:v>
                </c:pt>
                <c:pt idx="1131">
                  <c:v>-0.434</c:v>
                </c:pt>
                <c:pt idx="1132">
                  <c:v>-0.44600000000000001</c:v>
                </c:pt>
                <c:pt idx="1133">
                  <c:v>-0.42799999999999999</c:v>
                </c:pt>
                <c:pt idx="1134">
                  <c:v>-0.40699999999999997</c:v>
                </c:pt>
                <c:pt idx="1135">
                  <c:v>-0.40400000000000003</c:v>
                </c:pt>
                <c:pt idx="1136">
                  <c:v>-0.38700000000000001</c:v>
                </c:pt>
                <c:pt idx="1137">
                  <c:v>-0.43099999999999999</c:v>
                </c:pt>
                <c:pt idx="1138">
                  <c:v>-0.437</c:v>
                </c:pt>
                <c:pt idx="1139">
                  <c:v>-0.41599999999999998</c:v>
                </c:pt>
                <c:pt idx="1140">
                  <c:v>-0.45400000000000001</c:v>
                </c:pt>
                <c:pt idx="1141">
                  <c:v>-0.371</c:v>
                </c:pt>
                <c:pt idx="1142">
                  <c:v>-0.309</c:v>
                </c:pt>
                <c:pt idx="1143">
                  <c:v>-0.28699999999999998</c:v>
                </c:pt>
                <c:pt idx="1144">
                  <c:v>-0.26600000000000001</c:v>
                </c:pt>
                <c:pt idx="1145">
                  <c:v>-0.24199999999999999</c:v>
                </c:pt>
                <c:pt idx="1146">
                  <c:v>-0.23400000000000001</c:v>
                </c:pt>
                <c:pt idx="1147">
                  <c:v>-0.24299999999999999</c:v>
                </c:pt>
                <c:pt idx="1148">
                  <c:v>-0.184</c:v>
                </c:pt>
                <c:pt idx="1149">
                  <c:v>-0.16900000000000001</c:v>
                </c:pt>
                <c:pt idx="1150">
                  <c:v>-0.161</c:v>
                </c:pt>
                <c:pt idx="1151">
                  <c:v>-0.109</c:v>
                </c:pt>
                <c:pt idx="1152">
                  <c:v>-0.107</c:v>
                </c:pt>
                <c:pt idx="1153">
                  <c:v>-7.4999999999999997E-2</c:v>
                </c:pt>
                <c:pt idx="1154">
                  <c:v>-6.8000000000000005E-2</c:v>
                </c:pt>
                <c:pt idx="1155">
                  <c:v>-5.3999999999999999E-2</c:v>
                </c:pt>
                <c:pt idx="1156">
                  <c:v>-5.6000000000000001E-2</c:v>
                </c:pt>
                <c:pt idx="1157">
                  <c:v>-2.5000000000000001E-2</c:v>
                </c:pt>
                <c:pt idx="1158">
                  <c:v>3.0000000000000001E-3</c:v>
                </c:pt>
                <c:pt idx="1159">
                  <c:v>1.9E-2</c:v>
                </c:pt>
                <c:pt idx="1160">
                  <c:v>1.7999999999999999E-2</c:v>
                </c:pt>
                <c:pt idx="1161">
                  <c:v>1.4999999999999999E-2</c:v>
                </c:pt>
                <c:pt idx="1162">
                  <c:v>0.02</c:v>
                </c:pt>
                <c:pt idx="1163">
                  <c:v>7.5999999999999998E-2</c:v>
                </c:pt>
                <c:pt idx="1164">
                  <c:v>0.105</c:v>
                </c:pt>
                <c:pt idx="1165">
                  <c:v>0.14099999999999999</c:v>
                </c:pt>
                <c:pt idx="1166">
                  <c:v>0.13600000000000001</c:v>
                </c:pt>
                <c:pt idx="1167">
                  <c:v>0.113</c:v>
                </c:pt>
                <c:pt idx="1168">
                  <c:v>8.3000000000000004E-2</c:v>
                </c:pt>
                <c:pt idx="1169">
                  <c:v>6.7000000000000004E-2</c:v>
                </c:pt>
                <c:pt idx="1170">
                  <c:v>8.2000000000000003E-2</c:v>
                </c:pt>
                <c:pt idx="1171">
                  <c:v>5.2999999999999999E-2</c:v>
                </c:pt>
                <c:pt idx="1172">
                  <c:v>7.1999999999999995E-2</c:v>
                </c:pt>
                <c:pt idx="1173">
                  <c:v>0.114</c:v>
                </c:pt>
                <c:pt idx="1174">
                  <c:v>0.127</c:v>
                </c:pt>
                <c:pt idx="1175">
                  <c:v>0.155</c:v>
                </c:pt>
                <c:pt idx="1176">
                  <c:v>0.16800000000000001</c:v>
                </c:pt>
                <c:pt idx="1177">
                  <c:v>0.16800000000000001</c:v>
                </c:pt>
                <c:pt idx="1178">
                  <c:v>0.16</c:v>
                </c:pt>
                <c:pt idx="1179">
                  <c:v>0.187</c:v>
                </c:pt>
                <c:pt idx="1180">
                  <c:v>0.20100000000000001</c:v>
                </c:pt>
                <c:pt idx="1181">
                  <c:v>0.17599999999999999</c:v>
                </c:pt>
                <c:pt idx="1182">
                  <c:v>0.20799999999999999</c:v>
                </c:pt>
                <c:pt idx="1183">
                  <c:v>0.185</c:v>
                </c:pt>
                <c:pt idx="1184">
                  <c:v>0.26700000000000002</c:v>
                </c:pt>
                <c:pt idx="1185">
                  <c:v>0.27700000000000002</c:v>
                </c:pt>
                <c:pt idx="1186">
                  <c:v>0.28899999999999998</c:v>
                </c:pt>
                <c:pt idx="1187">
                  <c:v>0.29499999999999998</c:v>
                </c:pt>
                <c:pt idx="1188">
                  <c:v>0.30099999999999999</c:v>
                </c:pt>
                <c:pt idx="1189">
                  <c:v>0.30599999999999999</c:v>
                </c:pt>
                <c:pt idx="1190">
                  <c:v>0.29299999999999998</c:v>
                </c:pt>
                <c:pt idx="1191">
                  <c:v>0.30399999999999999</c:v>
                </c:pt>
                <c:pt idx="1192">
                  <c:v>0.32300000000000001</c:v>
                </c:pt>
                <c:pt idx="1193">
                  <c:v>0.36199999999999999</c:v>
                </c:pt>
                <c:pt idx="1194">
                  <c:v>0.375</c:v>
                </c:pt>
                <c:pt idx="1195">
                  <c:v>0.377</c:v>
                </c:pt>
                <c:pt idx="1196">
                  <c:v>0.40100000000000002</c:v>
                </c:pt>
                <c:pt idx="1197">
                  <c:v>0.39200000000000002</c:v>
                </c:pt>
                <c:pt idx="1198">
                  <c:v>0.40699999999999997</c:v>
                </c:pt>
                <c:pt idx="1199">
                  <c:v>0.41899999999999998</c:v>
                </c:pt>
                <c:pt idx="1200">
                  <c:v>0.433</c:v>
                </c:pt>
                <c:pt idx="1201">
                  <c:v>0.434</c:v>
                </c:pt>
                <c:pt idx="1202">
                  <c:v>0.45300000000000001</c:v>
                </c:pt>
                <c:pt idx="1203">
                  <c:v>0.47099999999999997</c:v>
                </c:pt>
                <c:pt idx="1204">
                  <c:v>0.46100000000000002</c:v>
                </c:pt>
                <c:pt idx="1205">
                  <c:v>0.44900000000000001</c:v>
                </c:pt>
                <c:pt idx="1206">
                  <c:v>0.45800000000000002</c:v>
                </c:pt>
                <c:pt idx="1207">
                  <c:v>0.45300000000000001</c:v>
                </c:pt>
                <c:pt idx="1208">
                  <c:v>0.46700000000000003</c:v>
                </c:pt>
                <c:pt idx="1209">
                  <c:v>0.47399999999999998</c:v>
                </c:pt>
                <c:pt idx="1210">
                  <c:v>0.48599999999999999</c:v>
                </c:pt>
                <c:pt idx="1211">
                  <c:v>0.48599999999999999</c:v>
                </c:pt>
                <c:pt idx="1212">
                  <c:v>0.48</c:v>
                </c:pt>
                <c:pt idx="1213">
                  <c:v>0.47599999999999998</c:v>
                </c:pt>
                <c:pt idx="1214">
                  <c:v>0.503</c:v>
                </c:pt>
                <c:pt idx="1215">
                  <c:v>0.51400000000000001</c:v>
                </c:pt>
                <c:pt idx="1216">
                  <c:v>0.51700000000000002</c:v>
                </c:pt>
                <c:pt idx="1217">
                  <c:v>0.51200000000000001</c:v>
                </c:pt>
                <c:pt idx="1218">
                  <c:v>0.51200000000000001</c:v>
                </c:pt>
                <c:pt idx="1219">
                  <c:v>0.50900000000000001</c:v>
                </c:pt>
                <c:pt idx="1220">
                  <c:v>0.52300000000000002</c:v>
                </c:pt>
                <c:pt idx="1221">
                  <c:v>0.51600000000000001</c:v>
                </c:pt>
                <c:pt idx="1222">
                  <c:v>0.51100000000000001</c:v>
                </c:pt>
                <c:pt idx="1223">
                  <c:v>0.56200000000000006</c:v>
                </c:pt>
                <c:pt idx="1224">
                  <c:v>0.55400000000000005</c:v>
                </c:pt>
                <c:pt idx="1225">
                  <c:v>0.55400000000000005</c:v>
                </c:pt>
                <c:pt idx="1226">
                  <c:v>0.55400000000000005</c:v>
                </c:pt>
                <c:pt idx="1227">
                  <c:v>0.58699999999999997</c:v>
                </c:pt>
                <c:pt idx="1228">
                  <c:v>0.59199999999999997</c:v>
                </c:pt>
                <c:pt idx="1229">
                  <c:v>0.58699999999999997</c:v>
                </c:pt>
                <c:pt idx="1230">
                  <c:v>0.58899999999999997</c:v>
                </c:pt>
                <c:pt idx="1231">
                  <c:v>0.55400000000000005</c:v>
                </c:pt>
                <c:pt idx="1232">
                  <c:v>0.55100000000000005</c:v>
                </c:pt>
                <c:pt idx="1233">
                  <c:v>0.56899999999999995</c:v>
                </c:pt>
                <c:pt idx="1234">
                  <c:v>0.58299999999999996</c:v>
                </c:pt>
                <c:pt idx="1235">
                  <c:v>0.58099999999999996</c:v>
                </c:pt>
                <c:pt idx="1236">
                  <c:v>0.59399999999999997</c:v>
                </c:pt>
                <c:pt idx="1237">
                  <c:v>0.60899999999999999</c:v>
                </c:pt>
                <c:pt idx="1238">
                  <c:v>0.58399999999999996</c:v>
                </c:pt>
                <c:pt idx="1239">
                  <c:v>0.59299999999999997</c:v>
                </c:pt>
                <c:pt idx="1240">
                  <c:v>0.56499999999999995</c:v>
                </c:pt>
                <c:pt idx="1241">
                  <c:v>0.56599999999999995</c:v>
                </c:pt>
                <c:pt idx="1242">
                  <c:v>0.55000000000000004</c:v>
                </c:pt>
                <c:pt idx="1243">
                  <c:v>0.59299999999999997</c:v>
                </c:pt>
                <c:pt idx="1244">
                  <c:v>0.59499999999999997</c:v>
                </c:pt>
                <c:pt idx="1245">
                  <c:v>0.6</c:v>
                </c:pt>
                <c:pt idx="1246">
                  <c:v>0.64700000000000002</c:v>
                </c:pt>
                <c:pt idx="1247">
                  <c:v>0.67900000000000005</c:v>
                </c:pt>
                <c:pt idx="1248">
                  <c:v>0.68600000000000005</c:v>
                </c:pt>
                <c:pt idx="1249">
                  <c:v>0.68400000000000005</c:v>
                </c:pt>
                <c:pt idx="1250">
                  <c:v>0.68899999999999995</c:v>
                </c:pt>
                <c:pt idx="1251">
                  <c:v>0.69299999999999995</c:v>
                </c:pt>
                <c:pt idx="1252">
                  <c:v>0.68899999999999995</c:v>
                </c:pt>
                <c:pt idx="1253">
                  <c:v>0.68799999999999994</c:v>
                </c:pt>
                <c:pt idx="1254">
                  <c:v>0.68799999999999994</c:v>
                </c:pt>
                <c:pt idx="1255">
                  <c:v>0.71599999999999997</c:v>
                </c:pt>
                <c:pt idx="1256">
                  <c:v>0.71799999999999997</c:v>
                </c:pt>
                <c:pt idx="1257">
                  <c:v>0.76500000000000001</c:v>
                </c:pt>
                <c:pt idx="1258">
                  <c:v>0.79100000000000004</c:v>
                </c:pt>
                <c:pt idx="1259">
                  <c:v>0.79200000000000004</c:v>
                </c:pt>
                <c:pt idx="1260">
                  <c:v>0.80200000000000005</c:v>
                </c:pt>
                <c:pt idx="1261">
                  <c:v>0.80400000000000005</c:v>
                </c:pt>
                <c:pt idx="1262">
                  <c:v>0.79400000000000004</c:v>
                </c:pt>
                <c:pt idx="1263">
                  <c:v>0.77900000000000003</c:v>
                </c:pt>
                <c:pt idx="1264">
                  <c:v>0.77</c:v>
                </c:pt>
                <c:pt idx="1265">
                  <c:v>0.76600000000000001</c:v>
                </c:pt>
                <c:pt idx="1266">
                  <c:v>0.79100000000000004</c:v>
                </c:pt>
                <c:pt idx="1267">
                  <c:v>0.77300000000000002</c:v>
                </c:pt>
                <c:pt idx="1268">
                  <c:v>0.77300000000000002</c:v>
                </c:pt>
                <c:pt idx="1269">
                  <c:v>0.77200000000000002</c:v>
                </c:pt>
                <c:pt idx="1270">
                  <c:v>0.76900000000000002</c:v>
                </c:pt>
                <c:pt idx="1271">
                  <c:v>0.77200000000000002</c:v>
                </c:pt>
                <c:pt idx="1272">
                  <c:v>0.78100000000000003</c:v>
                </c:pt>
                <c:pt idx="1273">
                  <c:v>0.78700000000000003</c:v>
                </c:pt>
                <c:pt idx="1274">
                  <c:v>0.78200000000000003</c:v>
                </c:pt>
                <c:pt idx="1275">
                  <c:v>0.76800000000000002</c:v>
                </c:pt>
                <c:pt idx="1276">
                  <c:v>0.78700000000000003</c:v>
                </c:pt>
                <c:pt idx="1277">
                  <c:v>0.753</c:v>
                </c:pt>
                <c:pt idx="1278">
                  <c:v>0.75900000000000001</c:v>
                </c:pt>
                <c:pt idx="1279">
                  <c:v>0.76600000000000001</c:v>
                </c:pt>
                <c:pt idx="1280">
                  <c:v>0.753</c:v>
                </c:pt>
                <c:pt idx="1281">
                  <c:v>0.74299999999999999</c:v>
                </c:pt>
                <c:pt idx="1282">
                  <c:v>0.76900000000000002</c:v>
                </c:pt>
                <c:pt idx="1283">
                  <c:v>0.77600000000000002</c:v>
                </c:pt>
                <c:pt idx="1284">
                  <c:v>0.78</c:v>
                </c:pt>
                <c:pt idx="1285">
                  <c:v>0.78</c:v>
                </c:pt>
                <c:pt idx="1286">
                  <c:v>0.78100000000000003</c:v>
                </c:pt>
                <c:pt idx="1287">
                  <c:v>0.80300000000000005</c:v>
                </c:pt>
                <c:pt idx="1288">
                  <c:v>0.81599999999999995</c:v>
                </c:pt>
                <c:pt idx="1289">
                  <c:v>0.83299999999999996</c:v>
                </c:pt>
                <c:pt idx="1290">
                  <c:v>0.85199999999999998</c:v>
                </c:pt>
                <c:pt idx="1291">
                  <c:v>0.83299999999999996</c:v>
                </c:pt>
                <c:pt idx="1292">
                  <c:v>0.80700000000000005</c:v>
                </c:pt>
                <c:pt idx="1293">
                  <c:v>0.79600000000000004</c:v>
                </c:pt>
                <c:pt idx="1294">
                  <c:v>0.79100000000000004</c:v>
                </c:pt>
                <c:pt idx="1295">
                  <c:v>0.79600000000000004</c:v>
                </c:pt>
                <c:pt idx="1296">
                  <c:v>0.80400000000000005</c:v>
                </c:pt>
                <c:pt idx="1297">
                  <c:v>0.81</c:v>
                </c:pt>
                <c:pt idx="1298">
                  <c:v>0.78900000000000003</c:v>
                </c:pt>
                <c:pt idx="1299">
                  <c:v>0.76800000000000002</c:v>
                </c:pt>
                <c:pt idx="1300">
                  <c:v>0.751</c:v>
                </c:pt>
                <c:pt idx="1301">
                  <c:v>0.71599999999999997</c:v>
                </c:pt>
                <c:pt idx="1302">
                  <c:v>0.73199999999999998</c:v>
                </c:pt>
                <c:pt idx="1303">
                  <c:v>0.78900000000000003</c:v>
                </c:pt>
                <c:pt idx="1304">
                  <c:v>0.78900000000000003</c:v>
                </c:pt>
                <c:pt idx="1305">
                  <c:v>0.78900000000000003</c:v>
                </c:pt>
                <c:pt idx="1306">
                  <c:v>0.78</c:v>
                </c:pt>
                <c:pt idx="1307">
                  <c:v>0.79600000000000004</c:v>
                </c:pt>
                <c:pt idx="1308">
                  <c:v>0.79600000000000004</c:v>
                </c:pt>
                <c:pt idx="1309">
                  <c:v>0.79600000000000004</c:v>
                </c:pt>
                <c:pt idx="1310">
                  <c:v>0.79600000000000004</c:v>
                </c:pt>
                <c:pt idx="1311">
                  <c:v>0.80800000000000005</c:v>
                </c:pt>
                <c:pt idx="1312">
                  <c:v>0.84</c:v>
                </c:pt>
                <c:pt idx="1313">
                  <c:v>0.85599999999999998</c:v>
                </c:pt>
                <c:pt idx="1314">
                  <c:v>0.86599999999999999</c:v>
                </c:pt>
                <c:pt idx="1315">
                  <c:v>0.86399999999999999</c:v>
                </c:pt>
                <c:pt idx="1316">
                  <c:v>0.88600000000000001</c:v>
                </c:pt>
                <c:pt idx="1317">
                  <c:v>0.9</c:v>
                </c:pt>
                <c:pt idx="1318">
                  <c:v>0.876</c:v>
                </c:pt>
                <c:pt idx="1319">
                  <c:v>0.88</c:v>
                </c:pt>
                <c:pt idx="1320">
                  <c:v>0.879</c:v>
                </c:pt>
                <c:pt idx="1321">
                  <c:v>0.874</c:v>
                </c:pt>
                <c:pt idx="1322">
                  <c:v>0.89400000000000002</c:v>
                </c:pt>
                <c:pt idx="1323">
                  <c:v>0.88600000000000001</c:v>
                </c:pt>
                <c:pt idx="1324">
                  <c:v>0.9</c:v>
                </c:pt>
                <c:pt idx="1325">
                  <c:v>0.89800000000000002</c:v>
                </c:pt>
                <c:pt idx="1326">
                  <c:v>0.90400000000000003</c:v>
                </c:pt>
                <c:pt idx="1327">
                  <c:v>0.92200000000000004</c:v>
                </c:pt>
                <c:pt idx="1328">
                  <c:v>0.92200000000000004</c:v>
                </c:pt>
                <c:pt idx="1329">
                  <c:v>0.93200000000000005</c:v>
                </c:pt>
                <c:pt idx="1330">
                  <c:v>0.92100000000000004</c:v>
                </c:pt>
                <c:pt idx="1331">
                  <c:v>0.94299999999999995</c:v>
                </c:pt>
                <c:pt idx="1332">
                  <c:v>0.93700000000000006</c:v>
                </c:pt>
                <c:pt idx="1333">
                  <c:v>0.93200000000000005</c:v>
                </c:pt>
                <c:pt idx="1334">
                  <c:v>0.94599999999999995</c:v>
                </c:pt>
                <c:pt idx="1335">
                  <c:v>0.94</c:v>
                </c:pt>
                <c:pt idx="1336">
                  <c:v>0.93500000000000005</c:v>
                </c:pt>
                <c:pt idx="1337">
                  <c:v>0.94899999999999995</c:v>
                </c:pt>
                <c:pt idx="1338">
                  <c:v>0.95599999999999996</c:v>
                </c:pt>
                <c:pt idx="1339">
                  <c:v>0.94899999999999995</c:v>
                </c:pt>
                <c:pt idx="1340">
                  <c:v>0.96799999999999997</c:v>
                </c:pt>
                <c:pt idx="1341">
                  <c:v>0.98899999999999999</c:v>
                </c:pt>
                <c:pt idx="1342">
                  <c:v>0.98299999999999998</c:v>
                </c:pt>
                <c:pt idx="1343">
                  <c:v>0.98</c:v>
                </c:pt>
                <c:pt idx="1344">
                  <c:v>0.98299999999999998</c:v>
                </c:pt>
                <c:pt idx="1345">
                  <c:v>0.98</c:v>
                </c:pt>
                <c:pt idx="1346">
                  <c:v>0.96799999999999997</c:v>
                </c:pt>
                <c:pt idx="1347">
                  <c:v>0.96299999999999997</c:v>
                </c:pt>
                <c:pt idx="1348">
                  <c:v>0.95699999999999996</c:v>
                </c:pt>
                <c:pt idx="1349">
                  <c:v>0.96099999999999997</c:v>
                </c:pt>
                <c:pt idx="1350">
                  <c:v>0.96199999999999997</c:v>
                </c:pt>
                <c:pt idx="1351">
                  <c:v>0.98</c:v>
                </c:pt>
                <c:pt idx="1352">
                  <c:v>0.99099999999999999</c:v>
                </c:pt>
                <c:pt idx="1353">
                  <c:v>0.995</c:v>
                </c:pt>
                <c:pt idx="1354">
                  <c:v>1.0129999999999999</c:v>
                </c:pt>
                <c:pt idx="1355">
                  <c:v>1.01</c:v>
                </c:pt>
                <c:pt idx="1356">
                  <c:v>0.97599999999999998</c:v>
                </c:pt>
                <c:pt idx="1357">
                  <c:v>1.006</c:v>
                </c:pt>
                <c:pt idx="1358">
                  <c:v>1.022</c:v>
                </c:pt>
                <c:pt idx="1359">
                  <c:v>1.036</c:v>
                </c:pt>
                <c:pt idx="1360">
                  <c:v>1.024</c:v>
                </c:pt>
                <c:pt idx="1361">
                  <c:v>1.0309999999999999</c:v>
                </c:pt>
                <c:pt idx="1362">
                  <c:v>1.048</c:v>
                </c:pt>
                <c:pt idx="1363">
                  <c:v>1.046</c:v>
                </c:pt>
                <c:pt idx="1364">
                  <c:v>1.03</c:v>
                </c:pt>
                <c:pt idx="1365">
                  <c:v>1.0409999999999999</c:v>
                </c:pt>
                <c:pt idx="1366">
                  <c:v>1.0149999999999999</c:v>
                </c:pt>
                <c:pt idx="1367">
                  <c:v>0.96799999999999997</c:v>
                </c:pt>
                <c:pt idx="1368">
                  <c:v>0.93899999999999995</c:v>
                </c:pt>
                <c:pt idx="1369">
                  <c:v>0.95099999999999996</c:v>
                </c:pt>
                <c:pt idx="1370">
                  <c:v>0.94499999999999995</c:v>
                </c:pt>
                <c:pt idx="1371">
                  <c:v>0.97199999999999998</c:v>
                </c:pt>
                <c:pt idx="1372">
                  <c:v>0.98099999999999998</c:v>
                </c:pt>
                <c:pt idx="1373">
                  <c:v>0.97499999999999998</c:v>
                </c:pt>
                <c:pt idx="1374">
                  <c:v>0.94</c:v>
                </c:pt>
                <c:pt idx="1375">
                  <c:v>0.90900000000000003</c:v>
                </c:pt>
                <c:pt idx="1376">
                  <c:v>0.89500000000000002</c:v>
                </c:pt>
                <c:pt idx="1377">
                  <c:v>0.88600000000000001</c:v>
                </c:pt>
                <c:pt idx="1378">
                  <c:v>0.874</c:v>
                </c:pt>
                <c:pt idx="1379">
                  <c:v>0.84299999999999997</c:v>
                </c:pt>
                <c:pt idx="1380">
                  <c:v>0.82799999999999996</c:v>
                </c:pt>
                <c:pt idx="1381">
                  <c:v>0.80100000000000005</c:v>
                </c:pt>
                <c:pt idx="1382">
                  <c:v>0.80400000000000005</c:v>
                </c:pt>
                <c:pt idx="1383">
                  <c:v>0.81200000000000006</c:v>
                </c:pt>
                <c:pt idx="1384">
                  <c:v>0.79800000000000004</c:v>
                </c:pt>
                <c:pt idx="1385">
                  <c:v>0.78800000000000003</c:v>
                </c:pt>
                <c:pt idx="1386">
                  <c:v>0.77200000000000002</c:v>
                </c:pt>
                <c:pt idx="1387">
                  <c:v>0.76800000000000002</c:v>
                </c:pt>
                <c:pt idx="1388">
                  <c:v>0.75900000000000001</c:v>
                </c:pt>
                <c:pt idx="1389">
                  <c:v>0.75900000000000001</c:v>
                </c:pt>
                <c:pt idx="1390">
                  <c:v>0.753</c:v>
                </c:pt>
                <c:pt idx="1391">
                  <c:v>0.75600000000000001</c:v>
                </c:pt>
                <c:pt idx="1392">
                  <c:v>0.78800000000000003</c:v>
                </c:pt>
                <c:pt idx="1393">
                  <c:v>0.78100000000000003</c:v>
                </c:pt>
                <c:pt idx="1394">
                  <c:v>0.79900000000000004</c:v>
                </c:pt>
                <c:pt idx="1395">
                  <c:v>0.77600000000000002</c:v>
                </c:pt>
                <c:pt idx="1396">
                  <c:v>0.77900000000000003</c:v>
                </c:pt>
                <c:pt idx="1397">
                  <c:v>0.78</c:v>
                </c:pt>
                <c:pt idx="1398">
                  <c:v>0.77800000000000002</c:v>
                </c:pt>
                <c:pt idx="1399">
                  <c:v>0.76600000000000001</c:v>
                </c:pt>
                <c:pt idx="1400">
                  <c:v>0.78</c:v>
                </c:pt>
                <c:pt idx="1401">
                  <c:v>0.78</c:v>
                </c:pt>
                <c:pt idx="1402">
                  <c:v>0.77500000000000002</c:v>
                </c:pt>
                <c:pt idx="1403">
                  <c:v>0.78200000000000003</c:v>
                </c:pt>
                <c:pt idx="1404">
                  <c:v>0.78700000000000003</c:v>
                </c:pt>
                <c:pt idx="1405">
                  <c:v>0.76800000000000002</c:v>
                </c:pt>
                <c:pt idx="1406">
                  <c:v>0.79</c:v>
                </c:pt>
                <c:pt idx="1407">
                  <c:v>0.80400000000000005</c:v>
                </c:pt>
                <c:pt idx="1408">
                  <c:v>0.80700000000000005</c:v>
                </c:pt>
                <c:pt idx="1409">
                  <c:v>0.80200000000000005</c:v>
                </c:pt>
                <c:pt idx="1410">
                  <c:v>0.82899999999999996</c:v>
                </c:pt>
                <c:pt idx="1411">
                  <c:v>0.83799999999999997</c:v>
                </c:pt>
                <c:pt idx="1412">
                  <c:v>0.83799999999999997</c:v>
                </c:pt>
                <c:pt idx="1413">
                  <c:v>0.82799999999999996</c:v>
                </c:pt>
                <c:pt idx="1414">
                  <c:v>0.83599999999999997</c:v>
                </c:pt>
                <c:pt idx="1415">
                  <c:v>0.82099999999999995</c:v>
                </c:pt>
                <c:pt idx="1416">
                  <c:v>0.83</c:v>
                </c:pt>
                <c:pt idx="1417">
                  <c:v>0.83</c:v>
                </c:pt>
                <c:pt idx="1418">
                  <c:v>0.83199999999999996</c:v>
                </c:pt>
                <c:pt idx="1419">
                  <c:v>0.84</c:v>
                </c:pt>
                <c:pt idx="1420">
                  <c:v>0.82899999999999996</c:v>
                </c:pt>
                <c:pt idx="1421">
                  <c:v>0.81599999999999995</c:v>
                </c:pt>
                <c:pt idx="1422">
                  <c:v>0.81799999999999995</c:v>
                </c:pt>
                <c:pt idx="1423">
                  <c:v>0.83899999999999997</c:v>
                </c:pt>
                <c:pt idx="1424">
                  <c:v>0.84299999999999997</c:v>
                </c:pt>
                <c:pt idx="1425">
                  <c:v>0.83499999999999996</c:v>
                </c:pt>
                <c:pt idx="1426">
                  <c:v>0.84299999999999997</c:v>
                </c:pt>
                <c:pt idx="1427">
                  <c:v>0.85399999999999998</c:v>
                </c:pt>
                <c:pt idx="1428">
                  <c:v>0.85</c:v>
                </c:pt>
                <c:pt idx="1429">
                  <c:v>0.85099999999999998</c:v>
                </c:pt>
                <c:pt idx="1430">
                  <c:v>0.873</c:v>
                </c:pt>
                <c:pt idx="1431">
                  <c:v>0.85299999999999998</c:v>
                </c:pt>
                <c:pt idx="1432">
                  <c:v>0.871</c:v>
                </c:pt>
                <c:pt idx="1433">
                  <c:v>0.86099999999999999</c:v>
                </c:pt>
                <c:pt idx="1434">
                  <c:v>0.86899999999999999</c:v>
                </c:pt>
                <c:pt idx="1435">
                  <c:v>0.873</c:v>
                </c:pt>
                <c:pt idx="1436">
                  <c:v>0.88600000000000001</c:v>
                </c:pt>
                <c:pt idx="1437">
                  <c:v>0.88700000000000001</c:v>
                </c:pt>
                <c:pt idx="1438">
                  <c:v>0.90200000000000002</c:v>
                </c:pt>
                <c:pt idx="1439">
                  <c:v>0.9</c:v>
                </c:pt>
                <c:pt idx="1440">
                  <c:v>0.89500000000000002</c:v>
                </c:pt>
                <c:pt idx="1441">
                  <c:v>0.89600000000000002</c:v>
                </c:pt>
                <c:pt idx="1442">
                  <c:v>0.91100000000000003</c:v>
                </c:pt>
                <c:pt idx="1443">
                  <c:v>0.92400000000000004</c:v>
                </c:pt>
                <c:pt idx="1444">
                  <c:v>0.96599999999999997</c:v>
                </c:pt>
                <c:pt idx="1445">
                  <c:v>0.97499999999999998</c:v>
                </c:pt>
                <c:pt idx="1446">
                  <c:v>0.97799999999999998</c:v>
                </c:pt>
                <c:pt idx="1447">
                  <c:v>1.01</c:v>
                </c:pt>
                <c:pt idx="1448">
                  <c:v>1.016</c:v>
                </c:pt>
                <c:pt idx="1449">
                  <c:v>0.81599999999999995</c:v>
                </c:pt>
                <c:pt idx="1450">
                  <c:v>0.81599999999999995</c:v>
                </c:pt>
                <c:pt idx="1451">
                  <c:v>0.81599999999999995</c:v>
                </c:pt>
                <c:pt idx="1452">
                  <c:v>0.81599999999999995</c:v>
                </c:pt>
                <c:pt idx="1453">
                  <c:v>0.81599999999999995</c:v>
                </c:pt>
                <c:pt idx="1454">
                  <c:v>0.81599999999999995</c:v>
                </c:pt>
                <c:pt idx="1455">
                  <c:v>0.81599999999999995</c:v>
                </c:pt>
                <c:pt idx="1456">
                  <c:v>0.81599999999999995</c:v>
                </c:pt>
                <c:pt idx="1457">
                  <c:v>0.81599999999999995</c:v>
                </c:pt>
                <c:pt idx="1458">
                  <c:v>0.81599999999999995</c:v>
                </c:pt>
                <c:pt idx="1459">
                  <c:v>0.81599999999999995</c:v>
                </c:pt>
                <c:pt idx="1460">
                  <c:v>0.81599999999999995</c:v>
                </c:pt>
                <c:pt idx="1461">
                  <c:v>0.81599999999999995</c:v>
                </c:pt>
                <c:pt idx="1462">
                  <c:v>0.81599999999999995</c:v>
                </c:pt>
                <c:pt idx="1463">
                  <c:v>0.81599999999999995</c:v>
                </c:pt>
                <c:pt idx="1464">
                  <c:v>0.81599999999999995</c:v>
                </c:pt>
                <c:pt idx="1465">
                  <c:v>0.81599999999999995</c:v>
                </c:pt>
                <c:pt idx="1466">
                  <c:v>0.81599999999999995</c:v>
                </c:pt>
                <c:pt idx="1467">
                  <c:v>0.81599999999999995</c:v>
                </c:pt>
                <c:pt idx="1468">
                  <c:v>0.81599999999999995</c:v>
                </c:pt>
                <c:pt idx="1469">
                  <c:v>0.81599999999999995</c:v>
                </c:pt>
                <c:pt idx="1470">
                  <c:v>0.81599999999999995</c:v>
                </c:pt>
                <c:pt idx="1471">
                  <c:v>0.81599999999999995</c:v>
                </c:pt>
                <c:pt idx="1472">
                  <c:v>0.81599999999999995</c:v>
                </c:pt>
                <c:pt idx="1473">
                  <c:v>0.81599999999999995</c:v>
                </c:pt>
                <c:pt idx="1474">
                  <c:v>0.81599999999999995</c:v>
                </c:pt>
                <c:pt idx="1475">
                  <c:v>0.81599999999999995</c:v>
                </c:pt>
                <c:pt idx="1476">
                  <c:v>0.81599999999999995</c:v>
                </c:pt>
                <c:pt idx="1477">
                  <c:v>0.81599999999999995</c:v>
                </c:pt>
                <c:pt idx="1478">
                  <c:v>0.81599999999999995</c:v>
                </c:pt>
                <c:pt idx="1479">
                  <c:v>0.81599999999999995</c:v>
                </c:pt>
                <c:pt idx="1480">
                  <c:v>0.81599999999999995</c:v>
                </c:pt>
                <c:pt idx="1481">
                  <c:v>0.81599999999999995</c:v>
                </c:pt>
                <c:pt idx="1482">
                  <c:v>0.81599999999999995</c:v>
                </c:pt>
                <c:pt idx="1483">
                  <c:v>0.81599999999999995</c:v>
                </c:pt>
                <c:pt idx="1484">
                  <c:v>0.81599999999999995</c:v>
                </c:pt>
                <c:pt idx="1485">
                  <c:v>0.81599999999999995</c:v>
                </c:pt>
                <c:pt idx="1486">
                  <c:v>0.81599999999999995</c:v>
                </c:pt>
                <c:pt idx="1487">
                  <c:v>0.81599999999999995</c:v>
                </c:pt>
                <c:pt idx="1488">
                  <c:v>0.81599999999999995</c:v>
                </c:pt>
                <c:pt idx="1489">
                  <c:v>0.81599999999999995</c:v>
                </c:pt>
                <c:pt idx="1490">
                  <c:v>0.81599999999999995</c:v>
                </c:pt>
                <c:pt idx="1491">
                  <c:v>0.81599999999999995</c:v>
                </c:pt>
                <c:pt idx="1492">
                  <c:v>0.81599999999999995</c:v>
                </c:pt>
                <c:pt idx="1493">
                  <c:v>0.81599999999999995</c:v>
                </c:pt>
                <c:pt idx="1494">
                  <c:v>0.81599999999999995</c:v>
                </c:pt>
                <c:pt idx="1495">
                  <c:v>0.81599999999999995</c:v>
                </c:pt>
                <c:pt idx="1496">
                  <c:v>0.81599999999999995</c:v>
                </c:pt>
                <c:pt idx="1497">
                  <c:v>0.81599999999999995</c:v>
                </c:pt>
                <c:pt idx="1498">
                  <c:v>0.81599999999999995</c:v>
                </c:pt>
                <c:pt idx="1499">
                  <c:v>0.81599999999999995</c:v>
                </c:pt>
                <c:pt idx="1500">
                  <c:v>0.81599999999999995</c:v>
                </c:pt>
                <c:pt idx="1501">
                  <c:v>0.81599999999999995</c:v>
                </c:pt>
                <c:pt idx="1502">
                  <c:v>0.81599999999999995</c:v>
                </c:pt>
                <c:pt idx="1503">
                  <c:v>0.81599999999999995</c:v>
                </c:pt>
                <c:pt idx="1504">
                  <c:v>0.81599999999999995</c:v>
                </c:pt>
                <c:pt idx="1505">
                  <c:v>0.81599999999999995</c:v>
                </c:pt>
                <c:pt idx="1506">
                  <c:v>0.81599999999999995</c:v>
                </c:pt>
                <c:pt idx="1507">
                  <c:v>0.81599999999999995</c:v>
                </c:pt>
                <c:pt idx="1508">
                  <c:v>0.81599999999999995</c:v>
                </c:pt>
                <c:pt idx="1509">
                  <c:v>0.81599999999999995</c:v>
                </c:pt>
                <c:pt idx="1510">
                  <c:v>0.81599999999999995</c:v>
                </c:pt>
                <c:pt idx="1511">
                  <c:v>0.81599999999999995</c:v>
                </c:pt>
                <c:pt idx="1512">
                  <c:v>0.81599999999999995</c:v>
                </c:pt>
                <c:pt idx="1513">
                  <c:v>0.81599999999999995</c:v>
                </c:pt>
                <c:pt idx="1514">
                  <c:v>0.81599999999999995</c:v>
                </c:pt>
                <c:pt idx="1515">
                  <c:v>0.81599999999999995</c:v>
                </c:pt>
                <c:pt idx="1516">
                  <c:v>0.81599999999999995</c:v>
                </c:pt>
                <c:pt idx="1517">
                  <c:v>0.81599999999999995</c:v>
                </c:pt>
                <c:pt idx="1518">
                  <c:v>0.81599999999999995</c:v>
                </c:pt>
                <c:pt idx="1519">
                  <c:v>0.81599999999999995</c:v>
                </c:pt>
                <c:pt idx="1520">
                  <c:v>0.81599999999999995</c:v>
                </c:pt>
                <c:pt idx="1521">
                  <c:v>0.81599999999999995</c:v>
                </c:pt>
                <c:pt idx="1522">
                  <c:v>0.81599999999999995</c:v>
                </c:pt>
                <c:pt idx="1523">
                  <c:v>0.81599999999999995</c:v>
                </c:pt>
                <c:pt idx="1524">
                  <c:v>0.81599999999999995</c:v>
                </c:pt>
                <c:pt idx="1525">
                  <c:v>0.81599999999999995</c:v>
                </c:pt>
                <c:pt idx="1526">
                  <c:v>0.81599999999999995</c:v>
                </c:pt>
                <c:pt idx="1527">
                  <c:v>0.81599999999999995</c:v>
                </c:pt>
                <c:pt idx="1528">
                  <c:v>0.81599999999999995</c:v>
                </c:pt>
                <c:pt idx="1529">
                  <c:v>0.81599999999999995</c:v>
                </c:pt>
                <c:pt idx="1530">
                  <c:v>0.81599999999999995</c:v>
                </c:pt>
                <c:pt idx="1531">
                  <c:v>0.81599999999999995</c:v>
                </c:pt>
                <c:pt idx="1532">
                  <c:v>0.81599999999999995</c:v>
                </c:pt>
                <c:pt idx="1533">
                  <c:v>0.81599999999999995</c:v>
                </c:pt>
                <c:pt idx="1534">
                  <c:v>0.81599999999999995</c:v>
                </c:pt>
                <c:pt idx="1535">
                  <c:v>0.81599999999999995</c:v>
                </c:pt>
                <c:pt idx="1536">
                  <c:v>0.81599999999999995</c:v>
                </c:pt>
                <c:pt idx="1537">
                  <c:v>0.81599999999999995</c:v>
                </c:pt>
                <c:pt idx="1538">
                  <c:v>0.81599999999999995</c:v>
                </c:pt>
                <c:pt idx="1539">
                  <c:v>0.81599999999999995</c:v>
                </c:pt>
                <c:pt idx="1540">
                  <c:v>0.81599999999999995</c:v>
                </c:pt>
                <c:pt idx="1541">
                  <c:v>0.81599999999999995</c:v>
                </c:pt>
                <c:pt idx="1542">
                  <c:v>0.81599999999999995</c:v>
                </c:pt>
                <c:pt idx="1543">
                  <c:v>0.81599999999999995</c:v>
                </c:pt>
                <c:pt idx="1544">
                  <c:v>0.81599999999999995</c:v>
                </c:pt>
                <c:pt idx="1545">
                  <c:v>0.81599999999999995</c:v>
                </c:pt>
                <c:pt idx="1546">
                  <c:v>0.81599999999999995</c:v>
                </c:pt>
                <c:pt idx="1547">
                  <c:v>0.81599999999999995</c:v>
                </c:pt>
                <c:pt idx="1548">
                  <c:v>0.81599999999999995</c:v>
                </c:pt>
                <c:pt idx="1549">
                  <c:v>0.81599999999999995</c:v>
                </c:pt>
                <c:pt idx="1550">
                  <c:v>0.81599999999999995</c:v>
                </c:pt>
                <c:pt idx="1551">
                  <c:v>0.81599999999999995</c:v>
                </c:pt>
                <c:pt idx="1552">
                  <c:v>0.81599999999999995</c:v>
                </c:pt>
                <c:pt idx="1553">
                  <c:v>0.81599999999999995</c:v>
                </c:pt>
                <c:pt idx="1554">
                  <c:v>0.81599999999999995</c:v>
                </c:pt>
                <c:pt idx="1555">
                  <c:v>0.81599999999999995</c:v>
                </c:pt>
                <c:pt idx="1556">
                  <c:v>0.81599999999999995</c:v>
                </c:pt>
                <c:pt idx="1557">
                  <c:v>0.81599999999999995</c:v>
                </c:pt>
                <c:pt idx="1558">
                  <c:v>0.81599999999999995</c:v>
                </c:pt>
                <c:pt idx="1559">
                  <c:v>0.81599999999999995</c:v>
                </c:pt>
                <c:pt idx="1560">
                  <c:v>0.81599999999999995</c:v>
                </c:pt>
                <c:pt idx="1561">
                  <c:v>0.81599999999999995</c:v>
                </c:pt>
                <c:pt idx="1562">
                  <c:v>0.81599999999999995</c:v>
                </c:pt>
                <c:pt idx="1563">
                  <c:v>0.81599999999999995</c:v>
                </c:pt>
                <c:pt idx="1564">
                  <c:v>0.81599999999999995</c:v>
                </c:pt>
                <c:pt idx="1565">
                  <c:v>0.81599999999999995</c:v>
                </c:pt>
                <c:pt idx="1566">
                  <c:v>0.81599999999999995</c:v>
                </c:pt>
                <c:pt idx="1567">
                  <c:v>0.81599999999999995</c:v>
                </c:pt>
                <c:pt idx="1568">
                  <c:v>0.81599999999999995</c:v>
                </c:pt>
                <c:pt idx="1569">
                  <c:v>0.81599999999999995</c:v>
                </c:pt>
                <c:pt idx="1570">
                  <c:v>0.81599999999999995</c:v>
                </c:pt>
                <c:pt idx="1571">
                  <c:v>0.81599999999999995</c:v>
                </c:pt>
                <c:pt idx="1572">
                  <c:v>0.81599999999999995</c:v>
                </c:pt>
                <c:pt idx="1573">
                  <c:v>0.81599999999999995</c:v>
                </c:pt>
                <c:pt idx="1574">
                  <c:v>0.81599999999999995</c:v>
                </c:pt>
                <c:pt idx="1575">
                  <c:v>0.81599999999999995</c:v>
                </c:pt>
                <c:pt idx="1576">
                  <c:v>0.81599999999999995</c:v>
                </c:pt>
                <c:pt idx="1577">
                  <c:v>0.81599999999999995</c:v>
                </c:pt>
                <c:pt idx="1578">
                  <c:v>0.81599999999999995</c:v>
                </c:pt>
                <c:pt idx="1579">
                  <c:v>0.81599999999999995</c:v>
                </c:pt>
                <c:pt idx="1580">
                  <c:v>0.81599999999999995</c:v>
                </c:pt>
                <c:pt idx="1581">
                  <c:v>0.81599999999999995</c:v>
                </c:pt>
                <c:pt idx="1582">
                  <c:v>0.81599999999999995</c:v>
                </c:pt>
                <c:pt idx="1583">
                  <c:v>0.81599999999999995</c:v>
                </c:pt>
                <c:pt idx="1584">
                  <c:v>0.81599999999999995</c:v>
                </c:pt>
                <c:pt idx="1585">
                  <c:v>0.81599999999999995</c:v>
                </c:pt>
                <c:pt idx="1586">
                  <c:v>0.81599999999999995</c:v>
                </c:pt>
                <c:pt idx="1587">
                  <c:v>0.81599999999999995</c:v>
                </c:pt>
                <c:pt idx="1588">
                  <c:v>0.81599999999999995</c:v>
                </c:pt>
                <c:pt idx="1589">
                  <c:v>0.81599999999999995</c:v>
                </c:pt>
                <c:pt idx="1590">
                  <c:v>0.81599999999999995</c:v>
                </c:pt>
                <c:pt idx="1591">
                  <c:v>0.81599999999999995</c:v>
                </c:pt>
                <c:pt idx="1592">
                  <c:v>0.81599999999999995</c:v>
                </c:pt>
                <c:pt idx="1593">
                  <c:v>0.81599999999999995</c:v>
                </c:pt>
                <c:pt idx="1594">
                  <c:v>0.81599999999999995</c:v>
                </c:pt>
                <c:pt idx="1595">
                  <c:v>0.81599999999999995</c:v>
                </c:pt>
                <c:pt idx="1596">
                  <c:v>0.81599999999999995</c:v>
                </c:pt>
                <c:pt idx="1597">
                  <c:v>0.81599999999999995</c:v>
                </c:pt>
                <c:pt idx="1598">
                  <c:v>0.81599999999999995</c:v>
                </c:pt>
                <c:pt idx="1599">
                  <c:v>0.81599999999999995</c:v>
                </c:pt>
                <c:pt idx="1600">
                  <c:v>0.81599999999999995</c:v>
                </c:pt>
                <c:pt idx="1601">
                  <c:v>0.81599999999999995</c:v>
                </c:pt>
                <c:pt idx="1602">
                  <c:v>0.81599999999999995</c:v>
                </c:pt>
                <c:pt idx="1603">
                  <c:v>0.81599999999999995</c:v>
                </c:pt>
                <c:pt idx="1604">
                  <c:v>0.81599999999999995</c:v>
                </c:pt>
                <c:pt idx="1605">
                  <c:v>0.81599999999999995</c:v>
                </c:pt>
                <c:pt idx="1606">
                  <c:v>0.81599999999999995</c:v>
                </c:pt>
                <c:pt idx="1607">
                  <c:v>0.81599999999999995</c:v>
                </c:pt>
                <c:pt idx="1608">
                  <c:v>0.81599999999999995</c:v>
                </c:pt>
                <c:pt idx="1609">
                  <c:v>0.81599999999999995</c:v>
                </c:pt>
                <c:pt idx="1610">
                  <c:v>0.81599999999999995</c:v>
                </c:pt>
                <c:pt idx="1611">
                  <c:v>0.81599999999999995</c:v>
                </c:pt>
                <c:pt idx="1612">
                  <c:v>0.81599999999999995</c:v>
                </c:pt>
                <c:pt idx="1613">
                  <c:v>0.81599999999999995</c:v>
                </c:pt>
                <c:pt idx="1614">
                  <c:v>0.81599999999999995</c:v>
                </c:pt>
                <c:pt idx="1615">
                  <c:v>0.82099999999999995</c:v>
                </c:pt>
                <c:pt idx="1616">
                  <c:v>0.77</c:v>
                </c:pt>
                <c:pt idx="1617">
                  <c:v>0.77700000000000002</c:v>
                </c:pt>
                <c:pt idx="1618">
                  <c:v>0.77100000000000002</c:v>
                </c:pt>
                <c:pt idx="1619">
                  <c:v>0.77600000000000002</c:v>
                </c:pt>
                <c:pt idx="1620">
                  <c:v>0.82599999999999996</c:v>
                </c:pt>
                <c:pt idx="1621">
                  <c:v>0.84699999999999998</c:v>
                </c:pt>
                <c:pt idx="1622">
                  <c:v>0.86899999999999999</c:v>
                </c:pt>
                <c:pt idx="1623">
                  <c:v>0.85299999999999998</c:v>
                </c:pt>
                <c:pt idx="1624">
                  <c:v>0.84199999999999997</c:v>
                </c:pt>
                <c:pt idx="1625">
                  <c:v>0.84399999999999997</c:v>
                </c:pt>
                <c:pt idx="1626">
                  <c:v>0.85399999999999998</c:v>
                </c:pt>
                <c:pt idx="1627">
                  <c:v>0.85599999999999998</c:v>
                </c:pt>
                <c:pt idx="1628">
                  <c:v>0.85499999999999998</c:v>
                </c:pt>
                <c:pt idx="1629">
                  <c:v>0.85799999999999998</c:v>
                </c:pt>
                <c:pt idx="1630">
                  <c:v>0.86</c:v>
                </c:pt>
                <c:pt idx="1631">
                  <c:v>0.872</c:v>
                </c:pt>
                <c:pt idx="1632">
                  <c:v>0.84699999999999998</c:v>
                </c:pt>
                <c:pt idx="1633">
                  <c:v>0.80200000000000005</c:v>
                </c:pt>
                <c:pt idx="1634">
                  <c:v>0.82</c:v>
                </c:pt>
                <c:pt idx="1635">
                  <c:v>0.86699999999999999</c:v>
                </c:pt>
                <c:pt idx="1636">
                  <c:v>0.873</c:v>
                </c:pt>
                <c:pt idx="1637">
                  <c:v>0.86299999999999999</c:v>
                </c:pt>
                <c:pt idx="1638">
                  <c:v>0.874</c:v>
                </c:pt>
                <c:pt idx="1639">
                  <c:v>0.876</c:v>
                </c:pt>
                <c:pt idx="1640">
                  <c:v>0.86499999999999999</c:v>
                </c:pt>
                <c:pt idx="1641">
                  <c:v>0.82699999999999996</c:v>
                </c:pt>
                <c:pt idx="1642">
                  <c:v>0.80900000000000005</c:v>
                </c:pt>
                <c:pt idx="1643">
                  <c:v>0.82499999999999996</c:v>
                </c:pt>
                <c:pt idx="1644">
                  <c:v>0.76800000000000002</c:v>
                </c:pt>
                <c:pt idx="1645">
                  <c:v>0.751</c:v>
                </c:pt>
                <c:pt idx="1646">
                  <c:v>0.746</c:v>
                </c:pt>
                <c:pt idx="1647">
                  <c:v>0.78400000000000003</c:v>
                </c:pt>
                <c:pt idx="1648">
                  <c:v>0.77</c:v>
                </c:pt>
                <c:pt idx="1649">
                  <c:v>0.78900000000000003</c:v>
                </c:pt>
                <c:pt idx="1650">
                  <c:v>0.79500000000000004</c:v>
                </c:pt>
                <c:pt idx="1651">
                  <c:v>0.79700000000000004</c:v>
                </c:pt>
                <c:pt idx="1652">
                  <c:v>0.79700000000000004</c:v>
                </c:pt>
                <c:pt idx="1653">
                  <c:v>0.77800000000000002</c:v>
                </c:pt>
                <c:pt idx="1654">
                  <c:v>0.78200000000000003</c:v>
                </c:pt>
                <c:pt idx="1655">
                  <c:v>0.78900000000000003</c:v>
                </c:pt>
                <c:pt idx="1656">
                  <c:v>0.78700000000000003</c:v>
                </c:pt>
                <c:pt idx="1657">
                  <c:v>0.79800000000000004</c:v>
                </c:pt>
                <c:pt idx="1658">
                  <c:v>0.81200000000000006</c:v>
                </c:pt>
                <c:pt idx="1659">
                  <c:v>0.81200000000000006</c:v>
                </c:pt>
                <c:pt idx="1660">
                  <c:v>0.80500000000000005</c:v>
                </c:pt>
                <c:pt idx="1661">
                  <c:v>0.82799999999999996</c:v>
                </c:pt>
                <c:pt idx="1662">
                  <c:v>0.85599999999999998</c:v>
                </c:pt>
                <c:pt idx="1663">
                  <c:v>0.79800000000000004</c:v>
                </c:pt>
                <c:pt idx="1664">
                  <c:v>0.83099999999999996</c:v>
                </c:pt>
                <c:pt idx="1665">
                  <c:v>0.86199999999999999</c:v>
                </c:pt>
                <c:pt idx="1666">
                  <c:v>0.82299999999999995</c:v>
                </c:pt>
                <c:pt idx="1667">
                  <c:v>0.82899999999999996</c:v>
                </c:pt>
                <c:pt idx="1668">
                  <c:v>0.83099999999999996</c:v>
                </c:pt>
                <c:pt idx="1669">
                  <c:v>0.84</c:v>
                </c:pt>
                <c:pt idx="1670">
                  <c:v>0.873</c:v>
                </c:pt>
                <c:pt idx="1671">
                  <c:v>0.86399999999999999</c:v>
                </c:pt>
                <c:pt idx="1672">
                  <c:v>0.89200000000000002</c:v>
                </c:pt>
                <c:pt idx="1673">
                  <c:v>0.89600000000000002</c:v>
                </c:pt>
                <c:pt idx="1674">
                  <c:v>0.92700000000000005</c:v>
                </c:pt>
                <c:pt idx="1675">
                  <c:v>0.94699999999999995</c:v>
                </c:pt>
                <c:pt idx="1676">
                  <c:v>0.871</c:v>
                </c:pt>
                <c:pt idx="1677">
                  <c:v>0.88900000000000001</c:v>
                </c:pt>
                <c:pt idx="1678">
                  <c:v>0.97899999999999998</c:v>
                </c:pt>
                <c:pt idx="1679">
                  <c:v>0.86499999999999999</c:v>
                </c:pt>
                <c:pt idx="1680">
                  <c:v>0.86699999999999999</c:v>
                </c:pt>
                <c:pt idx="1681">
                  <c:v>0.95899999999999996</c:v>
                </c:pt>
                <c:pt idx="1682">
                  <c:v>0.96099999999999997</c:v>
                </c:pt>
                <c:pt idx="1683">
                  <c:v>0.97499999999999998</c:v>
                </c:pt>
                <c:pt idx="1684">
                  <c:v>1</c:v>
                </c:pt>
                <c:pt idx="1685">
                  <c:v>1.0089999999999999</c:v>
                </c:pt>
                <c:pt idx="1686">
                  <c:v>1.01</c:v>
                </c:pt>
                <c:pt idx="1687">
                  <c:v>1.0009999999999999</c:v>
                </c:pt>
                <c:pt idx="1688">
                  <c:v>1.034</c:v>
                </c:pt>
                <c:pt idx="1689">
                  <c:v>1.026</c:v>
                </c:pt>
                <c:pt idx="1690">
                  <c:v>1.075</c:v>
                </c:pt>
                <c:pt idx="1691">
                  <c:v>1.0589999999999999</c:v>
                </c:pt>
                <c:pt idx="1692">
                  <c:v>0.996</c:v>
                </c:pt>
                <c:pt idx="1693">
                  <c:v>1.0129999999999999</c:v>
                </c:pt>
                <c:pt idx="1694">
                  <c:v>1.012</c:v>
                </c:pt>
                <c:pt idx="1695">
                  <c:v>1.0189999999999999</c:v>
                </c:pt>
                <c:pt idx="1696">
                  <c:v>1.0089999999999999</c:v>
                </c:pt>
                <c:pt idx="1697">
                  <c:v>0.94299999999999995</c:v>
                </c:pt>
                <c:pt idx="1698">
                  <c:v>0.95899999999999996</c:v>
                </c:pt>
                <c:pt idx="1699">
                  <c:v>0.85899999999999999</c:v>
                </c:pt>
                <c:pt idx="1700">
                  <c:v>0.85699999999999998</c:v>
                </c:pt>
                <c:pt idx="1701">
                  <c:v>0.85399999999999998</c:v>
                </c:pt>
                <c:pt idx="1702">
                  <c:v>0.86499999999999999</c:v>
                </c:pt>
                <c:pt idx="1703">
                  <c:v>0.86199999999999999</c:v>
                </c:pt>
                <c:pt idx="1704">
                  <c:v>0.878</c:v>
                </c:pt>
                <c:pt idx="1705">
                  <c:v>0.874</c:v>
                </c:pt>
                <c:pt idx="1706">
                  <c:v>0.872</c:v>
                </c:pt>
                <c:pt idx="1707">
                  <c:v>0.84399999999999997</c:v>
                </c:pt>
                <c:pt idx="1708">
                  <c:v>0.872</c:v>
                </c:pt>
                <c:pt idx="1709">
                  <c:v>0.85599999999999998</c:v>
                </c:pt>
                <c:pt idx="1710">
                  <c:v>0.86399999999999999</c:v>
                </c:pt>
                <c:pt idx="1711">
                  <c:v>0.86499999999999999</c:v>
                </c:pt>
                <c:pt idx="1712">
                  <c:v>0.874</c:v>
                </c:pt>
                <c:pt idx="1713">
                  <c:v>0.86599999999999999</c:v>
                </c:pt>
                <c:pt idx="1714">
                  <c:v>0.89100000000000001</c:v>
                </c:pt>
                <c:pt idx="1715">
                  <c:v>0.89300000000000002</c:v>
                </c:pt>
                <c:pt idx="1716">
                  <c:v>0.90300000000000002</c:v>
                </c:pt>
                <c:pt idx="1717">
                  <c:v>0.90400000000000003</c:v>
                </c:pt>
                <c:pt idx="1718">
                  <c:v>0.89800000000000002</c:v>
                </c:pt>
                <c:pt idx="1719">
                  <c:v>0.94699999999999995</c:v>
                </c:pt>
                <c:pt idx="1720">
                  <c:v>0.93500000000000005</c:v>
                </c:pt>
                <c:pt idx="1721">
                  <c:v>0.96499999999999997</c:v>
                </c:pt>
                <c:pt idx="1722">
                  <c:v>0.99299999999999999</c:v>
                </c:pt>
                <c:pt idx="1723">
                  <c:v>1.0009999999999999</c:v>
                </c:pt>
                <c:pt idx="1724">
                  <c:v>0.998</c:v>
                </c:pt>
                <c:pt idx="1725">
                  <c:v>1.004</c:v>
                </c:pt>
                <c:pt idx="1726">
                  <c:v>0.98899999999999999</c:v>
                </c:pt>
                <c:pt idx="1727">
                  <c:v>1.016</c:v>
                </c:pt>
                <c:pt idx="1728">
                  <c:v>1.048</c:v>
                </c:pt>
                <c:pt idx="1729">
                  <c:v>1.0409999999999999</c:v>
                </c:pt>
                <c:pt idx="1730">
                  <c:v>1.052</c:v>
                </c:pt>
                <c:pt idx="1731">
                  <c:v>1.069</c:v>
                </c:pt>
                <c:pt idx="1732">
                  <c:v>1.0580000000000001</c:v>
                </c:pt>
                <c:pt idx="1733">
                  <c:v>1.077</c:v>
                </c:pt>
                <c:pt idx="1734">
                  <c:v>1.0740000000000001</c:v>
                </c:pt>
                <c:pt idx="1735">
                  <c:v>1.079</c:v>
                </c:pt>
                <c:pt idx="1736">
                  <c:v>1.0629999999999999</c:v>
                </c:pt>
                <c:pt idx="1737">
                  <c:v>1.0409999999999999</c:v>
                </c:pt>
                <c:pt idx="1738">
                  <c:v>1.0449999999999999</c:v>
                </c:pt>
                <c:pt idx="1739">
                  <c:v>1.04</c:v>
                </c:pt>
                <c:pt idx="1740">
                  <c:v>1.04</c:v>
                </c:pt>
                <c:pt idx="1741">
                  <c:v>1.0309999999999999</c:v>
                </c:pt>
                <c:pt idx="1742">
                  <c:v>1.0649999999999999</c:v>
                </c:pt>
                <c:pt idx="1743">
                  <c:v>1.0820000000000001</c:v>
                </c:pt>
                <c:pt idx="1744">
                  <c:v>1.0760000000000001</c:v>
                </c:pt>
                <c:pt idx="1745">
                  <c:v>1.056</c:v>
                </c:pt>
                <c:pt idx="1746">
                  <c:v>1.0429999999999999</c:v>
                </c:pt>
                <c:pt idx="1747">
                  <c:v>1.024</c:v>
                </c:pt>
                <c:pt idx="1748">
                  <c:v>0.998</c:v>
                </c:pt>
                <c:pt idx="1749">
                  <c:v>1</c:v>
                </c:pt>
                <c:pt idx="1750">
                  <c:v>1</c:v>
                </c:pt>
                <c:pt idx="1751">
                  <c:v>1</c:v>
                </c:pt>
                <c:pt idx="1752">
                  <c:v>1.0209999999999999</c:v>
                </c:pt>
                <c:pt idx="1753">
                  <c:v>1.0209999999999999</c:v>
                </c:pt>
                <c:pt idx="1754">
                  <c:v>1.016</c:v>
                </c:pt>
                <c:pt idx="1755">
                  <c:v>1.022</c:v>
                </c:pt>
                <c:pt idx="1756">
                  <c:v>1.0449999999999999</c:v>
                </c:pt>
                <c:pt idx="1757">
                  <c:v>1.0529999999999999</c:v>
                </c:pt>
                <c:pt idx="1758">
                  <c:v>1.0469999999999999</c:v>
                </c:pt>
                <c:pt idx="1759">
                  <c:v>1.0629999999999999</c:v>
                </c:pt>
                <c:pt idx="1760">
                  <c:v>1.085</c:v>
                </c:pt>
                <c:pt idx="1761">
                  <c:v>1.0880000000000001</c:v>
                </c:pt>
                <c:pt idx="1762">
                  <c:v>1.0940000000000001</c:v>
                </c:pt>
                <c:pt idx="1763">
                  <c:v>1.125</c:v>
                </c:pt>
                <c:pt idx="1764">
                  <c:v>1.1319999999999999</c:v>
                </c:pt>
                <c:pt idx="1765">
                  <c:v>1.151</c:v>
                </c:pt>
                <c:pt idx="1766">
                  <c:v>1.161</c:v>
                </c:pt>
                <c:pt idx="1767">
                  <c:v>1.155</c:v>
                </c:pt>
                <c:pt idx="1768">
                  <c:v>1.19</c:v>
                </c:pt>
                <c:pt idx="1769">
                  <c:v>1.1819999999999999</c:v>
                </c:pt>
                <c:pt idx="1770">
                  <c:v>1.1719999999999999</c:v>
                </c:pt>
                <c:pt idx="1771">
                  <c:v>1.181</c:v>
                </c:pt>
                <c:pt idx="1772">
                  <c:v>1.1619999999999999</c:v>
                </c:pt>
                <c:pt idx="1773">
                  <c:v>1.1830000000000001</c:v>
                </c:pt>
                <c:pt idx="1774">
                  <c:v>1.2030000000000001</c:v>
                </c:pt>
                <c:pt idx="1775">
                  <c:v>1.2070000000000001</c:v>
                </c:pt>
                <c:pt idx="1776">
                  <c:v>1.1599999999999999</c:v>
                </c:pt>
                <c:pt idx="1777">
                  <c:v>1.1080000000000001</c:v>
                </c:pt>
                <c:pt idx="1778">
                  <c:v>1.0880000000000001</c:v>
                </c:pt>
                <c:pt idx="1779">
                  <c:v>1.107</c:v>
                </c:pt>
                <c:pt idx="1780">
                  <c:v>1.121</c:v>
                </c:pt>
                <c:pt idx="1781">
                  <c:v>1.0820000000000001</c:v>
                </c:pt>
                <c:pt idx="1782">
                  <c:v>1.0429999999999999</c:v>
                </c:pt>
                <c:pt idx="1783">
                  <c:v>1.002</c:v>
                </c:pt>
                <c:pt idx="1784">
                  <c:v>0.996</c:v>
                </c:pt>
                <c:pt idx="1785">
                  <c:v>0.998</c:v>
                </c:pt>
                <c:pt idx="1786">
                  <c:v>1.0249999999999999</c:v>
                </c:pt>
                <c:pt idx="1787">
                  <c:v>1.054</c:v>
                </c:pt>
                <c:pt idx="1788">
                  <c:v>1.0880000000000001</c:v>
                </c:pt>
                <c:pt idx="1789">
                  <c:v>1.0740000000000001</c:v>
                </c:pt>
                <c:pt idx="1790">
                  <c:v>1.0740000000000001</c:v>
                </c:pt>
                <c:pt idx="1791">
                  <c:v>1.077</c:v>
                </c:pt>
                <c:pt idx="1792">
                  <c:v>1.1000000000000001</c:v>
                </c:pt>
                <c:pt idx="1793">
                  <c:v>1.0960000000000001</c:v>
                </c:pt>
                <c:pt idx="1794">
                  <c:v>1.0840000000000001</c:v>
                </c:pt>
                <c:pt idx="1795">
                  <c:v>1.054</c:v>
                </c:pt>
                <c:pt idx="1796">
                  <c:v>1.034</c:v>
                </c:pt>
                <c:pt idx="1797">
                  <c:v>1.0269999999999999</c:v>
                </c:pt>
                <c:pt idx="1798">
                  <c:v>1.0469999999999999</c:v>
                </c:pt>
                <c:pt idx="1799">
                  <c:v>1.0589999999999999</c:v>
                </c:pt>
                <c:pt idx="1800">
                  <c:v>1.054</c:v>
                </c:pt>
                <c:pt idx="1801">
                  <c:v>1.052</c:v>
                </c:pt>
                <c:pt idx="1802">
                  <c:v>1.091</c:v>
                </c:pt>
                <c:pt idx="1803">
                  <c:v>1.0620000000000001</c:v>
                </c:pt>
                <c:pt idx="1804">
                  <c:v>1.073</c:v>
                </c:pt>
                <c:pt idx="1805">
                  <c:v>1.083</c:v>
                </c:pt>
                <c:pt idx="1806">
                  <c:v>1.0960000000000001</c:v>
                </c:pt>
                <c:pt idx="1807">
                  <c:v>1.089</c:v>
                </c:pt>
                <c:pt idx="1808">
                  <c:v>1.0489999999999999</c:v>
                </c:pt>
                <c:pt idx="1809">
                  <c:v>1.016</c:v>
                </c:pt>
                <c:pt idx="1810">
                  <c:v>1.0720000000000001</c:v>
                </c:pt>
                <c:pt idx="1811">
                  <c:v>1.0349999999999999</c:v>
                </c:pt>
                <c:pt idx="1812">
                  <c:v>1.0069999999999999</c:v>
                </c:pt>
                <c:pt idx="1813">
                  <c:v>0.98599999999999999</c:v>
                </c:pt>
                <c:pt idx="1814">
                  <c:v>0.98699999999999999</c:v>
                </c:pt>
                <c:pt idx="1815">
                  <c:v>1.0089999999999999</c:v>
                </c:pt>
                <c:pt idx="1816">
                  <c:v>0.98099999999999998</c:v>
                </c:pt>
                <c:pt idx="1817">
                  <c:v>0.97</c:v>
                </c:pt>
                <c:pt idx="1818">
                  <c:v>0.998</c:v>
                </c:pt>
                <c:pt idx="1819">
                  <c:v>0.99199999999999999</c:v>
                </c:pt>
                <c:pt idx="1820">
                  <c:v>1.012</c:v>
                </c:pt>
                <c:pt idx="1821">
                  <c:v>0.96399999999999997</c:v>
                </c:pt>
                <c:pt idx="1822">
                  <c:v>0.98099999999999998</c:v>
                </c:pt>
                <c:pt idx="1823">
                  <c:v>0.96799999999999997</c:v>
                </c:pt>
                <c:pt idx="1824">
                  <c:v>0.89700000000000002</c:v>
                </c:pt>
                <c:pt idx="1825">
                  <c:v>0.90200000000000002</c:v>
                </c:pt>
                <c:pt idx="1826">
                  <c:v>0.9</c:v>
                </c:pt>
                <c:pt idx="1827">
                  <c:v>0.92200000000000004</c:v>
                </c:pt>
                <c:pt idx="1828">
                  <c:v>0.94</c:v>
                </c:pt>
                <c:pt idx="1829">
                  <c:v>0.93600000000000005</c:v>
                </c:pt>
                <c:pt idx="1830">
                  <c:v>0.93600000000000005</c:v>
                </c:pt>
                <c:pt idx="1831">
                  <c:v>0.97399999999999998</c:v>
                </c:pt>
                <c:pt idx="1832">
                  <c:v>0.96199999999999997</c:v>
                </c:pt>
                <c:pt idx="1833">
                  <c:v>0.98</c:v>
                </c:pt>
                <c:pt idx="1834">
                  <c:v>0.96499999999999997</c:v>
                </c:pt>
                <c:pt idx="1835">
                  <c:v>1.0209999999999999</c:v>
                </c:pt>
                <c:pt idx="1836">
                  <c:v>1.0620000000000001</c:v>
                </c:pt>
                <c:pt idx="1837">
                  <c:v>1.006</c:v>
                </c:pt>
                <c:pt idx="1838">
                  <c:v>1.0569999999999999</c:v>
                </c:pt>
                <c:pt idx="1839">
                  <c:v>1.121</c:v>
                </c:pt>
                <c:pt idx="1840">
                  <c:v>1.05</c:v>
                </c:pt>
                <c:pt idx="1841">
                  <c:v>1.0640000000000001</c:v>
                </c:pt>
                <c:pt idx="1842">
                  <c:v>1.03</c:v>
                </c:pt>
                <c:pt idx="1843">
                  <c:v>1.0229999999999999</c:v>
                </c:pt>
                <c:pt idx="1844">
                  <c:v>1.018</c:v>
                </c:pt>
                <c:pt idx="1845">
                  <c:v>0.98199999999999998</c:v>
                </c:pt>
                <c:pt idx="1846">
                  <c:v>1.073</c:v>
                </c:pt>
                <c:pt idx="1847">
                  <c:v>0.995</c:v>
                </c:pt>
                <c:pt idx="1848">
                  <c:v>0.93500000000000005</c:v>
                </c:pt>
                <c:pt idx="1849">
                  <c:v>0.92900000000000005</c:v>
                </c:pt>
                <c:pt idx="1850">
                  <c:v>0.93500000000000005</c:v>
                </c:pt>
                <c:pt idx="1851">
                  <c:v>0.89400000000000002</c:v>
                </c:pt>
                <c:pt idx="1852">
                  <c:v>0.89900000000000002</c:v>
                </c:pt>
                <c:pt idx="1853">
                  <c:v>0.85799999999999998</c:v>
                </c:pt>
                <c:pt idx="1854">
                  <c:v>0.86399999999999999</c:v>
                </c:pt>
                <c:pt idx="1855">
                  <c:v>0.86399999999999999</c:v>
                </c:pt>
                <c:pt idx="1856">
                  <c:v>0.86</c:v>
                </c:pt>
                <c:pt idx="1857">
                  <c:v>0.85</c:v>
                </c:pt>
                <c:pt idx="1858">
                  <c:v>0.84099999999999997</c:v>
                </c:pt>
                <c:pt idx="1859">
                  <c:v>0.85499999999999998</c:v>
                </c:pt>
                <c:pt idx="1860">
                  <c:v>0.82</c:v>
                </c:pt>
                <c:pt idx="1861">
                  <c:v>0.77600000000000002</c:v>
                </c:pt>
                <c:pt idx="1862">
                  <c:v>0.624</c:v>
                </c:pt>
                <c:pt idx="1863">
                  <c:v>0.57699999999999996</c:v>
                </c:pt>
                <c:pt idx="1864">
                  <c:v>0.56399999999999995</c:v>
                </c:pt>
                <c:pt idx="1865">
                  <c:v>0.53100000000000003</c:v>
                </c:pt>
                <c:pt idx="1866">
                  <c:v>0.54400000000000004</c:v>
                </c:pt>
                <c:pt idx="1867">
                  <c:v>0.53700000000000003</c:v>
                </c:pt>
                <c:pt idx="1868">
                  <c:v>0.56000000000000005</c:v>
                </c:pt>
                <c:pt idx="1869">
                  <c:v>0.55000000000000004</c:v>
                </c:pt>
                <c:pt idx="1870">
                  <c:v>0.55300000000000005</c:v>
                </c:pt>
                <c:pt idx="1871">
                  <c:v>0.54900000000000004</c:v>
                </c:pt>
                <c:pt idx="1872">
                  <c:v>0.47599999999999998</c:v>
                </c:pt>
                <c:pt idx="1873">
                  <c:v>0.434</c:v>
                </c:pt>
                <c:pt idx="1874">
                  <c:v>0.435</c:v>
                </c:pt>
                <c:pt idx="1875">
                  <c:v>0.42699999999999999</c:v>
                </c:pt>
                <c:pt idx="1876">
                  <c:v>0.41599999999999998</c:v>
                </c:pt>
                <c:pt idx="1877">
                  <c:v>0.44</c:v>
                </c:pt>
                <c:pt idx="1878">
                  <c:v>0.44600000000000001</c:v>
                </c:pt>
                <c:pt idx="1879">
                  <c:v>0.46700000000000003</c:v>
                </c:pt>
                <c:pt idx="1880">
                  <c:v>0.42299999999999999</c:v>
                </c:pt>
                <c:pt idx="1881">
                  <c:v>0.41899999999999998</c:v>
                </c:pt>
                <c:pt idx="1882">
                  <c:v>0.443</c:v>
                </c:pt>
                <c:pt idx="1883">
                  <c:v>0.41499999999999998</c:v>
                </c:pt>
                <c:pt idx="1884">
                  <c:v>0.41299999999999998</c:v>
                </c:pt>
                <c:pt idx="1885">
                  <c:v>0.39200000000000002</c:v>
                </c:pt>
                <c:pt idx="1886">
                  <c:v>0.36</c:v>
                </c:pt>
                <c:pt idx="1887">
                  <c:v>0.36</c:v>
                </c:pt>
                <c:pt idx="1888">
                  <c:v>0.33500000000000002</c:v>
                </c:pt>
                <c:pt idx="1889">
                  <c:v>0.29199999999999998</c:v>
                </c:pt>
                <c:pt idx="1890">
                  <c:v>0.27300000000000002</c:v>
                </c:pt>
                <c:pt idx="1891">
                  <c:v>0.27</c:v>
                </c:pt>
                <c:pt idx="1892">
                  <c:v>0.26200000000000001</c:v>
                </c:pt>
                <c:pt idx="1893">
                  <c:v>0.27400000000000002</c:v>
                </c:pt>
                <c:pt idx="1894">
                  <c:v>0.28699999999999998</c:v>
                </c:pt>
                <c:pt idx="1895">
                  <c:v>0.30299999999999999</c:v>
                </c:pt>
                <c:pt idx="1896">
                  <c:v>0.30599999999999999</c:v>
                </c:pt>
                <c:pt idx="1897">
                  <c:v>0.374</c:v>
                </c:pt>
                <c:pt idx="1898">
                  <c:v>0.36299999999999999</c:v>
                </c:pt>
                <c:pt idx="1899">
                  <c:v>0.38900000000000001</c:v>
                </c:pt>
                <c:pt idx="1900">
                  <c:v>0.375</c:v>
                </c:pt>
                <c:pt idx="1901">
                  <c:v>0.38</c:v>
                </c:pt>
                <c:pt idx="1902">
                  <c:v>0.34499999999999997</c:v>
                </c:pt>
                <c:pt idx="1903">
                  <c:v>0.39</c:v>
                </c:pt>
                <c:pt idx="1904">
                  <c:v>0.35199999999999998</c:v>
                </c:pt>
                <c:pt idx="1905">
                  <c:v>0.316</c:v>
                </c:pt>
                <c:pt idx="1906">
                  <c:v>0.25600000000000001</c:v>
                </c:pt>
                <c:pt idx="1907">
                  <c:v>0.219</c:v>
                </c:pt>
                <c:pt idx="1908">
                  <c:v>0.24099999999999999</c:v>
                </c:pt>
                <c:pt idx="1909">
                  <c:v>0.27700000000000002</c:v>
                </c:pt>
                <c:pt idx="1910">
                  <c:v>0.28699999999999998</c:v>
                </c:pt>
                <c:pt idx="1911">
                  <c:v>0.27600000000000002</c:v>
                </c:pt>
                <c:pt idx="1912">
                  <c:v>0.27</c:v>
                </c:pt>
                <c:pt idx="1913">
                  <c:v>0.25800000000000001</c:v>
                </c:pt>
                <c:pt idx="1914">
                  <c:v>0.255</c:v>
                </c:pt>
                <c:pt idx="1915">
                  <c:v>0.25900000000000001</c:v>
                </c:pt>
                <c:pt idx="1916">
                  <c:v>0.27200000000000002</c:v>
                </c:pt>
                <c:pt idx="1917">
                  <c:v>0.25700000000000001</c:v>
                </c:pt>
                <c:pt idx="1918">
                  <c:v>0.253</c:v>
                </c:pt>
                <c:pt idx="1919">
                  <c:v>0.25700000000000001</c:v>
                </c:pt>
                <c:pt idx="1920">
                  <c:v>0.29699999999999999</c:v>
                </c:pt>
                <c:pt idx="1921">
                  <c:v>0.26500000000000001</c:v>
                </c:pt>
                <c:pt idx="1922">
                  <c:v>0.30099999999999999</c:v>
                </c:pt>
                <c:pt idx="1923">
                  <c:v>0.314</c:v>
                </c:pt>
                <c:pt idx="1924">
                  <c:v>0.27400000000000002</c:v>
                </c:pt>
                <c:pt idx="1925">
                  <c:v>0.245</c:v>
                </c:pt>
                <c:pt idx="1926">
                  <c:v>0.254</c:v>
                </c:pt>
                <c:pt idx="1927">
                  <c:v>0.26</c:v>
                </c:pt>
                <c:pt idx="1928">
                  <c:v>0.28399999999999997</c:v>
                </c:pt>
                <c:pt idx="1929">
                  <c:v>0.29399999999999998</c:v>
                </c:pt>
                <c:pt idx="1930">
                  <c:v>0.31</c:v>
                </c:pt>
                <c:pt idx="1931">
                  <c:v>0.28699999999999998</c:v>
                </c:pt>
                <c:pt idx="1932">
                  <c:v>0.32800000000000001</c:v>
                </c:pt>
                <c:pt idx="1933">
                  <c:v>0.33200000000000002</c:v>
                </c:pt>
                <c:pt idx="1934">
                  <c:v>0.29099999999999998</c:v>
                </c:pt>
                <c:pt idx="1935">
                  <c:v>0.28899999999999998</c:v>
                </c:pt>
                <c:pt idx="1936">
                  <c:v>0.315</c:v>
                </c:pt>
                <c:pt idx="1937">
                  <c:v>0.33200000000000002</c:v>
                </c:pt>
                <c:pt idx="1938">
                  <c:v>0.377</c:v>
                </c:pt>
                <c:pt idx="1939">
                  <c:v>0.39200000000000002</c:v>
                </c:pt>
                <c:pt idx="1940">
                  <c:v>0.45900000000000002</c:v>
                </c:pt>
                <c:pt idx="1941">
                  <c:v>0.48799999999999999</c:v>
                </c:pt>
                <c:pt idx="1942">
                  <c:v>0.48899999999999999</c:v>
                </c:pt>
                <c:pt idx="1943">
                  <c:v>0.47099999999999997</c:v>
                </c:pt>
                <c:pt idx="1944">
                  <c:v>0.5</c:v>
                </c:pt>
                <c:pt idx="1945">
                  <c:v>0.501</c:v>
                </c:pt>
                <c:pt idx="1946">
                  <c:v>0.48899999999999999</c:v>
                </c:pt>
                <c:pt idx="1947">
                  <c:v>0.46100000000000002</c:v>
                </c:pt>
                <c:pt idx="1948">
                  <c:v>0.50700000000000001</c:v>
                </c:pt>
                <c:pt idx="1949">
                  <c:v>0.439</c:v>
                </c:pt>
                <c:pt idx="1950">
                  <c:v>0.44</c:v>
                </c:pt>
                <c:pt idx="1951">
                  <c:v>0.46</c:v>
                </c:pt>
                <c:pt idx="1952">
                  <c:v>0.46600000000000003</c:v>
                </c:pt>
                <c:pt idx="1953">
                  <c:v>0.47</c:v>
                </c:pt>
                <c:pt idx="1954">
                  <c:v>0.51700000000000002</c:v>
                </c:pt>
                <c:pt idx="1955">
                  <c:v>0.54200000000000004</c:v>
                </c:pt>
                <c:pt idx="1956">
                  <c:v>0.59299999999999997</c:v>
                </c:pt>
                <c:pt idx="1957">
                  <c:v>0.624</c:v>
                </c:pt>
                <c:pt idx="1958">
                  <c:v>0.64700000000000002</c:v>
                </c:pt>
                <c:pt idx="1959">
                  <c:v>0.65200000000000002</c:v>
                </c:pt>
                <c:pt idx="1960">
                  <c:v>0.73199999999999998</c:v>
                </c:pt>
                <c:pt idx="1961">
                  <c:v>0.749</c:v>
                </c:pt>
                <c:pt idx="1962">
                  <c:v>0.74099999999999999</c:v>
                </c:pt>
                <c:pt idx="1963">
                  <c:v>0.72599999999999998</c:v>
                </c:pt>
                <c:pt idx="1964">
                  <c:v>0.72399999999999998</c:v>
                </c:pt>
                <c:pt idx="1965">
                  <c:v>0.72599999999999998</c:v>
                </c:pt>
                <c:pt idx="1966">
                  <c:v>0.69599999999999995</c:v>
                </c:pt>
                <c:pt idx="1967">
                  <c:v>0.73899999999999999</c:v>
                </c:pt>
                <c:pt idx="1968">
                  <c:v>0.72799999999999998</c:v>
                </c:pt>
                <c:pt idx="1969">
                  <c:v>0.72799999999999998</c:v>
                </c:pt>
                <c:pt idx="1970">
                  <c:v>0.73399999999999999</c:v>
                </c:pt>
                <c:pt idx="1971">
                  <c:v>0.747</c:v>
                </c:pt>
                <c:pt idx="1972">
                  <c:v>0.77800000000000002</c:v>
                </c:pt>
                <c:pt idx="1973">
                  <c:v>0.76100000000000001</c:v>
                </c:pt>
                <c:pt idx="1974">
                  <c:v>0.80700000000000005</c:v>
                </c:pt>
                <c:pt idx="1975">
                  <c:v>0.77300000000000002</c:v>
                </c:pt>
                <c:pt idx="1976">
                  <c:v>0.83299999999999996</c:v>
                </c:pt>
                <c:pt idx="1977">
                  <c:v>0.82599999999999996</c:v>
                </c:pt>
                <c:pt idx="1978">
                  <c:v>0.84799999999999998</c:v>
                </c:pt>
                <c:pt idx="1979">
                  <c:v>0.82699999999999996</c:v>
                </c:pt>
                <c:pt idx="1980">
                  <c:v>0.84199999999999997</c:v>
                </c:pt>
                <c:pt idx="1981">
                  <c:v>0.83499999999999996</c:v>
                </c:pt>
                <c:pt idx="1982">
                  <c:v>0.85299999999999998</c:v>
                </c:pt>
                <c:pt idx="1983">
                  <c:v>0.86699999999999999</c:v>
                </c:pt>
                <c:pt idx="1984">
                  <c:v>0.86099999999999999</c:v>
                </c:pt>
                <c:pt idx="1985">
                  <c:v>0.38400000000000001</c:v>
                </c:pt>
                <c:pt idx="1986">
                  <c:v>0.39</c:v>
                </c:pt>
                <c:pt idx="1987">
                  <c:v>0.39</c:v>
                </c:pt>
                <c:pt idx="1988">
                  <c:v>0.36799999999999999</c:v>
                </c:pt>
                <c:pt idx="1989">
                  <c:v>0.38300000000000001</c:v>
                </c:pt>
                <c:pt idx="1990">
                  <c:v>0.36599999999999999</c:v>
                </c:pt>
                <c:pt idx="1991">
                  <c:v>0.38</c:v>
                </c:pt>
                <c:pt idx="1992">
                  <c:v>0.36</c:v>
                </c:pt>
                <c:pt idx="1993">
                  <c:v>0.37</c:v>
                </c:pt>
                <c:pt idx="1994">
                  <c:v>0.35799999999999998</c:v>
                </c:pt>
                <c:pt idx="1995">
                  <c:v>0.376</c:v>
                </c:pt>
                <c:pt idx="1996">
                  <c:v>0.39300000000000002</c:v>
                </c:pt>
                <c:pt idx="1997">
                  <c:v>0.42399999999999999</c:v>
                </c:pt>
                <c:pt idx="1998">
                  <c:v>0.41599999999999998</c:v>
                </c:pt>
                <c:pt idx="1999">
                  <c:v>0.45100000000000001</c:v>
                </c:pt>
                <c:pt idx="2000">
                  <c:v>0.48099999999999998</c:v>
                </c:pt>
                <c:pt idx="2001">
                  <c:v>0.45</c:v>
                </c:pt>
                <c:pt idx="2002">
                  <c:v>0.47299999999999998</c:v>
                </c:pt>
                <c:pt idx="2003">
                  <c:v>0.44700000000000001</c:v>
                </c:pt>
                <c:pt idx="2004">
                  <c:v>0.41599999999999998</c:v>
                </c:pt>
                <c:pt idx="2005">
                  <c:v>0.39900000000000002</c:v>
                </c:pt>
                <c:pt idx="2006">
                  <c:v>0.41699999999999998</c:v>
                </c:pt>
                <c:pt idx="2007">
                  <c:v>0.36699999999999999</c:v>
                </c:pt>
                <c:pt idx="2008">
                  <c:v>0.376</c:v>
                </c:pt>
                <c:pt idx="2009">
                  <c:v>0.375</c:v>
                </c:pt>
                <c:pt idx="2010">
                  <c:v>0.34499999999999997</c:v>
                </c:pt>
                <c:pt idx="2011">
                  <c:v>0.379</c:v>
                </c:pt>
                <c:pt idx="2012">
                  <c:v>0.34799999999999998</c:v>
                </c:pt>
                <c:pt idx="2013">
                  <c:v>0.37</c:v>
                </c:pt>
                <c:pt idx="2014">
                  <c:v>0.33100000000000002</c:v>
                </c:pt>
                <c:pt idx="2015">
                  <c:v>0.31900000000000001</c:v>
                </c:pt>
                <c:pt idx="2016">
                  <c:v>0.315</c:v>
                </c:pt>
                <c:pt idx="2017">
                  <c:v>0.34100000000000003</c:v>
                </c:pt>
                <c:pt idx="2018">
                  <c:v>0.32800000000000001</c:v>
                </c:pt>
                <c:pt idx="2019">
                  <c:v>0.34499999999999997</c:v>
                </c:pt>
                <c:pt idx="2020">
                  <c:v>0.35</c:v>
                </c:pt>
                <c:pt idx="2021">
                  <c:v>0.36399999999999999</c:v>
                </c:pt>
                <c:pt idx="2022">
                  <c:v>0.36499999999999999</c:v>
                </c:pt>
                <c:pt idx="2023">
                  <c:v>0.35599999999999998</c:v>
                </c:pt>
                <c:pt idx="2024">
                  <c:v>0.38600000000000001</c:v>
                </c:pt>
                <c:pt idx="2025">
                  <c:v>0.38600000000000001</c:v>
                </c:pt>
                <c:pt idx="2026">
                  <c:v>0.38600000000000001</c:v>
                </c:pt>
                <c:pt idx="2027">
                  <c:v>0.39</c:v>
                </c:pt>
                <c:pt idx="2028">
                  <c:v>0.4</c:v>
                </c:pt>
                <c:pt idx="2029">
                  <c:v>0.41599999999999998</c:v>
                </c:pt>
                <c:pt idx="2030">
                  <c:v>0.4</c:v>
                </c:pt>
                <c:pt idx="2031">
                  <c:v>0.41399999999999998</c:v>
                </c:pt>
                <c:pt idx="2032">
                  <c:v>0.46800000000000003</c:v>
                </c:pt>
                <c:pt idx="2033">
                  <c:v>0.47399999999999998</c:v>
                </c:pt>
                <c:pt idx="2034">
                  <c:v>0.436</c:v>
                </c:pt>
                <c:pt idx="2035">
                  <c:v>0.437</c:v>
                </c:pt>
                <c:pt idx="2036">
                  <c:v>0.48499999999999999</c:v>
                </c:pt>
                <c:pt idx="2037">
                  <c:v>0.45300000000000001</c:v>
                </c:pt>
                <c:pt idx="2038">
                  <c:v>0.41199999999999998</c:v>
                </c:pt>
                <c:pt idx="2039">
                  <c:v>0.44400000000000001</c:v>
                </c:pt>
                <c:pt idx="2040">
                  <c:v>0.44800000000000001</c:v>
                </c:pt>
                <c:pt idx="2041">
                  <c:v>0.41</c:v>
                </c:pt>
                <c:pt idx="2042">
                  <c:v>0.442</c:v>
                </c:pt>
                <c:pt idx="2043">
                  <c:v>0.39400000000000002</c:v>
                </c:pt>
                <c:pt idx="2044">
                  <c:v>0.375</c:v>
                </c:pt>
                <c:pt idx="2045">
                  <c:v>0.40200000000000002</c:v>
                </c:pt>
                <c:pt idx="2046">
                  <c:v>0.39800000000000002</c:v>
                </c:pt>
                <c:pt idx="2047">
                  <c:v>0.40699999999999997</c:v>
                </c:pt>
                <c:pt idx="2048">
                  <c:v>0.436</c:v>
                </c:pt>
                <c:pt idx="2049">
                  <c:v>0.44700000000000001</c:v>
                </c:pt>
                <c:pt idx="2050">
                  <c:v>0.44900000000000001</c:v>
                </c:pt>
                <c:pt idx="2051">
                  <c:v>0.46100000000000002</c:v>
                </c:pt>
                <c:pt idx="2052">
                  <c:v>0.496</c:v>
                </c:pt>
                <c:pt idx="2053">
                  <c:v>0.497</c:v>
                </c:pt>
                <c:pt idx="2054">
                  <c:v>0.51900000000000002</c:v>
                </c:pt>
                <c:pt idx="2055">
                  <c:v>0.53400000000000003</c:v>
                </c:pt>
                <c:pt idx="2056">
                  <c:v>0.49399999999999999</c:v>
                </c:pt>
                <c:pt idx="2057">
                  <c:v>0.52800000000000002</c:v>
                </c:pt>
                <c:pt idx="2058">
                  <c:v>0.51400000000000001</c:v>
                </c:pt>
                <c:pt idx="2059">
                  <c:v>0.52300000000000002</c:v>
                </c:pt>
                <c:pt idx="2060">
                  <c:v>0.55800000000000005</c:v>
                </c:pt>
                <c:pt idx="2061">
                  <c:v>0.56399999999999995</c:v>
                </c:pt>
                <c:pt idx="2062">
                  <c:v>0.54700000000000004</c:v>
                </c:pt>
                <c:pt idx="2063">
                  <c:v>0.58699999999999997</c:v>
                </c:pt>
                <c:pt idx="2064">
                  <c:v>0.60699999999999998</c:v>
                </c:pt>
                <c:pt idx="2065">
                  <c:v>0.59299999999999997</c:v>
                </c:pt>
                <c:pt idx="2066">
                  <c:v>0.65600000000000003</c:v>
                </c:pt>
                <c:pt idx="2067">
                  <c:v>0.68799999999999994</c:v>
                </c:pt>
                <c:pt idx="2068">
                  <c:v>0.68799999999999994</c:v>
                </c:pt>
                <c:pt idx="2069">
                  <c:v>0.71599999999999997</c:v>
                </c:pt>
                <c:pt idx="2070">
                  <c:v>0.73099999999999998</c:v>
                </c:pt>
                <c:pt idx="2071">
                  <c:v>0.71699999999999997</c:v>
                </c:pt>
                <c:pt idx="2072">
                  <c:v>0.72899999999999998</c:v>
                </c:pt>
                <c:pt idx="2073">
                  <c:v>0.749</c:v>
                </c:pt>
                <c:pt idx="2074">
                  <c:v>0.74099999999999999</c:v>
                </c:pt>
                <c:pt idx="2075">
                  <c:v>0.76200000000000001</c:v>
                </c:pt>
                <c:pt idx="2076">
                  <c:v>0.73399999999999999</c:v>
                </c:pt>
                <c:pt idx="2077">
                  <c:v>0.65200000000000002</c:v>
                </c:pt>
                <c:pt idx="2078">
                  <c:v>0.67200000000000004</c:v>
                </c:pt>
                <c:pt idx="2079">
                  <c:v>0.66200000000000003</c:v>
                </c:pt>
                <c:pt idx="2080">
                  <c:v>0.63400000000000001</c:v>
                </c:pt>
                <c:pt idx="2081">
                  <c:v>0.65</c:v>
                </c:pt>
                <c:pt idx="2082">
                  <c:v>0.64100000000000001</c:v>
                </c:pt>
                <c:pt idx="2083">
                  <c:v>0.65900000000000003</c:v>
                </c:pt>
                <c:pt idx="2084">
                  <c:v>0.68600000000000005</c:v>
                </c:pt>
                <c:pt idx="2085">
                  <c:v>0.73499999999999999</c:v>
                </c:pt>
                <c:pt idx="2086">
                  <c:v>0.73499999999999999</c:v>
                </c:pt>
                <c:pt idx="2087">
                  <c:v>0.73499999999999999</c:v>
                </c:pt>
                <c:pt idx="2088">
                  <c:v>0.71899999999999997</c:v>
                </c:pt>
                <c:pt idx="2089">
                  <c:v>0.72099999999999997</c:v>
                </c:pt>
                <c:pt idx="2090">
                  <c:v>0.72</c:v>
                </c:pt>
                <c:pt idx="2091">
                  <c:v>0.72</c:v>
                </c:pt>
                <c:pt idx="2092">
                  <c:v>0.72099999999999997</c:v>
                </c:pt>
                <c:pt idx="2093">
                  <c:v>0.72899999999999998</c:v>
                </c:pt>
                <c:pt idx="2094">
                  <c:v>0.69599999999999995</c:v>
                </c:pt>
                <c:pt idx="2095">
                  <c:v>0.67200000000000004</c:v>
                </c:pt>
                <c:pt idx="2096">
                  <c:v>0.70499999999999996</c:v>
                </c:pt>
                <c:pt idx="2097">
                  <c:v>0.76</c:v>
                </c:pt>
                <c:pt idx="2098">
                  <c:v>0.73</c:v>
                </c:pt>
                <c:pt idx="2099">
                  <c:v>0.68200000000000005</c:v>
                </c:pt>
                <c:pt idx="2100">
                  <c:v>0.64800000000000002</c:v>
                </c:pt>
                <c:pt idx="2101">
                  <c:v>0.68</c:v>
                </c:pt>
                <c:pt idx="2102">
                  <c:v>0.71499999999999997</c:v>
                </c:pt>
                <c:pt idx="2103">
                  <c:v>0.72</c:v>
                </c:pt>
                <c:pt idx="2104">
                  <c:v>0.72699999999999998</c:v>
                </c:pt>
                <c:pt idx="2105">
                  <c:v>0.76100000000000001</c:v>
                </c:pt>
                <c:pt idx="2106">
                  <c:v>0.78300000000000003</c:v>
                </c:pt>
                <c:pt idx="2107">
                  <c:v>0.60899999999999999</c:v>
                </c:pt>
                <c:pt idx="2108">
                  <c:v>0.61099999999999999</c:v>
                </c:pt>
                <c:pt idx="2109">
                  <c:v>0.623</c:v>
                </c:pt>
                <c:pt idx="2110">
                  <c:v>0.60399999999999998</c:v>
                </c:pt>
                <c:pt idx="2111">
                  <c:v>0.61699999999999999</c:v>
                </c:pt>
                <c:pt idx="2112">
                  <c:v>0.629</c:v>
                </c:pt>
                <c:pt idx="2113">
                  <c:v>0.65100000000000002</c:v>
                </c:pt>
                <c:pt idx="2114">
                  <c:v>0.66700000000000004</c:v>
                </c:pt>
                <c:pt idx="2115">
                  <c:v>0.64</c:v>
                </c:pt>
                <c:pt idx="2116">
                  <c:v>0.64100000000000001</c:v>
                </c:pt>
                <c:pt idx="2117">
                  <c:v>0.66700000000000004</c:v>
                </c:pt>
                <c:pt idx="2118">
                  <c:v>0.68300000000000005</c:v>
                </c:pt>
                <c:pt idx="2119">
                  <c:v>0.72099999999999997</c:v>
                </c:pt>
                <c:pt idx="2120">
                  <c:v>0.74299999999999999</c:v>
                </c:pt>
                <c:pt idx="2121">
                  <c:v>0.77600000000000002</c:v>
                </c:pt>
                <c:pt idx="2122">
                  <c:v>0.78300000000000003</c:v>
                </c:pt>
                <c:pt idx="2123">
                  <c:v>0.78</c:v>
                </c:pt>
                <c:pt idx="2124">
                  <c:v>0.78800000000000003</c:v>
                </c:pt>
                <c:pt idx="2125">
                  <c:v>0.8</c:v>
                </c:pt>
                <c:pt idx="2126">
                  <c:v>0.745</c:v>
                </c:pt>
                <c:pt idx="2127">
                  <c:v>0.72899999999999998</c:v>
                </c:pt>
                <c:pt idx="2128">
                  <c:v>0.73399999999999999</c:v>
                </c:pt>
                <c:pt idx="2129">
                  <c:v>0.72099999999999997</c:v>
                </c:pt>
                <c:pt idx="2130">
                  <c:v>0.71899999999999997</c:v>
                </c:pt>
                <c:pt idx="2131">
                  <c:v>0.70599999999999996</c:v>
                </c:pt>
                <c:pt idx="2132">
                  <c:v>0.63200000000000001</c:v>
                </c:pt>
                <c:pt idx="2133">
                  <c:v>0.63400000000000001</c:v>
                </c:pt>
                <c:pt idx="2134">
                  <c:v>0.67100000000000004</c:v>
                </c:pt>
                <c:pt idx="2135">
                  <c:v>0.69799999999999995</c:v>
                </c:pt>
                <c:pt idx="2136">
                  <c:v>0.69299999999999995</c:v>
                </c:pt>
                <c:pt idx="2137">
                  <c:v>0.72399999999999998</c:v>
                </c:pt>
                <c:pt idx="2138">
                  <c:v>0.76500000000000001</c:v>
                </c:pt>
                <c:pt idx="2139">
                  <c:v>0.72899999999999998</c:v>
                </c:pt>
                <c:pt idx="2140">
                  <c:v>0.73599999999999999</c:v>
                </c:pt>
                <c:pt idx="2141">
                  <c:v>0.73199999999999998</c:v>
                </c:pt>
                <c:pt idx="2142">
                  <c:v>0.71699999999999997</c:v>
                </c:pt>
                <c:pt idx="2143">
                  <c:v>0.76900000000000002</c:v>
                </c:pt>
                <c:pt idx="2144">
                  <c:v>0.77500000000000002</c:v>
                </c:pt>
                <c:pt idx="2145">
                  <c:v>0.78700000000000003</c:v>
                </c:pt>
                <c:pt idx="2146">
                  <c:v>0.75700000000000001</c:v>
                </c:pt>
                <c:pt idx="2147">
                  <c:v>0.76300000000000001</c:v>
                </c:pt>
                <c:pt idx="2148">
                  <c:v>0.77400000000000002</c:v>
                </c:pt>
                <c:pt idx="2149">
                  <c:v>0.76500000000000001</c:v>
                </c:pt>
                <c:pt idx="2150">
                  <c:v>0.72199999999999998</c:v>
                </c:pt>
                <c:pt idx="2151">
                  <c:v>0.748</c:v>
                </c:pt>
                <c:pt idx="2152">
                  <c:v>0.78600000000000003</c:v>
                </c:pt>
                <c:pt idx="2153">
                  <c:v>0.78500000000000003</c:v>
                </c:pt>
                <c:pt idx="2154">
                  <c:v>0.78800000000000003</c:v>
                </c:pt>
                <c:pt idx="2155">
                  <c:v>0.83699999999999997</c:v>
                </c:pt>
                <c:pt idx="2156">
                  <c:v>0.81</c:v>
                </c:pt>
                <c:pt idx="2157">
                  <c:v>0.80900000000000005</c:v>
                </c:pt>
                <c:pt idx="2158">
                  <c:v>0.79700000000000004</c:v>
                </c:pt>
                <c:pt idx="2159">
                  <c:v>0.872</c:v>
                </c:pt>
                <c:pt idx="2160">
                  <c:v>0.85199999999999998</c:v>
                </c:pt>
                <c:pt idx="2161">
                  <c:v>0.95199999999999996</c:v>
                </c:pt>
                <c:pt idx="2162">
                  <c:v>0.95699999999999996</c:v>
                </c:pt>
                <c:pt idx="2163">
                  <c:v>0.93100000000000005</c:v>
                </c:pt>
                <c:pt idx="2164">
                  <c:v>0.85599999999999998</c:v>
                </c:pt>
                <c:pt idx="2165">
                  <c:v>0.85199999999999998</c:v>
                </c:pt>
                <c:pt idx="2166">
                  <c:v>0.89300000000000002</c:v>
                </c:pt>
                <c:pt idx="2167">
                  <c:v>0.9</c:v>
                </c:pt>
                <c:pt idx="2168">
                  <c:v>0.88300000000000001</c:v>
                </c:pt>
                <c:pt idx="2169">
                  <c:v>0.88800000000000001</c:v>
                </c:pt>
                <c:pt idx="2170">
                  <c:v>0.88300000000000001</c:v>
                </c:pt>
                <c:pt idx="2171">
                  <c:v>0.93200000000000005</c:v>
                </c:pt>
                <c:pt idx="2172">
                  <c:v>1.002</c:v>
                </c:pt>
                <c:pt idx="2173">
                  <c:v>1.0109999999999999</c:v>
                </c:pt>
                <c:pt idx="2174">
                  <c:v>1.044</c:v>
                </c:pt>
                <c:pt idx="2175">
                  <c:v>0.96499999999999997</c:v>
                </c:pt>
                <c:pt idx="2176">
                  <c:v>0.95199999999999996</c:v>
                </c:pt>
                <c:pt idx="2177">
                  <c:v>0.93600000000000005</c:v>
                </c:pt>
                <c:pt idx="2178">
                  <c:v>0.97499999999999998</c:v>
                </c:pt>
                <c:pt idx="2179">
                  <c:v>0.85</c:v>
                </c:pt>
                <c:pt idx="2180">
                  <c:v>0.83299999999999996</c:v>
                </c:pt>
                <c:pt idx="2181">
                  <c:v>0.84299999999999997</c:v>
                </c:pt>
                <c:pt idx="2182">
                  <c:v>0.873</c:v>
                </c:pt>
                <c:pt idx="2183">
                  <c:v>0.9</c:v>
                </c:pt>
                <c:pt idx="2184">
                  <c:v>0.89</c:v>
                </c:pt>
                <c:pt idx="2185">
                  <c:v>0.89500000000000002</c:v>
                </c:pt>
                <c:pt idx="2186">
                  <c:v>0.86399999999999999</c:v>
                </c:pt>
                <c:pt idx="2187">
                  <c:v>0.87</c:v>
                </c:pt>
                <c:pt idx="2188">
                  <c:v>0.89900000000000002</c:v>
                </c:pt>
                <c:pt idx="2189">
                  <c:v>0.96599999999999997</c:v>
                </c:pt>
                <c:pt idx="2190">
                  <c:v>0.95899999999999996</c:v>
                </c:pt>
                <c:pt idx="2191">
                  <c:v>0.97</c:v>
                </c:pt>
                <c:pt idx="2192">
                  <c:v>1.0169999999999999</c:v>
                </c:pt>
                <c:pt idx="2193">
                  <c:v>0.92300000000000004</c:v>
                </c:pt>
                <c:pt idx="2194">
                  <c:v>0.91900000000000004</c:v>
                </c:pt>
                <c:pt idx="2195">
                  <c:v>0.93799999999999994</c:v>
                </c:pt>
                <c:pt idx="2196">
                  <c:v>0.94699999999999995</c:v>
                </c:pt>
                <c:pt idx="2197">
                  <c:v>1.0149999999999999</c:v>
                </c:pt>
                <c:pt idx="2198">
                  <c:v>1.0069999999999999</c:v>
                </c:pt>
                <c:pt idx="2199">
                  <c:v>1.0129999999999999</c:v>
                </c:pt>
                <c:pt idx="2200">
                  <c:v>1.0169999999999999</c:v>
                </c:pt>
                <c:pt idx="2201">
                  <c:v>1.081</c:v>
                </c:pt>
                <c:pt idx="2202">
                  <c:v>1.069</c:v>
                </c:pt>
                <c:pt idx="2203">
                  <c:v>1.1359999999999999</c:v>
                </c:pt>
                <c:pt idx="2204">
                  <c:v>1.075</c:v>
                </c:pt>
                <c:pt idx="2205">
                  <c:v>1.131</c:v>
                </c:pt>
                <c:pt idx="2206">
                  <c:v>1.155</c:v>
                </c:pt>
                <c:pt idx="2207">
                  <c:v>1.1539999999999999</c:v>
                </c:pt>
                <c:pt idx="2208">
                  <c:v>1.1990000000000001</c:v>
                </c:pt>
                <c:pt idx="2209">
                  <c:v>1.2170000000000001</c:v>
                </c:pt>
                <c:pt idx="2210">
                  <c:v>1.2729999999999999</c:v>
                </c:pt>
                <c:pt idx="2211">
                  <c:v>1.204</c:v>
                </c:pt>
                <c:pt idx="2212">
                  <c:v>1.194</c:v>
                </c:pt>
                <c:pt idx="2213">
                  <c:v>1.204</c:v>
                </c:pt>
                <c:pt idx="2214">
                  <c:v>1.2829999999999999</c:v>
                </c:pt>
                <c:pt idx="2215">
                  <c:v>1.286</c:v>
                </c:pt>
                <c:pt idx="2216">
                  <c:v>1.3149999999999999</c:v>
                </c:pt>
                <c:pt idx="2217">
                  <c:v>1.3340000000000001</c:v>
                </c:pt>
                <c:pt idx="2218">
                  <c:v>1.333</c:v>
                </c:pt>
                <c:pt idx="2219">
                  <c:v>1.3460000000000001</c:v>
                </c:pt>
                <c:pt idx="2220">
                  <c:v>1.383</c:v>
                </c:pt>
                <c:pt idx="2221">
                  <c:v>1.337</c:v>
                </c:pt>
                <c:pt idx="2222">
                  <c:v>1.333</c:v>
                </c:pt>
                <c:pt idx="2223">
                  <c:v>1.353</c:v>
                </c:pt>
                <c:pt idx="2224">
                  <c:v>1.413</c:v>
                </c:pt>
                <c:pt idx="2225">
                  <c:v>1.3680000000000001</c:v>
                </c:pt>
                <c:pt idx="2226">
                  <c:v>1.3759999999999999</c:v>
                </c:pt>
                <c:pt idx="2227">
                  <c:v>1.363</c:v>
                </c:pt>
                <c:pt idx="2228">
                  <c:v>1.329</c:v>
                </c:pt>
                <c:pt idx="2229">
                  <c:v>1.3320000000000001</c:v>
                </c:pt>
                <c:pt idx="2230">
                  <c:v>1.1830000000000001</c:v>
                </c:pt>
                <c:pt idx="2231">
                  <c:v>1.1259999999999999</c:v>
                </c:pt>
                <c:pt idx="2232">
                  <c:v>1.2210000000000001</c:v>
                </c:pt>
                <c:pt idx="2233">
                  <c:v>1.2290000000000001</c:v>
                </c:pt>
                <c:pt idx="2234">
                  <c:v>1.1120000000000001</c:v>
                </c:pt>
                <c:pt idx="2235">
                  <c:v>1.1060000000000001</c:v>
                </c:pt>
                <c:pt idx="2236">
                  <c:v>1.0229999999999999</c:v>
                </c:pt>
                <c:pt idx="2237">
                  <c:v>1.105</c:v>
                </c:pt>
                <c:pt idx="2238">
                  <c:v>0.94899999999999995</c:v>
                </c:pt>
                <c:pt idx="2239">
                  <c:v>0.82</c:v>
                </c:pt>
                <c:pt idx="2240">
                  <c:v>0.77600000000000002</c:v>
                </c:pt>
                <c:pt idx="2241">
                  <c:v>0.82399999999999995</c:v>
                </c:pt>
                <c:pt idx="2242">
                  <c:v>0.80400000000000005</c:v>
                </c:pt>
                <c:pt idx="2243">
                  <c:v>0.84199999999999997</c:v>
                </c:pt>
                <c:pt idx="2244">
                  <c:v>0.86199999999999999</c:v>
                </c:pt>
                <c:pt idx="2245">
                  <c:v>0.88400000000000001</c:v>
                </c:pt>
                <c:pt idx="2246">
                  <c:v>0.89</c:v>
                </c:pt>
                <c:pt idx="2247">
                  <c:v>0.85799999999999998</c:v>
                </c:pt>
                <c:pt idx="2248">
                  <c:v>0.82199999999999995</c:v>
                </c:pt>
                <c:pt idx="2249">
                  <c:v>0.86499999999999999</c:v>
                </c:pt>
                <c:pt idx="2250">
                  <c:v>0.84399999999999997</c:v>
                </c:pt>
                <c:pt idx="2251">
                  <c:v>0.85299999999999998</c:v>
                </c:pt>
                <c:pt idx="2252">
                  <c:v>0.878</c:v>
                </c:pt>
                <c:pt idx="2253">
                  <c:v>0.81599999999999995</c:v>
                </c:pt>
                <c:pt idx="2254">
                  <c:v>0.77400000000000002</c:v>
                </c:pt>
                <c:pt idx="2255">
                  <c:v>0.73199999999999998</c:v>
                </c:pt>
                <c:pt idx="2256">
                  <c:v>0.76900000000000002</c:v>
                </c:pt>
                <c:pt idx="2257">
                  <c:v>0.73899999999999999</c:v>
                </c:pt>
                <c:pt idx="2258">
                  <c:v>0.65700000000000003</c:v>
                </c:pt>
                <c:pt idx="2259">
                  <c:v>0.59899999999999998</c:v>
                </c:pt>
                <c:pt idx="2260">
                  <c:v>0.46600000000000003</c:v>
                </c:pt>
                <c:pt idx="2261">
                  <c:v>0.51600000000000001</c:v>
                </c:pt>
                <c:pt idx="2262">
                  <c:v>0.47099999999999997</c:v>
                </c:pt>
                <c:pt idx="2263">
                  <c:v>0.38100000000000001</c:v>
                </c:pt>
                <c:pt idx="2264">
                  <c:v>0.38500000000000001</c:v>
                </c:pt>
                <c:pt idx="2265">
                  <c:v>0.38500000000000001</c:v>
                </c:pt>
                <c:pt idx="2266">
                  <c:v>0.39100000000000001</c:v>
                </c:pt>
                <c:pt idx="2267">
                  <c:v>0.38300000000000001</c:v>
                </c:pt>
                <c:pt idx="2268">
                  <c:v>0.371</c:v>
                </c:pt>
                <c:pt idx="2269">
                  <c:v>0.35799999999999998</c:v>
                </c:pt>
                <c:pt idx="2270">
                  <c:v>0.378</c:v>
                </c:pt>
                <c:pt idx="2271">
                  <c:v>0.38200000000000001</c:v>
                </c:pt>
                <c:pt idx="2272">
                  <c:v>0.39500000000000002</c:v>
                </c:pt>
                <c:pt idx="2273">
                  <c:v>0.42899999999999999</c:v>
                </c:pt>
                <c:pt idx="2274">
                  <c:v>0.44400000000000001</c:v>
                </c:pt>
                <c:pt idx="2275">
                  <c:v>0.45700000000000002</c:v>
                </c:pt>
                <c:pt idx="2276">
                  <c:v>0.46</c:v>
                </c:pt>
                <c:pt idx="2277">
                  <c:v>0.46400000000000002</c:v>
                </c:pt>
                <c:pt idx="2278">
                  <c:v>0.48599999999999999</c:v>
                </c:pt>
                <c:pt idx="2279">
                  <c:v>0.49299999999999999</c:v>
                </c:pt>
                <c:pt idx="2280">
                  <c:v>0.49299999999999999</c:v>
                </c:pt>
                <c:pt idx="2281">
                  <c:v>0.49299999999999999</c:v>
                </c:pt>
                <c:pt idx="2282">
                  <c:v>0.47399999999999998</c:v>
                </c:pt>
                <c:pt idx="2283">
                  <c:v>0.47799999999999998</c:v>
                </c:pt>
                <c:pt idx="2284">
                  <c:v>0.50800000000000001</c:v>
                </c:pt>
                <c:pt idx="2285">
                  <c:v>0.49299999999999999</c:v>
                </c:pt>
                <c:pt idx="2286">
                  <c:v>0.50600000000000001</c:v>
                </c:pt>
                <c:pt idx="2287">
                  <c:v>0.505</c:v>
                </c:pt>
                <c:pt idx="2288">
                  <c:v>0.51700000000000002</c:v>
                </c:pt>
                <c:pt idx="2289">
                  <c:v>0.49399999999999999</c:v>
                </c:pt>
                <c:pt idx="2290">
                  <c:v>0.49399999999999999</c:v>
                </c:pt>
                <c:pt idx="2291">
                  <c:v>0.50600000000000001</c:v>
                </c:pt>
                <c:pt idx="2292">
                  <c:v>0.48799999999999999</c:v>
                </c:pt>
                <c:pt idx="2293">
                  <c:v>0.53100000000000003</c:v>
                </c:pt>
                <c:pt idx="2294">
                  <c:v>0.52</c:v>
                </c:pt>
                <c:pt idx="2295">
                  <c:v>0.52800000000000002</c:v>
                </c:pt>
                <c:pt idx="2296">
                  <c:v>0.53600000000000003</c:v>
                </c:pt>
                <c:pt idx="2297">
                  <c:v>0.52900000000000003</c:v>
                </c:pt>
                <c:pt idx="2298">
                  <c:v>0.57099999999999995</c:v>
                </c:pt>
                <c:pt idx="2299">
                  <c:v>0.65300000000000002</c:v>
                </c:pt>
                <c:pt idx="2300">
                  <c:v>0.74299999999999999</c:v>
                </c:pt>
                <c:pt idx="2301">
                  <c:v>0.74199999999999999</c:v>
                </c:pt>
                <c:pt idx="2302">
                  <c:v>0.76700000000000002</c:v>
                </c:pt>
                <c:pt idx="2303">
                  <c:v>0.76</c:v>
                </c:pt>
                <c:pt idx="2304">
                  <c:v>0.76700000000000002</c:v>
                </c:pt>
                <c:pt idx="2305">
                  <c:v>0.76300000000000001</c:v>
                </c:pt>
                <c:pt idx="2306">
                  <c:v>0.751</c:v>
                </c:pt>
                <c:pt idx="2307">
                  <c:v>0.78100000000000003</c:v>
                </c:pt>
                <c:pt idx="2308">
                  <c:v>0.81799999999999995</c:v>
                </c:pt>
                <c:pt idx="2309">
                  <c:v>0.82899999999999996</c:v>
                </c:pt>
                <c:pt idx="2310">
                  <c:v>0.83599999999999997</c:v>
                </c:pt>
                <c:pt idx="2311">
                  <c:v>0.84</c:v>
                </c:pt>
                <c:pt idx="2312">
                  <c:v>0.82799999999999996</c:v>
                </c:pt>
                <c:pt idx="2313">
                  <c:v>0.79100000000000004</c:v>
                </c:pt>
                <c:pt idx="2314">
                  <c:v>0.77</c:v>
                </c:pt>
                <c:pt idx="2315">
                  <c:v>0.78200000000000003</c:v>
                </c:pt>
                <c:pt idx="2316">
                  <c:v>0.77100000000000002</c:v>
                </c:pt>
                <c:pt idx="2317">
                  <c:v>0.79300000000000004</c:v>
                </c:pt>
                <c:pt idx="2318">
                  <c:v>0.80700000000000005</c:v>
                </c:pt>
                <c:pt idx="2319">
                  <c:v>0.79100000000000004</c:v>
                </c:pt>
                <c:pt idx="2320">
                  <c:v>0.79800000000000004</c:v>
                </c:pt>
                <c:pt idx="2321">
                  <c:v>0.78400000000000003</c:v>
                </c:pt>
                <c:pt idx="2322">
                  <c:v>0.78200000000000003</c:v>
                </c:pt>
                <c:pt idx="2323">
                  <c:v>0.76800000000000002</c:v>
                </c:pt>
                <c:pt idx="2324">
                  <c:v>0.755</c:v>
                </c:pt>
                <c:pt idx="2325">
                  <c:v>0.748</c:v>
                </c:pt>
                <c:pt idx="2326">
                  <c:v>0.78100000000000003</c:v>
                </c:pt>
                <c:pt idx="2327">
                  <c:v>0.76</c:v>
                </c:pt>
                <c:pt idx="2328">
                  <c:v>0.67100000000000004</c:v>
                </c:pt>
                <c:pt idx="2329">
                  <c:v>0.77100000000000002</c:v>
                </c:pt>
                <c:pt idx="2330">
                  <c:v>0.76600000000000001</c:v>
                </c:pt>
                <c:pt idx="2331">
                  <c:v>0.89100000000000001</c:v>
                </c:pt>
                <c:pt idx="2332">
                  <c:v>0.95099999999999996</c:v>
                </c:pt>
                <c:pt idx="2333">
                  <c:v>0.877</c:v>
                </c:pt>
                <c:pt idx="2334">
                  <c:v>0.873</c:v>
                </c:pt>
                <c:pt idx="2335">
                  <c:v>0.88600000000000001</c:v>
                </c:pt>
                <c:pt idx="2336">
                  <c:v>0.93300000000000005</c:v>
                </c:pt>
                <c:pt idx="2337">
                  <c:v>0.95499999999999996</c:v>
                </c:pt>
                <c:pt idx="2338">
                  <c:v>1.0129999999999999</c:v>
                </c:pt>
                <c:pt idx="2339">
                  <c:v>1.034</c:v>
                </c:pt>
                <c:pt idx="2340">
                  <c:v>1.044</c:v>
                </c:pt>
                <c:pt idx="2341">
                  <c:v>1.0569999999999999</c:v>
                </c:pt>
                <c:pt idx="2342">
                  <c:v>1.0680000000000001</c:v>
                </c:pt>
                <c:pt idx="2343">
                  <c:v>1.0389999999999999</c:v>
                </c:pt>
                <c:pt idx="2344">
                  <c:v>1.0940000000000001</c:v>
                </c:pt>
                <c:pt idx="2345">
                  <c:v>1.0940000000000001</c:v>
                </c:pt>
                <c:pt idx="2346">
                  <c:v>1.095</c:v>
                </c:pt>
                <c:pt idx="2347">
                  <c:v>1.095</c:v>
                </c:pt>
                <c:pt idx="2348">
                  <c:v>1.103</c:v>
                </c:pt>
                <c:pt idx="2349">
                  <c:v>1.1080000000000001</c:v>
                </c:pt>
                <c:pt idx="2350">
                  <c:v>1.1080000000000001</c:v>
                </c:pt>
                <c:pt idx="2351">
                  <c:v>1.1080000000000001</c:v>
                </c:pt>
                <c:pt idx="2352">
                  <c:v>1.1080000000000001</c:v>
                </c:pt>
                <c:pt idx="2353">
                  <c:v>1.131</c:v>
                </c:pt>
                <c:pt idx="2354">
                  <c:v>1.099</c:v>
                </c:pt>
                <c:pt idx="2355">
                  <c:v>1.0880000000000001</c:v>
                </c:pt>
                <c:pt idx="2356">
                  <c:v>1.135</c:v>
                </c:pt>
                <c:pt idx="2357">
                  <c:v>1.131</c:v>
                </c:pt>
                <c:pt idx="2358">
                  <c:v>1.1339999999999999</c:v>
                </c:pt>
                <c:pt idx="2359">
                  <c:v>1.1539999999999999</c:v>
                </c:pt>
                <c:pt idx="2360">
                  <c:v>1.139</c:v>
                </c:pt>
                <c:pt idx="2361">
                  <c:v>1.1839999999999999</c:v>
                </c:pt>
                <c:pt idx="2362">
                  <c:v>1.2230000000000001</c:v>
                </c:pt>
                <c:pt idx="2363">
                  <c:v>1.2509999999999999</c:v>
                </c:pt>
                <c:pt idx="2364">
                  <c:v>1.276</c:v>
                </c:pt>
                <c:pt idx="2365">
                  <c:v>1.3</c:v>
                </c:pt>
                <c:pt idx="2366">
                  <c:v>1.31</c:v>
                </c:pt>
                <c:pt idx="2367">
                  <c:v>1.3420000000000001</c:v>
                </c:pt>
                <c:pt idx="2368">
                  <c:v>1.32</c:v>
                </c:pt>
                <c:pt idx="2369">
                  <c:v>1.2969999999999999</c:v>
                </c:pt>
                <c:pt idx="2370">
                  <c:v>1.28</c:v>
                </c:pt>
                <c:pt idx="2371">
                  <c:v>1.2809999999999999</c:v>
                </c:pt>
                <c:pt idx="2372">
                  <c:v>1.341</c:v>
                </c:pt>
                <c:pt idx="2373">
                  <c:v>1.35</c:v>
                </c:pt>
                <c:pt idx="2374">
                  <c:v>1.3859999999999999</c:v>
                </c:pt>
                <c:pt idx="2375">
                  <c:v>1.3819999999999999</c:v>
                </c:pt>
                <c:pt idx="2376">
                  <c:v>1.39</c:v>
                </c:pt>
                <c:pt idx="2377">
                  <c:v>1.4379999999999999</c:v>
                </c:pt>
                <c:pt idx="2378">
                  <c:v>1.415</c:v>
                </c:pt>
                <c:pt idx="2379">
                  <c:v>1.4019999999999999</c:v>
                </c:pt>
                <c:pt idx="2380">
                  <c:v>1.3919999999999999</c:v>
                </c:pt>
                <c:pt idx="2381">
                  <c:v>1.393</c:v>
                </c:pt>
                <c:pt idx="2382">
                  <c:v>1.4079999999999999</c:v>
                </c:pt>
                <c:pt idx="2383">
                  <c:v>1.425</c:v>
                </c:pt>
                <c:pt idx="2384">
                  <c:v>1.43</c:v>
                </c:pt>
                <c:pt idx="2385">
                  <c:v>1.423</c:v>
                </c:pt>
                <c:pt idx="2386">
                  <c:v>1.4219999999999999</c:v>
                </c:pt>
                <c:pt idx="2387">
                  <c:v>1.427</c:v>
                </c:pt>
                <c:pt idx="2388">
                  <c:v>1.415</c:v>
                </c:pt>
                <c:pt idx="2389">
                  <c:v>1.456</c:v>
                </c:pt>
                <c:pt idx="2390">
                  <c:v>1.413</c:v>
                </c:pt>
                <c:pt idx="2391">
                  <c:v>1.4239999999999999</c:v>
                </c:pt>
                <c:pt idx="2392">
                  <c:v>1.458</c:v>
                </c:pt>
                <c:pt idx="2393">
                  <c:v>1.4259999999999999</c:v>
                </c:pt>
                <c:pt idx="2394">
                  <c:v>1.413</c:v>
                </c:pt>
                <c:pt idx="2395">
                  <c:v>1.4370000000000001</c:v>
                </c:pt>
                <c:pt idx="2396">
                  <c:v>1.4419999999999999</c:v>
                </c:pt>
                <c:pt idx="2397">
                  <c:v>1.381</c:v>
                </c:pt>
                <c:pt idx="2398">
                  <c:v>1.3580000000000001</c:v>
                </c:pt>
                <c:pt idx="2399">
                  <c:v>1.3520000000000001</c:v>
                </c:pt>
                <c:pt idx="2400">
                  <c:v>1.3480000000000001</c:v>
                </c:pt>
                <c:pt idx="2401">
                  <c:v>1.335</c:v>
                </c:pt>
                <c:pt idx="2402">
                  <c:v>1.256</c:v>
                </c:pt>
                <c:pt idx="2403">
                  <c:v>1.3080000000000001</c:v>
                </c:pt>
                <c:pt idx="2404">
                  <c:v>1.38</c:v>
                </c:pt>
                <c:pt idx="2405">
                  <c:v>1.391</c:v>
                </c:pt>
                <c:pt idx="2406">
                  <c:v>1.393</c:v>
                </c:pt>
                <c:pt idx="2407">
                  <c:v>1.405</c:v>
                </c:pt>
                <c:pt idx="2408">
                  <c:v>1.4430000000000001</c:v>
                </c:pt>
                <c:pt idx="2409">
                  <c:v>1.4510000000000001</c:v>
                </c:pt>
                <c:pt idx="2410">
                  <c:v>1.4790000000000001</c:v>
                </c:pt>
                <c:pt idx="2411">
                  <c:v>1.44</c:v>
                </c:pt>
                <c:pt idx="2412">
                  <c:v>1.4419999999999999</c:v>
                </c:pt>
                <c:pt idx="2413">
                  <c:v>1.4650000000000001</c:v>
                </c:pt>
                <c:pt idx="2414">
                  <c:v>1.4710000000000001</c:v>
                </c:pt>
                <c:pt idx="2415">
                  <c:v>1.45</c:v>
                </c:pt>
                <c:pt idx="2416">
                  <c:v>1.488</c:v>
                </c:pt>
                <c:pt idx="2417">
                  <c:v>1.472</c:v>
                </c:pt>
                <c:pt idx="2418">
                  <c:v>1.524</c:v>
                </c:pt>
                <c:pt idx="2419">
                  <c:v>1.5169999999999999</c:v>
                </c:pt>
                <c:pt idx="2420">
                  <c:v>1.556</c:v>
                </c:pt>
                <c:pt idx="2421">
                  <c:v>1.5980000000000001</c:v>
                </c:pt>
                <c:pt idx="2422">
                  <c:v>1.595</c:v>
                </c:pt>
                <c:pt idx="2423">
                  <c:v>1.611</c:v>
                </c:pt>
                <c:pt idx="2424">
                  <c:v>1.6040000000000001</c:v>
                </c:pt>
                <c:pt idx="2425">
                  <c:v>1.6160000000000001</c:v>
                </c:pt>
                <c:pt idx="2426">
                  <c:v>1.6</c:v>
                </c:pt>
                <c:pt idx="2427">
                  <c:v>1.593</c:v>
                </c:pt>
                <c:pt idx="2428">
                  <c:v>1.645</c:v>
                </c:pt>
                <c:pt idx="2429">
                  <c:v>1.623</c:v>
                </c:pt>
                <c:pt idx="2430">
                  <c:v>1.617</c:v>
                </c:pt>
                <c:pt idx="2431">
                  <c:v>1.645</c:v>
                </c:pt>
                <c:pt idx="2432">
                  <c:v>1.623</c:v>
                </c:pt>
                <c:pt idx="2433">
                  <c:v>1.65</c:v>
                </c:pt>
                <c:pt idx="2434">
                  <c:v>1.619</c:v>
                </c:pt>
                <c:pt idx="2435">
                  <c:v>1.651</c:v>
                </c:pt>
                <c:pt idx="2436">
                  <c:v>1.659</c:v>
                </c:pt>
                <c:pt idx="2437">
                  <c:v>1.6890000000000001</c:v>
                </c:pt>
                <c:pt idx="2438">
                  <c:v>1.734</c:v>
                </c:pt>
                <c:pt idx="2439">
                  <c:v>1.776</c:v>
                </c:pt>
                <c:pt idx="2440">
                  <c:v>1.823</c:v>
                </c:pt>
                <c:pt idx="2441">
                  <c:v>1.8180000000000001</c:v>
                </c:pt>
                <c:pt idx="2442">
                  <c:v>1.831</c:v>
                </c:pt>
                <c:pt idx="2443">
                  <c:v>1.85</c:v>
                </c:pt>
                <c:pt idx="2444">
                  <c:v>1.873</c:v>
                </c:pt>
                <c:pt idx="2445">
                  <c:v>1.82</c:v>
                </c:pt>
                <c:pt idx="2446">
                  <c:v>1.865</c:v>
                </c:pt>
                <c:pt idx="2447">
                  <c:v>1.8839999999999999</c:v>
                </c:pt>
                <c:pt idx="2448">
                  <c:v>1.897</c:v>
                </c:pt>
                <c:pt idx="2449">
                  <c:v>1.8859999999999999</c:v>
                </c:pt>
                <c:pt idx="2450">
                  <c:v>1.921</c:v>
                </c:pt>
                <c:pt idx="2451">
                  <c:v>1.8879999999999999</c:v>
                </c:pt>
                <c:pt idx="2452">
                  <c:v>1.9079999999999999</c:v>
                </c:pt>
                <c:pt idx="2453">
                  <c:v>1.9390000000000001</c:v>
                </c:pt>
                <c:pt idx="2454">
                  <c:v>1.913</c:v>
                </c:pt>
                <c:pt idx="2455">
                  <c:v>1.91</c:v>
                </c:pt>
                <c:pt idx="2456">
                  <c:v>1.909</c:v>
                </c:pt>
                <c:pt idx="2457">
                  <c:v>1.899</c:v>
                </c:pt>
                <c:pt idx="2458">
                  <c:v>1.889</c:v>
                </c:pt>
                <c:pt idx="2459">
                  <c:v>1.917</c:v>
                </c:pt>
                <c:pt idx="2460">
                  <c:v>1.909</c:v>
                </c:pt>
                <c:pt idx="2461">
                  <c:v>1.9259999999999999</c:v>
                </c:pt>
                <c:pt idx="2462">
                  <c:v>1.901</c:v>
                </c:pt>
                <c:pt idx="2463">
                  <c:v>1.917</c:v>
                </c:pt>
                <c:pt idx="2464">
                  <c:v>1.94</c:v>
                </c:pt>
                <c:pt idx="2465">
                  <c:v>1.9350000000000001</c:v>
                </c:pt>
                <c:pt idx="2466">
                  <c:v>1.9490000000000001</c:v>
                </c:pt>
                <c:pt idx="2467">
                  <c:v>1.96</c:v>
                </c:pt>
                <c:pt idx="2468">
                  <c:v>1.966</c:v>
                </c:pt>
                <c:pt idx="2469">
                  <c:v>1.99</c:v>
                </c:pt>
                <c:pt idx="2470">
                  <c:v>1.9950000000000001</c:v>
                </c:pt>
                <c:pt idx="2471">
                  <c:v>1.994</c:v>
                </c:pt>
                <c:pt idx="2472">
                  <c:v>2.0089999999999999</c:v>
                </c:pt>
                <c:pt idx="2473">
                  <c:v>1.9910000000000001</c:v>
                </c:pt>
                <c:pt idx="2474">
                  <c:v>2.0150000000000001</c:v>
                </c:pt>
                <c:pt idx="2475">
                  <c:v>2.0209999999999999</c:v>
                </c:pt>
                <c:pt idx="2476">
                  <c:v>2.044</c:v>
                </c:pt>
                <c:pt idx="2477">
                  <c:v>2.0449999999999999</c:v>
                </c:pt>
                <c:pt idx="2478">
                  <c:v>2.0110000000000001</c:v>
                </c:pt>
                <c:pt idx="2479">
                  <c:v>2.0209999999999999</c:v>
                </c:pt>
                <c:pt idx="2480">
                  <c:v>2.0139999999999998</c:v>
                </c:pt>
                <c:pt idx="2481">
                  <c:v>2.0470000000000002</c:v>
                </c:pt>
                <c:pt idx="2482">
                  <c:v>2.0249999999999999</c:v>
                </c:pt>
                <c:pt idx="2483">
                  <c:v>2.0369999999999999</c:v>
                </c:pt>
                <c:pt idx="2484">
                  <c:v>2.0350000000000001</c:v>
                </c:pt>
                <c:pt idx="2485">
                  <c:v>2.0390000000000001</c:v>
                </c:pt>
                <c:pt idx="2486">
                  <c:v>2.0499999999999998</c:v>
                </c:pt>
                <c:pt idx="2487">
                  <c:v>2.0670000000000002</c:v>
                </c:pt>
                <c:pt idx="2488">
                  <c:v>2.08</c:v>
                </c:pt>
                <c:pt idx="2489">
                  <c:v>2.0880000000000001</c:v>
                </c:pt>
                <c:pt idx="2490">
                  <c:v>2.0910000000000002</c:v>
                </c:pt>
                <c:pt idx="2491">
                  <c:v>2.1030000000000002</c:v>
                </c:pt>
                <c:pt idx="2492">
                  <c:v>2.12</c:v>
                </c:pt>
                <c:pt idx="2493">
                  <c:v>2.1360000000000001</c:v>
                </c:pt>
                <c:pt idx="2494">
                  <c:v>2.1160000000000001</c:v>
                </c:pt>
                <c:pt idx="2495">
                  <c:v>2.129</c:v>
                </c:pt>
                <c:pt idx="2496">
                  <c:v>2.181</c:v>
                </c:pt>
                <c:pt idx="2497">
                  <c:v>2.194</c:v>
                </c:pt>
                <c:pt idx="2498">
                  <c:v>2.2320000000000002</c:v>
                </c:pt>
                <c:pt idx="2499">
                  <c:v>2.1659999999999999</c:v>
                </c:pt>
                <c:pt idx="2500">
                  <c:v>2.194</c:v>
                </c:pt>
                <c:pt idx="2501">
                  <c:v>2.16</c:v>
                </c:pt>
                <c:pt idx="2502">
                  <c:v>2.1949999999999998</c:v>
                </c:pt>
                <c:pt idx="2503">
                  <c:v>2.2429999999999999</c:v>
                </c:pt>
                <c:pt idx="2504">
                  <c:v>2.2549999999999999</c:v>
                </c:pt>
                <c:pt idx="2505">
                  <c:v>2.2629999999999999</c:v>
                </c:pt>
                <c:pt idx="2506">
                  <c:v>2.2629999999999999</c:v>
                </c:pt>
                <c:pt idx="2507">
                  <c:v>2.2509999999999999</c:v>
                </c:pt>
                <c:pt idx="2508">
                  <c:v>2.2389999999999999</c:v>
                </c:pt>
                <c:pt idx="2509">
                  <c:v>2.238</c:v>
                </c:pt>
                <c:pt idx="2510">
                  <c:v>2.2269999999999999</c:v>
                </c:pt>
                <c:pt idx="2511">
                  <c:v>2.2130000000000001</c:v>
                </c:pt>
                <c:pt idx="2512">
                  <c:v>2.2679999999999998</c:v>
                </c:pt>
                <c:pt idx="2513">
                  <c:v>2.2949999999999999</c:v>
                </c:pt>
                <c:pt idx="2514">
                  <c:v>2.3180000000000001</c:v>
                </c:pt>
                <c:pt idx="2515">
                  <c:v>2.335</c:v>
                </c:pt>
                <c:pt idx="2516">
                  <c:v>2.3180000000000001</c:v>
                </c:pt>
                <c:pt idx="2517">
                  <c:v>2.31</c:v>
                </c:pt>
                <c:pt idx="2518">
                  <c:v>2.3260000000000001</c:v>
                </c:pt>
                <c:pt idx="2519">
                  <c:v>2.3439999999999999</c:v>
                </c:pt>
                <c:pt idx="2520">
                  <c:v>2.3250000000000002</c:v>
                </c:pt>
                <c:pt idx="2521">
                  <c:v>2.3260000000000001</c:v>
                </c:pt>
                <c:pt idx="2522">
                  <c:v>2.3260000000000001</c:v>
                </c:pt>
                <c:pt idx="2523">
                  <c:v>2.3439999999999999</c:v>
                </c:pt>
                <c:pt idx="2524">
                  <c:v>2.3359999999999999</c:v>
                </c:pt>
                <c:pt idx="2525">
                  <c:v>2.3140000000000001</c:v>
                </c:pt>
                <c:pt idx="2526">
                  <c:v>2.319</c:v>
                </c:pt>
                <c:pt idx="2527">
                  <c:v>2.3279999999999998</c:v>
                </c:pt>
                <c:pt idx="2528">
                  <c:v>2.3140000000000001</c:v>
                </c:pt>
                <c:pt idx="2529">
                  <c:v>2.3330000000000002</c:v>
                </c:pt>
                <c:pt idx="2530">
                  <c:v>2.3330000000000002</c:v>
                </c:pt>
                <c:pt idx="2531">
                  <c:v>2.3330000000000002</c:v>
                </c:pt>
                <c:pt idx="2532">
                  <c:v>2.3050000000000002</c:v>
                </c:pt>
                <c:pt idx="2533">
                  <c:v>2.3119999999999998</c:v>
                </c:pt>
                <c:pt idx="2534">
                  <c:v>2.3220000000000001</c:v>
                </c:pt>
                <c:pt idx="2535">
                  <c:v>2.3159999999999998</c:v>
                </c:pt>
                <c:pt idx="2536">
                  <c:v>2.3210000000000002</c:v>
                </c:pt>
                <c:pt idx="2537">
                  <c:v>2.3719999999999999</c:v>
                </c:pt>
                <c:pt idx="2538">
                  <c:v>2.355</c:v>
                </c:pt>
                <c:pt idx="2539">
                  <c:v>2.3580000000000001</c:v>
                </c:pt>
                <c:pt idx="2540">
                  <c:v>2.4180000000000001</c:v>
                </c:pt>
                <c:pt idx="2541">
                  <c:v>2.4590000000000001</c:v>
                </c:pt>
                <c:pt idx="2542">
                  <c:v>2.4780000000000002</c:v>
                </c:pt>
                <c:pt idx="2543">
                  <c:v>2.1190000000000002</c:v>
                </c:pt>
                <c:pt idx="2544">
                  <c:v>2.133</c:v>
                </c:pt>
                <c:pt idx="2545">
                  <c:v>2.113</c:v>
                </c:pt>
                <c:pt idx="2546">
                  <c:v>2.137</c:v>
                </c:pt>
                <c:pt idx="2547">
                  <c:v>2.161</c:v>
                </c:pt>
                <c:pt idx="2548">
                  <c:v>2.1789999999999998</c:v>
                </c:pt>
                <c:pt idx="2549">
                  <c:v>2.2029999999999998</c:v>
                </c:pt>
                <c:pt idx="2550">
                  <c:v>2.23</c:v>
                </c:pt>
                <c:pt idx="2551">
                  <c:v>2.25</c:v>
                </c:pt>
                <c:pt idx="2552">
                  <c:v>2.2109999999999999</c:v>
                </c:pt>
                <c:pt idx="2553">
                  <c:v>2.1909999999999998</c:v>
                </c:pt>
                <c:pt idx="2554">
                  <c:v>2.1930000000000001</c:v>
                </c:pt>
                <c:pt idx="2555">
                  <c:v>2.1779999999999999</c:v>
                </c:pt>
                <c:pt idx="2556">
                  <c:v>2.1549999999999998</c:v>
                </c:pt>
                <c:pt idx="2557">
                  <c:v>2.1920000000000002</c:v>
                </c:pt>
                <c:pt idx="2558">
                  <c:v>2.2269999999999999</c:v>
                </c:pt>
                <c:pt idx="2559">
                  <c:v>2.2789999999999999</c:v>
                </c:pt>
                <c:pt idx="2560">
                  <c:v>2.2970000000000002</c:v>
                </c:pt>
                <c:pt idx="2561">
                  <c:v>2.2890000000000001</c:v>
                </c:pt>
                <c:pt idx="2562">
                  <c:v>2.25</c:v>
                </c:pt>
                <c:pt idx="2563">
                  <c:v>2.2669999999999999</c:v>
                </c:pt>
                <c:pt idx="2564">
                  <c:v>2.2349999999999999</c:v>
                </c:pt>
                <c:pt idx="2565">
                  <c:v>2.2250000000000001</c:v>
                </c:pt>
                <c:pt idx="2566">
                  <c:v>2.2309999999999999</c:v>
                </c:pt>
                <c:pt idx="2567">
                  <c:v>2.2789999999999999</c:v>
                </c:pt>
                <c:pt idx="2568">
                  <c:v>2.3149999999999999</c:v>
                </c:pt>
                <c:pt idx="2569">
                  <c:v>2.3559999999999999</c:v>
                </c:pt>
                <c:pt idx="2570">
                  <c:v>2.36</c:v>
                </c:pt>
                <c:pt idx="2571">
                  <c:v>2.3940000000000001</c:v>
                </c:pt>
                <c:pt idx="2572">
                  <c:v>2.3919999999999999</c:v>
                </c:pt>
                <c:pt idx="2573">
                  <c:v>2.407</c:v>
                </c:pt>
                <c:pt idx="2574">
                  <c:v>2.431</c:v>
                </c:pt>
                <c:pt idx="2575">
                  <c:v>2.4500000000000002</c:v>
                </c:pt>
                <c:pt idx="2576">
                  <c:v>2.444</c:v>
                </c:pt>
                <c:pt idx="2577">
                  <c:v>2.4740000000000002</c:v>
                </c:pt>
                <c:pt idx="2578">
                  <c:v>2.46</c:v>
                </c:pt>
                <c:pt idx="2579">
                  <c:v>2.4660000000000002</c:v>
                </c:pt>
                <c:pt idx="2580">
                  <c:v>2.4670000000000001</c:v>
                </c:pt>
                <c:pt idx="2581">
                  <c:v>2.4990000000000001</c:v>
                </c:pt>
                <c:pt idx="2582">
                  <c:v>2.4870000000000001</c:v>
                </c:pt>
                <c:pt idx="2583">
                  <c:v>2.4740000000000002</c:v>
                </c:pt>
                <c:pt idx="2584">
                  <c:v>2.4809999999999999</c:v>
                </c:pt>
                <c:pt idx="2585">
                  <c:v>2.4860000000000002</c:v>
                </c:pt>
                <c:pt idx="2586">
                  <c:v>2.516</c:v>
                </c:pt>
                <c:pt idx="2587">
                  <c:v>2.5099999999999998</c:v>
                </c:pt>
                <c:pt idx="2588">
                  <c:v>2.5110000000000001</c:v>
                </c:pt>
                <c:pt idx="2589">
                  <c:v>2.5089999999999999</c:v>
                </c:pt>
                <c:pt idx="2590">
                  <c:v>2.504</c:v>
                </c:pt>
                <c:pt idx="2591">
                  <c:v>2.4910000000000001</c:v>
                </c:pt>
                <c:pt idx="2592">
                  <c:v>2.512</c:v>
                </c:pt>
                <c:pt idx="2593">
                  <c:v>2.524</c:v>
                </c:pt>
                <c:pt idx="2594">
                  <c:v>2.5249999999999999</c:v>
                </c:pt>
                <c:pt idx="2595">
                  <c:v>2.5409999999999999</c:v>
                </c:pt>
                <c:pt idx="2596">
                  <c:v>2.5670000000000002</c:v>
                </c:pt>
                <c:pt idx="2597">
                  <c:v>2.5609999999999999</c:v>
                </c:pt>
                <c:pt idx="2598">
                  <c:v>2.5670000000000002</c:v>
                </c:pt>
                <c:pt idx="2599">
                  <c:v>2.5649999999999999</c:v>
                </c:pt>
                <c:pt idx="2600">
                  <c:v>2.5539999999999998</c:v>
                </c:pt>
                <c:pt idx="2601">
                  <c:v>2.637</c:v>
                </c:pt>
                <c:pt idx="2602">
                  <c:v>2.5840000000000001</c:v>
                </c:pt>
                <c:pt idx="2603">
                  <c:v>2.5030000000000001</c:v>
                </c:pt>
                <c:pt idx="2604">
                  <c:v>2.508</c:v>
                </c:pt>
                <c:pt idx="2605">
                  <c:v>2.5139999999999998</c:v>
                </c:pt>
                <c:pt idx="2606">
                  <c:v>2.5259999999999998</c:v>
                </c:pt>
                <c:pt idx="2607">
                  <c:v>2.508</c:v>
                </c:pt>
                <c:pt idx="2608">
                  <c:v>2.508</c:v>
                </c:pt>
                <c:pt idx="2609">
                  <c:v>2.508</c:v>
                </c:pt>
                <c:pt idx="2610">
                  <c:v>2.5249999999999999</c:v>
                </c:pt>
                <c:pt idx="2611">
                  <c:v>2.5470000000000002</c:v>
                </c:pt>
                <c:pt idx="2612">
                  <c:v>2.5470000000000002</c:v>
                </c:pt>
                <c:pt idx="2613">
                  <c:v>2.5470000000000002</c:v>
                </c:pt>
                <c:pt idx="2614">
                  <c:v>2.5470000000000002</c:v>
                </c:pt>
                <c:pt idx="2615">
                  <c:v>2.5329999999999999</c:v>
                </c:pt>
                <c:pt idx="2616">
                  <c:v>2.5310000000000001</c:v>
                </c:pt>
                <c:pt idx="2617">
                  <c:v>2.56</c:v>
                </c:pt>
                <c:pt idx="2618">
                  <c:v>2.5289999999999999</c:v>
                </c:pt>
                <c:pt idx="2619">
                  <c:v>2.5419999999999998</c:v>
                </c:pt>
                <c:pt idx="2620">
                  <c:v>2.5219999999999998</c:v>
                </c:pt>
                <c:pt idx="2621">
                  <c:v>2.532</c:v>
                </c:pt>
                <c:pt idx="2622">
                  <c:v>2.5379999999999998</c:v>
                </c:pt>
                <c:pt idx="2623">
                  <c:v>2.5659999999999998</c:v>
                </c:pt>
                <c:pt idx="2624">
                  <c:v>2.5430000000000001</c:v>
                </c:pt>
                <c:pt idx="2625">
                  <c:v>2.552</c:v>
                </c:pt>
                <c:pt idx="2626">
                  <c:v>2.5449999999999999</c:v>
                </c:pt>
                <c:pt idx="2627">
                  <c:v>2.556</c:v>
                </c:pt>
                <c:pt idx="2628">
                  <c:v>2.5430000000000001</c:v>
                </c:pt>
                <c:pt idx="2629">
                  <c:v>2.5590000000000002</c:v>
                </c:pt>
                <c:pt idx="2630">
                  <c:v>2.5249999999999999</c:v>
                </c:pt>
                <c:pt idx="2631">
                  <c:v>2.4950000000000001</c:v>
                </c:pt>
                <c:pt idx="2632">
                  <c:v>2.5139999999999998</c:v>
                </c:pt>
                <c:pt idx="2633">
                  <c:v>2.5019999999999998</c:v>
                </c:pt>
                <c:pt idx="2634">
                  <c:v>2.488</c:v>
                </c:pt>
                <c:pt idx="2635">
                  <c:v>2.512</c:v>
                </c:pt>
                <c:pt idx="2636">
                  <c:v>2.5310000000000001</c:v>
                </c:pt>
                <c:pt idx="2637">
                  <c:v>2.5219999999999998</c:v>
                </c:pt>
                <c:pt idx="2638">
                  <c:v>2.5510000000000002</c:v>
                </c:pt>
                <c:pt idx="2639">
                  <c:v>2.5099999999999998</c:v>
                </c:pt>
                <c:pt idx="2640">
                  <c:v>2.5510000000000002</c:v>
                </c:pt>
                <c:pt idx="2641">
                  <c:v>2.5710000000000002</c:v>
                </c:pt>
                <c:pt idx="2642">
                  <c:v>2.593</c:v>
                </c:pt>
                <c:pt idx="2643">
                  <c:v>2.609</c:v>
                </c:pt>
                <c:pt idx="2644">
                  <c:v>2.6059999999999999</c:v>
                </c:pt>
                <c:pt idx="2645">
                  <c:v>2.5990000000000002</c:v>
                </c:pt>
                <c:pt idx="2646">
                  <c:v>2.5739999999999998</c:v>
                </c:pt>
                <c:pt idx="2647">
                  <c:v>2.609</c:v>
                </c:pt>
                <c:pt idx="2648">
                  <c:v>2.6019999999999999</c:v>
                </c:pt>
                <c:pt idx="2649">
                  <c:v>2.57</c:v>
                </c:pt>
                <c:pt idx="2650">
                  <c:v>2.5920000000000001</c:v>
                </c:pt>
                <c:pt idx="2651">
                  <c:v>2.585</c:v>
                </c:pt>
                <c:pt idx="2652">
                  <c:v>2.5950000000000002</c:v>
                </c:pt>
                <c:pt idx="2653">
                  <c:v>2.6150000000000002</c:v>
                </c:pt>
                <c:pt idx="2654">
                  <c:v>2.6179999999999999</c:v>
                </c:pt>
                <c:pt idx="2655">
                  <c:v>2.6179999999999999</c:v>
                </c:pt>
                <c:pt idx="2656">
                  <c:v>2.629</c:v>
                </c:pt>
                <c:pt idx="2657">
                  <c:v>2.633</c:v>
                </c:pt>
                <c:pt idx="2658">
                  <c:v>2.653</c:v>
                </c:pt>
                <c:pt idx="2659">
                  <c:v>2.6739999999999999</c:v>
                </c:pt>
                <c:pt idx="2660">
                  <c:v>2.6760000000000002</c:v>
                </c:pt>
                <c:pt idx="2661">
                  <c:v>2.6909999999999998</c:v>
                </c:pt>
                <c:pt idx="2662">
                  <c:v>2.7149999999999999</c:v>
                </c:pt>
                <c:pt idx="2663">
                  <c:v>2.7130000000000001</c:v>
                </c:pt>
                <c:pt idx="2664">
                  <c:v>2.7</c:v>
                </c:pt>
                <c:pt idx="2665">
                  <c:v>2.702</c:v>
                </c:pt>
                <c:pt idx="2666">
                  <c:v>2.7069999999999999</c:v>
                </c:pt>
                <c:pt idx="2667">
                  <c:v>2.702</c:v>
                </c:pt>
                <c:pt idx="2668">
                  <c:v>2.7050000000000001</c:v>
                </c:pt>
                <c:pt idx="2669">
                  <c:v>2.7080000000000002</c:v>
                </c:pt>
                <c:pt idx="2670">
                  <c:v>2.7229999999999999</c:v>
                </c:pt>
                <c:pt idx="2671">
                  <c:v>2.706</c:v>
                </c:pt>
                <c:pt idx="2672">
                  <c:v>2.7040000000000002</c:v>
                </c:pt>
                <c:pt idx="2673">
                  <c:v>2.7040000000000002</c:v>
                </c:pt>
                <c:pt idx="2674">
                  <c:v>2.7130000000000001</c:v>
                </c:pt>
                <c:pt idx="2675">
                  <c:v>2.7109999999999999</c:v>
                </c:pt>
                <c:pt idx="2676">
                  <c:v>2.7189999999999999</c:v>
                </c:pt>
                <c:pt idx="2677">
                  <c:v>2.72</c:v>
                </c:pt>
                <c:pt idx="2678">
                  <c:v>2.7240000000000002</c:v>
                </c:pt>
                <c:pt idx="2679">
                  <c:v>2.7320000000000002</c:v>
                </c:pt>
                <c:pt idx="2680">
                  <c:v>2.718</c:v>
                </c:pt>
                <c:pt idx="2681">
                  <c:v>2.714</c:v>
                </c:pt>
                <c:pt idx="2682">
                  <c:v>2.7610000000000001</c:v>
                </c:pt>
                <c:pt idx="2683">
                  <c:v>2.7429999999999999</c:v>
                </c:pt>
                <c:pt idx="2684">
                  <c:v>2.7429999999999999</c:v>
                </c:pt>
                <c:pt idx="2685">
                  <c:v>2.7549999999999999</c:v>
                </c:pt>
                <c:pt idx="2686">
                  <c:v>2.7440000000000002</c:v>
                </c:pt>
                <c:pt idx="2687">
                  <c:v>2.7690000000000001</c:v>
                </c:pt>
                <c:pt idx="2688">
                  <c:v>2.7669999999999999</c:v>
                </c:pt>
                <c:pt idx="2689">
                  <c:v>2.7290000000000001</c:v>
                </c:pt>
                <c:pt idx="2690">
                  <c:v>2.7309999999999999</c:v>
                </c:pt>
                <c:pt idx="2691">
                  <c:v>2.754</c:v>
                </c:pt>
                <c:pt idx="2692">
                  <c:v>2.7160000000000002</c:v>
                </c:pt>
                <c:pt idx="2693">
                  <c:v>2.714</c:v>
                </c:pt>
                <c:pt idx="2694">
                  <c:v>2.71</c:v>
                </c:pt>
                <c:pt idx="2695">
                  <c:v>2.7029999999999998</c:v>
                </c:pt>
                <c:pt idx="2696">
                  <c:v>2.7</c:v>
                </c:pt>
                <c:pt idx="2697">
                  <c:v>2.706</c:v>
                </c:pt>
                <c:pt idx="2698">
                  <c:v>2.6890000000000001</c:v>
                </c:pt>
                <c:pt idx="2699">
                  <c:v>2.6949999999999998</c:v>
                </c:pt>
                <c:pt idx="2700">
                  <c:v>2.7029999999999998</c:v>
                </c:pt>
                <c:pt idx="2701">
                  <c:v>2.706</c:v>
                </c:pt>
                <c:pt idx="2702">
                  <c:v>2.673</c:v>
                </c:pt>
                <c:pt idx="2703">
                  <c:v>2.665</c:v>
                </c:pt>
                <c:pt idx="2704">
                  <c:v>2.6760000000000002</c:v>
                </c:pt>
                <c:pt idx="2705">
                  <c:v>2.6659999999999999</c:v>
                </c:pt>
                <c:pt idx="2706">
                  <c:v>2.66</c:v>
                </c:pt>
                <c:pt idx="2707">
                  <c:v>2.6269999999999998</c:v>
                </c:pt>
                <c:pt idx="2708">
                  <c:v>2.6190000000000002</c:v>
                </c:pt>
                <c:pt idx="2709">
                  <c:v>2.577</c:v>
                </c:pt>
                <c:pt idx="2710">
                  <c:v>2.5819999999999999</c:v>
                </c:pt>
                <c:pt idx="2711">
                  <c:v>2.59</c:v>
                </c:pt>
                <c:pt idx="2712">
                  <c:v>2.589</c:v>
                </c:pt>
                <c:pt idx="2713">
                  <c:v>2.5990000000000002</c:v>
                </c:pt>
                <c:pt idx="2714">
                  <c:v>2.5950000000000002</c:v>
                </c:pt>
                <c:pt idx="2715">
                  <c:v>2.589</c:v>
                </c:pt>
                <c:pt idx="2716">
                  <c:v>2.605</c:v>
                </c:pt>
                <c:pt idx="2717">
                  <c:v>2.5939999999999999</c:v>
                </c:pt>
                <c:pt idx="2718">
                  <c:v>2.5960000000000001</c:v>
                </c:pt>
                <c:pt idx="2719">
                  <c:v>2.597</c:v>
                </c:pt>
                <c:pt idx="2720">
                  <c:v>2.5990000000000002</c:v>
                </c:pt>
                <c:pt idx="2721">
                  <c:v>2.6019999999999999</c:v>
                </c:pt>
                <c:pt idx="2722">
                  <c:v>2.597</c:v>
                </c:pt>
                <c:pt idx="2723">
                  <c:v>2.5609999999999999</c:v>
                </c:pt>
                <c:pt idx="2724">
                  <c:v>2.56</c:v>
                </c:pt>
                <c:pt idx="2725">
                  <c:v>2.5499999999999998</c:v>
                </c:pt>
                <c:pt idx="2726">
                  <c:v>2.548</c:v>
                </c:pt>
                <c:pt idx="2727">
                  <c:v>2.5840000000000001</c:v>
                </c:pt>
                <c:pt idx="2728">
                  <c:v>2.6070000000000002</c:v>
                </c:pt>
                <c:pt idx="2729">
                  <c:v>2.6190000000000002</c:v>
                </c:pt>
                <c:pt idx="2730">
                  <c:v>2.621</c:v>
                </c:pt>
                <c:pt idx="2731">
                  <c:v>2.6389999999999998</c:v>
                </c:pt>
                <c:pt idx="2732">
                  <c:v>2.65</c:v>
                </c:pt>
                <c:pt idx="2733">
                  <c:v>2.641</c:v>
                </c:pt>
                <c:pt idx="2734">
                  <c:v>2.6619999999999999</c:v>
                </c:pt>
                <c:pt idx="2735">
                  <c:v>2.68</c:v>
                </c:pt>
                <c:pt idx="2736">
                  <c:v>2.6789999999999998</c:v>
                </c:pt>
                <c:pt idx="2737">
                  <c:v>2.677</c:v>
                </c:pt>
                <c:pt idx="2738">
                  <c:v>2.6619999999999999</c:v>
                </c:pt>
                <c:pt idx="2739">
                  <c:v>2.6680000000000001</c:v>
                </c:pt>
                <c:pt idx="2740">
                  <c:v>2.6829999999999998</c:v>
                </c:pt>
                <c:pt idx="2741">
                  <c:v>2.6989999999999998</c:v>
                </c:pt>
                <c:pt idx="2742">
                  <c:v>2.7559999999999998</c:v>
                </c:pt>
                <c:pt idx="2743">
                  <c:v>2.7690000000000001</c:v>
                </c:pt>
                <c:pt idx="2744">
                  <c:v>2.774</c:v>
                </c:pt>
                <c:pt idx="2745">
                  <c:v>2.6230000000000002</c:v>
                </c:pt>
                <c:pt idx="2746">
                  <c:v>2.5819999999999999</c:v>
                </c:pt>
                <c:pt idx="2747">
                  <c:v>2.476</c:v>
                </c:pt>
                <c:pt idx="2748">
                  <c:v>2.4780000000000002</c:v>
                </c:pt>
                <c:pt idx="2749">
                  <c:v>2.4630000000000001</c:v>
                </c:pt>
                <c:pt idx="2750">
                  <c:v>2.4670000000000001</c:v>
                </c:pt>
                <c:pt idx="2751">
                  <c:v>2.5049999999999999</c:v>
                </c:pt>
                <c:pt idx="2752">
                  <c:v>2.516</c:v>
                </c:pt>
                <c:pt idx="2753">
                  <c:v>2.5059999999999998</c:v>
                </c:pt>
                <c:pt idx="2754">
                  <c:v>2.4380000000000002</c:v>
                </c:pt>
                <c:pt idx="2755">
                  <c:v>2.403</c:v>
                </c:pt>
                <c:pt idx="2756">
                  <c:v>2.387</c:v>
                </c:pt>
                <c:pt idx="2757">
                  <c:v>2.379</c:v>
                </c:pt>
                <c:pt idx="2758">
                  <c:v>2.379</c:v>
                </c:pt>
                <c:pt idx="2759">
                  <c:v>2.3650000000000002</c:v>
                </c:pt>
                <c:pt idx="2760">
                  <c:v>2.3740000000000001</c:v>
                </c:pt>
                <c:pt idx="2761">
                  <c:v>2.3879999999999999</c:v>
                </c:pt>
                <c:pt idx="2762">
                  <c:v>2.3919999999999999</c:v>
                </c:pt>
                <c:pt idx="2763">
                  <c:v>2.4020000000000001</c:v>
                </c:pt>
                <c:pt idx="2764">
                  <c:v>2.4489999999999998</c:v>
                </c:pt>
                <c:pt idx="2765">
                  <c:v>2.4239999999999999</c:v>
                </c:pt>
                <c:pt idx="2766">
                  <c:v>2.4209999999999998</c:v>
                </c:pt>
                <c:pt idx="2767">
                  <c:v>2.399</c:v>
                </c:pt>
                <c:pt idx="2768">
                  <c:v>2.4169999999999998</c:v>
                </c:pt>
                <c:pt idx="2769">
                  <c:v>2.444</c:v>
                </c:pt>
                <c:pt idx="2770">
                  <c:v>2.4390000000000001</c:v>
                </c:pt>
                <c:pt idx="2771">
                  <c:v>2.4409999999999998</c:v>
                </c:pt>
                <c:pt idx="2772">
                  <c:v>2.4729999999999999</c:v>
                </c:pt>
                <c:pt idx="2773">
                  <c:v>2.4750000000000001</c:v>
                </c:pt>
                <c:pt idx="2774">
                  <c:v>2.4710000000000001</c:v>
                </c:pt>
                <c:pt idx="2775">
                  <c:v>2.4969999999999999</c:v>
                </c:pt>
                <c:pt idx="2776">
                  <c:v>2.4420000000000002</c:v>
                </c:pt>
                <c:pt idx="2777">
                  <c:v>2.4390000000000001</c:v>
                </c:pt>
                <c:pt idx="2778">
                  <c:v>2.4750000000000001</c:v>
                </c:pt>
                <c:pt idx="2779">
                  <c:v>2.54</c:v>
                </c:pt>
                <c:pt idx="2780">
                  <c:v>2.4849999999999999</c:v>
                </c:pt>
                <c:pt idx="2781">
                  <c:v>2.4750000000000001</c:v>
                </c:pt>
                <c:pt idx="2782">
                  <c:v>2.5619999999999998</c:v>
                </c:pt>
                <c:pt idx="2783">
                  <c:v>2.5619999999999998</c:v>
                </c:pt>
                <c:pt idx="2784">
                  <c:v>2.57</c:v>
                </c:pt>
                <c:pt idx="2785">
                  <c:v>2.6219999999999999</c:v>
                </c:pt>
                <c:pt idx="2786">
                  <c:v>2.677</c:v>
                </c:pt>
                <c:pt idx="2787">
                  <c:v>2.6930000000000001</c:v>
                </c:pt>
                <c:pt idx="2788">
                  <c:v>2.7130000000000001</c:v>
                </c:pt>
                <c:pt idx="2789">
                  <c:v>2.7370000000000001</c:v>
                </c:pt>
                <c:pt idx="2790">
                  <c:v>2.7610000000000001</c:v>
                </c:pt>
                <c:pt idx="2791">
                  <c:v>2.7679999999999998</c:v>
                </c:pt>
                <c:pt idx="2792">
                  <c:v>2.7829999999999999</c:v>
                </c:pt>
                <c:pt idx="2793">
                  <c:v>2.8079999999999998</c:v>
                </c:pt>
                <c:pt idx="2794">
                  <c:v>2.8</c:v>
                </c:pt>
                <c:pt idx="2795">
                  <c:v>2.8260000000000001</c:v>
                </c:pt>
                <c:pt idx="2796">
                  <c:v>2.8260000000000001</c:v>
                </c:pt>
                <c:pt idx="2797">
                  <c:v>2.8479999999999999</c:v>
                </c:pt>
                <c:pt idx="2798">
                  <c:v>2.8559999999999999</c:v>
                </c:pt>
                <c:pt idx="2799">
                  <c:v>2.843</c:v>
                </c:pt>
                <c:pt idx="2800">
                  <c:v>2.8410000000000002</c:v>
                </c:pt>
                <c:pt idx="2801">
                  <c:v>2.855</c:v>
                </c:pt>
                <c:pt idx="2802">
                  <c:v>2.8980000000000001</c:v>
                </c:pt>
                <c:pt idx="2803">
                  <c:v>2.9060000000000001</c:v>
                </c:pt>
                <c:pt idx="2804">
                  <c:v>2.89</c:v>
                </c:pt>
                <c:pt idx="2805">
                  <c:v>2.9060000000000001</c:v>
                </c:pt>
                <c:pt idx="2806">
                  <c:v>2.907</c:v>
                </c:pt>
                <c:pt idx="2807">
                  <c:v>2.9089999999999998</c:v>
                </c:pt>
                <c:pt idx="2808">
                  <c:v>2.895</c:v>
                </c:pt>
                <c:pt idx="2809">
                  <c:v>2.9119999999999999</c:v>
                </c:pt>
                <c:pt idx="2810">
                  <c:v>2.9289999999999998</c:v>
                </c:pt>
                <c:pt idx="2811">
                  <c:v>2.9340000000000002</c:v>
                </c:pt>
                <c:pt idx="2812">
                  <c:v>2.956</c:v>
                </c:pt>
                <c:pt idx="2813">
                  <c:v>2.9620000000000002</c:v>
                </c:pt>
                <c:pt idx="2814">
                  <c:v>2.9689999999999999</c:v>
                </c:pt>
                <c:pt idx="2815">
                  <c:v>2.964</c:v>
                </c:pt>
                <c:pt idx="2816">
                  <c:v>2.9740000000000002</c:v>
                </c:pt>
                <c:pt idx="2817">
                  <c:v>2.99</c:v>
                </c:pt>
                <c:pt idx="2818">
                  <c:v>3.0430000000000001</c:v>
                </c:pt>
                <c:pt idx="2819">
                  <c:v>3.0830000000000002</c:v>
                </c:pt>
                <c:pt idx="2820">
                  <c:v>2.226</c:v>
                </c:pt>
                <c:pt idx="2821">
                  <c:v>2.214</c:v>
                </c:pt>
                <c:pt idx="2822">
                  <c:v>2.214</c:v>
                </c:pt>
                <c:pt idx="2823">
                  <c:v>2.2029999999999998</c:v>
                </c:pt>
                <c:pt idx="2824">
                  <c:v>2.2349999999999999</c:v>
                </c:pt>
                <c:pt idx="2825">
                  <c:v>2.2549999999999999</c:v>
                </c:pt>
                <c:pt idx="2826">
                  <c:v>2.2429999999999999</c:v>
                </c:pt>
                <c:pt idx="2827">
                  <c:v>2.262</c:v>
                </c:pt>
                <c:pt idx="2828">
                  <c:v>2.2530000000000001</c:v>
                </c:pt>
                <c:pt idx="2829">
                  <c:v>2.254</c:v>
                </c:pt>
                <c:pt idx="2830">
                  <c:v>2.2469999999999999</c:v>
                </c:pt>
                <c:pt idx="2831">
                  <c:v>2.2639999999999998</c:v>
                </c:pt>
                <c:pt idx="2832">
                  <c:v>2.2490000000000001</c:v>
                </c:pt>
                <c:pt idx="2833">
                  <c:v>2.17</c:v>
                </c:pt>
                <c:pt idx="2834">
                  <c:v>2.125</c:v>
                </c:pt>
                <c:pt idx="2835">
                  <c:v>2.1240000000000001</c:v>
                </c:pt>
                <c:pt idx="2836">
                  <c:v>2.1259999999999999</c:v>
                </c:pt>
                <c:pt idx="2837">
                  <c:v>2.1360000000000001</c:v>
                </c:pt>
                <c:pt idx="2838">
                  <c:v>2.1379999999999999</c:v>
                </c:pt>
                <c:pt idx="2839">
                  <c:v>2.1619999999999999</c:v>
                </c:pt>
                <c:pt idx="2840">
                  <c:v>2.1840000000000002</c:v>
                </c:pt>
                <c:pt idx="2841">
                  <c:v>2.169</c:v>
                </c:pt>
                <c:pt idx="2842">
                  <c:v>2.1960000000000002</c:v>
                </c:pt>
                <c:pt idx="2843">
                  <c:v>2.2000000000000002</c:v>
                </c:pt>
                <c:pt idx="2844">
                  <c:v>2.1930000000000001</c:v>
                </c:pt>
                <c:pt idx="2845">
                  <c:v>2.1819999999999999</c:v>
                </c:pt>
                <c:pt idx="2846">
                  <c:v>2.1589999999999998</c:v>
                </c:pt>
                <c:pt idx="2847">
                  <c:v>2.1560000000000001</c:v>
                </c:pt>
                <c:pt idx="2848">
                  <c:v>2.11</c:v>
                </c:pt>
                <c:pt idx="2849">
                  <c:v>2.1190000000000002</c:v>
                </c:pt>
                <c:pt idx="2850">
                  <c:v>2.109</c:v>
                </c:pt>
                <c:pt idx="2851">
                  <c:v>2.1219999999999999</c:v>
                </c:pt>
                <c:pt idx="2852">
                  <c:v>2.1320000000000001</c:v>
                </c:pt>
                <c:pt idx="2853">
                  <c:v>2.161</c:v>
                </c:pt>
                <c:pt idx="2854">
                  <c:v>2.1760000000000002</c:v>
                </c:pt>
                <c:pt idx="2855">
                  <c:v>2.1579999999999999</c:v>
                </c:pt>
                <c:pt idx="2856">
                  <c:v>2.16</c:v>
                </c:pt>
                <c:pt idx="2857">
                  <c:v>2.161</c:v>
                </c:pt>
                <c:pt idx="2858">
                  <c:v>2.1659999999999999</c:v>
                </c:pt>
                <c:pt idx="2859">
                  <c:v>2.1629999999999998</c:v>
                </c:pt>
                <c:pt idx="2860">
                  <c:v>2.165</c:v>
                </c:pt>
                <c:pt idx="2861">
                  <c:v>2.16</c:v>
                </c:pt>
                <c:pt idx="2862">
                  <c:v>2.1560000000000001</c:v>
                </c:pt>
                <c:pt idx="2863">
                  <c:v>2.1469999999999998</c:v>
                </c:pt>
                <c:pt idx="2864">
                  <c:v>2.1459999999999999</c:v>
                </c:pt>
                <c:pt idx="2865">
                  <c:v>2.169</c:v>
                </c:pt>
                <c:pt idx="2866">
                  <c:v>2.177</c:v>
                </c:pt>
                <c:pt idx="2867">
                  <c:v>2.17</c:v>
                </c:pt>
                <c:pt idx="2868">
                  <c:v>2.1869999999999998</c:v>
                </c:pt>
                <c:pt idx="2869">
                  <c:v>2.1869999999999998</c:v>
                </c:pt>
                <c:pt idx="2870">
                  <c:v>2.1880000000000002</c:v>
                </c:pt>
                <c:pt idx="2871">
                  <c:v>2.2210000000000001</c:v>
                </c:pt>
                <c:pt idx="2872">
                  <c:v>2.173</c:v>
                </c:pt>
                <c:pt idx="2873">
                  <c:v>2.173</c:v>
                </c:pt>
                <c:pt idx="2874">
                  <c:v>2.173</c:v>
                </c:pt>
                <c:pt idx="2875">
                  <c:v>2.1749999999999998</c:v>
                </c:pt>
                <c:pt idx="2876">
                  <c:v>2.218</c:v>
                </c:pt>
                <c:pt idx="2877">
                  <c:v>2.2349999999999999</c:v>
                </c:pt>
                <c:pt idx="2878">
                  <c:v>2.254</c:v>
                </c:pt>
                <c:pt idx="2879">
                  <c:v>2.2519999999999998</c:v>
                </c:pt>
                <c:pt idx="2880">
                  <c:v>2.2469999999999999</c:v>
                </c:pt>
                <c:pt idx="2881">
                  <c:v>2.2570000000000001</c:v>
                </c:pt>
                <c:pt idx="2882">
                  <c:v>2.2589999999999999</c:v>
                </c:pt>
                <c:pt idx="2883">
                  <c:v>2.2549999999999999</c:v>
                </c:pt>
                <c:pt idx="2884">
                  <c:v>2.246</c:v>
                </c:pt>
                <c:pt idx="2885">
                  <c:v>2.2429999999999999</c:v>
                </c:pt>
                <c:pt idx="2886">
                  <c:v>2.226</c:v>
                </c:pt>
                <c:pt idx="2887">
                  <c:v>2.234</c:v>
                </c:pt>
                <c:pt idx="2888">
                  <c:v>2.262</c:v>
                </c:pt>
                <c:pt idx="2889">
                  <c:v>2.258</c:v>
                </c:pt>
                <c:pt idx="2890">
                  <c:v>2.2810000000000001</c:v>
                </c:pt>
                <c:pt idx="2891">
                  <c:v>2.2949999999999999</c:v>
                </c:pt>
                <c:pt idx="2892">
                  <c:v>2.3050000000000002</c:v>
                </c:pt>
                <c:pt idx="2893">
                  <c:v>2.3220000000000001</c:v>
                </c:pt>
                <c:pt idx="2894">
                  <c:v>2.343</c:v>
                </c:pt>
                <c:pt idx="2895">
                  <c:v>2.351</c:v>
                </c:pt>
                <c:pt idx="2896">
                  <c:v>2.371</c:v>
                </c:pt>
                <c:pt idx="2897">
                  <c:v>2.3620000000000001</c:v>
                </c:pt>
                <c:pt idx="2898">
                  <c:v>2.379</c:v>
                </c:pt>
                <c:pt idx="2899">
                  <c:v>2.363</c:v>
                </c:pt>
                <c:pt idx="2900">
                  <c:v>2.3559999999999999</c:v>
                </c:pt>
                <c:pt idx="2901">
                  <c:v>2.3639999999999999</c:v>
                </c:pt>
                <c:pt idx="2902">
                  <c:v>2.375</c:v>
                </c:pt>
                <c:pt idx="2903">
                  <c:v>2.3879999999999999</c:v>
                </c:pt>
                <c:pt idx="2904">
                  <c:v>2.3889999999999998</c:v>
                </c:pt>
                <c:pt idx="2905">
                  <c:v>2.3690000000000002</c:v>
                </c:pt>
                <c:pt idx="2906">
                  <c:v>2.4089999999999998</c:v>
                </c:pt>
                <c:pt idx="2907">
                  <c:v>2.4119999999999999</c:v>
                </c:pt>
                <c:pt idx="2908">
                  <c:v>2.4590000000000001</c:v>
                </c:pt>
                <c:pt idx="2909">
                  <c:v>2.4540000000000002</c:v>
                </c:pt>
                <c:pt idx="2910">
                  <c:v>2.48</c:v>
                </c:pt>
                <c:pt idx="2911">
                  <c:v>2.4950000000000001</c:v>
                </c:pt>
                <c:pt idx="2912">
                  <c:v>2.504</c:v>
                </c:pt>
                <c:pt idx="2913">
                  <c:v>2.512</c:v>
                </c:pt>
                <c:pt idx="2914">
                  <c:v>2.4860000000000002</c:v>
                </c:pt>
                <c:pt idx="2915">
                  <c:v>2.488</c:v>
                </c:pt>
                <c:pt idx="2916">
                  <c:v>2.4790000000000001</c:v>
                </c:pt>
                <c:pt idx="2917">
                  <c:v>2.4700000000000002</c:v>
                </c:pt>
                <c:pt idx="2918">
                  <c:v>2.512</c:v>
                </c:pt>
                <c:pt idx="2919">
                  <c:v>2.492</c:v>
                </c:pt>
                <c:pt idx="2920">
                  <c:v>2.468</c:v>
                </c:pt>
                <c:pt idx="2921">
                  <c:v>2.4900000000000002</c:v>
                </c:pt>
                <c:pt idx="2922">
                  <c:v>2.4870000000000001</c:v>
                </c:pt>
                <c:pt idx="2923">
                  <c:v>2.4700000000000002</c:v>
                </c:pt>
                <c:pt idx="2924">
                  <c:v>2.4529999999999998</c:v>
                </c:pt>
                <c:pt idx="2925">
                  <c:v>2.5329999999999999</c:v>
                </c:pt>
                <c:pt idx="2926">
                  <c:v>2.5649999999999999</c:v>
                </c:pt>
                <c:pt idx="2927">
                  <c:v>2.569</c:v>
                </c:pt>
                <c:pt idx="2928">
                  <c:v>2.5819999999999999</c:v>
                </c:pt>
                <c:pt idx="2929">
                  <c:v>2.6059999999999999</c:v>
                </c:pt>
                <c:pt idx="2930">
                  <c:v>2.649</c:v>
                </c:pt>
                <c:pt idx="2931">
                  <c:v>2.6280000000000001</c:v>
                </c:pt>
                <c:pt idx="2932">
                  <c:v>2.6230000000000002</c:v>
                </c:pt>
                <c:pt idx="2933">
                  <c:v>2.6280000000000001</c:v>
                </c:pt>
                <c:pt idx="2934">
                  <c:v>2.6259999999999999</c:v>
                </c:pt>
                <c:pt idx="2935">
                  <c:v>2.63</c:v>
                </c:pt>
                <c:pt idx="2936">
                  <c:v>2.6259999999999999</c:v>
                </c:pt>
                <c:pt idx="2937">
                  <c:v>2.6309999999999998</c:v>
                </c:pt>
                <c:pt idx="2938">
                  <c:v>2.6549999999999998</c:v>
                </c:pt>
                <c:pt idx="2939">
                  <c:v>2.6680000000000001</c:v>
                </c:pt>
                <c:pt idx="2940">
                  <c:v>2.7109999999999999</c:v>
                </c:pt>
                <c:pt idx="2941">
                  <c:v>2.7730000000000001</c:v>
                </c:pt>
                <c:pt idx="2942">
                  <c:v>2.8149999999999999</c:v>
                </c:pt>
                <c:pt idx="2943">
                  <c:v>2.8359999999999999</c:v>
                </c:pt>
                <c:pt idx="2944">
                  <c:v>2.8490000000000002</c:v>
                </c:pt>
                <c:pt idx="2945">
                  <c:v>2.919</c:v>
                </c:pt>
                <c:pt idx="2946">
                  <c:v>2.8460000000000001</c:v>
                </c:pt>
                <c:pt idx="2947">
                  <c:v>2.903</c:v>
                </c:pt>
                <c:pt idx="2948">
                  <c:v>2.899</c:v>
                </c:pt>
                <c:pt idx="2949">
                  <c:v>2.9140000000000001</c:v>
                </c:pt>
                <c:pt idx="2950">
                  <c:v>2.9329999999999998</c:v>
                </c:pt>
                <c:pt idx="2951">
                  <c:v>2.9319999999999999</c:v>
                </c:pt>
                <c:pt idx="2952">
                  <c:v>2.9260000000000002</c:v>
                </c:pt>
                <c:pt idx="2953">
                  <c:v>2.9820000000000002</c:v>
                </c:pt>
                <c:pt idx="2954">
                  <c:v>2.923</c:v>
                </c:pt>
                <c:pt idx="2955">
                  <c:v>2.9780000000000002</c:v>
                </c:pt>
                <c:pt idx="2956">
                  <c:v>2.9830000000000001</c:v>
                </c:pt>
                <c:pt idx="2957">
                  <c:v>2.9940000000000002</c:v>
                </c:pt>
                <c:pt idx="2958">
                  <c:v>3.0150000000000001</c:v>
                </c:pt>
                <c:pt idx="2959">
                  <c:v>2.9649999999999999</c:v>
                </c:pt>
                <c:pt idx="2960">
                  <c:v>3</c:v>
                </c:pt>
                <c:pt idx="2961">
                  <c:v>3.0070000000000001</c:v>
                </c:pt>
                <c:pt idx="2962">
                  <c:v>3.0529999999999999</c:v>
                </c:pt>
                <c:pt idx="2963">
                  <c:v>3.052</c:v>
                </c:pt>
                <c:pt idx="2964">
                  <c:v>3.0510000000000002</c:v>
                </c:pt>
                <c:pt idx="2965">
                  <c:v>3.0790000000000002</c:v>
                </c:pt>
                <c:pt idx="2966">
                  <c:v>3.1059999999999999</c:v>
                </c:pt>
                <c:pt idx="2967">
                  <c:v>3.1520000000000001</c:v>
                </c:pt>
                <c:pt idx="2968">
                  <c:v>3.109</c:v>
                </c:pt>
                <c:pt idx="2969">
                  <c:v>3.1469999999999998</c:v>
                </c:pt>
                <c:pt idx="2970">
                  <c:v>3.3</c:v>
                </c:pt>
                <c:pt idx="2971">
                  <c:v>3.1419999999999999</c:v>
                </c:pt>
                <c:pt idx="2972">
                  <c:v>3.302</c:v>
                </c:pt>
                <c:pt idx="2973">
                  <c:v>3.3250000000000002</c:v>
                </c:pt>
                <c:pt idx="2974">
                  <c:v>3.335</c:v>
                </c:pt>
                <c:pt idx="2975">
                  <c:v>3.363</c:v>
                </c:pt>
                <c:pt idx="2976">
                  <c:v>3.0950000000000002</c:v>
                </c:pt>
                <c:pt idx="2977">
                  <c:v>3.1680000000000001</c:v>
                </c:pt>
                <c:pt idx="2978">
                  <c:v>3.16</c:v>
                </c:pt>
                <c:pt idx="2979">
                  <c:v>3.258</c:v>
                </c:pt>
                <c:pt idx="2980">
                  <c:v>3.38</c:v>
                </c:pt>
                <c:pt idx="2981">
                  <c:v>3.3359999999999999</c:v>
                </c:pt>
                <c:pt idx="2982">
                  <c:v>3.2749999999999999</c:v>
                </c:pt>
                <c:pt idx="2983">
                  <c:v>3.2749999999999999</c:v>
                </c:pt>
                <c:pt idx="2984">
                  <c:v>3.2959999999999998</c:v>
                </c:pt>
                <c:pt idx="2985">
                  <c:v>3.2429999999999999</c:v>
                </c:pt>
                <c:pt idx="2986">
                  <c:v>3.2759999999999998</c:v>
                </c:pt>
                <c:pt idx="2987">
                  <c:v>3.2759999999999998</c:v>
                </c:pt>
                <c:pt idx="2988">
                  <c:v>3.2770000000000001</c:v>
                </c:pt>
                <c:pt idx="2989">
                  <c:v>3.375</c:v>
                </c:pt>
                <c:pt idx="2990">
                  <c:v>3.4079999999999999</c:v>
                </c:pt>
                <c:pt idx="2991">
                  <c:v>3.4079999999999999</c:v>
                </c:pt>
                <c:pt idx="2992">
                  <c:v>3.4079999999999999</c:v>
                </c:pt>
                <c:pt idx="2993">
                  <c:v>3.4079999999999999</c:v>
                </c:pt>
                <c:pt idx="2994">
                  <c:v>3.419</c:v>
                </c:pt>
                <c:pt idx="2995">
                  <c:v>3.4780000000000002</c:v>
                </c:pt>
                <c:pt idx="2996">
                  <c:v>3.42</c:v>
                </c:pt>
                <c:pt idx="2997">
                  <c:v>3.427</c:v>
                </c:pt>
                <c:pt idx="2998">
                  <c:v>3.4169999999999998</c:v>
                </c:pt>
                <c:pt idx="2999">
                  <c:v>3.4329999999999998</c:v>
                </c:pt>
                <c:pt idx="3000">
                  <c:v>3.4950000000000001</c:v>
                </c:pt>
                <c:pt idx="3001">
                  <c:v>3.5009999999999999</c:v>
                </c:pt>
                <c:pt idx="3002">
                  <c:v>3.5019999999999998</c:v>
                </c:pt>
                <c:pt idx="3003">
                  <c:v>3.5009999999999999</c:v>
                </c:pt>
                <c:pt idx="3004">
                  <c:v>3.5</c:v>
                </c:pt>
                <c:pt idx="3005">
                  <c:v>3.5009999999999999</c:v>
                </c:pt>
                <c:pt idx="3006">
                  <c:v>3.5009999999999999</c:v>
                </c:pt>
                <c:pt idx="3007">
                  <c:v>3.4830000000000001</c:v>
                </c:pt>
                <c:pt idx="3008">
                  <c:v>3.5150000000000001</c:v>
                </c:pt>
                <c:pt idx="3009">
                  <c:v>3.5539999999999998</c:v>
                </c:pt>
                <c:pt idx="3010">
                  <c:v>3.569</c:v>
                </c:pt>
                <c:pt idx="3011">
                  <c:v>3.581</c:v>
                </c:pt>
                <c:pt idx="3012">
                  <c:v>3.577</c:v>
                </c:pt>
                <c:pt idx="3013">
                  <c:v>3.5750000000000002</c:v>
                </c:pt>
                <c:pt idx="3014">
                  <c:v>3.5750000000000002</c:v>
                </c:pt>
                <c:pt idx="3015">
                  <c:v>3.59</c:v>
                </c:pt>
                <c:pt idx="3016">
                  <c:v>3.5950000000000002</c:v>
                </c:pt>
                <c:pt idx="3017">
                  <c:v>3.6040000000000001</c:v>
                </c:pt>
                <c:pt idx="3018">
                  <c:v>3.532</c:v>
                </c:pt>
                <c:pt idx="3019">
                  <c:v>3.5379999999999998</c:v>
                </c:pt>
                <c:pt idx="3020">
                  <c:v>3.645</c:v>
                </c:pt>
                <c:pt idx="3021">
                  <c:v>3.669</c:v>
                </c:pt>
                <c:pt idx="3022">
                  <c:v>3.6739999999999999</c:v>
                </c:pt>
                <c:pt idx="3023">
                  <c:v>3.694</c:v>
                </c:pt>
                <c:pt idx="3024">
                  <c:v>3.556</c:v>
                </c:pt>
                <c:pt idx="3025">
                  <c:v>3.694</c:v>
                </c:pt>
                <c:pt idx="3026">
                  <c:v>3.6989999999999998</c:v>
                </c:pt>
                <c:pt idx="3027">
                  <c:v>3.6139999999999999</c:v>
                </c:pt>
                <c:pt idx="3028">
                  <c:v>3.6040000000000001</c:v>
                </c:pt>
                <c:pt idx="3029">
                  <c:v>3.6360000000000001</c:v>
                </c:pt>
                <c:pt idx="3030">
                  <c:v>3.6560000000000001</c:v>
                </c:pt>
                <c:pt idx="3031">
                  <c:v>3.6669999999999998</c:v>
                </c:pt>
                <c:pt idx="3032">
                  <c:v>3.64</c:v>
                </c:pt>
                <c:pt idx="3033">
                  <c:v>3.5830000000000002</c:v>
                </c:pt>
                <c:pt idx="3034">
                  <c:v>3.577</c:v>
                </c:pt>
                <c:pt idx="3035">
                  <c:v>3.56</c:v>
                </c:pt>
                <c:pt idx="3036">
                  <c:v>3.5649999999999999</c:v>
                </c:pt>
                <c:pt idx="3037">
                  <c:v>3.5819999999999999</c:v>
                </c:pt>
                <c:pt idx="3038">
                  <c:v>3.5979999999999999</c:v>
                </c:pt>
                <c:pt idx="3039">
                  <c:v>3.492</c:v>
                </c:pt>
                <c:pt idx="3040">
                  <c:v>3.5830000000000002</c:v>
                </c:pt>
                <c:pt idx="3041">
                  <c:v>3.6019999999999999</c:v>
                </c:pt>
                <c:pt idx="3042">
                  <c:v>3.6419999999999999</c:v>
                </c:pt>
                <c:pt idx="3043">
                  <c:v>3.7469999999999999</c:v>
                </c:pt>
                <c:pt idx="3044">
                  <c:v>3.6680000000000001</c:v>
                </c:pt>
                <c:pt idx="3045">
                  <c:v>3.6819999999999999</c:v>
                </c:pt>
                <c:pt idx="3046">
                  <c:v>3.694</c:v>
                </c:pt>
                <c:pt idx="3047">
                  <c:v>3.7010000000000001</c:v>
                </c:pt>
                <c:pt idx="3048">
                  <c:v>3.7109999999999999</c:v>
                </c:pt>
                <c:pt idx="3049">
                  <c:v>3.7269999999999999</c:v>
                </c:pt>
                <c:pt idx="3050">
                  <c:v>3.7040000000000002</c:v>
                </c:pt>
                <c:pt idx="3051">
                  <c:v>3.6949999999999998</c:v>
                </c:pt>
                <c:pt idx="3052">
                  <c:v>3.68</c:v>
                </c:pt>
                <c:pt idx="3053">
                  <c:v>3.6920000000000002</c:v>
                </c:pt>
                <c:pt idx="3054">
                  <c:v>3.6920000000000002</c:v>
                </c:pt>
                <c:pt idx="3055">
                  <c:v>3.698</c:v>
                </c:pt>
                <c:pt idx="3056">
                  <c:v>3.7040000000000002</c:v>
                </c:pt>
                <c:pt idx="3057">
                  <c:v>3.7029999999999998</c:v>
                </c:pt>
                <c:pt idx="3058">
                  <c:v>3.7109999999999999</c:v>
                </c:pt>
                <c:pt idx="3059">
                  <c:v>3.73</c:v>
                </c:pt>
                <c:pt idx="3060">
                  <c:v>3.73</c:v>
                </c:pt>
                <c:pt idx="3061">
                  <c:v>3.73</c:v>
                </c:pt>
                <c:pt idx="3062">
                  <c:v>3.77</c:v>
                </c:pt>
                <c:pt idx="3063">
                  <c:v>3.7679999999999998</c:v>
                </c:pt>
                <c:pt idx="3064">
                  <c:v>3.7919999999999998</c:v>
                </c:pt>
                <c:pt idx="3065">
                  <c:v>3.7890000000000001</c:v>
                </c:pt>
                <c:pt idx="3066">
                  <c:v>3.8</c:v>
                </c:pt>
                <c:pt idx="3067">
                  <c:v>3.8</c:v>
                </c:pt>
                <c:pt idx="3068">
                  <c:v>3.8069999999999999</c:v>
                </c:pt>
                <c:pt idx="3069">
                  <c:v>3.835</c:v>
                </c:pt>
                <c:pt idx="3070">
                  <c:v>3.9060000000000001</c:v>
                </c:pt>
                <c:pt idx="3071">
                  <c:v>3.907</c:v>
                </c:pt>
                <c:pt idx="3072">
                  <c:v>3.9049999999999998</c:v>
                </c:pt>
                <c:pt idx="3073">
                  <c:v>3.95</c:v>
                </c:pt>
                <c:pt idx="3074">
                  <c:v>3.97</c:v>
                </c:pt>
                <c:pt idx="3075">
                  <c:v>3.9550000000000001</c:v>
                </c:pt>
                <c:pt idx="3076">
                  <c:v>3.9569999999999999</c:v>
                </c:pt>
                <c:pt idx="3077">
                  <c:v>3.956</c:v>
                </c:pt>
                <c:pt idx="3078">
                  <c:v>3.9470000000000001</c:v>
                </c:pt>
                <c:pt idx="3079">
                  <c:v>3.92</c:v>
                </c:pt>
                <c:pt idx="3080">
                  <c:v>3.9129999999999998</c:v>
                </c:pt>
                <c:pt idx="3081">
                  <c:v>3.891</c:v>
                </c:pt>
                <c:pt idx="3082">
                  <c:v>3.9039999999999999</c:v>
                </c:pt>
                <c:pt idx="3083">
                  <c:v>3.8809999999999998</c:v>
                </c:pt>
                <c:pt idx="3084">
                  <c:v>3.8370000000000002</c:v>
                </c:pt>
                <c:pt idx="3085">
                  <c:v>3.8319999999999999</c:v>
                </c:pt>
                <c:pt idx="3086">
                  <c:v>3.9159999999999999</c:v>
                </c:pt>
                <c:pt idx="3087">
                  <c:v>3.9860000000000002</c:v>
                </c:pt>
                <c:pt idx="3088">
                  <c:v>4.069</c:v>
                </c:pt>
                <c:pt idx="3089">
                  <c:v>4.0640000000000001</c:v>
                </c:pt>
                <c:pt idx="3090">
                  <c:v>4.0860000000000003</c:v>
                </c:pt>
                <c:pt idx="3091">
                  <c:v>4.4180000000000001</c:v>
                </c:pt>
                <c:pt idx="3092">
                  <c:v>4.51</c:v>
                </c:pt>
                <c:pt idx="3093">
                  <c:v>4.5750000000000002</c:v>
                </c:pt>
                <c:pt idx="3094">
                  <c:v>4.5289999999999999</c:v>
                </c:pt>
                <c:pt idx="3095">
                  <c:v>4.5359999999999996</c:v>
                </c:pt>
                <c:pt idx="3096">
                  <c:v>4.58</c:v>
                </c:pt>
                <c:pt idx="3097">
                  <c:v>4.5330000000000004</c:v>
                </c:pt>
                <c:pt idx="3098">
                  <c:v>4.55</c:v>
                </c:pt>
                <c:pt idx="3099">
                  <c:v>4.5819999999999999</c:v>
                </c:pt>
                <c:pt idx="3100">
                  <c:v>4.5880000000000001</c:v>
                </c:pt>
                <c:pt idx="3101">
                  <c:v>4.5810000000000004</c:v>
                </c:pt>
                <c:pt idx="3102">
                  <c:v>4.6239999999999997</c:v>
                </c:pt>
                <c:pt idx="3103">
                  <c:v>4.593</c:v>
                </c:pt>
                <c:pt idx="3104">
                  <c:v>4.577</c:v>
                </c:pt>
                <c:pt idx="3105">
                  <c:v>4.5990000000000002</c:v>
                </c:pt>
                <c:pt idx="3106">
                  <c:v>4.6100000000000003</c:v>
                </c:pt>
                <c:pt idx="3107">
                  <c:v>4.6210000000000004</c:v>
                </c:pt>
                <c:pt idx="3108">
                  <c:v>4.6399999999999997</c:v>
                </c:pt>
                <c:pt idx="3109">
                  <c:v>4.6769999999999996</c:v>
                </c:pt>
                <c:pt idx="3110">
                  <c:v>4.6829999999999998</c:v>
                </c:pt>
                <c:pt idx="3111">
                  <c:v>4.6890000000000001</c:v>
                </c:pt>
                <c:pt idx="3112">
                  <c:v>4.7389999999999999</c:v>
                </c:pt>
                <c:pt idx="3113">
                  <c:v>4.7439999999999998</c:v>
                </c:pt>
                <c:pt idx="3114">
                  <c:v>4.7439999999999998</c:v>
                </c:pt>
                <c:pt idx="3115">
                  <c:v>4.7409999999999997</c:v>
                </c:pt>
                <c:pt idx="3116">
                  <c:v>4.6900000000000004</c:v>
                </c:pt>
                <c:pt idx="3117">
                  <c:v>4.6500000000000004</c:v>
                </c:pt>
                <c:pt idx="3118">
                  <c:v>4.7149999999999999</c:v>
                </c:pt>
                <c:pt idx="3119">
                  <c:v>4.7039999999999997</c:v>
                </c:pt>
                <c:pt idx="3120">
                  <c:v>4.6900000000000004</c:v>
                </c:pt>
                <c:pt idx="3121">
                  <c:v>4.7080000000000002</c:v>
                </c:pt>
                <c:pt idx="3122">
                  <c:v>4.7190000000000003</c:v>
                </c:pt>
                <c:pt idx="3123">
                  <c:v>4.7060000000000004</c:v>
                </c:pt>
                <c:pt idx="3124">
                  <c:v>4.7240000000000002</c:v>
                </c:pt>
                <c:pt idx="3125">
                  <c:v>4.7960000000000003</c:v>
                </c:pt>
                <c:pt idx="3126">
                  <c:v>4.7949999999999999</c:v>
                </c:pt>
                <c:pt idx="3127">
                  <c:v>4.7389999999999999</c:v>
                </c:pt>
                <c:pt idx="3128">
                  <c:v>4.8410000000000002</c:v>
                </c:pt>
                <c:pt idx="3129">
                  <c:v>4.7750000000000004</c:v>
                </c:pt>
                <c:pt idx="3130">
                  <c:v>4.6749999999999998</c:v>
                </c:pt>
                <c:pt idx="3131">
                  <c:v>4.7060000000000004</c:v>
                </c:pt>
                <c:pt idx="3132">
                  <c:v>4.7069999999999999</c:v>
                </c:pt>
                <c:pt idx="3133">
                  <c:v>4.7130000000000001</c:v>
                </c:pt>
                <c:pt idx="3134">
                  <c:v>4.766</c:v>
                </c:pt>
                <c:pt idx="3135">
                  <c:v>4.766</c:v>
                </c:pt>
                <c:pt idx="3136">
                  <c:v>4.7850000000000001</c:v>
                </c:pt>
                <c:pt idx="3137">
                  <c:v>4.8140000000000001</c:v>
                </c:pt>
                <c:pt idx="3138">
                  <c:v>4.819</c:v>
                </c:pt>
                <c:pt idx="3139">
                  <c:v>4.8840000000000003</c:v>
                </c:pt>
                <c:pt idx="3140">
                  <c:v>4.8689999999999998</c:v>
                </c:pt>
                <c:pt idx="3141">
                  <c:v>4.8819999999999997</c:v>
                </c:pt>
                <c:pt idx="3142">
                  <c:v>4.7519999999999998</c:v>
                </c:pt>
                <c:pt idx="3143">
                  <c:v>4.7110000000000003</c:v>
                </c:pt>
                <c:pt idx="3144">
                  <c:v>4.7149999999999999</c:v>
                </c:pt>
                <c:pt idx="3145">
                  <c:v>4.7699999999999996</c:v>
                </c:pt>
                <c:pt idx="3146">
                  <c:v>4.7389999999999999</c:v>
                </c:pt>
                <c:pt idx="3147">
                  <c:v>4.782</c:v>
                </c:pt>
                <c:pt idx="3148">
                  <c:v>4.84</c:v>
                </c:pt>
                <c:pt idx="3149">
                  <c:v>4.7370000000000001</c:v>
                </c:pt>
                <c:pt idx="3150">
                  <c:v>4.8040000000000003</c:v>
                </c:pt>
                <c:pt idx="3151">
                  <c:v>4.8170000000000002</c:v>
                </c:pt>
                <c:pt idx="3152">
                  <c:v>4.867</c:v>
                </c:pt>
                <c:pt idx="3153">
                  <c:v>4.8390000000000004</c:v>
                </c:pt>
                <c:pt idx="3154">
                  <c:v>4.8460000000000001</c:v>
                </c:pt>
                <c:pt idx="3155">
                  <c:v>4.7889999999999997</c:v>
                </c:pt>
                <c:pt idx="3156">
                  <c:v>4.774</c:v>
                </c:pt>
                <c:pt idx="3157">
                  <c:v>4.7380000000000004</c:v>
                </c:pt>
                <c:pt idx="3158">
                  <c:v>4.5039999999999996</c:v>
                </c:pt>
                <c:pt idx="3159">
                  <c:v>4.0060000000000002</c:v>
                </c:pt>
                <c:pt idx="3160">
                  <c:v>4.0629999999999997</c:v>
                </c:pt>
                <c:pt idx="3161">
                  <c:v>4.3710000000000004</c:v>
                </c:pt>
                <c:pt idx="3162">
                  <c:v>4.2190000000000003</c:v>
                </c:pt>
                <c:pt idx="3163">
                  <c:v>3.9550000000000001</c:v>
                </c:pt>
                <c:pt idx="3164">
                  <c:v>3.8679999999999999</c:v>
                </c:pt>
                <c:pt idx="3165">
                  <c:v>4.1150000000000002</c:v>
                </c:pt>
                <c:pt idx="3166">
                  <c:v>3.9660000000000002</c:v>
                </c:pt>
                <c:pt idx="3167">
                  <c:v>3.9590000000000001</c:v>
                </c:pt>
                <c:pt idx="3168">
                  <c:v>4.0170000000000003</c:v>
                </c:pt>
                <c:pt idx="3169">
                  <c:v>3.9609999999999999</c:v>
                </c:pt>
                <c:pt idx="3170">
                  <c:v>3.97</c:v>
                </c:pt>
                <c:pt idx="3171">
                  <c:v>3.9580000000000002</c:v>
                </c:pt>
                <c:pt idx="3172">
                  <c:v>3.9220000000000002</c:v>
                </c:pt>
                <c:pt idx="3173">
                  <c:v>3.8849999999999998</c:v>
                </c:pt>
                <c:pt idx="3174">
                  <c:v>3.9630000000000001</c:v>
                </c:pt>
                <c:pt idx="3175">
                  <c:v>3.9420000000000002</c:v>
                </c:pt>
                <c:pt idx="3176">
                  <c:v>4.008</c:v>
                </c:pt>
                <c:pt idx="3177">
                  <c:v>3.9359999999999999</c:v>
                </c:pt>
                <c:pt idx="3178">
                  <c:v>3.9750000000000001</c:v>
                </c:pt>
                <c:pt idx="3179">
                  <c:v>3.992</c:v>
                </c:pt>
                <c:pt idx="3180">
                  <c:v>3.9870000000000001</c:v>
                </c:pt>
                <c:pt idx="3181">
                  <c:v>3.88</c:v>
                </c:pt>
                <c:pt idx="3182">
                  <c:v>3.8610000000000002</c:v>
                </c:pt>
                <c:pt idx="3183">
                  <c:v>3.8370000000000002</c:v>
                </c:pt>
                <c:pt idx="3184">
                  <c:v>3.86</c:v>
                </c:pt>
                <c:pt idx="3185">
                  <c:v>3.895</c:v>
                </c:pt>
                <c:pt idx="3186">
                  <c:v>3.8929999999999998</c:v>
                </c:pt>
                <c:pt idx="3187">
                  <c:v>4.0069999999999997</c:v>
                </c:pt>
                <c:pt idx="3188">
                  <c:v>3.8690000000000002</c:v>
                </c:pt>
                <c:pt idx="3189">
                  <c:v>4.0190000000000001</c:v>
                </c:pt>
                <c:pt idx="3190">
                  <c:v>3.9990000000000001</c:v>
                </c:pt>
                <c:pt idx="3191">
                  <c:v>3.96</c:v>
                </c:pt>
                <c:pt idx="3192">
                  <c:v>3.9609999999999999</c:v>
                </c:pt>
                <c:pt idx="3193">
                  <c:v>3.8889999999999998</c:v>
                </c:pt>
                <c:pt idx="3194">
                  <c:v>3.9460000000000002</c:v>
                </c:pt>
                <c:pt idx="3195">
                  <c:v>3.92</c:v>
                </c:pt>
                <c:pt idx="3196">
                  <c:v>3.9489999999999998</c:v>
                </c:pt>
                <c:pt idx="3197">
                  <c:v>3.952</c:v>
                </c:pt>
                <c:pt idx="3198">
                  <c:v>3.9670000000000001</c:v>
                </c:pt>
                <c:pt idx="3199">
                  <c:v>3.8969999999999998</c:v>
                </c:pt>
                <c:pt idx="3200">
                  <c:v>3.867</c:v>
                </c:pt>
                <c:pt idx="3201">
                  <c:v>3.778</c:v>
                </c:pt>
                <c:pt idx="3202">
                  <c:v>3.827</c:v>
                </c:pt>
                <c:pt idx="3203">
                  <c:v>3.8239999999999998</c:v>
                </c:pt>
                <c:pt idx="3204">
                  <c:v>3.8279999999999998</c:v>
                </c:pt>
                <c:pt idx="3205">
                  <c:v>3.8450000000000002</c:v>
                </c:pt>
                <c:pt idx="3206">
                  <c:v>3.843</c:v>
                </c:pt>
                <c:pt idx="3207">
                  <c:v>3.883</c:v>
                </c:pt>
                <c:pt idx="3208">
                  <c:v>3.89</c:v>
                </c:pt>
                <c:pt idx="3209">
                  <c:v>3.8090000000000002</c:v>
                </c:pt>
                <c:pt idx="3210">
                  <c:v>3.7810000000000001</c:v>
                </c:pt>
                <c:pt idx="3211">
                  <c:v>3.8690000000000002</c:v>
                </c:pt>
                <c:pt idx="3212">
                  <c:v>3.8940000000000001</c:v>
                </c:pt>
                <c:pt idx="3213">
                  <c:v>3.8420000000000001</c:v>
                </c:pt>
                <c:pt idx="3214">
                  <c:v>3.8809999999999998</c:v>
                </c:pt>
                <c:pt idx="3215">
                  <c:v>3.91</c:v>
                </c:pt>
                <c:pt idx="3216">
                  <c:v>3.9529999999999998</c:v>
                </c:pt>
                <c:pt idx="3217">
                  <c:v>4.07</c:v>
                </c:pt>
                <c:pt idx="3218">
                  <c:v>3.9780000000000002</c:v>
                </c:pt>
                <c:pt idx="3219">
                  <c:v>4.0830000000000002</c:v>
                </c:pt>
                <c:pt idx="3220">
                  <c:v>3.9540000000000002</c:v>
                </c:pt>
                <c:pt idx="3221">
                  <c:v>3.9790000000000001</c:v>
                </c:pt>
                <c:pt idx="3222">
                  <c:v>3.988</c:v>
                </c:pt>
                <c:pt idx="3223">
                  <c:v>3.9630000000000001</c:v>
                </c:pt>
                <c:pt idx="3224">
                  <c:v>3.9670000000000001</c:v>
                </c:pt>
                <c:pt idx="3225">
                  <c:v>3.9649999999999999</c:v>
                </c:pt>
                <c:pt idx="3226">
                  <c:v>3.9319999999999999</c:v>
                </c:pt>
                <c:pt idx="3227">
                  <c:v>4.0330000000000004</c:v>
                </c:pt>
                <c:pt idx="3228">
                  <c:v>4.1829999999999998</c:v>
                </c:pt>
                <c:pt idx="3229">
                  <c:v>4.1589999999999998</c:v>
                </c:pt>
                <c:pt idx="3230">
                  <c:v>4.1890000000000001</c:v>
                </c:pt>
                <c:pt idx="3231">
                  <c:v>4.141</c:v>
                </c:pt>
                <c:pt idx="3232">
                  <c:v>4.0350000000000001</c:v>
                </c:pt>
                <c:pt idx="3233">
                  <c:v>4.1719999999999997</c:v>
                </c:pt>
                <c:pt idx="3234">
                  <c:v>4.0629999999999997</c:v>
                </c:pt>
                <c:pt idx="3235">
                  <c:v>4.1310000000000002</c:v>
                </c:pt>
                <c:pt idx="3236">
                  <c:v>4.0220000000000002</c:v>
                </c:pt>
                <c:pt idx="3237">
                  <c:v>4.1150000000000002</c:v>
                </c:pt>
                <c:pt idx="3238">
                  <c:v>4.0979999999999999</c:v>
                </c:pt>
                <c:pt idx="3239">
                  <c:v>4.0709999999999997</c:v>
                </c:pt>
                <c:pt idx="3240">
                  <c:v>4.1070000000000002</c:v>
                </c:pt>
                <c:pt idx="3241">
                  <c:v>4.1219999999999999</c:v>
                </c:pt>
                <c:pt idx="3242">
                  <c:v>4.1079999999999997</c:v>
                </c:pt>
                <c:pt idx="3243">
                  <c:v>4.2080000000000002</c:v>
                </c:pt>
                <c:pt idx="3244">
                  <c:v>4.2729999999999997</c:v>
                </c:pt>
                <c:pt idx="3245">
                  <c:v>4.1589999999999998</c:v>
                </c:pt>
                <c:pt idx="3246">
                  <c:v>4.2629999999999999</c:v>
                </c:pt>
                <c:pt idx="3247">
                  <c:v>4.2610000000000001</c:v>
                </c:pt>
                <c:pt idx="3248">
                  <c:v>4.1790000000000003</c:v>
                </c:pt>
                <c:pt idx="3249">
                  <c:v>4.1790000000000003</c:v>
                </c:pt>
                <c:pt idx="3250">
                  <c:v>4.1760000000000002</c:v>
                </c:pt>
                <c:pt idx="3251">
                  <c:v>4.1820000000000004</c:v>
                </c:pt>
                <c:pt idx="3252">
                  <c:v>4.2270000000000003</c:v>
                </c:pt>
                <c:pt idx="3253">
                  <c:v>4.2080000000000002</c:v>
                </c:pt>
                <c:pt idx="3254">
                  <c:v>4.1669999999999998</c:v>
                </c:pt>
                <c:pt idx="3255">
                  <c:v>4.1150000000000002</c:v>
                </c:pt>
                <c:pt idx="3256">
                  <c:v>4.2140000000000004</c:v>
                </c:pt>
                <c:pt idx="3257">
                  <c:v>4.1710000000000003</c:v>
                </c:pt>
                <c:pt idx="3258">
                  <c:v>4.22</c:v>
                </c:pt>
                <c:pt idx="3259">
                  <c:v>4.234</c:v>
                </c:pt>
                <c:pt idx="3260">
                  <c:v>4.22</c:v>
                </c:pt>
                <c:pt idx="3261">
                  <c:v>4.226</c:v>
                </c:pt>
                <c:pt idx="3262">
                  <c:v>4.2789999999999999</c:v>
                </c:pt>
                <c:pt idx="3263">
                  <c:v>4.2279999999999998</c:v>
                </c:pt>
                <c:pt idx="3264">
                  <c:v>4.2380000000000004</c:v>
                </c:pt>
                <c:pt idx="3265">
                  <c:v>4.1550000000000002</c:v>
                </c:pt>
                <c:pt idx="3266">
                  <c:v>4.1689999999999996</c:v>
                </c:pt>
                <c:pt idx="3267">
                  <c:v>4.21</c:v>
                </c:pt>
                <c:pt idx="3268">
                  <c:v>4.2869999999999999</c:v>
                </c:pt>
                <c:pt idx="3269">
                  <c:v>4.2720000000000002</c:v>
                </c:pt>
                <c:pt idx="3270">
                  <c:v>4.2549999999999999</c:v>
                </c:pt>
                <c:pt idx="3271">
                  <c:v>4.2309999999999999</c:v>
                </c:pt>
                <c:pt idx="3272">
                  <c:v>4.1369999999999996</c:v>
                </c:pt>
                <c:pt idx="3273">
                  <c:v>4.1580000000000004</c:v>
                </c:pt>
                <c:pt idx="3274">
                  <c:v>4.1269999999999998</c:v>
                </c:pt>
                <c:pt idx="3275">
                  <c:v>4.1130000000000004</c:v>
                </c:pt>
                <c:pt idx="3276">
                  <c:v>4.1449999999999996</c:v>
                </c:pt>
                <c:pt idx="3277">
                  <c:v>4.2160000000000002</c:v>
                </c:pt>
                <c:pt idx="3278">
                  <c:v>4.2210000000000001</c:v>
                </c:pt>
                <c:pt idx="3279">
                  <c:v>4.1970000000000001</c:v>
                </c:pt>
                <c:pt idx="3280">
                  <c:v>4.218</c:v>
                </c:pt>
                <c:pt idx="3281">
                  <c:v>4.157</c:v>
                </c:pt>
                <c:pt idx="3282">
                  <c:v>4.1829999999999998</c:v>
                </c:pt>
                <c:pt idx="3283">
                  <c:v>4.2080000000000002</c:v>
                </c:pt>
                <c:pt idx="3284">
                  <c:v>4.1710000000000003</c:v>
                </c:pt>
                <c:pt idx="3285">
                  <c:v>4.1580000000000004</c:v>
                </c:pt>
                <c:pt idx="3286">
                  <c:v>4.1929999999999996</c:v>
                </c:pt>
                <c:pt idx="3287">
                  <c:v>4.2309999999999999</c:v>
                </c:pt>
                <c:pt idx="3288">
                  <c:v>4.2679999999999998</c:v>
                </c:pt>
                <c:pt idx="3289">
                  <c:v>4.1950000000000003</c:v>
                </c:pt>
                <c:pt idx="3290">
                  <c:v>4.2130000000000001</c:v>
                </c:pt>
                <c:pt idx="3291">
                  <c:v>4.25</c:v>
                </c:pt>
                <c:pt idx="3292">
                  <c:v>4.2590000000000003</c:v>
                </c:pt>
                <c:pt idx="3293">
                  <c:v>4.2439999999999998</c:v>
                </c:pt>
                <c:pt idx="3294">
                  <c:v>4.258</c:v>
                </c:pt>
                <c:pt idx="3295">
                  <c:v>4.2220000000000004</c:v>
                </c:pt>
                <c:pt idx="3296">
                  <c:v>4.274</c:v>
                </c:pt>
                <c:pt idx="3297">
                  <c:v>4.2830000000000004</c:v>
                </c:pt>
                <c:pt idx="3298">
                  <c:v>4.2949999999999999</c:v>
                </c:pt>
                <c:pt idx="3299">
                  <c:v>4.2060000000000004</c:v>
                </c:pt>
                <c:pt idx="3300">
                  <c:v>4.28</c:v>
                </c:pt>
                <c:pt idx="3301">
                  <c:v>4.3170000000000002</c:v>
                </c:pt>
                <c:pt idx="3302">
                  <c:v>4.399</c:v>
                </c:pt>
                <c:pt idx="3303">
                  <c:v>4.4080000000000004</c:v>
                </c:pt>
                <c:pt idx="3304">
                  <c:v>4.3689999999999998</c:v>
                </c:pt>
                <c:pt idx="3305">
                  <c:v>4.3639999999999999</c:v>
                </c:pt>
                <c:pt idx="3306">
                  <c:v>4.3380000000000001</c:v>
                </c:pt>
                <c:pt idx="3307">
                  <c:v>4.3869999999999996</c:v>
                </c:pt>
                <c:pt idx="3308">
                  <c:v>4.3940000000000001</c:v>
                </c:pt>
                <c:pt idx="3309">
                  <c:v>4.3540000000000001</c:v>
                </c:pt>
                <c:pt idx="3310">
                  <c:v>4.3540000000000001</c:v>
                </c:pt>
                <c:pt idx="3311">
                  <c:v>4.3540000000000001</c:v>
                </c:pt>
                <c:pt idx="3312">
                  <c:v>4.415</c:v>
                </c:pt>
                <c:pt idx="3313">
                  <c:v>4.3440000000000003</c:v>
                </c:pt>
                <c:pt idx="3314">
                  <c:v>4.3769999999999998</c:v>
                </c:pt>
                <c:pt idx="3315">
                  <c:v>4.4279999999999999</c:v>
                </c:pt>
                <c:pt idx="3316">
                  <c:v>4.4139999999999997</c:v>
                </c:pt>
                <c:pt idx="3317">
                  <c:v>4.4089999999999998</c:v>
                </c:pt>
                <c:pt idx="3318">
                  <c:v>4.3920000000000003</c:v>
                </c:pt>
                <c:pt idx="3319">
                  <c:v>4.4749999999999996</c:v>
                </c:pt>
                <c:pt idx="3320">
                  <c:v>4.1619999999999999</c:v>
                </c:pt>
                <c:pt idx="3321">
                  <c:v>4.1619999999999999</c:v>
                </c:pt>
                <c:pt idx="3322">
                  <c:v>4.1619999999999999</c:v>
                </c:pt>
                <c:pt idx="3323">
                  <c:v>4.1619999999999999</c:v>
                </c:pt>
                <c:pt idx="3324">
                  <c:v>4.1619999999999999</c:v>
                </c:pt>
                <c:pt idx="3325">
                  <c:v>4.1619999999999999</c:v>
                </c:pt>
                <c:pt idx="3326">
                  <c:v>4.1619999999999999</c:v>
                </c:pt>
                <c:pt idx="3327">
                  <c:v>4.1619999999999999</c:v>
                </c:pt>
                <c:pt idx="3328">
                  <c:v>4.1619999999999999</c:v>
                </c:pt>
                <c:pt idx="3329">
                  <c:v>4.1619999999999999</c:v>
                </c:pt>
                <c:pt idx="3330">
                  <c:v>4.1619999999999999</c:v>
                </c:pt>
                <c:pt idx="3331">
                  <c:v>4.1619999999999999</c:v>
                </c:pt>
                <c:pt idx="3332">
                  <c:v>4.1619999999999999</c:v>
                </c:pt>
                <c:pt idx="3333">
                  <c:v>4.1619999999999999</c:v>
                </c:pt>
                <c:pt idx="3334">
                  <c:v>4.1619999999999999</c:v>
                </c:pt>
                <c:pt idx="3335">
                  <c:v>4.1619999999999999</c:v>
                </c:pt>
                <c:pt idx="3336">
                  <c:v>4.1619999999999999</c:v>
                </c:pt>
                <c:pt idx="3337">
                  <c:v>4.1619999999999999</c:v>
                </c:pt>
                <c:pt idx="3338">
                  <c:v>4.1619999999999999</c:v>
                </c:pt>
                <c:pt idx="3339">
                  <c:v>4.1619999999999999</c:v>
                </c:pt>
                <c:pt idx="3340">
                  <c:v>4.1619999999999999</c:v>
                </c:pt>
                <c:pt idx="3341">
                  <c:v>4.1619999999999999</c:v>
                </c:pt>
                <c:pt idx="3342">
                  <c:v>4.1619999999999999</c:v>
                </c:pt>
                <c:pt idx="3343">
                  <c:v>4.1619999999999999</c:v>
                </c:pt>
                <c:pt idx="3344">
                  <c:v>4.1619999999999999</c:v>
                </c:pt>
                <c:pt idx="3345">
                  <c:v>4.1619999999999999</c:v>
                </c:pt>
                <c:pt idx="3346">
                  <c:v>4.1619999999999999</c:v>
                </c:pt>
                <c:pt idx="3347">
                  <c:v>4.1619999999999999</c:v>
                </c:pt>
                <c:pt idx="3348">
                  <c:v>4.1619999999999999</c:v>
                </c:pt>
                <c:pt idx="3349">
                  <c:v>4.1619999999999999</c:v>
                </c:pt>
                <c:pt idx="3350">
                  <c:v>4.1619999999999999</c:v>
                </c:pt>
                <c:pt idx="3351">
                  <c:v>4.1619999999999999</c:v>
                </c:pt>
                <c:pt idx="3352">
                  <c:v>4.1719999999999997</c:v>
                </c:pt>
                <c:pt idx="3353">
                  <c:v>4.1890000000000001</c:v>
                </c:pt>
                <c:pt idx="3354">
                  <c:v>4.2119999999999997</c:v>
                </c:pt>
                <c:pt idx="3355">
                  <c:v>4.2690000000000001</c:v>
                </c:pt>
                <c:pt idx="3356">
                  <c:v>4.2089999999999996</c:v>
                </c:pt>
                <c:pt idx="3357">
                  <c:v>4.24</c:v>
                </c:pt>
                <c:pt idx="3358">
                  <c:v>4.2619999999999996</c:v>
                </c:pt>
                <c:pt idx="3359">
                  <c:v>4.2699999999999996</c:v>
                </c:pt>
                <c:pt idx="3360">
                  <c:v>4.2789999999999999</c:v>
                </c:pt>
                <c:pt idx="3361">
                  <c:v>4.2889999999999997</c:v>
                </c:pt>
                <c:pt idx="3362">
                  <c:v>4.2869999999999999</c:v>
                </c:pt>
                <c:pt idx="3363">
                  <c:v>4.2409999999999997</c:v>
                </c:pt>
                <c:pt idx="3364">
                  <c:v>4.2279999999999998</c:v>
                </c:pt>
                <c:pt idx="3365">
                  <c:v>4.2539999999999996</c:v>
                </c:pt>
                <c:pt idx="3366">
                  <c:v>4.2270000000000003</c:v>
                </c:pt>
                <c:pt idx="3367">
                  <c:v>4.2990000000000004</c:v>
                </c:pt>
                <c:pt idx="3368">
                  <c:v>4.242</c:v>
                </c:pt>
                <c:pt idx="3369">
                  <c:v>4.2839999999999998</c:v>
                </c:pt>
                <c:pt idx="3370">
                  <c:v>4.266</c:v>
                </c:pt>
                <c:pt idx="3371">
                  <c:v>4.2850000000000001</c:v>
                </c:pt>
                <c:pt idx="3372">
                  <c:v>4.2690000000000001</c:v>
                </c:pt>
                <c:pt idx="3373">
                  <c:v>4.2590000000000003</c:v>
                </c:pt>
                <c:pt idx="3374">
                  <c:v>4.3159999999999998</c:v>
                </c:pt>
                <c:pt idx="3375">
                  <c:v>4.3209999999999997</c:v>
                </c:pt>
                <c:pt idx="3376">
                  <c:v>4.33</c:v>
                </c:pt>
                <c:pt idx="3377">
                  <c:v>4.2930000000000001</c:v>
                </c:pt>
                <c:pt idx="3378">
                  <c:v>4.3120000000000003</c:v>
                </c:pt>
                <c:pt idx="3379">
                  <c:v>4.2629999999999999</c:v>
                </c:pt>
                <c:pt idx="3380">
                  <c:v>4.2809999999999997</c:v>
                </c:pt>
                <c:pt idx="3381">
                  <c:v>4.2590000000000003</c:v>
                </c:pt>
                <c:pt idx="3382">
                  <c:v>4.2480000000000002</c:v>
                </c:pt>
                <c:pt idx="3383">
                  <c:v>4.1369999999999996</c:v>
                </c:pt>
                <c:pt idx="3384">
                  <c:v>4.1130000000000004</c:v>
                </c:pt>
                <c:pt idx="3385">
                  <c:v>4.0819999999999999</c:v>
                </c:pt>
                <c:pt idx="3386">
                  <c:v>4.0999999999999996</c:v>
                </c:pt>
                <c:pt idx="3387">
                  <c:v>4.1079999999999997</c:v>
                </c:pt>
                <c:pt idx="3388">
                  <c:v>4.0670000000000002</c:v>
                </c:pt>
                <c:pt idx="3389">
                  <c:v>4.1040000000000001</c:v>
                </c:pt>
                <c:pt idx="3390">
                  <c:v>4.1379999999999999</c:v>
                </c:pt>
                <c:pt idx="3391">
                  <c:v>4.1479999999999997</c:v>
                </c:pt>
                <c:pt idx="3392">
                  <c:v>4.1900000000000004</c:v>
                </c:pt>
                <c:pt idx="3393">
                  <c:v>4.1680000000000001</c:v>
                </c:pt>
                <c:pt idx="3394">
                  <c:v>4.1989999999999998</c:v>
                </c:pt>
                <c:pt idx="3395">
                  <c:v>4.173</c:v>
                </c:pt>
                <c:pt idx="3396">
                  <c:v>4.1580000000000004</c:v>
                </c:pt>
                <c:pt idx="3397">
                  <c:v>4.13</c:v>
                </c:pt>
                <c:pt idx="3398">
                  <c:v>4.1680000000000001</c:v>
                </c:pt>
                <c:pt idx="3399">
                  <c:v>4.1550000000000002</c:v>
                </c:pt>
                <c:pt idx="3400">
                  <c:v>4.2210000000000001</c:v>
                </c:pt>
                <c:pt idx="3401">
                  <c:v>4.2539999999999996</c:v>
                </c:pt>
                <c:pt idx="3402">
                  <c:v>4.2519999999999998</c:v>
                </c:pt>
                <c:pt idx="3403">
                  <c:v>4.2510000000000003</c:v>
                </c:pt>
                <c:pt idx="3404">
                  <c:v>4.2039999999999997</c:v>
                </c:pt>
                <c:pt idx="3405">
                  <c:v>4.173</c:v>
                </c:pt>
                <c:pt idx="3406">
                  <c:v>4.1680000000000001</c:v>
                </c:pt>
                <c:pt idx="3407">
                  <c:v>4.2039999999999997</c:v>
                </c:pt>
                <c:pt idx="3408">
                  <c:v>4.1520000000000001</c:v>
                </c:pt>
                <c:pt idx="3409">
                  <c:v>4.101</c:v>
                </c:pt>
                <c:pt idx="3410">
                  <c:v>4.1230000000000002</c:v>
                </c:pt>
                <c:pt idx="3411">
                  <c:v>4.1150000000000002</c:v>
                </c:pt>
                <c:pt idx="3412">
                  <c:v>4.1230000000000002</c:v>
                </c:pt>
                <c:pt idx="3413">
                  <c:v>4.0540000000000003</c:v>
                </c:pt>
                <c:pt idx="3414">
                  <c:v>4.09</c:v>
                </c:pt>
                <c:pt idx="3415">
                  <c:v>4.056</c:v>
                </c:pt>
                <c:pt idx="3416">
                  <c:v>4.0140000000000002</c:v>
                </c:pt>
                <c:pt idx="3417">
                  <c:v>3.9449999999999998</c:v>
                </c:pt>
                <c:pt idx="3418">
                  <c:v>3.8530000000000002</c:v>
                </c:pt>
                <c:pt idx="3419">
                  <c:v>3.9060000000000001</c:v>
                </c:pt>
                <c:pt idx="3420">
                  <c:v>3.9529999999999998</c:v>
                </c:pt>
                <c:pt idx="3421">
                  <c:v>3.9750000000000001</c:v>
                </c:pt>
                <c:pt idx="3422">
                  <c:v>3.9239999999999999</c:v>
                </c:pt>
                <c:pt idx="3423">
                  <c:v>3.9079999999999999</c:v>
                </c:pt>
                <c:pt idx="3424">
                  <c:v>3.8690000000000002</c:v>
                </c:pt>
                <c:pt idx="3425">
                  <c:v>3.8330000000000002</c:v>
                </c:pt>
                <c:pt idx="3426">
                  <c:v>3.8050000000000002</c:v>
                </c:pt>
                <c:pt idx="3427">
                  <c:v>3.7869999999999999</c:v>
                </c:pt>
                <c:pt idx="3428">
                  <c:v>3.7250000000000001</c:v>
                </c:pt>
                <c:pt idx="3429">
                  <c:v>3.71</c:v>
                </c:pt>
                <c:pt idx="3430">
                  <c:v>3.7269999999999999</c:v>
                </c:pt>
                <c:pt idx="3431">
                  <c:v>3.694</c:v>
                </c:pt>
                <c:pt idx="3432">
                  <c:v>3.6909999999999998</c:v>
                </c:pt>
                <c:pt idx="3433">
                  <c:v>3.7320000000000002</c:v>
                </c:pt>
                <c:pt idx="3434">
                  <c:v>3.738</c:v>
                </c:pt>
                <c:pt idx="3435">
                  <c:v>3.7610000000000001</c:v>
                </c:pt>
                <c:pt idx="3436">
                  <c:v>3.7919999999999998</c:v>
                </c:pt>
                <c:pt idx="3437">
                  <c:v>3.7909999999999999</c:v>
                </c:pt>
                <c:pt idx="3438">
                  <c:v>3.7530000000000001</c:v>
                </c:pt>
                <c:pt idx="3439">
                  <c:v>3.7349999999999999</c:v>
                </c:pt>
                <c:pt idx="3440">
                  <c:v>3.75</c:v>
                </c:pt>
                <c:pt idx="3441">
                  <c:v>3.7789999999999999</c:v>
                </c:pt>
                <c:pt idx="3442">
                  <c:v>3.7530000000000001</c:v>
                </c:pt>
                <c:pt idx="3443">
                  <c:v>3.746</c:v>
                </c:pt>
                <c:pt idx="3444">
                  <c:v>3.75</c:v>
                </c:pt>
                <c:pt idx="3445">
                  <c:v>3.7309999999999999</c:v>
                </c:pt>
                <c:pt idx="3446">
                  <c:v>3.6709999999999998</c:v>
                </c:pt>
                <c:pt idx="3447">
                  <c:v>3.6560000000000001</c:v>
                </c:pt>
                <c:pt idx="3448">
                  <c:v>3.653</c:v>
                </c:pt>
                <c:pt idx="3449">
                  <c:v>3.6659999999999999</c:v>
                </c:pt>
                <c:pt idx="3450">
                  <c:v>3.6669999999999998</c:v>
                </c:pt>
                <c:pt idx="3451">
                  <c:v>3.6819999999999999</c:v>
                </c:pt>
                <c:pt idx="3452">
                  <c:v>3.6360000000000001</c:v>
                </c:pt>
                <c:pt idx="3453">
                  <c:v>3.6579999999999999</c:v>
                </c:pt>
                <c:pt idx="3454">
                  <c:v>3.6240000000000001</c:v>
                </c:pt>
                <c:pt idx="3455">
                  <c:v>3.62</c:v>
                </c:pt>
                <c:pt idx="3456">
                  <c:v>3.6259999999999999</c:v>
                </c:pt>
                <c:pt idx="3457">
                  <c:v>3.6179999999999999</c:v>
                </c:pt>
                <c:pt idx="3458">
                  <c:v>3.63</c:v>
                </c:pt>
                <c:pt idx="3459">
                  <c:v>3.65</c:v>
                </c:pt>
                <c:pt idx="3460">
                  <c:v>3.6859999999999999</c:v>
                </c:pt>
                <c:pt idx="3461">
                  <c:v>3.6480000000000001</c:v>
                </c:pt>
                <c:pt idx="3462">
                  <c:v>3.6389999999999998</c:v>
                </c:pt>
                <c:pt idx="3463">
                  <c:v>3.69</c:v>
                </c:pt>
                <c:pt idx="3464">
                  <c:v>3.7149999999999999</c:v>
                </c:pt>
                <c:pt idx="3465">
                  <c:v>3.6819999999999999</c:v>
                </c:pt>
                <c:pt idx="3466">
                  <c:v>3.7120000000000002</c:v>
                </c:pt>
                <c:pt idx="3467">
                  <c:v>3.6789999999999998</c:v>
                </c:pt>
                <c:pt idx="3468">
                  <c:v>3.641</c:v>
                </c:pt>
                <c:pt idx="3469">
                  <c:v>3.673</c:v>
                </c:pt>
                <c:pt idx="3470">
                  <c:v>3.7210000000000001</c:v>
                </c:pt>
                <c:pt idx="3471">
                  <c:v>3.6659999999999999</c:v>
                </c:pt>
                <c:pt idx="3472">
                  <c:v>3.677</c:v>
                </c:pt>
                <c:pt idx="3473">
                  <c:v>3.641</c:v>
                </c:pt>
                <c:pt idx="3474">
                  <c:v>3.6989999999999998</c:v>
                </c:pt>
                <c:pt idx="3475">
                  <c:v>3.726</c:v>
                </c:pt>
                <c:pt idx="3476">
                  <c:v>3.6680000000000001</c:v>
                </c:pt>
                <c:pt idx="3477">
                  <c:v>3.649</c:v>
                </c:pt>
                <c:pt idx="3478">
                  <c:v>3.5859999999999999</c:v>
                </c:pt>
                <c:pt idx="3479">
                  <c:v>3.6030000000000002</c:v>
                </c:pt>
                <c:pt idx="3480">
                  <c:v>3.6120000000000001</c:v>
                </c:pt>
                <c:pt idx="3481">
                  <c:v>3.5790000000000002</c:v>
                </c:pt>
                <c:pt idx="3482">
                  <c:v>3.5619999999999998</c:v>
                </c:pt>
                <c:pt idx="3483">
                  <c:v>3.5209999999999999</c:v>
                </c:pt>
                <c:pt idx="3484">
                  <c:v>3.5640000000000001</c:v>
                </c:pt>
                <c:pt idx="3485">
                  <c:v>3.536</c:v>
                </c:pt>
                <c:pt idx="3486">
                  <c:v>3.5790000000000002</c:v>
                </c:pt>
                <c:pt idx="3487">
                  <c:v>3.6160000000000001</c:v>
                </c:pt>
                <c:pt idx="3488">
                  <c:v>3.6389999999999998</c:v>
                </c:pt>
                <c:pt idx="3489">
                  <c:v>3.6030000000000002</c:v>
                </c:pt>
                <c:pt idx="3490">
                  <c:v>3.6469999999999998</c:v>
                </c:pt>
                <c:pt idx="3491">
                  <c:v>3.6869999999999998</c:v>
                </c:pt>
                <c:pt idx="3492">
                  <c:v>3.6890000000000001</c:v>
                </c:pt>
                <c:pt idx="3493">
                  <c:v>3.7530000000000001</c:v>
                </c:pt>
                <c:pt idx="3494">
                  <c:v>3.7389999999999999</c:v>
                </c:pt>
                <c:pt idx="3495">
                  <c:v>3.726</c:v>
                </c:pt>
                <c:pt idx="3496">
                  <c:v>3.7679999999999998</c:v>
                </c:pt>
                <c:pt idx="3497">
                  <c:v>3.806</c:v>
                </c:pt>
                <c:pt idx="3498">
                  <c:v>3.8079999999999998</c:v>
                </c:pt>
                <c:pt idx="3499">
                  <c:v>3.8759999999999999</c:v>
                </c:pt>
                <c:pt idx="3500">
                  <c:v>3.871</c:v>
                </c:pt>
                <c:pt idx="3501">
                  <c:v>3.8980000000000001</c:v>
                </c:pt>
                <c:pt idx="3502">
                  <c:v>3.9060000000000001</c:v>
                </c:pt>
                <c:pt idx="3503">
                  <c:v>3.9340000000000002</c:v>
                </c:pt>
                <c:pt idx="3504">
                  <c:v>3.9729999999999999</c:v>
                </c:pt>
                <c:pt idx="3505">
                  <c:v>3.964</c:v>
                </c:pt>
                <c:pt idx="3506">
                  <c:v>3.9380000000000002</c:v>
                </c:pt>
                <c:pt idx="3507">
                  <c:v>3.9140000000000001</c:v>
                </c:pt>
                <c:pt idx="3508">
                  <c:v>3.911</c:v>
                </c:pt>
                <c:pt idx="3509">
                  <c:v>3.927</c:v>
                </c:pt>
                <c:pt idx="3510">
                  <c:v>3.8889999999999998</c:v>
                </c:pt>
                <c:pt idx="3511">
                  <c:v>3.9140000000000001</c:v>
                </c:pt>
                <c:pt idx="3512">
                  <c:v>3.9140000000000001</c:v>
                </c:pt>
                <c:pt idx="3513">
                  <c:v>3.9239999999999999</c:v>
                </c:pt>
                <c:pt idx="3514">
                  <c:v>3.9020000000000001</c:v>
                </c:pt>
                <c:pt idx="3515">
                  <c:v>3.927</c:v>
                </c:pt>
                <c:pt idx="3516">
                  <c:v>3.927</c:v>
                </c:pt>
                <c:pt idx="3517">
                  <c:v>3.9260000000000002</c:v>
                </c:pt>
                <c:pt idx="3518">
                  <c:v>3.927</c:v>
                </c:pt>
                <c:pt idx="3519">
                  <c:v>3.9129999999999998</c:v>
                </c:pt>
                <c:pt idx="3520">
                  <c:v>3.9340000000000002</c:v>
                </c:pt>
                <c:pt idx="3521">
                  <c:v>3.919</c:v>
                </c:pt>
                <c:pt idx="3522">
                  <c:v>3.9329999999999998</c:v>
                </c:pt>
                <c:pt idx="3523">
                  <c:v>3.9260000000000002</c:v>
                </c:pt>
                <c:pt idx="3524">
                  <c:v>3.9430000000000001</c:v>
                </c:pt>
                <c:pt idx="3525">
                  <c:v>3.9430000000000001</c:v>
                </c:pt>
                <c:pt idx="3526">
                  <c:v>3.931</c:v>
                </c:pt>
                <c:pt idx="3527">
                  <c:v>3.9289999999999998</c:v>
                </c:pt>
                <c:pt idx="3528">
                  <c:v>3.9369999999999998</c:v>
                </c:pt>
                <c:pt idx="3529">
                  <c:v>3.9849999999999999</c:v>
                </c:pt>
                <c:pt idx="3530">
                  <c:v>3.9969999999999999</c:v>
                </c:pt>
                <c:pt idx="3531">
                  <c:v>3.9590000000000001</c:v>
                </c:pt>
                <c:pt idx="3532">
                  <c:v>3.9580000000000002</c:v>
                </c:pt>
                <c:pt idx="3533">
                  <c:v>3.9830000000000001</c:v>
                </c:pt>
                <c:pt idx="3534">
                  <c:v>3.9750000000000001</c:v>
                </c:pt>
                <c:pt idx="3535">
                  <c:v>3.9119999999999999</c:v>
                </c:pt>
                <c:pt idx="3536">
                  <c:v>3.9409999999999998</c:v>
                </c:pt>
                <c:pt idx="3537">
                  <c:v>3.9529999999999998</c:v>
                </c:pt>
                <c:pt idx="3538">
                  <c:v>3.93</c:v>
                </c:pt>
                <c:pt idx="3539">
                  <c:v>3.9510000000000001</c:v>
                </c:pt>
                <c:pt idx="3540">
                  <c:v>3.9540000000000002</c:v>
                </c:pt>
                <c:pt idx="3541">
                  <c:v>3.9420000000000002</c:v>
                </c:pt>
                <c:pt idx="3542">
                  <c:v>3.9420000000000002</c:v>
                </c:pt>
                <c:pt idx="3543">
                  <c:v>3.9620000000000002</c:v>
                </c:pt>
                <c:pt idx="3544">
                  <c:v>3.93</c:v>
                </c:pt>
                <c:pt idx="3545">
                  <c:v>3.9550000000000001</c:v>
                </c:pt>
                <c:pt idx="3546">
                  <c:v>3.972</c:v>
                </c:pt>
                <c:pt idx="3547">
                  <c:v>3.9470000000000001</c:v>
                </c:pt>
                <c:pt idx="3548">
                  <c:v>3.911</c:v>
                </c:pt>
                <c:pt idx="3549">
                  <c:v>3.9580000000000002</c:v>
                </c:pt>
                <c:pt idx="3550">
                  <c:v>3.9470000000000001</c:v>
                </c:pt>
                <c:pt idx="3551">
                  <c:v>3.9569999999999999</c:v>
                </c:pt>
                <c:pt idx="3552">
                  <c:v>3.9980000000000002</c:v>
                </c:pt>
                <c:pt idx="3553">
                  <c:v>3.9910000000000001</c:v>
                </c:pt>
                <c:pt idx="3554">
                  <c:v>4.0369999999999999</c:v>
                </c:pt>
                <c:pt idx="3555">
                  <c:v>4.0289999999999999</c:v>
                </c:pt>
                <c:pt idx="3556">
                  <c:v>4.0590000000000002</c:v>
                </c:pt>
                <c:pt idx="3557">
                  <c:v>3.8929999999999998</c:v>
                </c:pt>
                <c:pt idx="3558">
                  <c:v>3.952</c:v>
                </c:pt>
                <c:pt idx="3559">
                  <c:v>3.9249999999999998</c:v>
                </c:pt>
                <c:pt idx="3560">
                  <c:v>3.879</c:v>
                </c:pt>
                <c:pt idx="3561">
                  <c:v>3.8969999999999998</c:v>
                </c:pt>
                <c:pt idx="3562">
                  <c:v>3.8050000000000002</c:v>
                </c:pt>
                <c:pt idx="3563">
                  <c:v>3.9049999999999998</c:v>
                </c:pt>
                <c:pt idx="3564">
                  <c:v>3.931</c:v>
                </c:pt>
                <c:pt idx="3565">
                  <c:v>3.859</c:v>
                </c:pt>
                <c:pt idx="3566">
                  <c:v>3.9689999999999999</c:v>
                </c:pt>
                <c:pt idx="3567">
                  <c:v>3.931</c:v>
                </c:pt>
                <c:pt idx="3568">
                  <c:v>3.8730000000000002</c:v>
                </c:pt>
                <c:pt idx="3569">
                  <c:v>3.9550000000000001</c:v>
                </c:pt>
                <c:pt idx="3570">
                  <c:v>3.9430000000000001</c:v>
                </c:pt>
                <c:pt idx="3571">
                  <c:v>3.9449999999999998</c:v>
                </c:pt>
                <c:pt idx="3572">
                  <c:v>3.899</c:v>
                </c:pt>
                <c:pt idx="3573">
                  <c:v>3.96</c:v>
                </c:pt>
                <c:pt idx="3574">
                  <c:v>3.9220000000000002</c:v>
                </c:pt>
                <c:pt idx="3575">
                  <c:v>3.9129999999999998</c:v>
                </c:pt>
                <c:pt idx="3576">
                  <c:v>3.9319999999999999</c:v>
                </c:pt>
                <c:pt idx="3577">
                  <c:v>3.9359999999999999</c:v>
                </c:pt>
                <c:pt idx="3578">
                  <c:v>3.952</c:v>
                </c:pt>
                <c:pt idx="3579">
                  <c:v>3.99</c:v>
                </c:pt>
                <c:pt idx="3580">
                  <c:v>3.9980000000000002</c:v>
                </c:pt>
                <c:pt idx="3581">
                  <c:v>3.9670000000000001</c:v>
                </c:pt>
                <c:pt idx="3582">
                  <c:v>3.9729999999999999</c:v>
                </c:pt>
                <c:pt idx="3583">
                  <c:v>3.9969999999999999</c:v>
                </c:pt>
                <c:pt idx="3584">
                  <c:v>3.9689999999999999</c:v>
                </c:pt>
                <c:pt idx="3585">
                  <c:v>3.9689999999999999</c:v>
                </c:pt>
                <c:pt idx="3586">
                  <c:v>3.9289999999999998</c:v>
                </c:pt>
                <c:pt idx="3587">
                  <c:v>3.9340000000000002</c:v>
                </c:pt>
                <c:pt idx="3588">
                  <c:v>3.9590000000000001</c:v>
                </c:pt>
                <c:pt idx="3589">
                  <c:v>3.9809999999999999</c:v>
                </c:pt>
                <c:pt idx="3590">
                  <c:v>3.9980000000000002</c:v>
                </c:pt>
                <c:pt idx="3591">
                  <c:v>4.0060000000000002</c:v>
                </c:pt>
                <c:pt idx="3592">
                  <c:v>3.9689999999999999</c:v>
                </c:pt>
                <c:pt idx="3593">
                  <c:v>3.94</c:v>
                </c:pt>
                <c:pt idx="3594">
                  <c:v>3.9540000000000002</c:v>
                </c:pt>
                <c:pt idx="3595">
                  <c:v>3.988</c:v>
                </c:pt>
                <c:pt idx="3596">
                  <c:v>3.9950000000000001</c:v>
                </c:pt>
                <c:pt idx="3597">
                  <c:v>3.976</c:v>
                </c:pt>
                <c:pt idx="3598">
                  <c:v>4.0060000000000002</c:v>
                </c:pt>
                <c:pt idx="3599">
                  <c:v>4.0259999999999998</c:v>
                </c:pt>
                <c:pt idx="3600">
                  <c:v>4.048</c:v>
                </c:pt>
                <c:pt idx="3601">
                  <c:v>4.0650000000000004</c:v>
                </c:pt>
                <c:pt idx="3602">
                  <c:v>4.0389999999999997</c:v>
                </c:pt>
                <c:pt idx="3603">
                  <c:v>4.0309999999999997</c:v>
                </c:pt>
                <c:pt idx="3604">
                  <c:v>4.056</c:v>
                </c:pt>
                <c:pt idx="3605">
                  <c:v>4.0519999999999996</c:v>
                </c:pt>
                <c:pt idx="3606">
                  <c:v>4.0439999999999996</c:v>
                </c:pt>
                <c:pt idx="3607">
                  <c:v>4.0640000000000001</c:v>
                </c:pt>
                <c:pt idx="3608">
                  <c:v>4.0339999999999998</c:v>
                </c:pt>
                <c:pt idx="3609">
                  <c:v>4.0220000000000002</c:v>
                </c:pt>
                <c:pt idx="3610">
                  <c:v>4.03</c:v>
                </c:pt>
                <c:pt idx="3611">
                  <c:v>4.04</c:v>
                </c:pt>
                <c:pt idx="3612">
                  <c:v>4.0170000000000003</c:v>
                </c:pt>
                <c:pt idx="3613">
                  <c:v>4.0350000000000001</c:v>
                </c:pt>
                <c:pt idx="3614">
                  <c:v>4.1029999999999998</c:v>
                </c:pt>
                <c:pt idx="3615">
                  <c:v>4.1479999999999997</c:v>
                </c:pt>
                <c:pt idx="3616">
                  <c:v>4.0880000000000001</c:v>
                </c:pt>
                <c:pt idx="3617">
                  <c:v>4.04</c:v>
                </c:pt>
                <c:pt idx="3618">
                  <c:v>4.0449999999999999</c:v>
                </c:pt>
                <c:pt idx="3619">
                  <c:v>4.0540000000000003</c:v>
                </c:pt>
                <c:pt idx="3620">
                  <c:v>4.0579999999999998</c:v>
                </c:pt>
                <c:pt idx="3621">
                  <c:v>4.0490000000000004</c:v>
                </c:pt>
                <c:pt idx="3622">
                  <c:v>4.0789999999999997</c:v>
                </c:pt>
                <c:pt idx="3623">
                  <c:v>4.0739999999999998</c:v>
                </c:pt>
                <c:pt idx="3624">
                  <c:v>4.056</c:v>
                </c:pt>
                <c:pt idx="3625">
                  <c:v>4.0129999999999999</c:v>
                </c:pt>
                <c:pt idx="3626">
                  <c:v>4.0010000000000003</c:v>
                </c:pt>
                <c:pt idx="3627">
                  <c:v>4.05</c:v>
                </c:pt>
                <c:pt idx="3628">
                  <c:v>4.0270000000000001</c:v>
                </c:pt>
                <c:pt idx="3629">
                  <c:v>4.0259999999999998</c:v>
                </c:pt>
                <c:pt idx="3630">
                  <c:v>4.0380000000000003</c:v>
                </c:pt>
                <c:pt idx="3631">
                  <c:v>4.05</c:v>
                </c:pt>
                <c:pt idx="3632">
                  <c:v>4.04</c:v>
                </c:pt>
                <c:pt idx="3633">
                  <c:v>4.0270000000000001</c:v>
                </c:pt>
                <c:pt idx="3634">
                  <c:v>4.0190000000000001</c:v>
                </c:pt>
                <c:pt idx="3635">
                  <c:v>4.0449999999999999</c:v>
                </c:pt>
                <c:pt idx="3636">
                  <c:v>4.0419999999999998</c:v>
                </c:pt>
                <c:pt idx="3637">
                  <c:v>4.0430000000000001</c:v>
                </c:pt>
                <c:pt idx="3638">
                  <c:v>4.0659999999999998</c:v>
                </c:pt>
                <c:pt idx="3639">
                  <c:v>4.0529999999999999</c:v>
                </c:pt>
                <c:pt idx="3640">
                  <c:v>4.069</c:v>
                </c:pt>
                <c:pt idx="3641">
                  <c:v>4.0979999999999999</c:v>
                </c:pt>
                <c:pt idx="3642">
                  <c:v>4.0910000000000002</c:v>
                </c:pt>
                <c:pt idx="3643">
                  <c:v>4.0949999999999998</c:v>
                </c:pt>
                <c:pt idx="3644">
                  <c:v>4.0960000000000001</c:v>
                </c:pt>
                <c:pt idx="3645">
                  <c:v>4.0890000000000004</c:v>
                </c:pt>
                <c:pt idx="3646">
                  <c:v>4.1020000000000003</c:v>
                </c:pt>
                <c:pt idx="3647">
                  <c:v>4.1420000000000003</c:v>
                </c:pt>
                <c:pt idx="3648">
                  <c:v>4.1310000000000002</c:v>
                </c:pt>
                <c:pt idx="3649">
                  <c:v>4.1829999999999998</c:v>
                </c:pt>
                <c:pt idx="3650">
                  <c:v>4.1980000000000004</c:v>
                </c:pt>
              </c:numCache>
            </c:numRef>
          </c:val>
          <c:smooth val="0"/>
          <c:extLst>
            <c:ext xmlns:c16="http://schemas.microsoft.com/office/drawing/2014/chart" uri="{C3380CC4-5D6E-409C-BE32-E72D297353CC}">
              <c16:uniqueId val="{00000003-5B40-4C57-9C52-F12B07C5FA73}"/>
            </c:ext>
          </c:extLst>
        </c:ser>
        <c:dLbls>
          <c:showLegendKey val="0"/>
          <c:showVal val="0"/>
          <c:showCatName val="0"/>
          <c:showSerName val="0"/>
          <c:showPercent val="0"/>
          <c:showBubbleSize val="0"/>
        </c:dLbls>
        <c:smooth val="0"/>
        <c:axId val="1460143056"/>
        <c:axId val="1460144496"/>
      </c:lineChart>
      <c:dateAx>
        <c:axId val="1460143056"/>
        <c:scaling>
          <c:orientation val="minMax"/>
          <c:min val="42005"/>
        </c:scaling>
        <c:delete val="0"/>
        <c:axPos val="b"/>
        <c:numFmt formatCode="m/yy" sourceLinked="0"/>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460144496"/>
        <c:crosses val="autoZero"/>
        <c:auto val="1"/>
        <c:lblOffset val="100"/>
        <c:baseTimeUnit val="days"/>
        <c:majorUnit val="3"/>
        <c:majorTimeUnit val="months"/>
      </c:dateAx>
      <c:valAx>
        <c:axId val="1460144496"/>
        <c:scaling>
          <c:orientation val="minMax"/>
        </c:scaling>
        <c:delete val="0"/>
        <c:axPos val="l"/>
        <c:majorGridlines>
          <c:spPr>
            <a:ln w="9525" cap="flat" cmpd="sng" algn="ctr">
              <a:solidFill>
                <a:schemeClr val="bg1">
                  <a:lumMod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460143056"/>
        <c:crosses val="autoZero"/>
        <c:crossBetween val="between"/>
      </c:valAx>
      <c:spPr>
        <a:noFill/>
        <a:ln>
          <a:noFill/>
        </a:ln>
        <a:effectLst/>
      </c:spPr>
    </c:plotArea>
    <c:legend>
      <c:legendPos val="b"/>
      <c:layout>
        <c:manualLayout>
          <c:xMode val="edge"/>
          <c:yMode val="edge"/>
          <c:x val="6.3275197798417615E-2"/>
          <c:y val="0.82634846113719351"/>
          <c:w val="0.88426367389060889"/>
          <c:h val="0.152006716223265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sk-S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327779487841445E-2"/>
          <c:y val="3.9664312691273282E-2"/>
          <c:w val="0.90225886752537032"/>
          <c:h val="0.84614067611474442"/>
        </c:manualLayout>
      </c:layout>
      <c:barChart>
        <c:barDir val="col"/>
        <c:grouping val="stacked"/>
        <c:varyColors val="0"/>
        <c:ser>
          <c:idx val="1"/>
          <c:order val="0"/>
          <c:tx>
            <c:strRef>
              <c:f>Hárok1!$J$18</c:f>
              <c:strCache>
                <c:ptCount val="1"/>
                <c:pt idx="0">
                  <c:v>Dôchodkový systém</c:v>
                </c:pt>
              </c:strCache>
            </c:strRef>
          </c:tx>
          <c:spPr>
            <a:solidFill>
              <a:srgbClr val="002060"/>
            </a:solidFill>
            <a:ln>
              <a:noFill/>
            </a:ln>
            <a:effectLst/>
          </c:spPr>
          <c:invertIfNegative val="0"/>
          <c:cat>
            <c:numRef>
              <c:f>Hárok1!$H$32:$H$43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Hárok1!$J$32:$J$43</c:f>
              <c:numCache>
                <c:formatCode>0.0</c:formatCode>
                <c:ptCount val="12"/>
                <c:pt idx="0">
                  <c:v>-17.964865302040533</c:v>
                </c:pt>
                <c:pt idx="1">
                  <c:v>-17.956374082065008</c:v>
                </c:pt>
                <c:pt idx="2">
                  <c:v>-9.2822619766779635</c:v>
                </c:pt>
                <c:pt idx="3">
                  <c:v>-8.8398316241333763</c:v>
                </c:pt>
                <c:pt idx="4">
                  <c:v>-6.9430863294205896</c:v>
                </c:pt>
                <c:pt idx="5">
                  <c:v>9.0734920816827884</c:v>
                </c:pt>
                <c:pt idx="6">
                  <c:v>5.1347066084756809</c:v>
                </c:pt>
                <c:pt idx="7">
                  <c:v>-66.020146423130484</c:v>
                </c:pt>
                <c:pt idx="8">
                  <c:v>-222.331106265193</c:v>
                </c:pt>
                <c:pt idx="9">
                  <c:v>-225.14209094887542</c:v>
                </c:pt>
                <c:pt idx="10">
                  <c:v>-195.74274923768309</c:v>
                </c:pt>
                <c:pt idx="11">
                  <c:v>-87.951398157964917</c:v>
                </c:pt>
              </c:numCache>
            </c:numRef>
          </c:val>
          <c:extLst>
            <c:ext xmlns:c16="http://schemas.microsoft.com/office/drawing/2014/chart" uri="{C3380CC4-5D6E-409C-BE32-E72D297353CC}">
              <c16:uniqueId val="{00000000-901F-420C-9E39-D437CF4E5237}"/>
            </c:ext>
          </c:extLst>
        </c:ser>
        <c:ser>
          <c:idx val="2"/>
          <c:order val="1"/>
          <c:tx>
            <c:strRef>
              <c:f>Hárok1!$K$18</c:f>
              <c:strCache>
                <c:ptCount val="1"/>
                <c:pt idx="0">
                  <c:v>Zdravotníctvo</c:v>
                </c:pt>
              </c:strCache>
            </c:strRef>
          </c:tx>
          <c:spPr>
            <a:solidFill>
              <a:srgbClr val="369ADC"/>
            </a:solidFill>
            <a:ln>
              <a:noFill/>
            </a:ln>
            <a:effectLst/>
          </c:spPr>
          <c:invertIfNegative val="0"/>
          <c:cat>
            <c:numRef>
              <c:f>Hárok1!$H$32:$H$43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Hárok1!$K$32:$K$43</c:f>
              <c:numCache>
                <c:formatCode>0.0</c:formatCode>
                <c:ptCount val="12"/>
                <c:pt idx="0">
                  <c:v>-59.2051335199574</c:v>
                </c:pt>
                <c:pt idx="1">
                  <c:v>-54.829589010915861</c:v>
                </c:pt>
                <c:pt idx="2">
                  <c:v>-47.826762451700546</c:v>
                </c:pt>
                <c:pt idx="3">
                  <c:v>-40.169021833139325</c:v>
                </c:pt>
                <c:pt idx="4">
                  <c:v>-27.4538249304921</c:v>
                </c:pt>
                <c:pt idx="5">
                  <c:v>-28.412226380673456</c:v>
                </c:pt>
                <c:pt idx="6">
                  <c:v>-29.827820739622513</c:v>
                </c:pt>
                <c:pt idx="7">
                  <c:v>-30.243401270719982</c:v>
                </c:pt>
                <c:pt idx="8">
                  <c:v>-87.843415078884107</c:v>
                </c:pt>
                <c:pt idx="9">
                  <c:v>-109.65130407111975</c:v>
                </c:pt>
                <c:pt idx="10">
                  <c:v>-87.97486850433333</c:v>
                </c:pt>
                <c:pt idx="11">
                  <c:v>-35.672767835291751</c:v>
                </c:pt>
              </c:numCache>
            </c:numRef>
          </c:val>
          <c:extLst>
            <c:ext xmlns:c16="http://schemas.microsoft.com/office/drawing/2014/chart" uri="{C3380CC4-5D6E-409C-BE32-E72D297353CC}">
              <c16:uniqueId val="{00000001-901F-420C-9E39-D437CF4E5237}"/>
            </c:ext>
          </c:extLst>
        </c:ser>
        <c:ser>
          <c:idx val="3"/>
          <c:order val="2"/>
          <c:tx>
            <c:strRef>
              <c:f>Hárok1!$L$18</c:f>
              <c:strCache>
                <c:ptCount val="1"/>
                <c:pt idx="0">
                  <c:v>Dlhodobá starostlivosť</c:v>
                </c:pt>
              </c:strCache>
            </c:strRef>
          </c:tx>
          <c:spPr>
            <a:solidFill>
              <a:schemeClr val="accent5">
                <a:lumMod val="40000"/>
                <a:lumOff val="60000"/>
              </a:schemeClr>
            </a:solidFill>
            <a:ln>
              <a:noFill/>
            </a:ln>
            <a:effectLst/>
          </c:spPr>
          <c:invertIfNegative val="0"/>
          <c:cat>
            <c:numRef>
              <c:f>Hárok1!$H$32:$H$43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Hárok1!$L$32:$L$43</c:f>
              <c:numCache>
                <c:formatCode>0.0</c:formatCode>
                <c:ptCount val="12"/>
                <c:pt idx="0">
                  <c:v>-5.6952475165154839</c:v>
                </c:pt>
                <c:pt idx="1">
                  <c:v>-5.6910380517259815</c:v>
                </c:pt>
                <c:pt idx="2">
                  <c:v>-7.3086848720784356</c:v>
                </c:pt>
                <c:pt idx="3">
                  <c:v>-6.5226979379525565</c:v>
                </c:pt>
                <c:pt idx="4">
                  <c:v>-5.7221438961813726</c:v>
                </c:pt>
                <c:pt idx="5">
                  <c:v>-12.972550661256605</c:v>
                </c:pt>
                <c:pt idx="6">
                  <c:v>-15.424589112775704</c:v>
                </c:pt>
                <c:pt idx="7">
                  <c:v>-14.250197379183849</c:v>
                </c:pt>
                <c:pt idx="8">
                  <c:v>-61.905742275398197</c:v>
                </c:pt>
                <c:pt idx="9">
                  <c:v>-71.130645171864984</c:v>
                </c:pt>
                <c:pt idx="10">
                  <c:v>-65.209746763743709</c:v>
                </c:pt>
                <c:pt idx="11">
                  <c:v>-28.996801804403173</c:v>
                </c:pt>
              </c:numCache>
            </c:numRef>
          </c:val>
          <c:extLst>
            <c:ext xmlns:c16="http://schemas.microsoft.com/office/drawing/2014/chart" uri="{C3380CC4-5D6E-409C-BE32-E72D297353CC}">
              <c16:uniqueId val="{00000002-901F-420C-9E39-D437CF4E5237}"/>
            </c:ext>
          </c:extLst>
        </c:ser>
        <c:ser>
          <c:idx val="4"/>
          <c:order val="3"/>
          <c:tx>
            <c:strRef>
              <c:f>Hárok1!$M$18</c:f>
              <c:strCache>
                <c:ptCount val="1"/>
                <c:pt idx="0">
                  <c:v>Poistenie v nezamestnanosti</c:v>
                </c:pt>
              </c:strCache>
            </c:strRef>
          </c:tx>
          <c:spPr>
            <a:solidFill>
              <a:srgbClr val="00CC99"/>
            </a:solidFill>
            <a:ln>
              <a:noFill/>
            </a:ln>
            <a:effectLst/>
          </c:spPr>
          <c:invertIfNegative val="0"/>
          <c:cat>
            <c:numRef>
              <c:f>Hárok1!$H$32:$H$43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Hárok1!$M$32:$M$43</c:f>
              <c:numCache>
                <c:formatCode>0.0</c:formatCode>
                <c:ptCount val="12"/>
                <c:pt idx="0">
                  <c:v>1.8272771924428444</c:v>
                </c:pt>
                <c:pt idx="1">
                  <c:v>2.1406298815536822</c:v>
                </c:pt>
                <c:pt idx="2">
                  <c:v>3.0693683934867084</c:v>
                </c:pt>
                <c:pt idx="3">
                  <c:v>2.6949308233938138</c:v>
                </c:pt>
                <c:pt idx="4">
                  <c:v>2.5431709621269132</c:v>
                </c:pt>
                <c:pt idx="5">
                  <c:v>0.39996666943253045</c:v>
                </c:pt>
                <c:pt idx="6">
                  <c:v>-5.8203740453038888E-2</c:v>
                </c:pt>
                <c:pt idx="7">
                  <c:v>8.094354897021927E-2</c:v>
                </c:pt>
                <c:pt idx="8">
                  <c:v>-1.6164522220617199</c:v>
                </c:pt>
                <c:pt idx="9">
                  <c:v>-1.1378581095016826</c:v>
                </c:pt>
                <c:pt idx="10">
                  <c:v>-1.263390190649244</c:v>
                </c:pt>
                <c:pt idx="11">
                  <c:v>0.91018771942356635</c:v>
                </c:pt>
              </c:numCache>
            </c:numRef>
          </c:val>
          <c:extLst>
            <c:ext xmlns:c16="http://schemas.microsoft.com/office/drawing/2014/chart" uri="{C3380CC4-5D6E-409C-BE32-E72D297353CC}">
              <c16:uniqueId val="{00000003-901F-420C-9E39-D437CF4E5237}"/>
            </c:ext>
          </c:extLst>
        </c:ser>
        <c:ser>
          <c:idx val="5"/>
          <c:order val="4"/>
          <c:tx>
            <c:strRef>
              <c:f>Hárok1!$N$18</c:f>
              <c:strCache>
                <c:ptCount val="1"/>
                <c:pt idx="0">
                  <c:v>Školstvo</c:v>
                </c:pt>
              </c:strCache>
            </c:strRef>
          </c:tx>
          <c:spPr>
            <a:solidFill>
              <a:schemeClr val="accent5">
                <a:lumMod val="75000"/>
              </a:schemeClr>
            </a:solidFill>
            <a:ln>
              <a:noFill/>
            </a:ln>
            <a:effectLst/>
          </c:spPr>
          <c:invertIfNegative val="0"/>
          <c:cat>
            <c:numRef>
              <c:f>Hárok1!$H$32:$H$43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Hárok1!$N$32:$N$43</c:f>
              <c:numCache>
                <c:formatCode>0.0</c:formatCode>
                <c:ptCount val="12"/>
                <c:pt idx="0">
                  <c:v>9.535124209111757</c:v>
                </c:pt>
                <c:pt idx="1">
                  <c:v>9.5275672876009345</c:v>
                </c:pt>
                <c:pt idx="2">
                  <c:v>11.185873359824683</c:v>
                </c:pt>
                <c:pt idx="3">
                  <c:v>9.49176931710487</c:v>
                </c:pt>
                <c:pt idx="4">
                  <c:v>9.311836414573694</c:v>
                </c:pt>
                <c:pt idx="5">
                  <c:v>1.7120660206367599</c:v>
                </c:pt>
                <c:pt idx="6">
                  <c:v>-1.4546979867157139</c:v>
                </c:pt>
                <c:pt idx="7">
                  <c:v>-3.0132376524172999</c:v>
                </c:pt>
                <c:pt idx="8">
                  <c:v>-18.089125486566601</c:v>
                </c:pt>
                <c:pt idx="9">
                  <c:v>-23.640477124198789</c:v>
                </c:pt>
                <c:pt idx="10">
                  <c:v>-13.282667571889517</c:v>
                </c:pt>
                <c:pt idx="11">
                  <c:v>-7.21151740062973</c:v>
                </c:pt>
              </c:numCache>
            </c:numRef>
          </c:val>
          <c:extLst>
            <c:ext xmlns:c16="http://schemas.microsoft.com/office/drawing/2014/chart" uri="{C3380CC4-5D6E-409C-BE32-E72D297353CC}">
              <c16:uniqueId val="{00000004-901F-420C-9E39-D437CF4E5237}"/>
            </c:ext>
          </c:extLst>
        </c:ser>
        <c:ser>
          <c:idx val="6"/>
          <c:order val="5"/>
          <c:tx>
            <c:strRef>
              <c:f>Hárok1!$O$18</c:f>
              <c:strCache>
                <c:ptCount val="1"/>
                <c:pt idx="0">
                  <c:v>PPP projekty</c:v>
                </c:pt>
              </c:strCache>
            </c:strRef>
          </c:tx>
          <c:spPr>
            <a:solidFill>
              <a:schemeClr val="bg1">
                <a:lumMod val="50000"/>
              </a:schemeClr>
            </a:solidFill>
            <a:ln>
              <a:noFill/>
            </a:ln>
            <a:effectLst/>
          </c:spPr>
          <c:invertIfNegative val="0"/>
          <c:cat>
            <c:numRef>
              <c:f>Hárok1!$H$32:$H$43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Hárok1!$O$32:$O$43</c:f>
              <c:numCache>
                <c:formatCode>0.0</c:formatCode>
                <c:ptCount val="12"/>
                <c:pt idx="0">
                  <c:v>-2.9922562069103704</c:v>
                </c:pt>
                <c:pt idx="1">
                  <c:v>-2.8763043553223757</c:v>
                </c:pt>
                <c:pt idx="2">
                  <c:v>-2.8106949280194504</c:v>
                </c:pt>
                <c:pt idx="3">
                  <c:v>-2.6746437733440782</c:v>
                </c:pt>
                <c:pt idx="4">
                  <c:v>-3.7620315648930522</c:v>
                </c:pt>
                <c:pt idx="5">
                  <c:v>-3.3125684879946062</c:v>
                </c:pt>
                <c:pt idx="6">
                  <c:v>-3.7789111672970264</c:v>
                </c:pt>
                <c:pt idx="7">
                  <c:v>-3.5999999999999996</c:v>
                </c:pt>
                <c:pt idx="8">
                  <c:v>-4.3978641409326604</c:v>
                </c:pt>
                <c:pt idx="9">
                  <c:v>-3.8832059199127134</c:v>
                </c:pt>
                <c:pt idx="10">
                  <c:v>-3.3908620357594677</c:v>
                </c:pt>
                <c:pt idx="11">
                  <c:v>-2.4699362662103281</c:v>
                </c:pt>
              </c:numCache>
            </c:numRef>
          </c:val>
          <c:extLst>
            <c:ext xmlns:c16="http://schemas.microsoft.com/office/drawing/2014/chart" uri="{C3380CC4-5D6E-409C-BE32-E72D297353CC}">
              <c16:uniqueId val="{00000005-901F-420C-9E39-D437CF4E5237}"/>
            </c:ext>
          </c:extLst>
        </c:ser>
        <c:ser>
          <c:idx val="7"/>
          <c:order val="6"/>
          <c:tx>
            <c:strRef>
              <c:f>Hárok1!$P$18</c:f>
              <c:strCache>
                <c:ptCount val="1"/>
                <c:pt idx="0">
                  <c:v>Schéma financovania jadrových zariadení</c:v>
                </c:pt>
              </c:strCache>
            </c:strRef>
          </c:tx>
          <c:spPr>
            <a:solidFill>
              <a:schemeClr val="bg1">
                <a:lumMod val="75000"/>
              </a:schemeClr>
            </a:solidFill>
            <a:ln>
              <a:noFill/>
            </a:ln>
            <a:effectLst/>
          </c:spPr>
          <c:invertIfNegative val="0"/>
          <c:cat>
            <c:numRef>
              <c:f>Hárok1!$H$32:$H$43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Hárok1!$P$32:$P$43</c:f>
              <c:numCache>
                <c:formatCode>0.0</c:formatCode>
                <c:ptCount val="12"/>
                <c:pt idx="1">
                  <c:v>3.6816809596650706</c:v>
                </c:pt>
                <c:pt idx="2">
                  <c:v>3.2584666971140415</c:v>
                </c:pt>
                <c:pt idx="3">
                  <c:v>3.1307335102994287</c:v>
                </c:pt>
                <c:pt idx="4">
                  <c:v>3.0636250479538578</c:v>
                </c:pt>
                <c:pt idx="5">
                  <c:v>2.8629333612815739</c:v>
                </c:pt>
                <c:pt idx="6">
                  <c:v>2.9110517702295677</c:v>
                </c:pt>
                <c:pt idx="7">
                  <c:v>4.4006964724384217</c:v>
                </c:pt>
                <c:pt idx="8">
                  <c:v>5.64627166428272</c:v>
                </c:pt>
                <c:pt idx="9">
                  <c:v>4.9112688327054537</c:v>
                </c:pt>
                <c:pt idx="10">
                  <c:v>4.3180833722508378</c:v>
                </c:pt>
                <c:pt idx="11">
                  <c:v>3.025135022724919</c:v>
                </c:pt>
              </c:numCache>
            </c:numRef>
          </c:val>
          <c:extLst>
            <c:ext xmlns:c16="http://schemas.microsoft.com/office/drawing/2014/chart" uri="{C3380CC4-5D6E-409C-BE32-E72D297353CC}">
              <c16:uniqueId val="{00000006-901F-420C-9E39-D437CF4E5237}"/>
            </c:ext>
          </c:extLst>
        </c:ser>
        <c:ser>
          <c:idx val="8"/>
          <c:order val="8"/>
          <c:tx>
            <c:strRef>
              <c:f>Hárok1!$Q$31</c:f>
              <c:strCache>
                <c:ptCount val="1"/>
                <c:pt idx="0">
                  <c:v>NGEU</c:v>
                </c:pt>
              </c:strCache>
            </c:strRef>
          </c:tx>
          <c:spPr>
            <a:solidFill>
              <a:schemeClr val="accent3">
                <a:lumMod val="60000"/>
              </a:schemeClr>
            </a:solidFill>
            <a:ln w="25400">
              <a:noFill/>
            </a:ln>
            <a:effectLst/>
          </c:spPr>
          <c:invertIfNegative val="0"/>
          <c:cat>
            <c:numRef>
              <c:f>Hárok1!$H$32:$H$43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Hárok1!$Q$32:$Q$43</c:f>
              <c:numCache>
                <c:formatCode>General</c:formatCode>
                <c:ptCount val="12"/>
                <c:pt idx="8" formatCode="0.0">
                  <c:v>-4.1667781549307401</c:v>
                </c:pt>
                <c:pt idx="9" formatCode="0.0">
                  <c:v>-3.8601182275032118</c:v>
                </c:pt>
                <c:pt idx="10" formatCode="0.0">
                  <c:v>-3.4839834492965438</c:v>
                </c:pt>
                <c:pt idx="11" formatCode="0.0">
                  <c:v>-3.5874720460560865</c:v>
                </c:pt>
              </c:numCache>
            </c:numRef>
          </c:val>
          <c:extLst>
            <c:ext xmlns:c16="http://schemas.microsoft.com/office/drawing/2014/chart" uri="{C3380CC4-5D6E-409C-BE32-E72D297353CC}">
              <c16:uniqueId val="{00000007-901F-420C-9E39-D437CF4E5237}"/>
            </c:ext>
          </c:extLst>
        </c:ser>
        <c:dLbls>
          <c:showLegendKey val="0"/>
          <c:showVal val="0"/>
          <c:showCatName val="0"/>
          <c:showSerName val="0"/>
          <c:showPercent val="0"/>
          <c:showBubbleSize val="0"/>
        </c:dLbls>
        <c:gapWidth val="150"/>
        <c:overlap val="100"/>
        <c:axId val="164587416"/>
        <c:axId val="164571216"/>
      </c:barChart>
      <c:lineChart>
        <c:grouping val="standard"/>
        <c:varyColors val="0"/>
        <c:ser>
          <c:idx val="0"/>
          <c:order val="7"/>
          <c:tx>
            <c:strRef>
              <c:f>Hárok1!$I$31</c:f>
              <c:strCache>
                <c:ptCount val="1"/>
                <c:pt idx="0">
                  <c:v>Implicitné záväzky</c:v>
                </c:pt>
              </c:strCache>
            </c:strRef>
          </c:tx>
          <c:spPr>
            <a:ln w="28575" cap="rnd">
              <a:noFill/>
              <a:round/>
            </a:ln>
            <a:effectLst/>
          </c:spPr>
          <c:marker>
            <c:symbol val="circle"/>
            <c:size val="9"/>
            <c:spPr>
              <a:solidFill>
                <a:schemeClr val="tx1"/>
              </a:solidFill>
              <a:ln w="9525">
                <a:no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Hárok1!$I$32:$I$43</c:f>
              <c:numCache>
                <c:formatCode>0.0</c:formatCode>
                <c:ptCount val="12"/>
                <c:pt idx="0">
                  <c:v>-74.495101143869192</c:v>
                </c:pt>
                <c:pt idx="1">
                  <c:v>-66.003427371209739</c:v>
                </c:pt>
                <c:pt idx="2">
                  <c:v>-49.714695778050981</c:v>
                </c:pt>
                <c:pt idx="3">
                  <c:v>-42.888761517771123</c:v>
                </c:pt>
                <c:pt idx="4">
                  <c:v>-28.962454296332819</c:v>
                </c:pt>
                <c:pt idx="5">
                  <c:v>-30.648887396891254</c:v>
                </c:pt>
                <c:pt idx="6">
                  <c:v>-42.498464368158452</c:v>
                </c:pt>
                <c:pt idx="7">
                  <c:v>-112.64534270404289</c:v>
                </c:pt>
                <c:pt idx="8">
                  <c:v>-394.70421195968498</c:v>
                </c:pt>
                <c:pt idx="9">
                  <c:v>-433.53443074027132</c:v>
                </c:pt>
                <c:pt idx="10">
                  <c:v>-366.03018438110371</c:v>
                </c:pt>
                <c:pt idx="11">
                  <c:v>-161.95457076840748</c:v>
                </c:pt>
              </c:numCache>
            </c:numRef>
          </c:val>
          <c:smooth val="0"/>
          <c:extLst>
            <c:ext xmlns:c16="http://schemas.microsoft.com/office/drawing/2014/chart" uri="{C3380CC4-5D6E-409C-BE32-E72D297353CC}">
              <c16:uniqueId val="{00000008-901F-420C-9E39-D437CF4E5237}"/>
            </c:ext>
          </c:extLst>
        </c:ser>
        <c:dLbls>
          <c:showLegendKey val="0"/>
          <c:showVal val="0"/>
          <c:showCatName val="0"/>
          <c:showSerName val="0"/>
          <c:showPercent val="0"/>
          <c:showBubbleSize val="0"/>
        </c:dLbls>
        <c:marker val="1"/>
        <c:smooth val="0"/>
        <c:axId val="164587416"/>
        <c:axId val="164571216"/>
      </c:lineChart>
      <c:catAx>
        <c:axId val="164587416"/>
        <c:scaling>
          <c:orientation val="minMax"/>
        </c:scaling>
        <c:delete val="0"/>
        <c:axPos val="b"/>
        <c:numFmt formatCode="General" sourceLinked="1"/>
        <c:majorTickMark val="none"/>
        <c:minorTickMark val="none"/>
        <c:tickLblPos val="low"/>
        <c:spPr>
          <a:noFill/>
          <a:ln w="31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64571216"/>
        <c:crosses val="autoZero"/>
        <c:auto val="1"/>
        <c:lblAlgn val="ctr"/>
        <c:lblOffset val="100"/>
        <c:noMultiLvlLbl val="0"/>
      </c:catAx>
      <c:valAx>
        <c:axId val="164571216"/>
        <c:scaling>
          <c:orientation val="minMax"/>
          <c:max val="50"/>
          <c:min val="-500"/>
        </c:scaling>
        <c:delete val="0"/>
        <c:axPos val="l"/>
        <c:majorGridlines>
          <c:spPr>
            <a:ln w="3175" cap="flat" cmpd="sng" algn="ctr">
              <a:solidFill>
                <a:schemeClr val="tx1">
                  <a:lumMod val="15000"/>
                  <a:lumOff val="85000"/>
                </a:schemeClr>
              </a:solidFill>
              <a:prstDash val="sysDot"/>
              <a:round/>
            </a:ln>
            <a:effectLst/>
          </c:spPr>
        </c:majorGridlines>
        <c:numFmt formatCode="0" sourceLinked="0"/>
        <c:majorTickMark val="none"/>
        <c:minorTickMark val="none"/>
        <c:tickLblPos val="nextTo"/>
        <c:spPr>
          <a:noFill/>
          <a:ln w="3175">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64587416"/>
        <c:crosses val="autoZero"/>
        <c:crossBetween val="between"/>
        <c:majorUnit val="100"/>
      </c:valAx>
      <c:spPr>
        <a:noFill/>
        <a:ln>
          <a:noFill/>
        </a:ln>
        <a:effectLst/>
      </c:spPr>
    </c:plotArea>
    <c:legend>
      <c:legendPos val="b"/>
      <c:layout>
        <c:manualLayout>
          <c:xMode val="edge"/>
          <c:yMode val="edge"/>
          <c:x val="0.12728878394647938"/>
          <c:y val="0.40939630369227159"/>
          <c:w val="0.6036950844930915"/>
          <c:h val="0.275064481657803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no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122452898866274"/>
          <c:y val="7.7485660425870906E-2"/>
          <c:w val="0.67153464250703598"/>
          <c:h val="0.88057796029608404"/>
        </c:manualLayout>
      </c:layout>
      <c:barChart>
        <c:barDir val="bar"/>
        <c:grouping val="stacked"/>
        <c:varyColors val="0"/>
        <c:ser>
          <c:idx val="1"/>
          <c:order val="0"/>
          <c:tx>
            <c:v>vypln</c:v>
          </c:tx>
          <c:spPr>
            <a:noFill/>
          </c:spPr>
          <c:invertIfNegative val="0"/>
          <c:dLbls>
            <c:delete val="1"/>
          </c:dLbls>
          <c:cat>
            <c:strRef>
              <c:f>Sumar!$A$24:$A$29</c:f>
              <c:strCache>
                <c:ptCount val="6"/>
                <c:pt idx="0">
                  <c:v>SVS 2022</c:v>
                </c:pt>
                <c:pt idx="1">
                  <c:v>Aktualizácia predpokladov a posun obdobia*</c:v>
                </c:pt>
                <c:pt idx="2">
                  <c:v>Aktualizácia nominálnych úrokovych mier</c:v>
                </c:pt>
                <c:pt idx="3">
                  <c:v>Zníženie príspevkov do II. piliera</c:v>
                </c:pt>
                <c:pt idx="4">
                  <c:v>Zvýšenie 13. dôchodku</c:v>
                </c:pt>
                <c:pt idx="5">
                  <c:v>SVS 2023</c:v>
                </c:pt>
              </c:strCache>
            </c:strRef>
          </c:cat>
          <c:val>
            <c:numRef>
              <c:f>Sumar!$K$24:$K$29</c:f>
              <c:numCache>
                <c:formatCode>#,##0</c:formatCode>
                <c:ptCount val="6"/>
                <c:pt idx="1">
                  <c:v>-284.59995601830127</c:v>
                </c:pt>
                <c:pt idx="2">
                  <c:v>-161.51850092973893</c:v>
                </c:pt>
                <c:pt idx="3">
                  <c:v>-143.92338727120341</c:v>
                </c:pt>
                <c:pt idx="4">
                  <c:v>-143.92338727120341</c:v>
                </c:pt>
              </c:numCache>
            </c:numRef>
          </c:val>
          <c:extLst>
            <c:ext xmlns:c16="http://schemas.microsoft.com/office/drawing/2014/chart" uri="{C3380CC4-5D6E-409C-BE32-E72D297353CC}">
              <c16:uniqueId val="{00000000-06CF-4B81-A67A-9699E2284023}"/>
            </c:ext>
          </c:extLst>
        </c:ser>
        <c:ser>
          <c:idx val="2"/>
          <c:order val="1"/>
          <c:tx>
            <c:v>zmena</c:v>
          </c:tx>
          <c:spPr>
            <a:solidFill>
              <a:srgbClr val="B0D6AF"/>
            </a:solidFill>
          </c:spPr>
          <c:invertIfNegative val="0"/>
          <c:dPt>
            <c:idx val="0"/>
            <c:invertIfNegative val="0"/>
            <c:bubble3D val="0"/>
            <c:spPr>
              <a:solidFill>
                <a:schemeClr val="bg1">
                  <a:lumMod val="75000"/>
                </a:schemeClr>
              </a:solidFill>
              <a:ln>
                <a:noFill/>
              </a:ln>
            </c:spPr>
            <c:extLst>
              <c:ext xmlns:c16="http://schemas.microsoft.com/office/drawing/2014/chart" uri="{C3380CC4-5D6E-409C-BE32-E72D297353CC}">
                <c16:uniqueId val="{00000002-06CF-4B81-A67A-9699E2284023}"/>
              </c:ext>
            </c:extLst>
          </c:dPt>
          <c:dPt>
            <c:idx val="1"/>
            <c:invertIfNegative val="0"/>
            <c:bubble3D val="0"/>
            <c:spPr>
              <a:solidFill>
                <a:schemeClr val="accent3"/>
              </a:solidFill>
            </c:spPr>
            <c:extLst>
              <c:ext xmlns:c16="http://schemas.microsoft.com/office/drawing/2014/chart" uri="{C3380CC4-5D6E-409C-BE32-E72D297353CC}">
                <c16:uniqueId val="{00000004-06CF-4B81-A67A-9699E2284023}"/>
              </c:ext>
            </c:extLst>
          </c:dPt>
          <c:dPt>
            <c:idx val="2"/>
            <c:invertIfNegative val="0"/>
            <c:bubble3D val="0"/>
            <c:spPr>
              <a:solidFill>
                <a:schemeClr val="accent3"/>
              </a:solidFill>
            </c:spPr>
            <c:extLst>
              <c:ext xmlns:c16="http://schemas.microsoft.com/office/drawing/2014/chart" uri="{C3380CC4-5D6E-409C-BE32-E72D297353CC}">
                <c16:uniqueId val="{00000006-06CF-4B81-A67A-9699E2284023}"/>
              </c:ext>
            </c:extLst>
          </c:dPt>
          <c:dPt>
            <c:idx val="3"/>
            <c:invertIfNegative val="0"/>
            <c:bubble3D val="0"/>
            <c:spPr>
              <a:solidFill>
                <a:schemeClr val="accent3"/>
              </a:solidFill>
            </c:spPr>
            <c:extLst>
              <c:ext xmlns:c16="http://schemas.microsoft.com/office/drawing/2014/chart" uri="{C3380CC4-5D6E-409C-BE32-E72D297353CC}">
                <c16:uniqueId val="{00000008-06CF-4B81-A67A-9699E2284023}"/>
              </c:ext>
            </c:extLst>
          </c:dPt>
          <c:dPt>
            <c:idx val="4"/>
            <c:invertIfNegative val="0"/>
            <c:bubble3D val="0"/>
            <c:spPr>
              <a:solidFill>
                <a:schemeClr val="accent6"/>
              </a:solidFill>
              <a:ln>
                <a:noFill/>
              </a:ln>
            </c:spPr>
            <c:extLst>
              <c:ext xmlns:c16="http://schemas.microsoft.com/office/drawing/2014/chart" uri="{C3380CC4-5D6E-409C-BE32-E72D297353CC}">
                <c16:uniqueId val="{0000000A-06CF-4B81-A67A-9699E2284023}"/>
              </c:ext>
            </c:extLst>
          </c:dPt>
          <c:dPt>
            <c:idx val="5"/>
            <c:invertIfNegative val="0"/>
            <c:bubble3D val="0"/>
            <c:spPr>
              <a:solidFill>
                <a:schemeClr val="accent1"/>
              </a:solidFill>
              <a:ln>
                <a:noFill/>
              </a:ln>
            </c:spPr>
            <c:extLst>
              <c:ext xmlns:c16="http://schemas.microsoft.com/office/drawing/2014/chart" uri="{C3380CC4-5D6E-409C-BE32-E72D297353CC}">
                <c16:uniqueId val="{0000000C-06CF-4B81-A67A-9699E2284023}"/>
              </c:ext>
            </c:extLst>
          </c:dPt>
          <c:dPt>
            <c:idx val="6"/>
            <c:invertIfNegative val="0"/>
            <c:bubble3D val="0"/>
            <c:spPr>
              <a:solidFill>
                <a:schemeClr val="accent1"/>
              </a:solidFill>
            </c:spPr>
            <c:extLst>
              <c:ext xmlns:c16="http://schemas.microsoft.com/office/drawing/2014/chart" uri="{C3380CC4-5D6E-409C-BE32-E72D297353CC}">
                <c16:uniqueId val="{0000000E-06CF-4B81-A67A-9699E2284023}"/>
              </c:ext>
            </c:extLst>
          </c:dPt>
          <c:dPt>
            <c:idx val="7"/>
            <c:invertIfNegative val="0"/>
            <c:bubble3D val="0"/>
            <c:spPr>
              <a:solidFill>
                <a:schemeClr val="accent6"/>
              </a:solidFill>
            </c:spPr>
            <c:extLst>
              <c:ext xmlns:c16="http://schemas.microsoft.com/office/drawing/2014/chart" uri="{C3380CC4-5D6E-409C-BE32-E72D297353CC}">
                <c16:uniqueId val="{00000010-06CF-4B81-A67A-9699E2284023}"/>
              </c:ext>
            </c:extLst>
          </c:dPt>
          <c:dPt>
            <c:idx val="8"/>
            <c:invertIfNegative val="0"/>
            <c:bubble3D val="0"/>
            <c:spPr>
              <a:solidFill>
                <a:schemeClr val="accent1"/>
              </a:solidFill>
            </c:spPr>
            <c:extLst>
              <c:ext xmlns:c16="http://schemas.microsoft.com/office/drawing/2014/chart" uri="{C3380CC4-5D6E-409C-BE32-E72D297353CC}">
                <c16:uniqueId val="{00000012-06CF-4B81-A67A-9699E2284023}"/>
              </c:ext>
            </c:extLst>
          </c:dPt>
          <c:dLbls>
            <c:dLbl>
              <c:idx val="1"/>
              <c:tx>
                <c:rich>
                  <a:bodyPr/>
                  <a:lstStyle/>
                  <a:p>
                    <a:r>
                      <a:rPr lang="en-US"/>
                      <a:t>78,9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6CF-4B81-A67A-9699E2284023}"/>
                </c:ext>
              </c:extLst>
            </c:dLbl>
            <c:dLbl>
              <c:idx val="2"/>
              <c:tx>
                <c:rich>
                  <a:bodyPr/>
                  <a:lstStyle/>
                  <a:p>
                    <a:r>
                      <a:rPr lang="en-US"/>
                      <a:t>123,1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6CF-4B81-A67A-9699E2284023}"/>
                </c:ext>
              </c:extLst>
            </c:dLbl>
            <c:dLbl>
              <c:idx val="3"/>
              <c:tx>
                <c:rich>
                  <a:bodyPr/>
                  <a:lstStyle/>
                  <a:p>
                    <a:r>
                      <a:rPr lang="en-US"/>
                      <a:t>17,6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06CF-4B81-A67A-9699E2284023}"/>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Sumar!$A$24:$A$29</c:f>
              <c:strCache>
                <c:ptCount val="6"/>
                <c:pt idx="0">
                  <c:v>SVS 2022</c:v>
                </c:pt>
                <c:pt idx="1">
                  <c:v>Aktualizácia predpokladov a posun obdobia*</c:v>
                </c:pt>
                <c:pt idx="2">
                  <c:v>Aktualizácia nominálnych úrokovych mier</c:v>
                </c:pt>
                <c:pt idx="3">
                  <c:v>Zníženie príspevkov do II. piliera</c:v>
                </c:pt>
                <c:pt idx="4">
                  <c:v>Zvýšenie 13. dôchodku</c:v>
                </c:pt>
                <c:pt idx="5">
                  <c:v>SVS 2023</c:v>
                </c:pt>
              </c:strCache>
            </c:strRef>
          </c:cat>
          <c:val>
            <c:numRef>
              <c:f>Sumar!$L$24:$L$29</c:f>
              <c:numCache>
                <c:formatCode>#\ ##0.0</c:formatCode>
                <c:ptCount val="6"/>
                <c:pt idx="0">
                  <c:v>-363.47342226829852</c:v>
                </c:pt>
                <c:pt idx="1">
                  <c:v>-78.87346624999725</c:v>
                </c:pt>
                <c:pt idx="2">
                  <c:v>-123.08145508856235</c:v>
                </c:pt>
                <c:pt idx="3">
                  <c:v>-17.595113658535521</c:v>
                </c:pt>
                <c:pt idx="4">
                  <c:v>-14.998910207662618</c:v>
                </c:pt>
                <c:pt idx="5">
                  <c:v>-158.92229747886603</c:v>
                </c:pt>
              </c:numCache>
            </c:numRef>
          </c:val>
          <c:extLst>
            <c:ext xmlns:c16="http://schemas.microsoft.com/office/drawing/2014/chart" uri="{C3380CC4-5D6E-409C-BE32-E72D297353CC}">
              <c16:uniqueId val="{00000013-06CF-4B81-A67A-9699E2284023}"/>
            </c:ext>
          </c:extLst>
        </c:ser>
        <c:ser>
          <c:idx val="0"/>
          <c:order val="2"/>
          <c:invertIfNegative val="0"/>
          <c:dLbls>
            <c:delete val="1"/>
          </c:dLbls>
          <c:val>
            <c:numRef>
              <c:f>Sumar!$D$24:$D$29</c:f>
              <c:numCache>
                <c:formatCode>#,##0</c:formatCode>
                <c:ptCount val="6"/>
                <c:pt idx="1">
                  <c:v>0</c:v>
                </c:pt>
                <c:pt idx="2">
                  <c:v>0</c:v>
                </c:pt>
                <c:pt idx="3">
                  <c:v>0</c:v>
                </c:pt>
                <c:pt idx="4">
                  <c:v>0</c:v>
                </c:pt>
              </c:numCache>
            </c:numRef>
          </c:val>
          <c:extLst>
            <c:ext xmlns:c16="http://schemas.microsoft.com/office/drawing/2014/chart" uri="{C3380CC4-5D6E-409C-BE32-E72D297353CC}">
              <c16:uniqueId val="{00000014-06CF-4B81-A67A-9699E2284023}"/>
            </c:ext>
          </c:extLst>
        </c:ser>
        <c:dLbls>
          <c:dLblPos val="ctr"/>
          <c:showLegendKey val="0"/>
          <c:showVal val="1"/>
          <c:showCatName val="0"/>
          <c:showSerName val="0"/>
          <c:showPercent val="0"/>
          <c:showBubbleSize val="0"/>
        </c:dLbls>
        <c:gapWidth val="60"/>
        <c:overlap val="100"/>
        <c:axId val="510658992"/>
        <c:axId val="510659384"/>
      </c:barChart>
      <c:catAx>
        <c:axId val="510658992"/>
        <c:scaling>
          <c:orientation val="maxMin"/>
        </c:scaling>
        <c:delete val="0"/>
        <c:axPos val="l"/>
        <c:numFmt formatCode="General" sourceLinked="1"/>
        <c:majorTickMark val="none"/>
        <c:minorTickMark val="none"/>
        <c:tickLblPos val="low"/>
        <c:spPr>
          <a:ln>
            <a:solidFill>
              <a:schemeClr val="tx1"/>
            </a:solidFill>
            <a:prstDash val="solid"/>
          </a:ln>
        </c:spPr>
        <c:txPr>
          <a:bodyPr rot="0" vert="horz"/>
          <a:lstStyle/>
          <a:p>
            <a:pPr>
              <a:defRPr/>
            </a:pPr>
            <a:endParaRPr lang="sk-SK"/>
          </a:p>
        </c:txPr>
        <c:crossAx val="510659384"/>
        <c:crosses val="autoZero"/>
        <c:auto val="1"/>
        <c:lblAlgn val="ctr"/>
        <c:lblOffset val="100"/>
        <c:noMultiLvlLbl val="0"/>
      </c:catAx>
      <c:valAx>
        <c:axId val="510659384"/>
        <c:scaling>
          <c:orientation val="minMax"/>
        </c:scaling>
        <c:delete val="0"/>
        <c:axPos val="t"/>
        <c:numFmt formatCode="#,##0" sourceLinked="1"/>
        <c:majorTickMark val="out"/>
        <c:minorTickMark val="none"/>
        <c:tickLblPos val="low"/>
        <c:spPr>
          <a:ln>
            <a:solidFill>
              <a:schemeClr val="tx1"/>
            </a:solidFill>
          </a:ln>
        </c:spPr>
        <c:crossAx val="510658992"/>
        <c:crosses val="autoZero"/>
        <c:crossBetween val="between"/>
      </c:valAx>
    </c:plotArea>
    <c:plotVisOnly val="1"/>
    <c:dispBlanksAs val="gap"/>
    <c:showDLblsOverMax val="0"/>
  </c:chart>
  <c:spPr>
    <a:noFill/>
    <a:ln>
      <a:solidFill>
        <a:schemeClr val="bg1"/>
      </a:solidFill>
    </a:ln>
  </c:spPr>
  <c:txPr>
    <a:bodyPr/>
    <a:lstStyle/>
    <a:p>
      <a:pPr>
        <a:defRPr sz="1000">
          <a:latin typeface="Times New Roman" panose="02020603050405020304" pitchFamily="18" charset="0"/>
          <a:cs typeface="Times New Roman" panose="02020603050405020304" pitchFamily="18" charset="0"/>
        </a:defRPr>
      </a:pPr>
      <a:endParaRPr lang="sk-SK"/>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IFP Farby">
    <a:dk1>
      <a:srgbClr val="131D2B"/>
    </a:dk1>
    <a:lt1>
      <a:srgbClr val="FFFFFF"/>
    </a:lt1>
    <a:dk2>
      <a:srgbClr val="FFFFFF"/>
    </a:dk2>
    <a:lt2>
      <a:srgbClr val="FFFFFF"/>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DDE572-61F9-4855-B361-AEB433503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1507</TotalTime>
  <Pages>58</Pages>
  <Words>29090</Words>
  <Characters>159593</Characters>
  <Application>Microsoft Office Word</Application>
  <DocSecurity>0</DocSecurity>
  <Lines>1329</Lines>
  <Paragraphs>376</Paragraphs>
  <ScaleCrop>false</ScaleCrop>
  <HeadingPairs>
    <vt:vector size="2" baseType="variant">
      <vt:variant>
        <vt:lpstr>Názov</vt:lpstr>
      </vt:variant>
      <vt:variant>
        <vt:i4>1</vt:i4>
      </vt:variant>
    </vt:vector>
  </HeadingPairs>
  <TitlesOfParts>
    <vt:vector size="1" baseType="lpstr">
      <vt:lpstr/>
    </vt:vector>
  </TitlesOfParts>
  <Company>MF SR</Company>
  <LinksUpToDate>false</LinksUpToDate>
  <CharactersWithSpaces>188307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zkrajcir</dc:creator>
  <cp:keywords/>
  <dc:description/>
  <cp:lastModifiedBy>Ivanek Peter</cp:lastModifiedBy>
  <cp:revision>226</cp:revision>
  <cp:lastPrinted>2024-10-28T10:05:00Z</cp:lastPrinted>
  <dcterms:created xsi:type="dcterms:W3CDTF">2024-10-22T14:11:00Z</dcterms:created>
  <dcterms:modified xsi:type="dcterms:W3CDTF">2024-10-29T11:18:00Z</dcterms:modified>
</cp:coreProperties>
</file>