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613761" w:rsidRDefault="00000000">
      <w:pPr>
        <w:pBdr>
          <w:top w:val="nil"/>
          <w:left w:val="nil"/>
          <w:bottom w:val="nil"/>
          <w:right w:val="nil"/>
          <w:between w:val="nil"/>
        </w:pBdr>
        <w:spacing w:after="240"/>
        <w:jc w:val="center"/>
        <w:rPr>
          <w:b/>
          <w:color w:val="000000"/>
        </w:rPr>
      </w:pPr>
      <w:r>
        <w:rPr>
          <w:b/>
          <w:color w:val="000000"/>
        </w:rPr>
        <w:t>DÔVODOVÁ SPRÁVA</w:t>
      </w:r>
    </w:p>
    <w:p w14:paraId="00000002" w14:textId="77777777" w:rsidR="00613761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40"/>
        <w:rPr>
          <w:b/>
          <w:color w:val="000000"/>
        </w:rPr>
      </w:pPr>
      <w:r>
        <w:rPr>
          <w:b/>
          <w:color w:val="000000"/>
        </w:rPr>
        <w:t>Všeobecná časť</w:t>
      </w:r>
    </w:p>
    <w:p w14:paraId="00000003" w14:textId="62E97EDB" w:rsidR="00613761" w:rsidRDefault="00000000">
      <w:pPr>
        <w:spacing w:line="276" w:lineRule="auto"/>
        <w:jc w:val="both"/>
      </w:pPr>
      <w:r>
        <w:t xml:space="preserve">Poslanec Národnej rady Slovenskej republiky Oskar </w:t>
      </w:r>
      <w:proofErr w:type="spellStart"/>
      <w:r>
        <w:t>Dvořák</w:t>
      </w:r>
      <w:proofErr w:type="spellEnd"/>
      <w:r>
        <w:t xml:space="preserve"> a poslankyne Národnej rady Slovenskej republiky Veronika </w:t>
      </w:r>
      <w:proofErr w:type="spellStart"/>
      <w:r>
        <w:t>Veslárová</w:t>
      </w:r>
      <w:proofErr w:type="spellEnd"/>
      <w:r>
        <w:t xml:space="preserve"> a Martina </w:t>
      </w:r>
      <w:proofErr w:type="spellStart"/>
      <w:r w:rsidR="00365958">
        <w:t>Bajo</w:t>
      </w:r>
      <w:proofErr w:type="spellEnd"/>
      <w:r w:rsidR="00365958">
        <w:t xml:space="preserve"> </w:t>
      </w:r>
      <w:proofErr w:type="spellStart"/>
      <w:r>
        <w:t>Holečková</w:t>
      </w:r>
      <w:proofErr w:type="spellEnd"/>
      <w:r>
        <w:t xml:space="preserve"> predkladajú na rokovanie Národnej rady Slovenskej republiky návrh zákona, ktorým sa mení zákon č. 222/2004 Z. z. o dani z pridanej hodnoty v znení neskorších predpisov. </w:t>
      </w:r>
    </w:p>
    <w:p w14:paraId="00000004" w14:textId="77777777" w:rsidR="00613761" w:rsidRDefault="00613761">
      <w:pPr>
        <w:spacing w:line="276" w:lineRule="auto"/>
        <w:jc w:val="both"/>
      </w:pPr>
    </w:p>
    <w:p w14:paraId="00000005" w14:textId="77777777" w:rsidR="00613761" w:rsidRDefault="00000000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jc w:val="both"/>
        <w:rPr>
          <w:color w:val="000000"/>
        </w:rPr>
      </w:pPr>
      <w:r>
        <w:rPr>
          <w:color w:val="000000"/>
        </w:rPr>
        <w:t xml:space="preserve">Navrhovaná zmena má za cieľ uľahčiť pacientom s celiakiou prístup k cenovo dostupnejším bezlepkovým potravinám a surovinám. Cena týchto potravín a surovín je totiž na úrovni dvojnásobku až trojnásobku v porovnaní s cenou bežnej múky či pečiva. V tejto súvislosti je potrebné uviesť, že s účinnosťou od 1. októbra 2024 štát uhrádza na lekársky predpis pacientom s diagnostikovanou celiakiou bezlepkové suroviny vo väčšom množstve, ale na úkor množstva bezlepkových hotových potravín. Hoci </w:t>
      </w:r>
      <w:r>
        <w:t>M</w:t>
      </w:r>
      <w:r>
        <w:rPr>
          <w:color w:val="000000"/>
        </w:rPr>
        <w:t xml:space="preserve">inisterstvo </w:t>
      </w:r>
      <w:r>
        <w:t>z</w:t>
      </w:r>
      <w:r>
        <w:rPr>
          <w:color w:val="000000"/>
        </w:rPr>
        <w:t>dravotníctva S</w:t>
      </w:r>
      <w:r>
        <w:t>l</w:t>
      </w:r>
      <w:r>
        <w:rPr>
          <w:color w:val="000000"/>
        </w:rPr>
        <w:t xml:space="preserve">ovenskej republiky odôvodňuje návrh ako efektívnejší a bezpečnejší spôsob prípravy potravín z čerstvých surovín v domácom prostredí, v skutočnosti toto opatrenie </w:t>
      </w:r>
      <w:proofErr w:type="spellStart"/>
      <w:r>
        <w:rPr>
          <w:color w:val="000000"/>
        </w:rPr>
        <w:t>celiatikom</w:t>
      </w:r>
      <w:proofErr w:type="spellEnd"/>
      <w:r>
        <w:rPr>
          <w:color w:val="000000"/>
        </w:rPr>
        <w:t xml:space="preserve"> ich stravovanie iba komplikuje. </w:t>
      </w:r>
    </w:p>
    <w:p w14:paraId="00000006" w14:textId="77777777" w:rsidR="00613761" w:rsidRDefault="00000000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jc w:val="both"/>
        <w:rPr>
          <w:color w:val="000000"/>
        </w:rPr>
      </w:pPr>
      <w:r>
        <w:rPr>
          <w:color w:val="000000"/>
        </w:rPr>
        <w:t xml:space="preserve">Navrhovaná zmena zaviesť zníženú sadzbu z pridanej hodnoty vo výške 5 % zo základu dane na vybrané potraviny vhodné pre </w:t>
      </w:r>
      <w:proofErr w:type="spellStart"/>
      <w:r>
        <w:rPr>
          <w:color w:val="000000"/>
        </w:rPr>
        <w:t>celiatikov</w:t>
      </w:r>
      <w:proofErr w:type="spellEnd"/>
      <w:r>
        <w:rPr>
          <w:color w:val="000000"/>
        </w:rPr>
        <w:t xml:space="preserve"> je v tomto kontexte ešte naliehavejšia, keďže pre </w:t>
      </w:r>
      <w:proofErr w:type="spellStart"/>
      <w:r>
        <w:t>celiatikov</w:t>
      </w:r>
      <w:proofErr w:type="spellEnd"/>
      <w:r>
        <w:rPr>
          <w:color w:val="000000"/>
        </w:rPr>
        <w:t xml:space="preserve"> ide o základnú potravinu bez možnosti alternatívy. Uplatňovanie zníženej sadzby dane z pridanej hodnoty vo výške 5 % zo základu dane sa preto navrhuje pri položke „1905- Chlieb, sladké pečivo, koláče, sušienky a ostatné pekárske výrobky, tiež obsahujúce kakao; hostie, prázdne oblátky druhu vhodného na farmaceutické účely, oblátky na pečenie, ryžový papier a podobné výrobky“, ak sú tieto potraviny bezlepkovou potravinou definovanou v § 121 ods. 15 zákona č. 362/2011 Z. z. o liekoch a zdravotníckych pomôckach a o zmene a doplnení niektorých zákonov v znení neskorších predpisov. Zároveň sa navrhuje uplatňovať zníženú sadzbu dane z pridanej hodnoty vo výške 5 % zo základu dane aj na položku „1102 – Múky z obilnín iných ako z pšenice alebo zo </w:t>
      </w:r>
      <w:proofErr w:type="spellStart"/>
      <w:r>
        <w:rPr>
          <w:color w:val="000000"/>
        </w:rPr>
        <w:t>súraže</w:t>
      </w:r>
      <w:proofErr w:type="spellEnd"/>
      <w:r>
        <w:rPr>
          <w:color w:val="000000"/>
        </w:rPr>
        <w:t>“, keďže do tejto kategórie patrí napr. aj múka z kukurice a múka z ryže, ktoré sú vhodné pre pacientov s diagnostikovanou celiakiou.  </w:t>
      </w:r>
    </w:p>
    <w:p w14:paraId="00000007" w14:textId="77777777" w:rsidR="00613761" w:rsidRDefault="00000000">
      <w:pPr>
        <w:spacing w:line="276" w:lineRule="auto"/>
        <w:jc w:val="both"/>
      </w:pPr>
      <w:r>
        <w:t>Predkladaný návrh zákona je v súlade s Ústavou Slovenskej republiky, ústavnými zákonmi a ostatnými všeobecne záväznými právnymi predpismi Slovenskej republiky, nálezmi Ústavného súdu Slovenskej republiky, medzinárodnými zmluvami a inými medzinárodnými dokumentami, ktorými je Slovenská republika viazaná, ako aj v súlade s právom Európskej únie.</w:t>
      </w:r>
    </w:p>
    <w:p w14:paraId="00000008" w14:textId="6CF8963C" w:rsidR="00613761" w:rsidRDefault="00000000">
      <w:pPr>
        <w:shd w:val="clear" w:color="auto" w:fill="FFFFFF"/>
        <w:spacing w:before="240" w:after="240" w:line="276" w:lineRule="auto"/>
        <w:jc w:val="both"/>
      </w:pPr>
      <w:r>
        <w:t xml:space="preserve">Návrh zákona </w:t>
      </w:r>
      <w:r w:rsidRPr="00365958">
        <w:t>nepredpokladá</w:t>
      </w:r>
      <w:r w:rsidR="001B7502">
        <w:t xml:space="preserve"> zásadné</w:t>
      </w:r>
      <w:r>
        <w:t xml:space="preserve"> vplyvy na rozpočet verejnej správy, </w:t>
      </w:r>
      <w:r w:rsidR="001B7502">
        <w:t xml:space="preserve">nebude mať </w:t>
      </w:r>
      <w:r>
        <w:t>vplyvy na podnikateľské prostredie, vplyvy na životné prostredie, vplyvy na služby verejnej správy pre občana, vplyvy na informatizáciu spoločnosti ani vplyvy na manželstvo, rodičovstvo a rodinu. Návrh zákona predpokladá pozitívne sociálny vplyvy.</w:t>
      </w:r>
    </w:p>
    <w:p w14:paraId="00000009" w14:textId="77777777" w:rsidR="00613761" w:rsidRDefault="00613761">
      <w:pPr>
        <w:shd w:val="clear" w:color="auto" w:fill="FFFFFF"/>
        <w:spacing w:before="240" w:after="240" w:line="276" w:lineRule="auto"/>
        <w:jc w:val="both"/>
      </w:pPr>
    </w:p>
    <w:p w14:paraId="0000000A" w14:textId="77777777" w:rsidR="00613761" w:rsidRDefault="00613761">
      <w:pPr>
        <w:shd w:val="clear" w:color="auto" w:fill="FFFFFF"/>
        <w:spacing w:before="240" w:after="240" w:line="276" w:lineRule="auto"/>
        <w:jc w:val="both"/>
      </w:pPr>
    </w:p>
    <w:p w14:paraId="0000000B" w14:textId="77777777" w:rsidR="00613761" w:rsidRDefault="00613761">
      <w:pPr>
        <w:shd w:val="clear" w:color="auto" w:fill="FFFFFF"/>
        <w:spacing w:before="240" w:after="240" w:line="276" w:lineRule="auto"/>
        <w:jc w:val="both"/>
      </w:pPr>
    </w:p>
    <w:p w14:paraId="0000000C" w14:textId="77777777" w:rsidR="00613761" w:rsidRDefault="00613761">
      <w:pPr>
        <w:shd w:val="clear" w:color="auto" w:fill="FFFFFF"/>
        <w:spacing w:before="240" w:after="240" w:line="276" w:lineRule="auto"/>
        <w:jc w:val="both"/>
      </w:pPr>
    </w:p>
    <w:p w14:paraId="0000000D" w14:textId="77777777" w:rsidR="00613761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b/>
          <w:color w:val="000000"/>
        </w:rPr>
      </w:pPr>
      <w:r>
        <w:rPr>
          <w:b/>
          <w:color w:val="000000"/>
        </w:rPr>
        <w:lastRenderedPageBreak/>
        <w:t>Osobitná časť</w:t>
      </w:r>
    </w:p>
    <w:p w14:paraId="0000000E" w14:textId="77777777" w:rsidR="00613761" w:rsidRDefault="00000000">
      <w:pPr>
        <w:pBdr>
          <w:top w:val="nil"/>
          <w:left w:val="nil"/>
          <w:bottom w:val="nil"/>
          <w:right w:val="nil"/>
          <w:between w:val="nil"/>
        </w:pBdr>
        <w:spacing w:after="240" w:line="288" w:lineRule="auto"/>
        <w:jc w:val="both"/>
        <w:rPr>
          <w:b/>
          <w:color w:val="000000"/>
        </w:rPr>
      </w:pPr>
      <w:r>
        <w:rPr>
          <w:b/>
          <w:color w:val="000000"/>
        </w:rPr>
        <w:t>K čl. I</w:t>
      </w:r>
    </w:p>
    <w:p w14:paraId="0000000F" w14:textId="77777777" w:rsidR="00613761" w:rsidRDefault="00000000">
      <w:pPr>
        <w:pBdr>
          <w:top w:val="nil"/>
          <w:left w:val="nil"/>
          <w:bottom w:val="nil"/>
          <w:right w:val="nil"/>
          <w:between w:val="nil"/>
        </w:pBdr>
        <w:spacing w:after="240" w:line="288" w:lineRule="auto"/>
        <w:jc w:val="both"/>
        <w:rPr>
          <w:u w:val="single"/>
        </w:rPr>
      </w:pPr>
      <w:r>
        <w:rPr>
          <w:u w:val="single"/>
        </w:rPr>
        <w:t>K bodu 1 a 2</w:t>
      </w:r>
    </w:p>
    <w:p w14:paraId="00000010" w14:textId="77777777" w:rsidR="00613761" w:rsidRDefault="00000000">
      <w:pPr>
        <w:pBdr>
          <w:top w:val="nil"/>
          <w:left w:val="nil"/>
          <w:bottom w:val="nil"/>
          <w:right w:val="nil"/>
          <w:between w:val="nil"/>
        </w:pBdr>
        <w:spacing w:after="240" w:line="288" w:lineRule="auto"/>
        <w:jc w:val="both"/>
        <w:rPr>
          <w:color w:val="000000"/>
        </w:rPr>
      </w:pPr>
      <w:r>
        <w:rPr>
          <w:color w:val="000000"/>
        </w:rPr>
        <w:t xml:space="preserve">Navrhuje doplniť prílohu č. 7 zákona č. 278/2024 Z. z. o novú položku, ktorá sa týka ryžového papiera a podobných výrobkov ako bezlepkových potravín. Ustanovuje sa, že tieto produkty sa budú klasifikovať ako bezlepkové iba v prípade, že spĺňajú kritériá uvedené v osobitnom predpise (§ 121 ods. 15 zákona č. 362/2011 Z. z. o liekoch a zdravotníckych pomôckach). Zároveň sa do prílohy č. 7 dopĺňa nový číselný kód Spoločného colného sadzobníka „1102 – Múky z obilnín iných ako z pšenice alebo zo </w:t>
      </w:r>
      <w:proofErr w:type="spellStart"/>
      <w:r>
        <w:rPr>
          <w:color w:val="000000"/>
        </w:rPr>
        <w:t>súraže</w:t>
      </w:r>
      <w:proofErr w:type="spellEnd"/>
      <w:r>
        <w:rPr>
          <w:color w:val="000000"/>
        </w:rPr>
        <w:t>“. Týmto opatrením sa zabezpečí jasnejšia klasifikácia bezlepkových potravín a alternatívnych múk, čím sa podporí ich dostupnosť pre osoby s intoleranciou na lepok.</w:t>
      </w:r>
    </w:p>
    <w:p w14:paraId="00000011" w14:textId="77777777" w:rsidR="00613761" w:rsidRDefault="00000000">
      <w:pPr>
        <w:pBdr>
          <w:top w:val="nil"/>
          <w:left w:val="nil"/>
          <w:bottom w:val="nil"/>
          <w:right w:val="nil"/>
          <w:between w:val="nil"/>
        </w:pBdr>
        <w:spacing w:after="240" w:line="288" w:lineRule="auto"/>
        <w:jc w:val="both"/>
        <w:rPr>
          <w:color w:val="000000"/>
        </w:rPr>
      </w:pPr>
      <w:r>
        <w:rPr>
          <w:b/>
          <w:color w:val="000000"/>
        </w:rPr>
        <w:t>K čl. II</w:t>
      </w:r>
    </w:p>
    <w:p w14:paraId="00000012" w14:textId="77777777" w:rsidR="00613761" w:rsidRDefault="00000000">
      <w:pPr>
        <w:pBdr>
          <w:top w:val="nil"/>
          <w:left w:val="nil"/>
          <w:bottom w:val="nil"/>
          <w:right w:val="nil"/>
          <w:between w:val="nil"/>
        </w:pBdr>
        <w:spacing w:after="240" w:line="288" w:lineRule="auto"/>
        <w:jc w:val="both"/>
        <w:rPr>
          <w:color w:val="000000"/>
        </w:rPr>
      </w:pPr>
      <w:r>
        <w:rPr>
          <w:color w:val="000000"/>
        </w:rPr>
        <w:t>Účinnosť n</w:t>
      </w:r>
      <w:r>
        <w:t>ávrhu</w:t>
      </w:r>
      <w:r>
        <w:rPr>
          <w:color w:val="000000"/>
        </w:rPr>
        <w:t xml:space="preserve"> zákona sa s </w:t>
      </w:r>
      <w:r>
        <w:t>prihliadnutím na dĺžku legislatívneho procesu navrhuje od</w:t>
      </w:r>
      <w:r>
        <w:rPr>
          <w:color w:val="000000"/>
        </w:rPr>
        <w:t xml:space="preserve"> 1. </w:t>
      </w:r>
      <w:r>
        <w:t xml:space="preserve">marca </w:t>
      </w:r>
      <w:r>
        <w:rPr>
          <w:color w:val="000000"/>
        </w:rPr>
        <w:t xml:space="preserve"> 2025, </w:t>
      </w:r>
      <w:r>
        <w:t xml:space="preserve">pričom sa zároveň zabezpečí </w:t>
      </w:r>
      <w:r>
        <w:rPr>
          <w:color w:val="000000"/>
        </w:rPr>
        <w:t>dostatočný čas na prípravu a implementáciu potrebných zmien v colných procesoch a klasifikácii potravinových výrobkov zo strany dotknutých subjektov.</w:t>
      </w:r>
    </w:p>
    <w:p w14:paraId="00000013" w14:textId="77777777" w:rsidR="00613761" w:rsidRDefault="00000000">
      <w:pPr>
        <w:pBdr>
          <w:top w:val="nil"/>
          <w:left w:val="nil"/>
          <w:bottom w:val="nil"/>
          <w:right w:val="nil"/>
          <w:between w:val="nil"/>
        </w:pBdr>
        <w:spacing w:after="240" w:line="288" w:lineRule="auto"/>
        <w:rPr>
          <w:color w:val="000000"/>
        </w:rPr>
      </w:pPr>
      <w:r>
        <w:rPr>
          <w:b/>
          <w:color w:val="000000"/>
        </w:rPr>
        <w:t>Finančný dosah na štátny rozpočet:</w:t>
      </w:r>
      <w:r>
        <w:rPr>
          <w:color w:val="000000"/>
        </w:rPr>
        <w:br/>
        <w:t>Predpokladá sa, že návrh zákona nebude mať zásadný finančný dopad na príjmy štátneho rozpočtu, keďže ide o technické zmeny v colnom sadzobníku zamerané na zlepšenie dostupnosti špecifických potravín pre ľudí s intoleranciou na lepok. Očakáva sa, že pozitívne dopady na zdravotné podmienky a dostupnosť týchto potravín pre cieľové skupiny obyvateľstva prevažujú nad potenciálnym znížením príjmov.</w:t>
      </w:r>
    </w:p>
    <w:p w14:paraId="00000014" w14:textId="77777777" w:rsidR="00613761" w:rsidRDefault="00000000">
      <w:pPr>
        <w:pBdr>
          <w:top w:val="nil"/>
          <w:left w:val="nil"/>
          <w:bottom w:val="nil"/>
          <w:right w:val="nil"/>
          <w:between w:val="nil"/>
        </w:pBdr>
        <w:spacing w:after="240" w:line="288" w:lineRule="auto"/>
        <w:rPr>
          <w:color w:val="000000"/>
        </w:rPr>
      </w:pPr>
      <w:r>
        <w:rPr>
          <w:b/>
          <w:color w:val="000000"/>
        </w:rPr>
        <w:t>Sociálne vplyvy:</w:t>
      </w:r>
      <w:r>
        <w:rPr>
          <w:color w:val="000000"/>
        </w:rPr>
        <w:br/>
        <w:t>Upravená klasifikácia bezlepkových potravín a alternatívnych múk prispeje k zvýšeniu ich dostupnosti, čo bude mať pozitívny sociálny vplyv najmä na ľudí s celiakiou a inými formami intolerancie na lepok. Tento krok zároveň prispeje k zlepšeniu zdravotných podmienok a rozšíreniu možností stravovania pre osoby so špecifickými potrebami.</w:t>
      </w:r>
    </w:p>
    <w:p w14:paraId="00000015" w14:textId="77777777" w:rsidR="00613761" w:rsidRDefault="00000000">
      <w:pPr>
        <w:pBdr>
          <w:top w:val="nil"/>
          <w:left w:val="nil"/>
          <w:bottom w:val="nil"/>
          <w:right w:val="nil"/>
          <w:between w:val="nil"/>
        </w:pBdr>
        <w:spacing w:after="240" w:line="288" w:lineRule="auto"/>
        <w:rPr>
          <w:color w:val="000000"/>
        </w:rPr>
      </w:pPr>
      <w:r>
        <w:rPr>
          <w:b/>
          <w:color w:val="000000"/>
        </w:rPr>
        <w:t>Vplyv na podnikateľské prostredie:</w:t>
      </w:r>
      <w:r>
        <w:rPr>
          <w:color w:val="000000"/>
        </w:rPr>
        <w:br/>
        <w:t>Podnikateľské prostredie nebude touto zmenou výrazne ovplyvnené, keďže sa jedná o úpravu colných kódov a špecifikáciu potravinových produktov. Predpokladá sa, že implementácia týchto zmien nebude pre dovozcov a obchodníkov spojená s významnými nákladmi ani administratívnymi komplikáciami.</w:t>
      </w:r>
    </w:p>
    <w:p w14:paraId="00000016" w14:textId="77777777" w:rsidR="00613761" w:rsidRDefault="00000000">
      <w:pPr>
        <w:pBdr>
          <w:top w:val="nil"/>
          <w:left w:val="nil"/>
          <w:bottom w:val="nil"/>
          <w:right w:val="nil"/>
          <w:between w:val="nil"/>
        </w:pBdr>
        <w:spacing w:after="240" w:line="288" w:lineRule="auto"/>
        <w:rPr>
          <w:color w:val="000000"/>
        </w:rPr>
      </w:pPr>
      <w:r>
        <w:rPr>
          <w:b/>
          <w:color w:val="000000"/>
        </w:rPr>
        <w:t>Vplyv na životné prostredie:</w:t>
      </w:r>
      <w:r>
        <w:rPr>
          <w:color w:val="000000"/>
        </w:rPr>
        <w:br/>
        <w:t>Návrh zákona nemá priamy vplyv na životné prostredie.</w:t>
      </w:r>
    </w:p>
    <w:p w14:paraId="00000017" w14:textId="77777777" w:rsidR="00613761" w:rsidRDefault="00000000">
      <w:pPr>
        <w:pBdr>
          <w:top w:val="nil"/>
          <w:left w:val="nil"/>
          <w:bottom w:val="nil"/>
          <w:right w:val="nil"/>
          <w:between w:val="nil"/>
        </w:pBdr>
        <w:spacing w:after="240" w:line="288" w:lineRule="auto"/>
        <w:rPr>
          <w:color w:val="000000"/>
        </w:rPr>
      </w:pPr>
      <w:r>
        <w:rPr>
          <w:b/>
          <w:color w:val="000000"/>
        </w:rPr>
        <w:t>Vplyv na informatizáciu spoločnosti:</w:t>
      </w:r>
      <w:r>
        <w:rPr>
          <w:color w:val="000000"/>
        </w:rPr>
        <w:br/>
        <w:t>Návrh zákona nemá priamy vplyv na informatizáciu spoločnosti.</w:t>
      </w:r>
    </w:p>
    <w:p w14:paraId="00000018" w14:textId="77777777" w:rsidR="00613761" w:rsidRDefault="00613761">
      <w:pPr>
        <w:pBdr>
          <w:top w:val="nil"/>
          <w:left w:val="nil"/>
          <w:bottom w:val="nil"/>
          <w:right w:val="nil"/>
          <w:between w:val="nil"/>
        </w:pBdr>
        <w:spacing w:after="240"/>
        <w:rPr>
          <w:color w:val="000000"/>
        </w:rPr>
      </w:pPr>
    </w:p>
    <w:sectPr w:rsidR="00613761">
      <w:headerReference w:type="default" r:id="rId8"/>
      <w:footerReference w:type="default" r:id="rId9"/>
      <w:pgSz w:w="11906" w:h="16838"/>
      <w:pgMar w:top="1134" w:right="1134" w:bottom="1134" w:left="1134" w:header="709" w:footer="85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0A6A53" w14:textId="77777777" w:rsidR="00E50AC6" w:rsidRDefault="00E50AC6">
      <w:r>
        <w:separator/>
      </w:r>
    </w:p>
  </w:endnote>
  <w:endnote w:type="continuationSeparator" w:id="0">
    <w:p w14:paraId="7848F0B8" w14:textId="77777777" w:rsidR="00E50AC6" w:rsidRDefault="00E50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 Neue"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1A" w14:textId="77777777" w:rsidR="00613761" w:rsidRDefault="0061376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B544A8" w14:textId="77777777" w:rsidR="00E50AC6" w:rsidRDefault="00E50AC6">
      <w:r>
        <w:separator/>
      </w:r>
    </w:p>
  </w:footnote>
  <w:footnote w:type="continuationSeparator" w:id="0">
    <w:p w14:paraId="6A1EEB98" w14:textId="77777777" w:rsidR="00E50AC6" w:rsidRDefault="00E50A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19" w14:textId="77777777" w:rsidR="00613761" w:rsidRDefault="0061376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367A71"/>
    <w:multiLevelType w:val="multilevel"/>
    <w:tmpl w:val="34EA46FA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449057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761"/>
    <w:rsid w:val="001B7502"/>
    <w:rsid w:val="00365958"/>
    <w:rsid w:val="00613761"/>
    <w:rsid w:val="00797F7F"/>
    <w:rsid w:val="009F7BB7"/>
    <w:rsid w:val="00E50AC6"/>
    <w:rsid w:val="00E56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71EFA"/>
  <w15:docId w15:val="{F41483E8-6F8C-47AD-98C1-88A90B01E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y"/>
    <w:next w:val="Norm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y"/>
    <w:next w:val="Norm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textovprepojenie">
    <w:name w:val="Hyperlink"/>
    <w:rPr>
      <w:u w:val="single"/>
    </w:r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styleId="Podtitul">
    <w:name w:val="Subtitle"/>
    <w:basedOn w:val="Normlny"/>
    <w:next w:val="Norm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+oGaiQvoczmNvzaQwNOMp5vtCg==">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764</Words>
  <Characters>4355</Characters>
  <Application>Microsoft Office Word</Application>
  <DocSecurity>0</DocSecurity>
  <Lines>36</Lines>
  <Paragraphs>10</Paragraphs>
  <ScaleCrop>false</ScaleCrop>
  <Company/>
  <LinksUpToDate>false</LinksUpToDate>
  <CharactersWithSpaces>5109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Holeckova</dc:creator>
  <cp:lastModifiedBy>Martina Holeckova</cp:lastModifiedBy>
  <cp:revision>4</cp:revision>
  <dcterms:created xsi:type="dcterms:W3CDTF">2024-11-07T21:09:00Z</dcterms:created>
  <dcterms:modified xsi:type="dcterms:W3CDTF">2024-11-07T21:12:00Z</dcterms:modified>
</cp:coreProperties>
</file>