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zákon č. 461/2003 Z. z. o sociálnom poistení v znení neskorších predpisov a zákon č. 328/2002 Z.z. o sociálnom zabezpečení policajtov a vojakov a o zmene a doplnení niektorých zákonov</w:t>
      </w:r>
    </w:p>
    <w:p w:rsidR="00000000" w:rsidDel="00000000" w:rsidP="00000000" w:rsidRDefault="00000000" w:rsidRPr="00000000" w14:paraId="00000005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X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Vplyvy na služby pre občana, z toho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Vplyv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Návrh zákona bude mať negatívny, nie však výrazný vplyv na rozpočet verejnej správy, pričom vychádzame z nasledovných dát: z údajov, ktoré nám na základe infožiadosti poskytla Sociálna poisťovňa vieme, že v roku 2021 a 2022, kedy ešte platila stará právna úprava, kde bezdetné vdovy a vdovy s jedným vychovaným dieťaťom strácali po jednom roku nárok na vdovský dôchodok, bol počet pozastavených vdovských dôchodkov 834 (2021) a 856 (2022). Dá sa teda predpokladať, že ročne ide o </w:t>
      </w:r>
      <w:r w:rsidDel="00000000" w:rsidR="00000000" w:rsidRPr="00000000">
        <w:rPr>
          <w:b w:val="1"/>
          <w:highlight w:val="white"/>
          <w:rtl w:val="0"/>
        </w:rPr>
        <w:t xml:space="preserve">približne 900 vdov a vdovcov</w:t>
      </w:r>
      <w:r w:rsidDel="00000000" w:rsidR="00000000" w:rsidRPr="00000000">
        <w:rPr>
          <w:highlight w:val="white"/>
          <w:rtl w:val="0"/>
        </w:rPr>
        <w:t xml:space="preserve">, ktorým je z dôvodu, že sú bezdetní resp. bezdetné alebo vychovali jedno dieťa, pozastavovaná výplata vdovského dôchodku a musia čakať buď do dovŕšenia 57. roku života alebo až do dosiahnutia dôchodkového veku pre opätovný nárok na výplatu predmetného dôchodku.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 dát popísaných vyššie je tak možné dôvodiť, že navrhovaná zmena sa môže dotknúť približne tisícky ovodelých osôb ročne.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Ak vezmeme do úvahy </w:t>
      </w:r>
      <w:r w:rsidDel="00000000" w:rsidR="00000000" w:rsidRPr="00000000">
        <w:rPr>
          <w:b w:val="1"/>
          <w:highlight w:val="white"/>
          <w:rtl w:val="0"/>
        </w:rPr>
        <w:t xml:space="preserve">priemernú výšku vdovského dôchodku za september 2023 (359 Eur) a priemernú výšku vdoveckého dôchodku za rovnaké obdobie (296 Eur)</w:t>
      </w:r>
      <w:r w:rsidDel="00000000" w:rsidR="00000000" w:rsidRPr="00000000">
        <w:rPr>
          <w:highlight w:val="white"/>
          <w:rtl w:val="0"/>
        </w:rPr>
        <w:t xml:space="preserve">, teda rozptyl medzi 300 - 350 Eur, </w:t>
      </w:r>
      <w:r w:rsidDel="00000000" w:rsidR="00000000" w:rsidRPr="00000000">
        <w:rPr>
          <w:b w:val="1"/>
          <w:highlight w:val="white"/>
          <w:rtl w:val="0"/>
        </w:rPr>
        <w:t xml:space="preserve">celkové mesačné náklady</w:t>
      </w:r>
      <w:r w:rsidDel="00000000" w:rsidR="00000000" w:rsidRPr="00000000">
        <w:rPr>
          <w:highlight w:val="white"/>
          <w:rtl w:val="0"/>
        </w:rPr>
        <w:t xml:space="preserve"> pri priznaní nároku na vdovský a vdovecký dôchodok pre túto skupinu osôb budú 270 000 - 315 000 Eur. </w:t>
      </w:r>
      <w:r w:rsidDel="00000000" w:rsidR="00000000" w:rsidRPr="00000000">
        <w:rPr>
          <w:b w:val="1"/>
          <w:highlight w:val="white"/>
          <w:rtl w:val="0"/>
        </w:rPr>
        <w:t xml:space="preserve">Ročne to bude spolu 3 240 000 - 3 780 000 Eur</w:t>
      </w:r>
      <w:r w:rsidDel="00000000" w:rsidR="00000000" w:rsidRPr="00000000">
        <w:rPr>
          <w:highlight w:val="white"/>
          <w:rtl w:val="0"/>
        </w:rPr>
        <w:t xml:space="preserve">. Výpočet zohľadňuje rozptyl medzi priemerným vdovským a priemerným vdoveckým dôchodkom. S ohľadom na vdovy a vdovcov po výsluhových dôchodcoch a dôchodkyniach, táto kvantifikácia nie je nateraz možná, nakoľko dáta z roku 2023 (po novele zákona z roku 2022) nie sú dostupné a vyplácateľom pozostalostnej renty sú jednotlivé útvary príslušných ministerstiev.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3A3D4D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S/XNCkBHsJLzeod4rtjd9rbow==">CgMxLjA4AHIhMTNnS2R5ZWN1VWFuSG5ZX2J1eDhmT05WanJZS0E3eUhR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  <dc:creator>Petrík, Simona (asistent)</dc:creator>
</cp:coreProperties>
</file>