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00" w:line="276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widowControl w:val="1"/>
        <w:pBdr>
          <w:bottom w:color="000000" w:space="1" w:sz="12" w:val="single"/>
        </w:pBdr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widowControl w:val="1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 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z ... 2025,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ktorým sa mení zákon č. 461/2003 Z. z. o sociálnom poistení v znení neskorších predpisov a o zmene zákona č. 328/2002 Z. z. </w:t>
      </w:r>
      <w:r w:rsidDel="00000000" w:rsidR="00000000" w:rsidRPr="00000000">
        <w:rPr>
          <w:b w:val="1"/>
          <w:rtl w:val="0"/>
        </w:rPr>
        <w:t xml:space="preserve">o sociálnom zabezpečení policajtov a vojakov a o zmene a doplnení niektorých zákonov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ind w:firstLine="708"/>
        <w:jc w:val="both"/>
        <w:rPr/>
      </w:pPr>
      <w:r w:rsidDel="00000000" w:rsidR="00000000" w:rsidRPr="00000000">
        <w:rPr>
          <w:rtl w:val="0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 a zákona č. 368/2018 Z. z., zákona č. 35/2019 Z. z., zákona č. 105/2019 Z. z., zákona č. 221/2019 Z. z., zákona č. 225/2019 Z. z., zákona č. 231/2019 Z. z., 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</w:t>
        <w:tab/>
        <w:t xml:space="preserve">157/2020 Z. z., zákona č. 198/2020 Z. z., zákona č. 258/2020 Z. z., zákona č. 275/2020 Z. z., zákona č. 296/2020 Z. z., zákona č. 330/2020 Z. z., zákona č. 365/2020 Z. z., zákona č. 372/2020 Z. z., zákona č. 388/2020 Z. z., zákona č. 426/2020 Z. z., zákona č. 126/2021 Z. z., zákona č. 130/2021 Z. z., zákona č. 215/2021 Z. z., zákona č. 265/2021 Z. z., zákona č. 283/2021 Z. z., zákona č. 92/2022 Z. z., zákona č. 125/2022 Z. z., zákona č.  248/2022 Z. z., zákona č. 249/2022 Z. z., zákona č. 350/2022 Z. z., zákona č. 352/2022 Z. z., zákona č. 399/2022 Z. z., zákona č. 421/2022 Z. z., zákona č. 518/2022 Z. z., zákona č. 71/2023 Z. z., zákona č.  182/2023 Z. z., zákona č. 203/2023 Z. z., zákona č. 210/2023 Z. z., zákona č. 273/2023 Z. z., zákona č.  274/2023 Z. z., zákona č. 275/2023 Z. z., zákona č. 530/2023 Z. z., zákona č. 28/2024 Z. z., zákona č. 87/2024 Z. z., zákona č. 145/2024 Z. z. a zákona č. 278/2024 Z. z. sa mení takto: </w:t>
      </w:r>
    </w:p>
    <w:p w:rsidR="00000000" w:rsidDel="00000000" w:rsidP="00000000" w:rsidRDefault="00000000" w:rsidRPr="00000000" w14:paraId="00000013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74 ods. 3 písmeno d) znie: </w:t>
      </w:r>
    </w:p>
    <w:p w:rsidR="00000000" w:rsidDel="00000000" w:rsidP="00000000" w:rsidRDefault="00000000" w:rsidRPr="00000000" w14:paraId="00000015">
      <w:pPr>
        <w:widowControl w:val="1"/>
        <w:ind w:firstLine="720"/>
        <w:jc w:val="both"/>
        <w:rPr/>
      </w:pPr>
      <w:r w:rsidDel="00000000" w:rsidR="00000000" w:rsidRPr="00000000">
        <w:rPr>
          <w:rtl w:val="0"/>
        </w:rPr>
        <w:t xml:space="preserve">„d) dovŕšila vek 52 rokov.“.</w:t>
      </w:r>
    </w:p>
    <w:p w:rsidR="00000000" w:rsidDel="00000000" w:rsidP="00000000" w:rsidRDefault="00000000" w:rsidRPr="00000000" w14:paraId="00000016">
      <w:pPr>
        <w:widowControl w:val="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74 ods. 3 sa vypúšťajú písmená e) a f).</w:t>
      </w:r>
    </w:p>
    <w:p w:rsidR="00000000" w:rsidDel="00000000" w:rsidP="00000000" w:rsidRDefault="00000000" w:rsidRPr="00000000" w14:paraId="00000018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Za § 293gk sa vkladá § 293gl, ktorý vrátane nadpisu znie:</w:t>
      </w:r>
    </w:p>
    <w:p w:rsidR="00000000" w:rsidDel="00000000" w:rsidP="00000000" w:rsidRDefault="00000000" w:rsidRPr="00000000" w14:paraId="0000001A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„§ 293gl </w:t>
      </w:r>
    </w:p>
    <w:p w:rsidR="00000000" w:rsidDel="00000000" w:rsidP="00000000" w:rsidRDefault="00000000" w:rsidRPr="00000000" w14:paraId="0000001C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Prechodné ustanovenie k úprave účinnej od 1. marca 2025</w:t>
      </w:r>
    </w:p>
    <w:p w:rsidR="00000000" w:rsidDel="00000000" w:rsidP="00000000" w:rsidRDefault="00000000" w:rsidRPr="00000000" w14:paraId="0000001D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O nároku na vdovský dôchodok a jeho výplatu podľa predpisov účinných od 1. marca 2025 rozhodne Sociálna poisťovňa do troch mesiacov od začatia konania.“.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22">
      <w:pPr>
        <w:widowControl w:val="1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ind w:firstLine="720"/>
        <w:jc w:val="both"/>
        <w:rPr/>
      </w:pPr>
      <w:r w:rsidDel="00000000" w:rsidR="00000000" w:rsidRPr="00000000">
        <w:rPr>
          <w:rtl w:val="0"/>
        </w:rPr>
        <w:t xml:space="preserve">Zákon č. 328/2002 Z. z. o sociálnom zabezpečení policajtov a vojakov a o zmene a doplnení niektorých zákonov v znení zákona č. 447/2002 Z. z., zákona č. 534/2002 Z. z., zákona č. 463/2003 Z. z., zákona č. 365/2004 Z. z., zákona č. 732/2004 Z. z., zákona č. 592/2006Z. z., zákona č. 274/2007 Z. z., zákona č. 519/2007 Z. z., zákona č. 643/2007 Z. z., zákona č. 61/2008 Z. z., zákona č. 445/2008 Z. z., zákona č. 449/2008 Z. z., zákona č. 58/2009 Z. z., zákona č. 59/2009 Z. z., zákona č. 70/2009 Z. z., zákona č. 82/2009 Z. z., zákona č. 285/2009 Z. z., zákona č. 543/2010 Z. z., zákona č. 220/2011 Z. z., zákona č. 185/2012 Z. z., zákona č. 80/2013 Z. z., zákona č. 140/2015 Z. z., zákona č. 281/2015 Z. z., zákona č. 125/2/016Z. z., zákona č. 190/2018 Z. z., zákona č. 35/2019 Z. z., zákona č. 466/2019Z. z., zákona č. 46/2020 Z. z., zákona č. 296/2020 Z. z., zákona č. 365/2020 Z. z., zákona č. 426/2020 Z. z., zákona č. 221/2021 Z. z., zákona č. 283/2021 Z. z., zákona č. 431/2021 Z. z., zákona č. 125/2022 Z. z., zákona č. 420/2022 Z. z., zákona č. 193/2023 Z. z., 210/2023 Z. z., zákona č. 87/2024 Z. z., zákona č. 145/2024 Z. z. a zákona č. 278/2024 Z. z. sa mení takto:</w:t>
      </w:r>
    </w:p>
    <w:p w:rsidR="00000000" w:rsidDel="00000000" w:rsidP="00000000" w:rsidRDefault="00000000" w:rsidRPr="00000000" w14:paraId="00000024">
      <w:pPr>
        <w:widowControl w:val="1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1"/>
        </w:numPr>
        <w:ind w:left="708.6614173228347" w:hanging="360"/>
        <w:jc w:val="both"/>
      </w:pPr>
      <w:r w:rsidDel="00000000" w:rsidR="00000000" w:rsidRPr="00000000">
        <w:rPr>
          <w:rtl w:val="0"/>
        </w:rPr>
        <w:t xml:space="preserve">V § 50 ods. 2</w:t>
      </w:r>
      <w:r w:rsidDel="00000000" w:rsidR="00000000" w:rsidRPr="00000000">
        <w:rPr>
          <w:rtl w:val="0"/>
        </w:rPr>
        <w:t xml:space="preserve"> písmeno d) znie: </w:t>
      </w:r>
    </w:p>
    <w:p w:rsidR="00000000" w:rsidDel="00000000" w:rsidP="00000000" w:rsidRDefault="00000000" w:rsidRPr="00000000" w14:paraId="00000026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ind w:firstLine="720"/>
        <w:jc w:val="both"/>
        <w:rPr/>
      </w:pPr>
      <w:r w:rsidDel="00000000" w:rsidR="00000000" w:rsidRPr="00000000">
        <w:rPr>
          <w:rtl w:val="0"/>
        </w:rPr>
        <w:t xml:space="preserve">„d) dovŕšila vek 52 rokov, alebo“.</w:t>
      </w:r>
    </w:p>
    <w:p w:rsidR="00000000" w:rsidDel="00000000" w:rsidP="00000000" w:rsidRDefault="00000000" w:rsidRPr="00000000" w14:paraId="00000028">
      <w:pPr>
        <w:widowControl w:val="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1"/>
        </w:numPr>
        <w:ind w:left="708.6614173228347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50 ods. 2 sa vypúšťajú písmená e) a f). </w:t>
      </w:r>
    </w:p>
    <w:p w:rsidR="00000000" w:rsidDel="00000000" w:rsidP="00000000" w:rsidRDefault="00000000" w:rsidRPr="00000000" w14:paraId="0000002A">
      <w:pPr>
        <w:widowControl w:val="1"/>
        <w:ind w:left="144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Doterajšie písmená g) a h) sa označujú ako písmená e) a f).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1"/>
        </w:numPr>
        <w:ind w:left="708.6614173228347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50 ods. 3 sa za slovami „odseku 2 písm. a)“ vypúšťa čiarka a slová „d) až f)“.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ind w:left="144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1"/>
        </w:numPr>
        <w:ind w:left="708.6614173228347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Za § 143ar sa vkladá </w:t>
      </w:r>
      <w:r w:rsidDel="00000000" w:rsidR="00000000" w:rsidRPr="00000000">
        <w:rPr>
          <w:rtl w:val="0"/>
        </w:rPr>
        <w:t xml:space="preserve">§ 143as</w:t>
      </w:r>
      <w:r w:rsidDel="00000000" w:rsidR="00000000" w:rsidRPr="00000000">
        <w:rPr>
          <w:rtl w:val="0"/>
        </w:rPr>
        <w:t xml:space="preserve">, ktorý vrátane nadpisu znie:</w:t>
      </w:r>
    </w:p>
    <w:p w:rsidR="00000000" w:rsidDel="00000000" w:rsidP="00000000" w:rsidRDefault="00000000" w:rsidRPr="00000000" w14:paraId="00000030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„§ 143as </w:t>
      </w:r>
    </w:p>
    <w:p w:rsidR="00000000" w:rsidDel="00000000" w:rsidP="00000000" w:rsidRDefault="00000000" w:rsidRPr="00000000" w14:paraId="00000032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Prechodné ustanovenie k úprave účinnej od 1. marca 2025</w:t>
      </w:r>
    </w:p>
    <w:p w:rsidR="00000000" w:rsidDel="00000000" w:rsidP="00000000" w:rsidRDefault="00000000" w:rsidRPr="00000000" w14:paraId="00000033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O nároku na vdovský výsluhový dôchodok a jeho výplatu podľa predpisov účinných od 1. marca 2025 rozhodne </w:t>
      </w:r>
      <w:r w:rsidDel="00000000" w:rsidR="00000000" w:rsidRPr="00000000">
        <w:rPr>
          <w:rtl w:val="0"/>
        </w:rPr>
        <w:t xml:space="preserve">útvar sociálneho zabezpečenia ministerstva alebo Vojenský úrad sociálneho zabezpečenia do troch mesiacov od začatia konania</w:t>
      </w:r>
      <w:r w:rsidDel="00000000" w:rsidR="00000000" w:rsidRPr="00000000">
        <w:rPr>
          <w:rtl w:val="0"/>
        </w:rPr>
        <w:t xml:space="preserve">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III</w:t>
      </w:r>
    </w:p>
    <w:p w:rsidR="00000000" w:rsidDel="00000000" w:rsidP="00000000" w:rsidRDefault="00000000" w:rsidRPr="00000000" w14:paraId="00000038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Tento zákon nadobúda účinnosť 1. marca 2025.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7B3F06"/>
    <w:pPr>
      <w:suppressAutoHyphens w:val="1"/>
    </w:pPr>
    <w:rPr>
      <w:rFonts w:cs="Mangal" w:eastAsia="SimSun"/>
      <w:kern w:val="1"/>
      <w:lang w:bidi="hi-IN" w:eastAsia="hi-IN"/>
    </w:rPr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020363"/>
    <w:rPr>
      <w:rFonts w:ascii="Segoe UI" w:hAnsi="Segoe UI"/>
      <w:sz w:val="18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020363"/>
    <w:rPr>
      <w:rFonts w:ascii="Segoe UI" w:cs="Mangal" w:eastAsia="SimSun" w:hAnsi="Segoe UI"/>
      <w:kern w:val="1"/>
      <w:sz w:val="18"/>
      <w:szCs w:val="16"/>
      <w:lang w:bidi="hi-IN" w:eastAsia="hi-IN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 w:val="1"/>
    <w:rsid w:val="0042573F"/>
    <w:pPr>
      <w:tabs>
        <w:tab w:val="center" w:pos="4536"/>
        <w:tab w:val="right" w:pos="9072"/>
      </w:tabs>
    </w:pPr>
    <w:rPr>
      <w:szCs w:val="21"/>
    </w:rPr>
  </w:style>
  <w:style w:type="character" w:styleId="HlavikaChar" w:customStyle="1">
    <w:name w:val="Hlavička Char"/>
    <w:basedOn w:val="Predvolenpsmoodseku"/>
    <w:link w:val="Hlavika"/>
    <w:uiPriority w:val="99"/>
    <w:rsid w:val="0042573F"/>
    <w:rPr>
      <w:rFonts w:cs="Mangal" w:eastAsia="SimSun"/>
      <w:kern w:val="1"/>
      <w:szCs w:val="21"/>
      <w:lang w:bidi="hi-IN" w:eastAsia="hi-IN"/>
    </w:rPr>
  </w:style>
  <w:style w:type="paragraph" w:styleId="Pta">
    <w:name w:val="footer"/>
    <w:basedOn w:val="Normlny"/>
    <w:link w:val="PtaChar"/>
    <w:uiPriority w:val="99"/>
    <w:unhideWhenUsed w:val="1"/>
    <w:rsid w:val="0042573F"/>
    <w:pPr>
      <w:tabs>
        <w:tab w:val="center" w:pos="4536"/>
        <w:tab w:val="right" w:pos="9072"/>
      </w:tabs>
    </w:pPr>
    <w:rPr>
      <w:szCs w:val="21"/>
    </w:rPr>
  </w:style>
  <w:style w:type="character" w:styleId="PtaChar" w:customStyle="1">
    <w:name w:val="Päta Char"/>
    <w:basedOn w:val="Predvolenpsmoodseku"/>
    <w:link w:val="Pta"/>
    <w:uiPriority w:val="99"/>
    <w:rsid w:val="0042573F"/>
    <w:rPr>
      <w:rFonts w:cs="Mangal" w:eastAsia="SimSun"/>
      <w:kern w:val="1"/>
      <w:szCs w:val="21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bMbir7YQepiNGZs82sJKN1APrw==">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2021-08-31T10:51:00Z</dcterms:created>
  <dc:creator>Petrík, Simona (asistent)</dc:creator>
</cp:coreProperties>
</file>