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smallCaps w:val="1"/>
          <w:color w:val="000000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zákona, ktorým sa mení zákon č. 461/2003 Z. z. o sociálnom poistení v znení neskorších predpisov </w:t>
      </w:r>
    </w:p>
    <w:p w:rsidR="00000000" w:rsidDel="00000000" w:rsidP="00000000" w:rsidRDefault="00000000" w:rsidRPr="00000000" w14:paraId="00000005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A.2. Vplyvy: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00000000002" w:type="dxa"/>
        <w:jc w:val="left"/>
        <w:tblInd w:w="-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6"/>
        <w:gridCol w:w="1192"/>
        <w:gridCol w:w="1181"/>
        <w:gridCol w:w="1196"/>
        <w:tblGridChange w:id="0">
          <w:tblGrid>
            <w:gridCol w:w="5526"/>
            <w:gridCol w:w="1192"/>
            <w:gridCol w:w="1181"/>
            <w:gridCol w:w="11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Vplyvy na služby pre občana, z toho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Vplyv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A.3. 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Predkladaná novela nebude mať výrazný vplyv na rozpočet verejnej správy, pretože nijako nemení sumu materského resp. otcovského. Negatívny vplyv na rozpočet môže nastať, ak v dôsledku implementácie opatrenia využije inštitút otcovskej dovolenky viac mužov, ako je tomu dnes. Predkladateľka zároveň predpokladá isté negatívne vplyvy na výkon práce zamestnancov Sociálnej poisťovne spôsobené zvýšenou administratívou súvisiacou s delením materskej resp. otcovskej dovolenky na viac častí. Z toho istého dôvodu je potrebné pripraviť sa a prispôsobiť sa zmenám v peňažnom toku finančných prostriedkov Sociálnej poisťovne.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A.4. Alternatívne riešenia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ind w:left="567" w:hanging="567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Bezpredmetné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3A3D4D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 w:val="1"/>
    <w:rsid w:val="003A3D4D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3A3D4D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3A3D4D"/>
    <w:pPr>
      <w:ind w:left="720"/>
      <w:contextualSpacing w:val="1"/>
    </w:pPr>
    <w:rPr>
      <w:szCs w:val="21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Ud4aAOF33rwlGJz7UlioHhns+A==">CgMxLjA4AHIhMVBMU3RuM05UaEpMano1RmhRY194Tkt1RjlKdUtWbDJh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2021-08-31T11:57:00Z</dcterms:created>
  <dc:creator>Petrík, Simona (asistent)</dc:creator>
</cp:coreProperties>
</file>