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wxgwmys5gxm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NÁRODNÁ  RADA  SLOVENSKEJ  REPUBLIKY</w:t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</w:rPr>
      </w:pPr>
      <w:bookmarkStart w:colFirst="0" w:colLast="0" w:name="_in9kqtapa06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IX. 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/>
      </w:pPr>
      <w:bookmarkStart w:colFirst="0" w:colLast="0" w:name="_ejq9mlha5vj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ÚSTAVNÝ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ZÁKON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ústavný zákon č. 357/2004 Z. z. o ochrane verejného záujmu pri výkone funkcií verejných funkcionárov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Národná rada Slovenskej republiky sa uzniesla na tomto ústavnom zákone: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850.3937007874013"/>
        <w:jc w:val="both"/>
        <w:rPr/>
      </w:pPr>
      <w:r w:rsidDel="00000000" w:rsidR="00000000" w:rsidRPr="00000000">
        <w:rPr>
          <w:rtl w:val="0"/>
        </w:rPr>
        <w:t xml:space="preserve">Ústavný zákon</w:t>
      </w:r>
      <w:r w:rsidDel="00000000" w:rsidR="00000000" w:rsidRPr="00000000">
        <w:rPr>
          <w:rtl w:val="0"/>
        </w:rPr>
        <w:t xml:space="preserve"> č. 357/2004 Z. z. o ochrane verejného záujmu pri výkone funkcií verejných funkcionárov v znení ústavného zákona č. 545/2005 Z. z., ústavného zákona č. 66/2019 Z. z., ústavného zákona č. 232/2019 Z. z. a ústavného zákona č. </w:t>
      </w:r>
      <w:r w:rsidDel="00000000" w:rsidR="00000000" w:rsidRPr="00000000">
        <w:rPr>
          <w:rtl w:val="0"/>
        </w:rPr>
        <w:t xml:space="preserve">469/201</w:t>
      </w:r>
      <w:r w:rsidDel="00000000" w:rsidR="00000000" w:rsidRPr="00000000">
        <w:rPr>
          <w:rtl w:val="0"/>
        </w:rPr>
        <w:t xml:space="preserve">9 </w:t>
      </w:r>
      <w:r w:rsidDel="00000000" w:rsidR="00000000" w:rsidRPr="00000000">
        <w:rPr>
          <w:rtl w:val="0"/>
        </w:rPr>
        <w:t xml:space="preserve">Z. z. sa mení a dopĺňa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08.6614173228347" w:right="0" w:hanging="708.6614173228347"/>
        <w:jc w:val="both"/>
        <w:rPr/>
      </w:pPr>
      <w:r w:rsidDel="00000000" w:rsidR="00000000" w:rsidRPr="00000000">
        <w:rPr>
          <w:rtl w:val="0"/>
        </w:rPr>
        <w:t xml:space="preserve">V čl. 5 sa za odsek 3 vkladá nový odsek 4, ktorý znie: </w:t>
      </w:r>
    </w:p>
    <w:p w:rsidR="00000000" w:rsidDel="00000000" w:rsidP="00000000" w:rsidRDefault="00000000" w:rsidRPr="00000000" w14:paraId="00000016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„(4) Ak tento zákon v odseku 8 a 9 neustanovuje inak, verejný funkcionár nesmie byť a) prevádzkovateľom rozhlasového alebo televízneho vysielania, </w:t>
      </w:r>
    </w:p>
    <w:p w:rsidR="00000000" w:rsidDel="00000000" w:rsidP="00000000" w:rsidRDefault="00000000" w:rsidRPr="00000000" w14:paraId="00000017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rtl w:val="0"/>
        </w:rPr>
        <w:t xml:space="preserve">vydavateľom periodickej tlače, okrem vedeckej tlače a odbornej tlače,</w:t>
      </w:r>
    </w:p>
    <w:p w:rsidR="00000000" w:rsidDel="00000000" w:rsidP="00000000" w:rsidRDefault="00000000" w:rsidRPr="00000000" w14:paraId="00000018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c) vydavateľom elektronickej periodickej publikácie</w:t>
      </w:r>
      <w:r w:rsidDel="00000000" w:rsidR="00000000" w:rsidRPr="00000000">
        <w:rPr>
          <w:rtl w:val="0"/>
        </w:rPr>
        <w:t xml:space="preserve">, okrem vedeckej elektronickej periodickej publikácie a odbornej elektronickej periodickej publikácie,</w:t>
      </w:r>
    </w:p>
    <w:p w:rsidR="00000000" w:rsidDel="00000000" w:rsidP="00000000" w:rsidRDefault="00000000" w:rsidRPr="00000000" w14:paraId="00000019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rtl w:val="0"/>
        </w:rPr>
        <w:t xml:space="preserve">prevádzkovateľom spravodajského webového portálu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A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e) poskytovateľom audiovizuálnej mediálnej služby na požiadanie,</w:t>
      </w:r>
    </w:p>
    <w:p w:rsidR="00000000" w:rsidDel="00000000" w:rsidP="00000000" w:rsidRDefault="00000000" w:rsidRPr="00000000" w14:paraId="0000001B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f) štatutárnym orgánom alebo členom štatutárneho orgánu, členom riadiaceho, kontrolného alebo dozorného orgánu </w:t>
      </w:r>
    </w:p>
    <w:p w:rsidR="00000000" w:rsidDel="00000000" w:rsidP="00000000" w:rsidRDefault="00000000" w:rsidRPr="00000000" w14:paraId="0000001C">
      <w:pPr>
        <w:ind w:left="992.1259842519685" w:right="0" w:firstLine="0"/>
        <w:jc w:val="both"/>
        <w:rPr/>
      </w:pPr>
      <w:r w:rsidDel="00000000" w:rsidR="00000000" w:rsidRPr="00000000">
        <w:rPr>
          <w:rtl w:val="0"/>
        </w:rPr>
        <w:t xml:space="preserve">1.  právnickej osoby, </w:t>
      </w:r>
      <w:r w:rsidDel="00000000" w:rsidR="00000000" w:rsidRPr="00000000">
        <w:rPr>
          <w:rtl w:val="0"/>
        </w:rPr>
        <w:t xml:space="preserve">ktorá je tlačovou agentúrou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  <w:t xml:space="preserve"> to neplatí pre tlačovú agentúru zriadenú zákonom,</w:t>
      </w:r>
    </w:p>
    <w:p w:rsidR="00000000" w:rsidDel="00000000" w:rsidP="00000000" w:rsidRDefault="00000000" w:rsidRPr="00000000" w14:paraId="0000001D">
      <w:pPr>
        <w:ind w:left="992.1259842519685" w:right="0" w:firstLine="0"/>
        <w:jc w:val="both"/>
        <w:rPr/>
      </w:pPr>
      <w:r w:rsidDel="00000000" w:rsidR="00000000" w:rsidRPr="00000000">
        <w:rPr>
          <w:rtl w:val="0"/>
        </w:rPr>
        <w:t xml:space="preserve">2.  právnickej osoby, ktorá vykonáva činnosti podľa písmena a), b), c), d) alebo 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g) konečným užívateľom výhod právnickej osoby alebo fyzickej osoby, ktorá vykonáva činnosť podľa písmena a), b), c), d) alebo e), zapísaným v registri partnerov verejného sektora,</w:t>
      </w:r>
    </w:p>
    <w:p w:rsidR="00000000" w:rsidDel="00000000" w:rsidP="00000000" w:rsidRDefault="00000000" w:rsidRPr="00000000" w14:paraId="0000001F">
      <w:pPr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h) konečným užívateľom výhod právnickej osoby, ktorá je tlačovou agentúrou, zapísaným v registri partnerov verejného sektora.</w:t>
      </w:r>
      <w:r w:rsidDel="00000000" w:rsidR="00000000" w:rsidRPr="00000000">
        <w:rPr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Doterajšie odseky 4 až 8 sa označujú ako odseky 5 až 9.</w:t>
      </w:r>
    </w:p>
    <w:p w:rsidR="00000000" w:rsidDel="00000000" w:rsidP="00000000" w:rsidRDefault="00000000" w:rsidRPr="00000000" w14:paraId="0000002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08.6614173228347" w:hanging="708.6614173228347"/>
        <w:jc w:val="both"/>
        <w:rPr/>
      </w:pPr>
      <w:r w:rsidDel="00000000" w:rsidR="00000000" w:rsidRPr="00000000">
        <w:rPr>
          <w:rtl w:val="0"/>
        </w:rPr>
        <w:t xml:space="preserve">V čl. 5 ods. 6 sa slová „odseku 4“ nahrádzajú slovami „odseku 5“.</w:t>
      </w:r>
    </w:p>
    <w:p w:rsidR="00000000" w:rsidDel="00000000" w:rsidP="00000000" w:rsidRDefault="00000000" w:rsidRPr="00000000" w14:paraId="0000002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08.6614173228347" w:hanging="708.6614173228347"/>
        <w:jc w:val="both"/>
        <w:rPr/>
      </w:pPr>
      <w:r w:rsidDel="00000000" w:rsidR="00000000" w:rsidRPr="00000000">
        <w:rPr>
          <w:rtl w:val="0"/>
        </w:rPr>
        <w:t xml:space="preserve">V čl. 5 sa za odsek 7 vkladajú nové odseky 8 a 9, ktoré znejú:</w:t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(8)</w:t>
      </w:r>
      <w:r w:rsidDel="00000000" w:rsidR="00000000" w:rsidRPr="00000000">
        <w:rPr>
          <w:rtl w:val="0"/>
        </w:rPr>
        <w:t xml:space="preserve"> Zákaz podľa odseku 4 sa neuplatní, ak je vydavateľom periodickej tlače, vydavateľom eletronickej preriodickej publikácie, prevádzkovateľom spravodajského webového portálu alebo poskytovate</w:t>
      </w:r>
      <w:r w:rsidDel="00000000" w:rsidR="00000000" w:rsidRPr="00000000">
        <w:rPr>
          <w:rtl w:val="0"/>
        </w:rPr>
        <w:t xml:space="preserve">ľom audiovizuálnej mediálnej služby na požiadanie </w:t>
      </w:r>
      <w:r w:rsidDel="00000000" w:rsidR="00000000" w:rsidRPr="00000000">
        <w:rPr>
          <w:rtl w:val="0"/>
        </w:rPr>
        <w:t xml:space="preserve">politická strana, politické hnutie alebo </w:t>
      </w:r>
      <w:r w:rsidDel="00000000" w:rsidR="00000000" w:rsidRPr="00000000">
        <w:rPr>
          <w:rtl w:val="0"/>
        </w:rPr>
        <w:t xml:space="preserve">politický inštitút, právnická osoba nimi ovládaná, alebo právnická osoba ovládaná vyšším územným celkom alebo obcou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850.3937007874017" w:hanging="850.393700787401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(9) Ustanovenia podľa odseku 4 sa nevzťahujú na verejného funkcionára podľa čl. </w:t>
      </w:r>
      <w:r w:rsidDel="00000000" w:rsidR="00000000" w:rsidRPr="00000000">
        <w:rPr>
          <w:rtl w:val="0"/>
        </w:rPr>
        <w:t xml:space="preserve">2 ods. 1 písm. n), </w:t>
      </w:r>
      <w:r w:rsidDel="00000000" w:rsidR="00000000" w:rsidRPr="00000000">
        <w:rPr>
          <w:rtl w:val="0"/>
        </w:rPr>
        <w:t xml:space="preserve">q, s, t)</w:t>
      </w:r>
      <w:r w:rsidDel="00000000" w:rsidR="00000000" w:rsidRPr="00000000">
        <w:rPr>
          <w:rtl w:val="0"/>
        </w:rPr>
        <w:t xml:space="preserve">, zb) a zn)</w:t>
      </w:r>
      <w:r w:rsidDel="00000000" w:rsidR="00000000" w:rsidRPr="00000000">
        <w:rPr>
          <w:rtl w:val="0"/>
        </w:rPr>
        <w:t xml:space="preserve">. Zákaz pod</w:t>
      </w:r>
      <w:r w:rsidDel="00000000" w:rsidR="00000000" w:rsidRPr="00000000">
        <w:rPr>
          <w:rtl w:val="0"/>
        </w:rPr>
        <w:t xml:space="preserve">ľa odseku 4 sa nevzťahuje na komunitné periodikum, ak jeho verejné rozširovanie alebo sprístupňovanie verejnosti nemá primárne hospodársku povahu a účelom jeho verejného rozširovania alebo sprístupňovania verejnosti nie je priamo alebo nepriamo dosahovať zisk.</w:t>
      </w:r>
      <w:r w:rsidDel="00000000" w:rsidR="00000000" w:rsidRPr="00000000">
        <w:rPr>
          <w:rtl w:val="0"/>
        </w:rPr>
        <w:t xml:space="preserve">“.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9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Doterajšie odseky 8 a 9 sa označujú ako odseky 10 a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850.3937007874017" w:hanging="850.393700787401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08.6614173228347" w:hanging="708.6614173228347"/>
        <w:jc w:val="both"/>
        <w:rPr/>
      </w:pPr>
      <w:r w:rsidDel="00000000" w:rsidR="00000000" w:rsidRPr="00000000">
        <w:rPr>
          <w:rtl w:val="0"/>
        </w:rPr>
        <w:t xml:space="preserve">V čl. 9 ods. 10 písm. d) sa za slová „podľa </w:t>
      </w:r>
      <w:r w:rsidDel="00000000" w:rsidR="00000000" w:rsidRPr="00000000">
        <w:rPr>
          <w:rtl w:val="0"/>
        </w:rPr>
        <w:t xml:space="preserve">čl. 5</w:t>
      </w:r>
      <w:r w:rsidDel="00000000" w:rsidR="00000000" w:rsidRPr="00000000">
        <w:rPr>
          <w:rtl w:val="0"/>
        </w:rPr>
        <w:t xml:space="preserve">“ vkladajú slová </w:t>
      </w:r>
      <w:r w:rsidDel="00000000" w:rsidR="00000000" w:rsidRPr="00000000">
        <w:rPr>
          <w:rtl w:val="0"/>
        </w:rPr>
        <w:t xml:space="preserve">„ods. 1 až 3, ods. 4 písm. a) až e) a ods. 6 a 10,“</w:t>
      </w:r>
      <w:r w:rsidDel="00000000" w:rsidR="00000000" w:rsidRPr="00000000">
        <w:rPr>
          <w:rtl w:val="0"/>
        </w:rPr>
        <w:t xml:space="preserve"> a vypúšťa sa slovo „alebo“.</w:t>
      </w:r>
    </w:p>
    <w:p w:rsidR="00000000" w:rsidDel="00000000" w:rsidP="00000000" w:rsidRDefault="00000000" w:rsidRPr="00000000" w14:paraId="0000002C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08.6614173228347" w:hanging="708.6614173228347"/>
        <w:jc w:val="both"/>
        <w:rPr/>
      </w:pPr>
      <w:r w:rsidDel="00000000" w:rsidR="00000000" w:rsidRPr="00000000">
        <w:rPr>
          <w:rtl w:val="0"/>
        </w:rPr>
        <w:t xml:space="preserve">V čl. 9 ods. 10 sa za písmeno d) vkladá nové písmeno e), ktoré znie: </w:t>
      </w:r>
    </w:p>
    <w:p w:rsidR="00000000" w:rsidDel="00000000" w:rsidP="00000000" w:rsidRDefault="00000000" w:rsidRPr="00000000" w14:paraId="0000002E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„e) </w:t>
      </w:r>
      <w:r w:rsidDel="00000000" w:rsidR="00000000" w:rsidRPr="00000000">
        <w:rPr>
          <w:rtl w:val="0"/>
        </w:rPr>
        <w:t xml:space="preserve">vo výške od 1 % </w:t>
      </w:r>
      <w:r w:rsidDel="00000000" w:rsidR="00000000" w:rsidRPr="00000000">
        <w:rPr>
          <w:rtl w:val="0"/>
        </w:rPr>
        <w:t xml:space="preserve">do 3 %</w:t>
      </w:r>
      <w:r w:rsidDel="00000000" w:rsidR="00000000" w:rsidRPr="00000000">
        <w:rPr>
          <w:rtl w:val="0"/>
        </w:rPr>
        <w:t xml:space="preserve"> hodnoty aktív</w:t>
      </w:r>
      <w:r w:rsidDel="00000000" w:rsidR="00000000" w:rsidRPr="00000000">
        <w:rPr>
          <w:rtl w:val="0"/>
        </w:rPr>
        <w:t xml:space="preserve"> právnickej osoby, ktorej </w:t>
      </w:r>
      <w:r w:rsidDel="00000000" w:rsidR="00000000" w:rsidRPr="00000000">
        <w:rPr>
          <w:rtl w:val="0"/>
        </w:rPr>
        <w:t xml:space="preserve">štatutárnym orgánom alebo členom štatutárneho orgánu, členom riadiaceho, kontrolného alebo dozorného orgánu, alebo ktorej konečným užívateľom výhod je verejný funkcionár, a tým</w:t>
      </w:r>
      <w:r w:rsidDel="00000000" w:rsidR="00000000" w:rsidRPr="00000000">
        <w:rPr>
          <w:rtl w:val="0"/>
        </w:rPr>
        <w:t xml:space="preserve"> poruší povinnosť podľa čl. 5 ods. 4 písm. f),g, alebo h), alebo</w:t>
      </w:r>
      <w:r w:rsidDel="00000000" w:rsidR="00000000" w:rsidRPr="00000000">
        <w:rPr>
          <w:rtl w:val="0"/>
        </w:rPr>
        <w:t xml:space="preserve">“.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ab/>
        <w:t xml:space="preserve">Doterajšie písmeno e) sa označuje ako písmeno f).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08.6614173228347" w:hanging="708.6614173228347"/>
        <w:jc w:val="both"/>
        <w:rPr/>
      </w:pPr>
      <w:r w:rsidDel="00000000" w:rsidR="00000000" w:rsidRPr="00000000">
        <w:rPr>
          <w:rtl w:val="0"/>
        </w:rPr>
        <w:t xml:space="preserve">V čl. 9 ods. 12 sa slová „odseku 10 písm. a) až e)“ nahrádzajú slovami „odseku 10 písm. a) až f)“.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08.6614173228347"/>
        <w:jc w:val="left"/>
        <w:rPr/>
      </w:pPr>
      <w:r w:rsidDel="00000000" w:rsidR="00000000" w:rsidRPr="00000000">
        <w:rPr>
          <w:rtl w:val="0"/>
        </w:rPr>
        <w:t xml:space="preserve">Tento ústavný zákon nadobúda účinnosť </w:t>
      </w:r>
      <w:r w:rsidDel="00000000" w:rsidR="00000000" w:rsidRPr="00000000">
        <w:rPr>
          <w:rtl w:val="0"/>
        </w:rPr>
        <w:t xml:space="preserve">1. marca 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Title"/>
      <w:rPr>
        <w:b w:val="1"/>
      </w:rPr>
    </w:pPr>
    <w:bookmarkStart w:colFirst="0" w:colLast="0" w:name="_t1dya29r2dsl" w:id="3"/>
    <w:bookmarkEnd w:id="3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144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Trebuchet MS" w:cs="Trebuchet MS" w:eastAsia="Trebuchet MS" w:hAnsi="Trebuchet M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