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514F8049"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466462">
        <w:rPr>
          <w:rFonts w:ascii="Times New Roman" w:eastAsia="Calibri" w:hAnsi="Times New Roman" w:cs="Times New Roman"/>
          <w:b/>
          <w:sz w:val="24"/>
          <w:szCs w:val="24"/>
        </w:rPr>
        <w:t xml:space="preserve"> </w:t>
      </w:r>
      <w:r w:rsidR="00466462" w:rsidRPr="00466462">
        <w:rPr>
          <w:rFonts w:ascii="Times New Roman" w:hAnsi="Times New Roman" w:cs="Times New Roman"/>
          <w:bCs/>
          <w:sz w:val="24"/>
          <w:szCs w:val="24"/>
        </w:rPr>
        <w:t xml:space="preserve">Návrh zákona, ktorým sa mení a dopĺňa zákon č. 327/2005 Z. z. </w:t>
      </w:r>
      <w:r w:rsidR="00466462">
        <w:rPr>
          <w:rFonts w:ascii="Times New Roman" w:hAnsi="Times New Roman" w:cs="Times New Roman"/>
          <w:bCs/>
          <w:sz w:val="24"/>
          <w:szCs w:val="24"/>
        </w:rPr>
        <w:br/>
      </w:r>
      <w:r w:rsidR="00466462" w:rsidRPr="00466462">
        <w:rPr>
          <w:rFonts w:ascii="Times New Roman" w:hAnsi="Times New Roman" w:cs="Times New Roman"/>
          <w:bCs/>
          <w:sz w:val="24"/>
          <w:szCs w:val="24"/>
        </w:rPr>
        <w:t xml:space="preserve">o poskytovaní právnej pomoci osobám v materiálnej núdzi a o zmene a doplnení zákona </w:t>
      </w:r>
      <w:r w:rsidR="00466462">
        <w:rPr>
          <w:rFonts w:ascii="Times New Roman" w:hAnsi="Times New Roman" w:cs="Times New Roman"/>
          <w:bCs/>
          <w:sz w:val="24"/>
          <w:szCs w:val="24"/>
        </w:rPr>
        <w:br/>
      </w:r>
      <w:r w:rsidR="00466462" w:rsidRPr="00466462">
        <w:rPr>
          <w:rFonts w:ascii="Times New Roman" w:hAnsi="Times New Roman" w:cs="Times New Roman"/>
          <w:bCs/>
          <w:sz w:val="24"/>
          <w:szCs w:val="24"/>
        </w:rPr>
        <w:t xml:space="preserve">č. 586/2003 Z. z. o advokácii a o zmene a doplnení zákona č. 455/1991 Zb. o živnostenskom podnikaní (živnostenský zákon) v znení neskorších predpisov v znení zákona č. 8/2005 Z. z. </w:t>
      </w:r>
      <w:r w:rsidR="00466462">
        <w:rPr>
          <w:rFonts w:ascii="Times New Roman" w:hAnsi="Times New Roman" w:cs="Times New Roman"/>
          <w:bCs/>
          <w:sz w:val="24"/>
          <w:szCs w:val="24"/>
        </w:rPr>
        <w:br/>
      </w:r>
      <w:r w:rsidR="00466462" w:rsidRPr="00466462">
        <w:rPr>
          <w:rFonts w:ascii="Times New Roman" w:hAnsi="Times New Roman" w:cs="Times New Roman"/>
          <w:bCs/>
          <w:sz w:val="24"/>
          <w:szCs w:val="24"/>
        </w:rPr>
        <w:t>v znení neskorších predpisov a ktorým sa menia a dopĺňajú niektoré zákony</w:t>
      </w:r>
    </w:p>
    <w:p w14:paraId="69356759" w14:textId="18BB7A00" w:rsidR="000D11A6"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466462">
        <w:rPr>
          <w:rFonts w:ascii="Times New Roman" w:eastAsia="Calibri" w:hAnsi="Times New Roman" w:cs="Times New Roman"/>
          <w:b/>
          <w:sz w:val="24"/>
          <w:szCs w:val="24"/>
        </w:rPr>
        <w:t xml:space="preserve"> </w:t>
      </w:r>
      <w:r w:rsidR="00466462" w:rsidRPr="00466462">
        <w:rPr>
          <w:rFonts w:ascii="Times New Roman" w:eastAsia="Calibri" w:hAnsi="Times New Roman" w:cs="Times New Roman"/>
          <w:sz w:val="24"/>
          <w:szCs w:val="24"/>
        </w:rPr>
        <w:t>Ministerstvo spravodlivosti Slovenskej republiky</w:t>
      </w:r>
      <w:r w:rsidR="00466462">
        <w:rPr>
          <w:rFonts w:ascii="Times New Roman" w:eastAsia="Calibri" w:hAnsi="Times New Roman" w:cs="Times New Roman"/>
          <w:b/>
          <w:sz w:val="24"/>
          <w:szCs w:val="24"/>
        </w:rPr>
        <w:t xml:space="preserve"> </w:t>
      </w: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2D7309A5" w14:textId="216CF959" w:rsidR="00F131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8300" w:type="dxa"/>
        <w:tblCellMar>
          <w:left w:w="70" w:type="dxa"/>
          <w:right w:w="70" w:type="dxa"/>
        </w:tblCellMar>
        <w:tblLook w:val="04A0" w:firstRow="1" w:lastRow="0" w:firstColumn="1" w:lastColumn="0" w:noHBand="0" w:noVBand="1"/>
      </w:tblPr>
      <w:tblGrid>
        <w:gridCol w:w="4540"/>
        <w:gridCol w:w="1880"/>
        <w:gridCol w:w="1880"/>
      </w:tblGrid>
      <w:tr w:rsidR="00F1317C" w:rsidRPr="00F1317C" w14:paraId="60A5CE41" w14:textId="77777777" w:rsidTr="00F1317C">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DD953FF" w14:textId="77777777" w:rsidR="00F1317C" w:rsidRPr="00F1317C" w:rsidRDefault="00F1317C" w:rsidP="00F1317C">
            <w:pPr>
              <w:spacing w:after="0" w:line="240" w:lineRule="auto"/>
              <w:jc w:val="center"/>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5783454"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F7C5A6C"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Zníženie nákladov v € na PP</w:t>
            </w:r>
          </w:p>
        </w:tc>
      </w:tr>
      <w:tr w:rsidR="00F1317C" w:rsidRPr="00F1317C" w14:paraId="0DEA5CE1" w14:textId="77777777" w:rsidTr="00F1317C">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3E6788A"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proofErr w:type="spellStart"/>
            <w:r w:rsidRPr="00F1317C">
              <w:rPr>
                <w:rFonts w:ascii="Times New Roman" w:eastAsia="Times New Roman" w:hAnsi="Times New Roman" w:cs="Times New Roman"/>
                <w:b/>
                <w:bCs/>
                <w:i/>
                <w:iCs/>
                <w:color w:val="000000"/>
                <w:sz w:val="20"/>
                <w:szCs w:val="20"/>
                <w:lang w:eastAsia="sk-SK"/>
              </w:rPr>
              <w:t>A.Dane</w:t>
            </w:r>
            <w:proofErr w:type="spellEnd"/>
            <w:r w:rsidRPr="00F1317C">
              <w:rPr>
                <w:rFonts w:ascii="Times New Roman" w:eastAsia="Times New Roman" w:hAnsi="Times New Roman" w:cs="Times New Roman"/>
                <w:b/>
                <w:bCs/>
                <w:i/>
                <w:iCs/>
                <w:color w:val="000000"/>
                <w:sz w:val="20"/>
                <w:szCs w:val="20"/>
                <w:lang w:eastAsia="sk-SK"/>
              </w:rPr>
              <w:t xml:space="preserve">, odvody, clá a poplatky, ktorých cieľom je znižovať negatívne </w:t>
            </w:r>
            <w:proofErr w:type="spellStart"/>
            <w:r w:rsidRPr="00F1317C">
              <w:rPr>
                <w:rFonts w:ascii="Times New Roman" w:eastAsia="Times New Roman" w:hAnsi="Times New Roman" w:cs="Times New Roman"/>
                <w:b/>
                <w:bCs/>
                <w:i/>
                <w:iCs/>
                <w:color w:val="000000"/>
                <w:sz w:val="20"/>
                <w:szCs w:val="20"/>
                <w:lang w:eastAsia="sk-SK"/>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4BAB39AC"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02D058C6"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4921C8EB" w14:textId="77777777" w:rsidTr="00F1317C">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72F9D903"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76073E8C"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0EF787CF"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3EBA8DC4" w14:textId="77777777" w:rsidTr="00F1317C">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025CC78"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3521DD0E"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6F2A242C"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1038F25B" w14:textId="77777777" w:rsidTr="00F1317C">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5DD73B2"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6BAC1ED2"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527501B"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3DC880DB" w14:textId="77777777" w:rsidTr="00F1317C">
        <w:trPr>
          <w:trHeight w:val="300"/>
        </w:trPr>
        <w:tc>
          <w:tcPr>
            <w:tcW w:w="4540" w:type="dxa"/>
            <w:tcBorders>
              <w:top w:val="nil"/>
              <w:left w:val="single" w:sz="8" w:space="0" w:color="auto"/>
              <w:bottom w:val="nil"/>
              <w:right w:val="single" w:sz="4" w:space="0" w:color="auto"/>
            </w:tcBorders>
            <w:shd w:val="clear" w:color="auto" w:fill="auto"/>
            <w:vAlign w:val="center"/>
            <w:hideMark/>
          </w:tcPr>
          <w:p w14:paraId="73B638AA"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30A8C706"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55E7EEFF"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46 098</w:t>
            </w:r>
          </w:p>
        </w:tc>
      </w:tr>
      <w:tr w:rsidR="00F1317C" w:rsidRPr="00F1317C" w14:paraId="4A4615A0" w14:textId="77777777" w:rsidTr="00F1317C">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00431B1"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4BF32EDD"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4B59ACC6"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46 098</w:t>
            </w:r>
          </w:p>
        </w:tc>
      </w:tr>
      <w:tr w:rsidR="00F1317C" w:rsidRPr="00F1317C" w14:paraId="5DD6B40E" w14:textId="77777777" w:rsidTr="00F1317C">
        <w:trPr>
          <w:trHeight w:val="300"/>
        </w:trPr>
        <w:tc>
          <w:tcPr>
            <w:tcW w:w="4540" w:type="dxa"/>
            <w:tcBorders>
              <w:top w:val="nil"/>
              <w:left w:val="nil"/>
              <w:bottom w:val="nil"/>
              <w:right w:val="nil"/>
            </w:tcBorders>
            <w:shd w:val="clear" w:color="auto" w:fill="auto"/>
            <w:vAlign w:val="center"/>
            <w:hideMark/>
          </w:tcPr>
          <w:p w14:paraId="7DB871F7"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27F8FE94"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164B3255"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r>
      <w:tr w:rsidR="00F1317C" w:rsidRPr="00F1317C" w14:paraId="77037F8E" w14:textId="77777777" w:rsidTr="00F1317C">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0C65A60"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485CDD3"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3C35CCED"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Zníženie nákladov v € na PP</w:t>
            </w:r>
          </w:p>
        </w:tc>
      </w:tr>
      <w:tr w:rsidR="00F1317C" w:rsidRPr="00F1317C" w14:paraId="459FEE33" w14:textId="77777777" w:rsidTr="00F1317C">
        <w:trPr>
          <w:trHeight w:val="990"/>
        </w:trPr>
        <w:tc>
          <w:tcPr>
            <w:tcW w:w="4540" w:type="dxa"/>
            <w:tcBorders>
              <w:top w:val="nil"/>
              <w:left w:val="single" w:sz="8" w:space="0" w:color="auto"/>
              <w:bottom w:val="nil"/>
              <w:right w:val="single" w:sz="4" w:space="0" w:color="auto"/>
            </w:tcBorders>
            <w:shd w:val="clear" w:color="auto" w:fill="auto"/>
            <w:vAlign w:val="center"/>
            <w:hideMark/>
          </w:tcPr>
          <w:p w14:paraId="5C415429"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F. Úplná harmonizácia práva EÚ</w:t>
            </w:r>
            <w:r w:rsidRPr="00F1317C">
              <w:rPr>
                <w:rFonts w:ascii="Times New Roman" w:eastAsia="Times New Roman" w:hAnsi="Times New Roman" w:cs="Times New Roman"/>
                <w:b/>
                <w:bCs/>
                <w:i/>
                <w:iCs/>
                <w:color w:val="000000"/>
                <w:sz w:val="20"/>
                <w:szCs w:val="20"/>
                <w:lang w:eastAsia="sk-SK"/>
              </w:rPr>
              <w:br/>
            </w:r>
            <w:r w:rsidRPr="00F1317C">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F1317C">
              <w:rPr>
                <w:rFonts w:ascii="Times New Roman" w:eastAsia="Times New Roman" w:hAnsi="Times New Roman" w:cs="Times New Roman"/>
                <w:i/>
                <w:iCs/>
                <w:color w:val="000000"/>
                <w:sz w:val="16"/>
                <w:szCs w:val="16"/>
                <w:lang w:eastAsia="sk-SK"/>
              </w:rPr>
              <w:t>externality</w:t>
            </w:r>
            <w:proofErr w:type="spellEnd"/>
            <w:r w:rsidRPr="00F1317C">
              <w:rPr>
                <w:rFonts w:ascii="Times New Roman" w:eastAsia="Times New Roman" w:hAnsi="Times New Roman" w:cs="Times New Roman"/>
                <w:i/>
                <w:iCs/>
                <w:color w:val="000000"/>
                <w:sz w:val="16"/>
                <w:szCs w:val="16"/>
                <w:lang w:eastAsia="sk-SK"/>
              </w:rPr>
              <w:t>)</w:t>
            </w:r>
          </w:p>
        </w:tc>
        <w:tc>
          <w:tcPr>
            <w:tcW w:w="1880" w:type="dxa"/>
            <w:tcBorders>
              <w:top w:val="nil"/>
              <w:left w:val="nil"/>
              <w:bottom w:val="nil"/>
              <w:right w:val="single" w:sz="4" w:space="0" w:color="auto"/>
            </w:tcBorders>
            <w:shd w:val="clear" w:color="000000" w:fill="FFC000"/>
            <w:vAlign w:val="center"/>
            <w:hideMark/>
          </w:tcPr>
          <w:p w14:paraId="5146802F"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18B07C5E"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48D9075A" w14:textId="77777777" w:rsidTr="00F1317C">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3820261" w14:textId="77777777" w:rsidR="00F1317C" w:rsidRPr="00F1317C" w:rsidRDefault="00F1317C" w:rsidP="00F1317C">
            <w:pPr>
              <w:spacing w:after="0" w:line="240" w:lineRule="auto"/>
              <w:rPr>
                <w:rFonts w:ascii="Times New Roman" w:eastAsia="Times New Roman" w:hAnsi="Times New Roman" w:cs="Times New Roman"/>
                <w:b/>
                <w:bCs/>
                <w:i/>
                <w:iCs/>
                <w:color w:val="000000"/>
                <w:sz w:val="20"/>
                <w:szCs w:val="20"/>
                <w:lang w:eastAsia="sk-SK"/>
              </w:rPr>
            </w:pPr>
            <w:r w:rsidRPr="00F1317C">
              <w:rPr>
                <w:rFonts w:ascii="Times New Roman" w:eastAsia="Times New Roman" w:hAnsi="Times New Roman" w:cs="Times New Roman"/>
                <w:b/>
                <w:bCs/>
                <w:i/>
                <w:iCs/>
                <w:color w:val="000000"/>
                <w:sz w:val="20"/>
                <w:szCs w:val="20"/>
                <w:lang w:eastAsia="sk-SK"/>
              </w:rPr>
              <w:t xml:space="preserve">G. </w:t>
            </w:r>
            <w:proofErr w:type="spellStart"/>
            <w:r w:rsidRPr="00F1317C">
              <w:rPr>
                <w:rFonts w:ascii="Times New Roman" w:eastAsia="Times New Roman" w:hAnsi="Times New Roman" w:cs="Times New Roman"/>
                <w:b/>
                <w:bCs/>
                <w:i/>
                <w:iCs/>
                <w:color w:val="000000"/>
                <w:sz w:val="20"/>
                <w:szCs w:val="20"/>
                <w:lang w:eastAsia="sk-SK"/>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4DA213A3"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DD82A3B"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r>
      <w:tr w:rsidR="00F1317C" w:rsidRPr="00F1317C" w14:paraId="6F758BBC" w14:textId="77777777" w:rsidTr="00F1317C">
        <w:trPr>
          <w:trHeight w:val="270"/>
        </w:trPr>
        <w:tc>
          <w:tcPr>
            <w:tcW w:w="4540" w:type="dxa"/>
            <w:tcBorders>
              <w:top w:val="nil"/>
              <w:left w:val="nil"/>
              <w:bottom w:val="nil"/>
              <w:right w:val="nil"/>
            </w:tcBorders>
            <w:shd w:val="clear" w:color="auto" w:fill="auto"/>
            <w:noWrap/>
            <w:vAlign w:val="bottom"/>
            <w:hideMark/>
          </w:tcPr>
          <w:p w14:paraId="48FBF371"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04B71789"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7F0EA24E"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r>
      <w:tr w:rsidR="00F1317C" w:rsidRPr="00F1317C" w14:paraId="4BE81F5C" w14:textId="77777777" w:rsidTr="00F1317C">
        <w:trPr>
          <w:trHeight w:val="270"/>
        </w:trPr>
        <w:tc>
          <w:tcPr>
            <w:tcW w:w="4540" w:type="dxa"/>
            <w:tcBorders>
              <w:top w:val="nil"/>
              <w:left w:val="nil"/>
              <w:bottom w:val="nil"/>
              <w:right w:val="nil"/>
            </w:tcBorders>
            <w:shd w:val="clear" w:color="auto" w:fill="auto"/>
            <w:noWrap/>
            <w:vAlign w:val="bottom"/>
            <w:hideMark/>
          </w:tcPr>
          <w:p w14:paraId="0B7E9FD0"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13C5B36D"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22810D4E" w14:textId="77777777" w:rsidR="00F1317C" w:rsidRPr="00F1317C" w:rsidRDefault="00F1317C" w:rsidP="00F1317C">
            <w:pPr>
              <w:spacing w:after="0" w:line="240" w:lineRule="auto"/>
              <w:rPr>
                <w:rFonts w:ascii="Times New Roman" w:eastAsia="Times New Roman" w:hAnsi="Times New Roman" w:cs="Times New Roman"/>
                <w:sz w:val="20"/>
                <w:szCs w:val="20"/>
                <w:lang w:eastAsia="sk-SK"/>
              </w:rPr>
            </w:pPr>
          </w:p>
        </w:tc>
      </w:tr>
      <w:tr w:rsidR="00F1317C" w:rsidRPr="00F1317C" w14:paraId="5FC81F0E" w14:textId="77777777" w:rsidTr="00F1317C">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307E4D7" w14:textId="77777777" w:rsidR="00F1317C" w:rsidRPr="00F1317C" w:rsidRDefault="00F1317C" w:rsidP="00F1317C">
            <w:pPr>
              <w:spacing w:after="0" w:line="240" w:lineRule="auto"/>
              <w:rPr>
                <w:rFonts w:ascii="Times New Roman" w:eastAsia="Times New Roman" w:hAnsi="Times New Roman" w:cs="Times New Roman"/>
                <w:i/>
                <w:iCs/>
                <w:color w:val="000000"/>
                <w:sz w:val="20"/>
                <w:szCs w:val="20"/>
                <w:lang w:eastAsia="sk-SK"/>
              </w:rPr>
            </w:pPr>
            <w:r w:rsidRPr="00F1317C">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00E2CC79"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17CAF28F"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OUT</w:t>
            </w:r>
          </w:p>
        </w:tc>
      </w:tr>
      <w:tr w:rsidR="00F1317C" w:rsidRPr="00F1317C" w14:paraId="7719CA8A" w14:textId="77777777" w:rsidTr="00F1317C">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1B5C4FE4" w14:textId="77777777" w:rsidR="00F1317C" w:rsidRPr="00F1317C" w:rsidRDefault="00F1317C" w:rsidP="00F1317C">
            <w:pPr>
              <w:spacing w:after="0" w:line="240" w:lineRule="auto"/>
              <w:rPr>
                <w:rFonts w:ascii="Times New Roman" w:eastAsia="Times New Roman" w:hAnsi="Times New Roman" w:cs="Times New Roman"/>
                <w:i/>
                <w:iCs/>
                <w:color w:val="000000"/>
                <w:sz w:val="20"/>
                <w:szCs w:val="20"/>
                <w:lang w:eastAsia="sk-SK"/>
              </w:rPr>
            </w:pPr>
            <w:r w:rsidRPr="00F1317C">
              <w:rPr>
                <w:rFonts w:ascii="Times New Roman" w:eastAsia="Times New Roman" w:hAnsi="Times New Roman" w:cs="Times New Roman"/>
                <w:i/>
                <w:iCs/>
                <w:color w:val="000000"/>
                <w:sz w:val="20"/>
                <w:szCs w:val="20"/>
                <w:lang w:eastAsia="sk-SK"/>
              </w:rPr>
              <w:t>H</w:t>
            </w:r>
            <w:r w:rsidRPr="00F1317C">
              <w:rPr>
                <w:rFonts w:ascii="Times New Roman" w:eastAsia="Times New Roman" w:hAnsi="Times New Roman" w:cs="Times New Roman"/>
                <w:b/>
                <w:bCs/>
                <w:i/>
                <w:iCs/>
                <w:color w:val="000000"/>
                <w:sz w:val="20"/>
                <w:szCs w:val="20"/>
                <w:lang w:eastAsia="sk-SK"/>
              </w:rPr>
              <w:t>.</w:t>
            </w:r>
            <w:r w:rsidRPr="00F1317C">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3F7199EC"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8" w:space="0" w:color="auto"/>
              <w:right w:val="single" w:sz="8" w:space="0" w:color="auto"/>
            </w:tcBorders>
            <w:shd w:val="clear" w:color="000000" w:fill="92D050"/>
            <w:vAlign w:val="center"/>
            <w:hideMark/>
          </w:tcPr>
          <w:p w14:paraId="042AC024" w14:textId="77777777" w:rsidR="00F1317C" w:rsidRPr="00F1317C" w:rsidRDefault="00F1317C" w:rsidP="00F1317C">
            <w:pPr>
              <w:spacing w:after="0" w:line="240" w:lineRule="auto"/>
              <w:jc w:val="center"/>
              <w:rPr>
                <w:rFonts w:ascii="Times New Roman" w:eastAsia="Times New Roman" w:hAnsi="Times New Roman" w:cs="Times New Roman"/>
                <w:b/>
                <w:bCs/>
                <w:color w:val="000000"/>
                <w:sz w:val="20"/>
                <w:szCs w:val="20"/>
                <w:lang w:eastAsia="sk-SK"/>
              </w:rPr>
            </w:pPr>
            <w:r w:rsidRPr="00F1317C">
              <w:rPr>
                <w:rFonts w:ascii="Times New Roman" w:eastAsia="Times New Roman" w:hAnsi="Times New Roman" w:cs="Times New Roman"/>
                <w:b/>
                <w:bCs/>
                <w:color w:val="000000"/>
                <w:sz w:val="20"/>
                <w:szCs w:val="20"/>
                <w:lang w:eastAsia="sk-SK"/>
              </w:rPr>
              <w:t>46 098</w:t>
            </w:r>
          </w:p>
        </w:tc>
      </w:tr>
    </w:tbl>
    <w:p w14:paraId="362CFF8E" w14:textId="77777777" w:rsidR="00F1317C" w:rsidRPr="00D8247C" w:rsidRDefault="00F1317C" w:rsidP="00054C41">
      <w:pPr>
        <w:jc w:val="both"/>
        <w:rPr>
          <w:rFonts w:ascii="Times New Roman" w:eastAsia="Calibri" w:hAnsi="Times New Roman" w:cs="Times New Roman"/>
          <w:i/>
          <w:sz w:val="24"/>
          <w:szCs w:val="24"/>
        </w:rPr>
      </w:pPr>
    </w:p>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159" w:type="dxa"/>
        <w:tblInd w:w="-556" w:type="dxa"/>
        <w:tblLayout w:type="fixed"/>
        <w:tblCellMar>
          <w:left w:w="70" w:type="dxa"/>
          <w:right w:w="70" w:type="dxa"/>
        </w:tblCellMar>
        <w:tblLook w:val="04A0" w:firstRow="1" w:lastRow="0" w:firstColumn="1" w:lastColumn="0" w:noHBand="0" w:noVBand="1"/>
      </w:tblPr>
      <w:tblGrid>
        <w:gridCol w:w="693"/>
        <w:gridCol w:w="1493"/>
        <w:gridCol w:w="992"/>
        <w:gridCol w:w="1134"/>
        <w:gridCol w:w="1843"/>
        <w:gridCol w:w="992"/>
        <w:gridCol w:w="1160"/>
        <w:gridCol w:w="1108"/>
        <w:gridCol w:w="851"/>
        <w:gridCol w:w="843"/>
        <w:gridCol w:w="1000"/>
        <w:gridCol w:w="708"/>
        <w:gridCol w:w="1342"/>
      </w:tblGrid>
      <w:tr w:rsidR="00DE6ACB" w:rsidRPr="000A6B7F" w14:paraId="58E6573D" w14:textId="77777777" w:rsidTr="00F1317C">
        <w:trPr>
          <w:trHeight w:val="255"/>
        </w:trPr>
        <w:tc>
          <w:tcPr>
            <w:tcW w:w="6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4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3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F1317C" w:rsidRPr="00895898" w14:paraId="609FED73" w14:textId="77777777" w:rsidTr="00F13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693" w:type="dxa"/>
            <w:vAlign w:val="center"/>
          </w:tcPr>
          <w:p w14:paraId="17ADB0C1" w14:textId="4728ADF8" w:rsidR="00F1317C" w:rsidRPr="00895898" w:rsidRDefault="00F1317C" w:rsidP="00F1317C">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14:paraId="7D629DAC" w14:textId="06771E48" w:rsidR="00F1317C" w:rsidRPr="00895898" w:rsidRDefault="00F1317C" w:rsidP="00F1317C">
            <w:pPr>
              <w:spacing w:after="0" w:line="240" w:lineRule="auto"/>
              <w:rPr>
                <w:rFonts w:ascii="Times New Roman" w:eastAsia="Times New Roman" w:hAnsi="Times New Roman" w:cs="Times New Roman"/>
                <w:sz w:val="20"/>
                <w:szCs w:val="20"/>
                <w:lang w:eastAsia="sk-SK"/>
              </w:rPr>
            </w:pPr>
            <w:r>
              <w:rPr>
                <w:color w:val="000000"/>
                <w:sz w:val="20"/>
                <w:szCs w:val="20"/>
              </w:rPr>
              <w:t>uplatnenie odmeny za právne zastupovanie prostredníctvom IS CPP advokátom</w:t>
            </w:r>
          </w:p>
        </w:tc>
        <w:tc>
          <w:tcPr>
            <w:tcW w:w="992" w:type="dxa"/>
            <w:tcBorders>
              <w:top w:val="single" w:sz="4" w:space="0" w:color="auto"/>
              <w:left w:val="nil"/>
              <w:bottom w:val="single" w:sz="4" w:space="0" w:color="auto"/>
              <w:right w:val="single" w:sz="4" w:space="0" w:color="auto"/>
            </w:tcBorders>
            <w:shd w:val="clear" w:color="auto" w:fill="auto"/>
            <w:vAlign w:val="center"/>
          </w:tcPr>
          <w:p w14:paraId="4B47CD37" w14:textId="22D15745"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327/2005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988908" w14:textId="540DC4DC"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 24j ods. 10</w:t>
            </w:r>
          </w:p>
        </w:tc>
        <w:tc>
          <w:tcPr>
            <w:tcW w:w="1843" w:type="dxa"/>
            <w:tcBorders>
              <w:top w:val="single" w:sz="4" w:space="0" w:color="auto"/>
              <w:left w:val="nil"/>
              <w:bottom w:val="single" w:sz="4" w:space="0" w:color="auto"/>
              <w:right w:val="single" w:sz="4" w:space="0" w:color="auto"/>
            </w:tcBorders>
            <w:shd w:val="clear" w:color="auto" w:fill="auto"/>
            <w:vAlign w:val="center"/>
          </w:tcPr>
          <w:p w14:paraId="22CDA76A" w14:textId="4A180CBD" w:rsidR="00F1317C" w:rsidRPr="00895898" w:rsidRDefault="00F1317C" w:rsidP="00C937B6">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Pr>
                <w:color w:val="000000"/>
                <w:sz w:val="20"/>
                <w:szCs w:val="20"/>
              </w:rPr>
              <w:t>1.SK</w:t>
            </w:r>
          </w:p>
        </w:tc>
        <w:tc>
          <w:tcPr>
            <w:tcW w:w="992" w:type="dxa"/>
            <w:tcBorders>
              <w:top w:val="single" w:sz="4" w:space="0" w:color="auto"/>
              <w:left w:val="nil"/>
              <w:bottom w:val="single" w:sz="4" w:space="0" w:color="auto"/>
              <w:right w:val="single" w:sz="4" w:space="0" w:color="auto"/>
            </w:tcBorders>
            <w:shd w:val="clear" w:color="auto" w:fill="auto"/>
            <w:vAlign w:val="center"/>
          </w:tcPr>
          <w:p w14:paraId="469C4721" w14:textId="5BE7EC47"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01.0</w:t>
            </w:r>
            <w:r w:rsidR="00A4317D">
              <w:rPr>
                <w:color w:val="000000"/>
                <w:sz w:val="20"/>
                <w:szCs w:val="20"/>
              </w:rPr>
              <w:t>8</w:t>
            </w:r>
            <w:r>
              <w:rPr>
                <w:color w:val="000000"/>
                <w:sz w:val="20"/>
                <w:szCs w:val="20"/>
              </w:rPr>
              <w:t>.25</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74618A9C" w14:textId="7BF20411"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advokáti</w:t>
            </w:r>
          </w:p>
        </w:tc>
        <w:tc>
          <w:tcPr>
            <w:tcW w:w="1108" w:type="dxa"/>
            <w:tcBorders>
              <w:top w:val="single" w:sz="4" w:space="0" w:color="auto"/>
              <w:left w:val="nil"/>
              <w:bottom w:val="single" w:sz="4" w:space="0" w:color="auto"/>
              <w:right w:val="single" w:sz="4" w:space="0" w:color="auto"/>
            </w:tcBorders>
            <w:shd w:val="clear" w:color="auto" w:fill="auto"/>
            <w:vAlign w:val="center"/>
          </w:tcPr>
          <w:p w14:paraId="5D0F89C4" w14:textId="76DD6CAF"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537</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38251139" w14:textId="1063FA68"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85</w:t>
            </w: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1129C91" w14:textId="2906EBAF"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45 758</w:t>
            </w:r>
          </w:p>
        </w:tc>
        <w:tc>
          <w:tcPr>
            <w:tcW w:w="1000" w:type="dxa"/>
            <w:tcBorders>
              <w:top w:val="single" w:sz="4" w:space="0" w:color="auto"/>
              <w:left w:val="nil"/>
              <w:bottom w:val="single" w:sz="4" w:space="0" w:color="auto"/>
              <w:right w:val="single" w:sz="4" w:space="0" w:color="auto"/>
            </w:tcBorders>
            <w:shd w:val="clear" w:color="auto" w:fill="auto"/>
            <w:noWrap/>
            <w:vAlign w:val="center"/>
          </w:tcPr>
          <w:p w14:paraId="420D0685" w14:textId="7B836A8D"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proofErr w:type="spellStart"/>
            <w:r>
              <w:rPr>
                <w:color w:val="000000"/>
                <w:sz w:val="20"/>
                <w:szCs w:val="20"/>
              </w:rPr>
              <w:t>Out</w:t>
            </w:r>
            <w:proofErr w:type="spellEnd"/>
            <w:r>
              <w:rPr>
                <w:color w:val="000000"/>
                <w:sz w:val="20"/>
                <w:szCs w:val="20"/>
              </w:rPr>
              <w:t xml:space="preserve"> (znižuje náklady)</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8BFFDBA" w14:textId="3986891F"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sz w:val="20"/>
                <w:szCs w:val="20"/>
              </w:rPr>
              <w:t>45 758</w:t>
            </w:r>
          </w:p>
        </w:tc>
        <w:tc>
          <w:tcPr>
            <w:tcW w:w="1342" w:type="dxa"/>
            <w:tcBorders>
              <w:top w:val="single" w:sz="4" w:space="0" w:color="auto"/>
              <w:left w:val="nil"/>
              <w:bottom w:val="single" w:sz="4" w:space="0" w:color="auto"/>
              <w:right w:val="single" w:sz="4" w:space="0" w:color="auto"/>
            </w:tcBorders>
            <w:shd w:val="clear" w:color="auto" w:fill="auto"/>
            <w:vAlign w:val="center"/>
          </w:tcPr>
          <w:p w14:paraId="48758C9B" w14:textId="3F2A8425"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0</w:t>
            </w:r>
          </w:p>
        </w:tc>
      </w:tr>
      <w:tr w:rsidR="00F1317C" w:rsidRPr="00895898" w14:paraId="022095BC" w14:textId="77777777" w:rsidTr="00F13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693" w:type="dxa"/>
            <w:vAlign w:val="center"/>
          </w:tcPr>
          <w:p w14:paraId="72653821" w14:textId="3AB857C0" w:rsidR="00F1317C" w:rsidRPr="00895898" w:rsidRDefault="00F1317C" w:rsidP="00F1317C">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p>
        </w:tc>
        <w:tc>
          <w:tcPr>
            <w:tcW w:w="1493" w:type="dxa"/>
            <w:tcBorders>
              <w:top w:val="nil"/>
              <w:left w:val="single" w:sz="4" w:space="0" w:color="auto"/>
              <w:bottom w:val="single" w:sz="4" w:space="0" w:color="auto"/>
              <w:right w:val="single" w:sz="4" w:space="0" w:color="auto"/>
            </w:tcBorders>
            <w:shd w:val="clear" w:color="auto" w:fill="auto"/>
            <w:vAlign w:val="center"/>
          </w:tcPr>
          <w:p w14:paraId="302744A6" w14:textId="3C2A7924" w:rsidR="00F1317C" w:rsidRPr="00895898" w:rsidRDefault="00F1317C" w:rsidP="00F1317C">
            <w:pPr>
              <w:spacing w:after="0" w:line="240" w:lineRule="auto"/>
              <w:rPr>
                <w:rFonts w:ascii="Times New Roman" w:eastAsia="Times New Roman" w:hAnsi="Times New Roman" w:cs="Times New Roman"/>
                <w:sz w:val="20"/>
                <w:szCs w:val="20"/>
                <w:lang w:eastAsia="sk-SK"/>
              </w:rPr>
            </w:pPr>
            <w:r>
              <w:rPr>
                <w:color w:val="000000"/>
                <w:sz w:val="20"/>
                <w:szCs w:val="20"/>
              </w:rPr>
              <w:t xml:space="preserve">uplatnenie odmeny za výkon mediácie prostredníctvom IS CPP </w:t>
            </w:r>
            <w:proofErr w:type="spellStart"/>
            <w:r>
              <w:rPr>
                <w:color w:val="000000"/>
                <w:sz w:val="20"/>
                <w:szCs w:val="20"/>
              </w:rPr>
              <w:t>mediátorom</w:t>
            </w:r>
            <w:proofErr w:type="spellEnd"/>
          </w:p>
        </w:tc>
        <w:tc>
          <w:tcPr>
            <w:tcW w:w="992" w:type="dxa"/>
            <w:tcBorders>
              <w:top w:val="nil"/>
              <w:left w:val="nil"/>
              <w:bottom w:val="single" w:sz="4" w:space="0" w:color="auto"/>
              <w:right w:val="single" w:sz="4" w:space="0" w:color="auto"/>
            </w:tcBorders>
            <w:shd w:val="clear" w:color="auto" w:fill="auto"/>
            <w:vAlign w:val="center"/>
          </w:tcPr>
          <w:p w14:paraId="6D81551D" w14:textId="44761BDD"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327/2005</w:t>
            </w:r>
          </w:p>
        </w:tc>
        <w:tc>
          <w:tcPr>
            <w:tcW w:w="1134" w:type="dxa"/>
            <w:tcBorders>
              <w:top w:val="nil"/>
              <w:left w:val="nil"/>
              <w:bottom w:val="single" w:sz="4" w:space="0" w:color="auto"/>
              <w:right w:val="single" w:sz="4" w:space="0" w:color="auto"/>
            </w:tcBorders>
            <w:shd w:val="clear" w:color="auto" w:fill="auto"/>
            <w:vAlign w:val="center"/>
          </w:tcPr>
          <w:p w14:paraId="15AB3E50" w14:textId="0217D990"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 24j ods. 11</w:t>
            </w:r>
          </w:p>
        </w:tc>
        <w:tc>
          <w:tcPr>
            <w:tcW w:w="1843" w:type="dxa"/>
            <w:tcBorders>
              <w:top w:val="nil"/>
              <w:left w:val="nil"/>
              <w:bottom w:val="single" w:sz="4" w:space="0" w:color="auto"/>
              <w:right w:val="single" w:sz="4" w:space="0" w:color="auto"/>
            </w:tcBorders>
            <w:shd w:val="clear" w:color="auto" w:fill="auto"/>
            <w:vAlign w:val="center"/>
          </w:tcPr>
          <w:p w14:paraId="65823171" w14:textId="7862DC45" w:rsidR="00F1317C" w:rsidDel="00801596" w:rsidRDefault="00F1317C" w:rsidP="00C937B6">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Pr>
                <w:color w:val="000000"/>
                <w:sz w:val="20"/>
                <w:szCs w:val="20"/>
              </w:rPr>
              <w:t>1.SK</w:t>
            </w:r>
          </w:p>
        </w:tc>
        <w:tc>
          <w:tcPr>
            <w:tcW w:w="992" w:type="dxa"/>
            <w:tcBorders>
              <w:top w:val="nil"/>
              <w:left w:val="nil"/>
              <w:bottom w:val="single" w:sz="4" w:space="0" w:color="auto"/>
              <w:right w:val="single" w:sz="4" w:space="0" w:color="auto"/>
            </w:tcBorders>
            <w:shd w:val="clear" w:color="auto" w:fill="auto"/>
            <w:vAlign w:val="center"/>
          </w:tcPr>
          <w:p w14:paraId="4EAFA699" w14:textId="2F0C7C79" w:rsidR="00F1317C" w:rsidRPr="00895898" w:rsidRDefault="00F1317C" w:rsidP="00A4317D">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01.</w:t>
            </w:r>
            <w:r w:rsidR="00A4317D">
              <w:rPr>
                <w:color w:val="000000"/>
                <w:sz w:val="20"/>
                <w:szCs w:val="20"/>
              </w:rPr>
              <w:t>08</w:t>
            </w:r>
            <w:r>
              <w:rPr>
                <w:color w:val="000000"/>
                <w:sz w:val="20"/>
                <w:szCs w:val="20"/>
              </w:rPr>
              <w:t>.25</w:t>
            </w:r>
          </w:p>
        </w:tc>
        <w:tc>
          <w:tcPr>
            <w:tcW w:w="1160" w:type="dxa"/>
            <w:tcBorders>
              <w:top w:val="nil"/>
              <w:left w:val="nil"/>
              <w:bottom w:val="single" w:sz="4" w:space="0" w:color="auto"/>
              <w:right w:val="single" w:sz="4" w:space="0" w:color="auto"/>
            </w:tcBorders>
            <w:shd w:val="clear" w:color="auto" w:fill="auto"/>
            <w:noWrap/>
            <w:vAlign w:val="center"/>
          </w:tcPr>
          <w:p w14:paraId="439720A9" w14:textId="3EEA481C"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proofErr w:type="spellStart"/>
            <w:r>
              <w:rPr>
                <w:color w:val="000000"/>
                <w:sz w:val="20"/>
                <w:szCs w:val="20"/>
              </w:rPr>
              <w:t>mediátori</w:t>
            </w:r>
            <w:proofErr w:type="spellEnd"/>
          </w:p>
        </w:tc>
        <w:tc>
          <w:tcPr>
            <w:tcW w:w="1108" w:type="dxa"/>
            <w:tcBorders>
              <w:top w:val="nil"/>
              <w:left w:val="nil"/>
              <w:bottom w:val="single" w:sz="4" w:space="0" w:color="auto"/>
              <w:right w:val="single" w:sz="4" w:space="0" w:color="auto"/>
            </w:tcBorders>
            <w:shd w:val="clear" w:color="auto" w:fill="auto"/>
            <w:vAlign w:val="center"/>
          </w:tcPr>
          <w:p w14:paraId="17CCCE83" w14:textId="27BBCFFA"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4</w:t>
            </w:r>
          </w:p>
        </w:tc>
        <w:tc>
          <w:tcPr>
            <w:tcW w:w="851" w:type="dxa"/>
            <w:tcBorders>
              <w:top w:val="nil"/>
              <w:left w:val="nil"/>
              <w:bottom w:val="single" w:sz="4" w:space="0" w:color="auto"/>
              <w:right w:val="single" w:sz="4" w:space="0" w:color="auto"/>
            </w:tcBorders>
            <w:shd w:val="clear" w:color="auto" w:fill="auto"/>
            <w:noWrap/>
            <w:vAlign w:val="center"/>
          </w:tcPr>
          <w:p w14:paraId="271B2646" w14:textId="0C10150D"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85</w:t>
            </w:r>
          </w:p>
        </w:tc>
        <w:tc>
          <w:tcPr>
            <w:tcW w:w="843" w:type="dxa"/>
            <w:tcBorders>
              <w:top w:val="nil"/>
              <w:left w:val="nil"/>
              <w:bottom w:val="single" w:sz="4" w:space="0" w:color="auto"/>
              <w:right w:val="single" w:sz="4" w:space="0" w:color="auto"/>
            </w:tcBorders>
            <w:shd w:val="clear" w:color="auto" w:fill="auto"/>
            <w:noWrap/>
            <w:vAlign w:val="center"/>
          </w:tcPr>
          <w:p w14:paraId="57980520" w14:textId="60044E9D"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341</w:t>
            </w:r>
          </w:p>
        </w:tc>
        <w:tc>
          <w:tcPr>
            <w:tcW w:w="1000" w:type="dxa"/>
            <w:tcBorders>
              <w:top w:val="nil"/>
              <w:left w:val="nil"/>
              <w:bottom w:val="single" w:sz="4" w:space="0" w:color="auto"/>
              <w:right w:val="single" w:sz="4" w:space="0" w:color="auto"/>
            </w:tcBorders>
            <w:shd w:val="clear" w:color="auto" w:fill="auto"/>
            <w:noWrap/>
            <w:vAlign w:val="center"/>
          </w:tcPr>
          <w:p w14:paraId="7E097137" w14:textId="2048D466"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proofErr w:type="spellStart"/>
            <w:r>
              <w:rPr>
                <w:color w:val="000000"/>
                <w:sz w:val="20"/>
                <w:szCs w:val="20"/>
              </w:rPr>
              <w:t>Out</w:t>
            </w:r>
            <w:proofErr w:type="spellEnd"/>
            <w:r>
              <w:rPr>
                <w:color w:val="000000"/>
                <w:sz w:val="20"/>
                <w:szCs w:val="20"/>
              </w:rPr>
              <w:t xml:space="preserve"> (znižuje náklady)</w:t>
            </w:r>
          </w:p>
        </w:tc>
        <w:tc>
          <w:tcPr>
            <w:tcW w:w="708" w:type="dxa"/>
            <w:tcBorders>
              <w:top w:val="nil"/>
              <w:left w:val="nil"/>
              <w:bottom w:val="single" w:sz="4" w:space="0" w:color="auto"/>
              <w:right w:val="single" w:sz="4" w:space="0" w:color="auto"/>
            </w:tcBorders>
            <w:shd w:val="clear" w:color="auto" w:fill="auto"/>
            <w:noWrap/>
            <w:vAlign w:val="center"/>
          </w:tcPr>
          <w:p w14:paraId="4B494DF4" w14:textId="25090E18" w:rsidR="00F1317C" w:rsidRPr="00895898" w:rsidRDefault="00F1317C" w:rsidP="00C937B6">
            <w:pPr>
              <w:spacing w:after="0" w:line="240" w:lineRule="auto"/>
              <w:jc w:val="center"/>
              <w:rPr>
                <w:rFonts w:ascii="Times New Roman" w:eastAsia="Times New Roman" w:hAnsi="Times New Roman" w:cs="Times New Roman"/>
                <w:color w:val="000000"/>
                <w:sz w:val="20"/>
                <w:szCs w:val="20"/>
                <w:lang w:eastAsia="sk-SK"/>
              </w:rPr>
            </w:pPr>
            <w:r>
              <w:rPr>
                <w:sz w:val="20"/>
                <w:szCs w:val="20"/>
              </w:rPr>
              <w:t>341</w:t>
            </w:r>
          </w:p>
        </w:tc>
        <w:tc>
          <w:tcPr>
            <w:tcW w:w="1342" w:type="dxa"/>
            <w:tcBorders>
              <w:top w:val="nil"/>
              <w:left w:val="nil"/>
              <w:bottom w:val="single" w:sz="4" w:space="0" w:color="auto"/>
              <w:right w:val="single" w:sz="4" w:space="0" w:color="auto"/>
            </w:tcBorders>
            <w:shd w:val="clear" w:color="auto" w:fill="auto"/>
            <w:vAlign w:val="center"/>
          </w:tcPr>
          <w:p w14:paraId="564076F6" w14:textId="75D8FE73" w:rsidR="00F1317C" w:rsidRPr="00895898" w:rsidRDefault="00F1317C" w:rsidP="00C937B6">
            <w:pPr>
              <w:spacing w:after="0" w:line="240" w:lineRule="auto"/>
              <w:jc w:val="center"/>
              <w:rPr>
                <w:rFonts w:ascii="Times New Roman" w:eastAsia="Times New Roman" w:hAnsi="Times New Roman" w:cs="Times New Roman"/>
                <w:sz w:val="20"/>
                <w:szCs w:val="20"/>
                <w:lang w:eastAsia="sk-SK"/>
              </w:rPr>
            </w:pPr>
            <w:r>
              <w:rPr>
                <w:color w:val="000000"/>
                <w:sz w:val="20"/>
                <w:szCs w:val="20"/>
              </w:rPr>
              <w:t>0</w:t>
            </w:r>
          </w:p>
        </w:tc>
      </w:tr>
    </w:tbl>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1683BF8B"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Doplňujúce informácie k</w:t>
      </w:r>
      <w:r w:rsidR="00233275">
        <w:rPr>
          <w:rFonts w:ascii="Times New Roman" w:eastAsia="Calibri" w:hAnsi="Times New Roman" w:cs="Times New Roman"/>
          <w:b/>
          <w:bCs/>
          <w:i/>
          <w:sz w:val="24"/>
          <w:szCs w:val="24"/>
          <w:u w:val="single"/>
        </w:rPr>
        <w:t xml:space="preserve"> </w:t>
      </w:r>
      <w:r w:rsidR="00054C41" w:rsidRPr="001F1B43">
        <w:rPr>
          <w:rFonts w:ascii="Times New Roman" w:eastAsia="Calibri" w:hAnsi="Times New Roman" w:cs="Times New Roman"/>
          <w:b/>
          <w:bCs/>
          <w:i/>
          <w:sz w:val="24"/>
          <w:szCs w:val="24"/>
          <w:u w:val="single"/>
        </w:rPr>
        <w:t xml:space="preserve">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73BD3BDF" w14:textId="77777777" w:rsidR="00FA71E2" w:rsidRPr="00745960" w:rsidRDefault="00FA71E2" w:rsidP="00FA71E2">
      <w:pPr>
        <w:pStyle w:val="Odsekzoznamu"/>
        <w:numPr>
          <w:ilvl w:val="0"/>
          <w:numId w:val="15"/>
        </w:numPr>
        <w:jc w:val="both"/>
        <w:rPr>
          <w:rFonts w:ascii="Times New Roman" w:eastAsia="Calibri" w:hAnsi="Times New Roman" w:cs="Times New Roman"/>
          <w:bCs/>
          <w:i/>
          <w:iCs/>
          <w:color w:val="000000"/>
          <w:sz w:val="24"/>
          <w:szCs w:val="24"/>
          <w:u w:val="single"/>
        </w:rPr>
      </w:pPr>
      <w:r>
        <w:rPr>
          <w:rFonts w:ascii="Times New Roman" w:eastAsia="Calibri" w:hAnsi="Times New Roman" w:cs="Times New Roman"/>
          <w:bCs/>
          <w:i/>
          <w:iCs/>
          <w:color w:val="000000"/>
          <w:sz w:val="24"/>
          <w:szCs w:val="24"/>
          <w:u w:val="single"/>
        </w:rPr>
        <w:t>Uplatnenie odmeny za právne zastupovanie prostredníctvom IS CPP advokátom</w:t>
      </w:r>
    </w:p>
    <w:p w14:paraId="3A5E54DA" w14:textId="77777777" w:rsidR="00670DF0" w:rsidRDefault="00FA71E2"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Počet dotknutých subjektov bol určený na základe údajov poskytnutých Centrom právnej pomoci. Ide o priemerný ročný počet advokátov (obdobie rokov 2020 – 2023) určených na poskytnutie právnej pomoci. </w:t>
      </w:r>
    </w:p>
    <w:p w14:paraId="6BD5CD23" w14:textId="77777777" w:rsidR="00670DF0" w:rsidRDefault="00670DF0"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3DAEBDD1" w14:textId="2793CABF" w:rsidR="00FA71E2" w:rsidRDefault="00FA71E2"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Frekvencia plnenia povinnosti bola zvolená ako 1x ročne, keďže jedinečný priemerný ročný počet advokátov o poskytnutí právnej pomoci určením advokáta (obdobie rokov 2020 – 2023) je 537.</w:t>
      </w:r>
    </w:p>
    <w:p w14:paraId="48C5A589" w14:textId="53BD7F0E" w:rsidR="00670DF0" w:rsidRDefault="00670DF0"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523F2CC9" w14:textId="77777777" w:rsidR="00670DF0" w:rsidRDefault="00670DF0" w:rsidP="00670DF0">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hAnsi="Times New Roman" w:cs="Times New Roman"/>
          <w:sz w:val="24"/>
          <w:szCs w:val="24"/>
        </w:rPr>
        <w:t>V zmysle návrhu je a</w:t>
      </w:r>
      <w:r w:rsidRPr="005A6E82">
        <w:rPr>
          <w:rFonts w:ascii="Times New Roman" w:hAnsi="Times New Roman" w:cs="Times New Roman"/>
          <w:sz w:val="24"/>
          <w:szCs w:val="24"/>
        </w:rPr>
        <w:t>dvokát určený centrom podľa povinný uplatňovať odmenu za právne zastupovanie</w:t>
      </w:r>
      <w:r>
        <w:rPr>
          <w:rFonts w:ascii="Times New Roman" w:hAnsi="Times New Roman" w:cs="Times New Roman"/>
          <w:sz w:val="24"/>
          <w:szCs w:val="24"/>
        </w:rPr>
        <w:t xml:space="preserve"> (v regulovaných prípadoch) výlučne </w:t>
      </w:r>
      <w:r w:rsidRPr="005A6E82">
        <w:rPr>
          <w:rFonts w:ascii="Times New Roman" w:hAnsi="Times New Roman" w:cs="Times New Roman"/>
          <w:sz w:val="24"/>
          <w:szCs w:val="24"/>
        </w:rPr>
        <w:t>prostredníctvom informačného systému centra.</w:t>
      </w:r>
      <w:r>
        <w:rPr>
          <w:rFonts w:ascii="Times New Roman" w:hAnsi="Times New Roman" w:cs="Times New Roman"/>
          <w:sz w:val="24"/>
          <w:szCs w:val="24"/>
        </w:rPr>
        <w:t xml:space="preserve"> Na základe uvedenej zmeny sa mu zníži administratívna záťaž oproti súčasnosti.  </w:t>
      </w:r>
    </w:p>
    <w:p w14:paraId="73B4D2AA" w14:textId="77777777" w:rsidR="00FA71E2" w:rsidRDefault="00FA71E2"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7B02B87E" w14:textId="77777777" w:rsidR="00FA71E2" w:rsidRPr="001E5A81" w:rsidRDefault="00FA71E2" w:rsidP="00FA71E2">
      <w:pPr>
        <w:pStyle w:val="Odsekzoznamu"/>
        <w:numPr>
          <w:ilvl w:val="0"/>
          <w:numId w:val="15"/>
        </w:numPr>
        <w:jc w:val="both"/>
        <w:rPr>
          <w:rFonts w:ascii="Times New Roman" w:eastAsia="Calibri" w:hAnsi="Times New Roman" w:cs="Times New Roman"/>
          <w:bCs/>
          <w:i/>
          <w:iCs/>
          <w:color w:val="000000"/>
          <w:sz w:val="24"/>
          <w:szCs w:val="24"/>
          <w:u w:val="single"/>
        </w:rPr>
      </w:pPr>
      <w:r>
        <w:rPr>
          <w:rFonts w:ascii="Times New Roman" w:eastAsia="Calibri" w:hAnsi="Times New Roman" w:cs="Times New Roman"/>
          <w:bCs/>
          <w:i/>
          <w:iCs/>
          <w:color w:val="000000"/>
          <w:sz w:val="24"/>
          <w:szCs w:val="24"/>
          <w:u w:val="single"/>
        </w:rPr>
        <w:t>U</w:t>
      </w:r>
      <w:r w:rsidRPr="001E5A81">
        <w:rPr>
          <w:rFonts w:ascii="Times New Roman" w:eastAsia="Calibri" w:hAnsi="Times New Roman" w:cs="Times New Roman"/>
          <w:bCs/>
          <w:i/>
          <w:iCs/>
          <w:color w:val="000000"/>
          <w:sz w:val="24"/>
          <w:szCs w:val="24"/>
          <w:u w:val="single"/>
        </w:rPr>
        <w:t xml:space="preserve">platnenie odmeny za právne zastupovanie prostredníctvom IS CPP </w:t>
      </w:r>
      <w:proofErr w:type="spellStart"/>
      <w:r>
        <w:rPr>
          <w:rFonts w:ascii="Times New Roman" w:eastAsia="Calibri" w:hAnsi="Times New Roman" w:cs="Times New Roman"/>
          <w:bCs/>
          <w:i/>
          <w:iCs/>
          <w:color w:val="000000"/>
          <w:sz w:val="24"/>
          <w:szCs w:val="24"/>
          <w:u w:val="single"/>
        </w:rPr>
        <w:t>mediátorom</w:t>
      </w:r>
      <w:proofErr w:type="spellEnd"/>
    </w:p>
    <w:p w14:paraId="291CDF16" w14:textId="77777777" w:rsidR="00670DF0" w:rsidRDefault="00FA71E2"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Počet dotknutých subjektov bol určený na základe údajov poskytnutých Centrom právnej pomoci. Ide o priemerný ročný počet </w:t>
      </w:r>
      <w:proofErr w:type="spellStart"/>
      <w:r>
        <w:rPr>
          <w:rFonts w:ascii="Times New Roman" w:eastAsia="Times New Roman" w:hAnsi="Times New Roman" w:cs="Times New Roman"/>
          <w:bCs/>
          <w:color w:val="000000"/>
          <w:sz w:val="24"/>
          <w:szCs w:val="24"/>
          <w:lang w:eastAsia="sk-SK"/>
        </w:rPr>
        <w:t>mediátorov</w:t>
      </w:r>
      <w:proofErr w:type="spellEnd"/>
      <w:r>
        <w:rPr>
          <w:rFonts w:ascii="Times New Roman" w:eastAsia="Times New Roman" w:hAnsi="Times New Roman" w:cs="Times New Roman"/>
          <w:bCs/>
          <w:color w:val="000000"/>
          <w:sz w:val="24"/>
          <w:szCs w:val="24"/>
          <w:lang w:eastAsia="sk-SK"/>
        </w:rPr>
        <w:t xml:space="preserve"> (obdobie rokov 2020 – 2023) určených na poskytnutie právnej pomoci. </w:t>
      </w:r>
    </w:p>
    <w:p w14:paraId="04941B23" w14:textId="77777777" w:rsidR="00670DF0" w:rsidRDefault="00670DF0"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326CB9FA" w14:textId="74C0D3FD" w:rsidR="00FA71E2" w:rsidRDefault="00FA71E2"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Frekvencia plnenia povinnosti bola zvolená ako 1-krát ročne a</w:t>
      </w:r>
      <w:r w:rsidR="00233275">
        <w:rPr>
          <w:rFonts w:ascii="Times New Roman" w:eastAsia="Times New Roman" w:hAnsi="Times New Roman" w:cs="Times New Roman"/>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to vzhľadom jedinečný priemerný počet </w:t>
      </w:r>
      <w:proofErr w:type="spellStart"/>
      <w:r>
        <w:rPr>
          <w:rFonts w:ascii="Times New Roman" w:eastAsia="Times New Roman" w:hAnsi="Times New Roman" w:cs="Times New Roman"/>
          <w:bCs/>
          <w:color w:val="000000"/>
          <w:sz w:val="24"/>
          <w:szCs w:val="24"/>
          <w:lang w:eastAsia="sk-SK"/>
        </w:rPr>
        <w:t>mediátorov</w:t>
      </w:r>
      <w:proofErr w:type="spellEnd"/>
      <w:r>
        <w:rPr>
          <w:rFonts w:ascii="Times New Roman" w:eastAsia="Times New Roman" w:hAnsi="Times New Roman" w:cs="Times New Roman"/>
          <w:bCs/>
          <w:color w:val="000000"/>
          <w:sz w:val="24"/>
          <w:szCs w:val="24"/>
          <w:lang w:eastAsia="sk-SK"/>
        </w:rPr>
        <w:t>, ktorí si v rozhodnutí o</w:t>
      </w:r>
      <w:r w:rsidR="00233275">
        <w:rPr>
          <w:rFonts w:ascii="Times New Roman" w:eastAsia="Times New Roman" w:hAnsi="Times New Roman" w:cs="Times New Roman"/>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poskytnutí právnej pomoci určením </w:t>
      </w:r>
      <w:proofErr w:type="spellStart"/>
      <w:r>
        <w:rPr>
          <w:rFonts w:ascii="Times New Roman" w:eastAsia="Times New Roman" w:hAnsi="Times New Roman" w:cs="Times New Roman"/>
          <w:bCs/>
          <w:color w:val="000000"/>
          <w:sz w:val="24"/>
          <w:szCs w:val="24"/>
          <w:lang w:eastAsia="sk-SK"/>
        </w:rPr>
        <w:t>mediátora</w:t>
      </w:r>
      <w:proofErr w:type="spellEnd"/>
      <w:r>
        <w:rPr>
          <w:rFonts w:ascii="Times New Roman" w:eastAsia="Times New Roman" w:hAnsi="Times New Roman" w:cs="Times New Roman"/>
          <w:bCs/>
          <w:color w:val="000000"/>
          <w:sz w:val="24"/>
          <w:szCs w:val="24"/>
          <w:lang w:eastAsia="sk-SK"/>
        </w:rPr>
        <w:t xml:space="preserve"> (5).</w:t>
      </w:r>
    </w:p>
    <w:p w14:paraId="78146FEB" w14:textId="7E65536B" w:rsidR="00670DF0" w:rsidRDefault="00670DF0"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3F348002" w14:textId="0E4AACAA" w:rsidR="00C937B6" w:rsidRDefault="00670DF0" w:rsidP="00FA71E2">
      <w:pPr>
        <w:shd w:val="clear" w:color="auto" w:fill="FFFFFF"/>
        <w:spacing w:after="0" w:line="240" w:lineRule="auto"/>
        <w:jc w:val="both"/>
        <w:rPr>
          <w:rFonts w:ascii="Times New Roman" w:eastAsia="Times New Roman" w:hAnsi="Times New Roman" w:cs="Times New Roman"/>
          <w:bCs/>
          <w:color w:val="000000"/>
          <w:sz w:val="24"/>
          <w:szCs w:val="24"/>
          <w:lang w:eastAsia="sk-SK"/>
        </w:rPr>
      </w:pPr>
      <w:r>
        <w:rPr>
          <w:rFonts w:ascii="Times New Roman" w:hAnsi="Times New Roman" w:cs="Times New Roman"/>
          <w:sz w:val="24"/>
          <w:szCs w:val="24"/>
        </w:rPr>
        <w:t xml:space="preserve">V zmysle návrhu je </w:t>
      </w:r>
      <w:proofErr w:type="spellStart"/>
      <w:r>
        <w:rPr>
          <w:rFonts w:ascii="Times New Roman" w:hAnsi="Times New Roman" w:cs="Times New Roman"/>
          <w:sz w:val="24"/>
          <w:szCs w:val="24"/>
        </w:rPr>
        <w:t>mediátor</w:t>
      </w:r>
      <w:proofErr w:type="spellEnd"/>
      <w:r w:rsidRPr="005A6E82">
        <w:rPr>
          <w:rFonts w:ascii="Times New Roman" w:hAnsi="Times New Roman" w:cs="Times New Roman"/>
          <w:sz w:val="24"/>
          <w:szCs w:val="24"/>
        </w:rPr>
        <w:t xml:space="preserve"> určený centrom podľa povinný uplatňovať odmenu </w:t>
      </w:r>
      <w:r w:rsidR="00233275">
        <w:rPr>
          <w:rFonts w:ascii="Times New Roman" w:hAnsi="Times New Roman" w:cs="Times New Roman"/>
          <w:sz w:val="24"/>
          <w:szCs w:val="24"/>
        </w:rPr>
        <w:t xml:space="preserve">                               </w:t>
      </w:r>
      <w:r>
        <w:rPr>
          <w:rFonts w:ascii="Times New Roman" w:hAnsi="Times New Roman" w:cs="Times New Roman"/>
          <w:sz w:val="24"/>
          <w:szCs w:val="24"/>
        </w:rPr>
        <w:t xml:space="preserve">(v regulovaných prípadoch) výlučne </w:t>
      </w:r>
      <w:r w:rsidRPr="005A6E82">
        <w:rPr>
          <w:rFonts w:ascii="Times New Roman" w:hAnsi="Times New Roman" w:cs="Times New Roman"/>
          <w:sz w:val="24"/>
          <w:szCs w:val="24"/>
        </w:rPr>
        <w:t>prostredníctvom informačného systému centra.</w:t>
      </w:r>
      <w:r>
        <w:rPr>
          <w:rFonts w:ascii="Times New Roman" w:hAnsi="Times New Roman" w:cs="Times New Roman"/>
          <w:sz w:val="24"/>
          <w:szCs w:val="24"/>
        </w:rPr>
        <w:t xml:space="preserve"> Na základe uvedenej zmeny sa mu zníži administratívna záťaž oproti súčasnosti.  </w:t>
      </w:r>
    </w:p>
    <w:p w14:paraId="3FB1450B" w14:textId="77777777" w:rsidR="001E24E8" w:rsidRDefault="001E24E8" w:rsidP="00670DF0">
      <w:pPr>
        <w:shd w:val="clear" w:color="auto" w:fill="FFFFFF"/>
        <w:spacing w:after="0" w:line="240" w:lineRule="auto"/>
        <w:jc w:val="both"/>
        <w:rPr>
          <w:rFonts w:ascii="Times New Roman" w:eastAsia="Calibri" w:hAnsi="Times New Roman" w:cs="Times New Roman"/>
          <w:bCs/>
          <w:i/>
          <w:iCs/>
          <w:color w:val="000000"/>
          <w:sz w:val="24"/>
          <w:szCs w:val="24"/>
        </w:rPr>
      </w:pPr>
    </w:p>
    <w:p w14:paraId="0EB298DB" w14:textId="2AA88012"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w:t>
      </w:r>
      <w:r w:rsidR="00233275">
        <w:rPr>
          <w:rFonts w:ascii="Times New Roman" w:eastAsia="Calibri" w:hAnsi="Times New Roman" w:cs="Times New Roman"/>
          <w:b/>
          <w:bCs/>
          <w:i/>
          <w:sz w:val="24"/>
          <w:szCs w:val="24"/>
          <w:u w:val="single"/>
        </w:rPr>
        <w:t xml:space="preserve">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1906A819"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lastRenderedPageBreak/>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z</w:t>
      </w:r>
      <w:r w:rsidR="00233275">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8C40BE">
        <w:rPr>
          <w:rFonts w:ascii="Times New Roman" w:eastAsia="Calibri" w:hAnsi="Times New Roman" w:cs="Times New Roman"/>
          <w:bCs/>
          <w:i/>
          <w:iCs/>
          <w:color w:val="000000"/>
          <w:sz w:val="24"/>
          <w:szCs w:val="24"/>
        </w:rPr>
        <w:t xml:space="preserve">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6DDFE365"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w:t>
      </w:r>
      <w:r w:rsidR="00233275">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6E87C52F"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v porovnaní s</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podnikmi z</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 xml:space="preserve">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vysvetlených v analýze vplyvov na podnikateľské prostredie z</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hľadiska jeho nevyhnutnosti, spoločenského významu,</w:t>
      </w:r>
      <w:r w:rsidR="00233275">
        <w:rPr>
          <w:rFonts w:ascii="Times New Roman" w:eastAsia="Calibri" w:hAnsi="Times New Roman" w:cs="Times New Roman"/>
          <w:bCs/>
          <w:i/>
          <w:iCs/>
          <w:sz w:val="24"/>
          <w:szCs w:val="24"/>
        </w:rPr>
        <w:t xml:space="preserve"> </w:t>
      </w:r>
      <w:r w:rsidRPr="00F244DC">
        <w:rPr>
          <w:rFonts w:ascii="Times New Roman" w:eastAsia="Calibri" w:hAnsi="Times New Roman" w:cs="Times New Roman"/>
          <w:bCs/>
          <w:i/>
          <w:iCs/>
          <w:sz w:val="24"/>
          <w:szCs w:val="24"/>
        </w:rPr>
        <w:t>nákladov, prekonzultovaných s dotknutými podnikateľmi a posúdených Komisiou.</w:t>
      </w:r>
    </w:p>
    <w:p w14:paraId="4BD96D6C" w14:textId="53DA59FC" w:rsidR="00024EE4" w:rsidRPr="002C11B4" w:rsidRDefault="00D57698" w:rsidP="002C11B4">
      <w:pPr>
        <w:rPr>
          <w:rFonts w:ascii="Times New Roman" w:eastAsia="Calibri" w:hAnsi="Times New Roman" w:cs="Times New Roman"/>
          <w:sz w:val="24"/>
          <w:szCs w:val="24"/>
        </w:rPr>
      </w:pPr>
      <w:r>
        <w:rPr>
          <w:rFonts w:ascii="Times New Roman" w:eastAsia="Calibri" w:hAnsi="Times New Roman" w:cs="Times New Roman"/>
          <w:sz w:val="24"/>
          <w:szCs w:val="24"/>
        </w:rPr>
        <w:t xml:space="preserve">Ku </w:t>
      </w:r>
      <w:proofErr w:type="spellStart"/>
      <w:r>
        <w:rPr>
          <w:rFonts w:ascii="Times New Roman" w:eastAsia="Calibri" w:hAnsi="Times New Roman" w:cs="Times New Roman"/>
          <w:sz w:val="24"/>
          <w:szCs w:val="24"/>
        </w:rPr>
        <w:t>Goldplatingu</w:t>
      </w:r>
      <w:proofErr w:type="spellEnd"/>
      <w:r>
        <w:rPr>
          <w:rFonts w:ascii="Times New Roman" w:eastAsia="Calibri" w:hAnsi="Times New Roman" w:cs="Times New Roman"/>
          <w:sz w:val="24"/>
          <w:szCs w:val="24"/>
        </w:rPr>
        <w:t xml:space="preserve"> nedochádza, keďže regulácia má výlučne SK pôvod.</w:t>
      </w: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4392C83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71170372" w14:textId="7102B37A" w:rsidR="007C1B8B" w:rsidRDefault="007C1B8B" w:rsidP="007C1B8B">
      <w:pPr>
        <w:spacing w:after="0"/>
        <w:jc w:val="both"/>
        <w:rPr>
          <w:rFonts w:ascii="Times New Roman" w:eastAsia="Calibri" w:hAnsi="Times New Roman" w:cs="Times New Roman"/>
          <w:i/>
          <w:sz w:val="24"/>
          <w:szCs w:val="24"/>
        </w:rPr>
      </w:pPr>
    </w:p>
    <w:p w14:paraId="2335D982" w14:textId="77777777" w:rsidR="007C1B8B" w:rsidRPr="00572A5A" w:rsidRDefault="007C1B8B" w:rsidP="007C1B8B">
      <w:pPr>
        <w:spacing w:after="0" w:line="240" w:lineRule="auto"/>
        <w:jc w:val="both"/>
        <w:rPr>
          <w:rFonts w:ascii="Times New Roman" w:hAnsi="Times New Roman"/>
          <w:sz w:val="24"/>
          <w:szCs w:val="24"/>
        </w:rPr>
      </w:pPr>
      <w:r w:rsidRPr="00572A5A">
        <w:rPr>
          <w:rFonts w:ascii="Times New Roman" w:hAnsi="Times New Roman"/>
          <w:sz w:val="24"/>
          <w:szCs w:val="24"/>
        </w:rPr>
        <w:t>Dňa 13. decembra 2023 bola zverejnená predbežná informácia podľa § 9 zákona č. 400/2015 Z. z. o tvorbe právnych predpisov a o Zbierke zákonov Slovenskej republiky a o zmene                   a doplnení niektorých zákonov k návrhu zákona, ktorým sa mení a dopĺňa zákon č. 327/2005 Z. z. o poskytovaní právnej pomoci osobám v materiálnej núdzi a o zmene a doplnení zákona č. 586/2003 Z. z. o advokácii a o zmene a doplnení zákona č. 455/1991 Zb. o živnostenskom podnikaní (živnostenský zákon) v znení zákona č. 8/2005 Z. z. v znení neskorších predpisov.</w:t>
      </w:r>
    </w:p>
    <w:p w14:paraId="63E62891" w14:textId="77777777" w:rsidR="007C1B8B" w:rsidRDefault="007C1B8B" w:rsidP="007C1B8B">
      <w:pPr>
        <w:spacing w:after="0"/>
        <w:ind w:left="709" w:hanging="709"/>
        <w:jc w:val="both"/>
        <w:rPr>
          <w:rFonts w:ascii="Times New Roman" w:hAnsi="Times New Roman"/>
          <w:sz w:val="24"/>
          <w:szCs w:val="24"/>
        </w:rPr>
      </w:pPr>
      <w:r>
        <w:rPr>
          <w:rFonts w:ascii="Times New Roman" w:hAnsi="Times New Roman"/>
          <w:sz w:val="24"/>
          <w:szCs w:val="24"/>
        </w:rPr>
        <w:t>K predbežnej informácii sa vyjadrila Slovenská advokátska komora, ktorá prejavila záujem</w:t>
      </w:r>
    </w:p>
    <w:p w14:paraId="0FAF2270" w14:textId="77777777" w:rsidR="007C1B8B" w:rsidRDefault="007C1B8B" w:rsidP="007C1B8B">
      <w:pPr>
        <w:spacing w:after="0"/>
        <w:ind w:left="709" w:hanging="709"/>
        <w:jc w:val="both"/>
        <w:rPr>
          <w:rFonts w:ascii="Times New Roman" w:hAnsi="Times New Roman"/>
          <w:sz w:val="24"/>
          <w:szCs w:val="24"/>
        </w:rPr>
      </w:pPr>
      <w:r>
        <w:rPr>
          <w:rFonts w:ascii="Times New Roman" w:hAnsi="Times New Roman"/>
          <w:sz w:val="24"/>
          <w:szCs w:val="24"/>
        </w:rPr>
        <w:t>participovať na príprave návrhu zákona, zástupcovia ktorej následne aj participovali na príprave</w:t>
      </w:r>
    </w:p>
    <w:p w14:paraId="0FAC4C61" w14:textId="4CC8DB68" w:rsidR="007C1B8B" w:rsidRDefault="007C1B8B" w:rsidP="007C1B8B">
      <w:pPr>
        <w:spacing w:after="0"/>
        <w:jc w:val="both"/>
        <w:rPr>
          <w:rFonts w:ascii="Times New Roman" w:eastAsia="Calibri" w:hAnsi="Times New Roman" w:cs="Times New Roman"/>
          <w:i/>
          <w:sz w:val="24"/>
          <w:szCs w:val="24"/>
        </w:rPr>
      </w:pPr>
      <w:r>
        <w:rPr>
          <w:rFonts w:ascii="Times New Roman" w:hAnsi="Times New Roman"/>
          <w:sz w:val="24"/>
          <w:szCs w:val="24"/>
        </w:rPr>
        <w:t>predkladanej právnej úpravy.</w:t>
      </w:r>
    </w:p>
    <w:p w14:paraId="4CC28B51" w14:textId="7A50B980" w:rsidR="00D57698" w:rsidRPr="00D57698" w:rsidRDefault="00D57698" w:rsidP="00054C41">
      <w:pPr>
        <w:spacing w:after="0"/>
        <w:jc w:val="both"/>
        <w:rPr>
          <w:rFonts w:ascii="Times New Roman" w:eastAsia="Calibri" w:hAnsi="Times New Roman" w:cs="Times New Roman"/>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21C65044" w:rsidR="00054C41" w:rsidRPr="005D13CF" w:rsidRDefault="00054C41" w:rsidP="00054C41">
      <w:pPr>
        <w:spacing w:after="0"/>
        <w:jc w:val="both"/>
        <w:rPr>
          <w:rFonts w:ascii="Times New Roman" w:eastAsia="Calibri" w:hAnsi="Times New Roman" w:cs="Times New Roman"/>
          <w:sz w:val="24"/>
          <w:szCs w:val="24"/>
        </w:rPr>
      </w:pPr>
      <w:r w:rsidRPr="00D8247C">
        <w:rPr>
          <w:rFonts w:ascii="Times New Roman" w:eastAsia="Calibri" w:hAnsi="Times New Roman" w:cs="Times New Roman"/>
          <w:i/>
          <w:sz w:val="24"/>
          <w:szCs w:val="24"/>
        </w:rPr>
        <w:t>Dochádza k vytvoreniu resp. k zmene bariér na trhu?</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2F2A88F0" w:rsidR="00054C41" w:rsidRDefault="000D270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2C11B4"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howingPlcHdr/>
        </w:sdtPr>
        <w:sdtEndPr/>
        <w:sdtContent>
          <w:r w:rsidR="002C11B4">
            <w:rPr>
              <w:rFonts w:ascii="Times New Roman" w:eastAsia="Calibri" w:hAnsi="Times New Roman" w:cs="Times New Roman"/>
              <w:i/>
              <w:sz w:val="24"/>
              <w:szCs w:val="24"/>
            </w:rPr>
            <w:t xml:space="preserve">     </w:t>
          </w:r>
        </w:sdtContent>
      </w:sdt>
      <w:r w:rsidR="002C11B4" w:rsidRPr="002C11B4">
        <w:rPr>
          <w:rFonts w:ascii="Times New Roman" w:eastAsia="Calibri" w:hAnsi="Times New Roman" w:cs="Times New Roman"/>
          <w:i/>
          <w:sz w:val="24"/>
          <w:szCs w:val="24"/>
        </w:rPr>
        <w:t xml:space="preserve"> </w:t>
      </w:r>
      <w:sdt>
        <w:sdtPr>
          <w:rPr>
            <w:rFonts w:ascii="Times New Roman" w:eastAsia="Calibri" w:hAnsi="Times New Roman" w:cs="Times New Roman"/>
            <w:i/>
            <w:sz w:val="24"/>
            <w:szCs w:val="24"/>
          </w:rPr>
          <w:id w:val="488601989"/>
        </w:sdtPr>
        <w:sdtEndPr/>
        <w:sdtContent>
          <w:r w:rsidR="002C11B4">
            <w:rPr>
              <w:rFonts w:ascii="Segoe UI Symbol" w:eastAsia="Calibri" w:hAnsi="Segoe UI Symbol" w:cs="Times New Roman"/>
              <w:i/>
              <w:sz w:val="24"/>
              <w:szCs w:val="24"/>
            </w:rPr>
            <w:t>⌧</w:t>
          </w:r>
        </w:sdtContent>
      </w:sdt>
      <w:r w:rsidR="00054C41" w:rsidRPr="00D8247C">
        <w:rPr>
          <w:rFonts w:ascii="Times New Roman" w:eastAsia="Calibri" w:hAnsi="Times New Roman" w:cs="Times New Roman"/>
          <w:i/>
          <w:sz w:val="24"/>
          <w:szCs w:val="24"/>
        </w:rPr>
        <w:t xml:space="preserve"> nemení</w:t>
      </w:r>
      <w:r w:rsidR="00692D95">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2C11B4">
                <w:rPr>
                  <w:rFonts w:ascii="Times New Roman" w:eastAsia="Calibri" w:hAnsi="Times New Roman" w:cs="Times New Roman"/>
                  <w:i/>
                  <w:sz w:val="24"/>
                  <w:szCs w:val="24"/>
                </w:rPr>
                <w:t xml:space="preserve"> </w:t>
              </w:r>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0DD43941" w14:textId="7039EA97" w:rsidR="005D13CF" w:rsidRDefault="005D13CF" w:rsidP="00054C41">
      <w:pPr>
        <w:spacing w:after="0"/>
        <w:jc w:val="both"/>
        <w:rPr>
          <w:rFonts w:ascii="Times New Roman" w:eastAsia="Calibri" w:hAnsi="Times New Roman" w:cs="Times New Roman"/>
          <w:i/>
          <w:sz w:val="24"/>
          <w:szCs w:val="24"/>
        </w:rPr>
      </w:pPr>
    </w:p>
    <w:p w14:paraId="27DAAB30" w14:textId="2E4F8301" w:rsidR="005D13CF" w:rsidRDefault="005D13CF" w:rsidP="005D13CF">
      <w:pPr>
        <w:spacing w:after="0"/>
        <w:jc w:val="both"/>
        <w:rPr>
          <w:rFonts w:ascii="Times New Roman" w:hAnsi="Times New Roman" w:cs="Times New Roman"/>
          <w:sz w:val="24"/>
          <w:szCs w:val="24"/>
        </w:rPr>
      </w:pPr>
      <w:r w:rsidRPr="005D13CF">
        <w:rPr>
          <w:rFonts w:ascii="Times New Roman" w:hAnsi="Times New Roman" w:cs="Times New Roman"/>
          <w:sz w:val="24"/>
          <w:szCs w:val="24"/>
        </w:rPr>
        <w:t xml:space="preserve">Návrh zákona nevytvára a ani nemení zmeny bariér na trhu. </w:t>
      </w:r>
      <w:r>
        <w:rPr>
          <w:rFonts w:ascii="Times New Roman" w:hAnsi="Times New Roman" w:cs="Times New Roman"/>
          <w:sz w:val="24"/>
          <w:szCs w:val="24"/>
        </w:rPr>
        <w:t xml:space="preserve">Jeho dôsledkom nebude rôzne zaobchádzanie s niektorými podnikmi či produktami v porovnateľnej situácii. </w:t>
      </w:r>
    </w:p>
    <w:p w14:paraId="2E3E319A" w14:textId="3ECA122B" w:rsidR="005D13CF" w:rsidRDefault="005D13CF" w:rsidP="00F1317C">
      <w:pPr>
        <w:spacing w:after="0"/>
        <w:jc w:val="both"/>
        <w:rPr>
          <w:rFonts w:ascii="Times New Roman" w:hAnsi="Times New Roman" w:cs="Times New Roman"/>
          <w:sz w:val="24"/>
          <w:szCs w:val="24"/>
        </w:rPr>
      </w:pPr>
      <w:r>
        <w:rPr>
          <w:rFonts w:ascii="Times New Roman" w:hAnsi="Times New Roman" w:cs="Times New Roman"/>
          <w:sz w:val="24"/>
          <w:szCs w:val="24"/>
        </w:rPr>
        <w:t xml:space="preserve">Regulácia neovplyvní cezhraničné investície ani dostupnosť základných zdrojov. </w:t>
      </w:r>
    </w:p>
    <w:p w14:paraId="78E99232" w14:textId="575CD5CB" w:rsidR="005D13CF" w:rsidRDefault="005D13CF" w:rsidP="00F1317C">
      <w:pPr>
        <w:spacing w:after="0"/>
        <w:jc w:val="both"/>
        <w:rPr>
          <w:rFonts w:ascii="Times New Roman" w:hAnsi="Times New Roman" w:cs="Times New Roman"/>
          <w:sz w:val="24"/>
          <w:szCs w:val="24"/>
        </w:rPr>
      </w:pPr>
      <w:r>
        <w:rPr>
          <w:rFonts w:ascii="Times New Roman" w:hAnsi="Times New Roman" w:cs="Times New Roman"/>
          <w:sz w:val="24"/>
          <w:szCs w:val="24"/>
        </w:rPr>
        <w:t>Regulácia</w:t>
      </w:r>
      <w:r w:rsidRPr="005D13CF">
        <w:rPr>
          <w:rFonts w:ascii="Times New Roman" w:hAnsi="Times New Roman" w:cs="Times New Roman"/>
          <w:sz w:val="24"/>
          <w:szCs w:val="24"/>
        </w:rPr>
        <w:t xml:space="preserve"> by rovnako nemala ovplyvniť inovácie, vedu a výskum a zároveň by nemala zhoršiť podnikateľské prostredie Slovenska spomedzi susediacich krajín Európskej únie. </w:t>
      </w:r>
    </w:p>
    <w:p w14:paraId="1F82AB02" w14:textId="15AC98EA" w:rsidR="005D13CF" w:rsidRPr="005D13CF" w:rsidRDefault="005D13CF">
      <w:pPr>
        <w:spacing w:after="0"/>
        <w:jc w:val="both"/>
        <w:rPr>
          <w:rFonts w:ascii="Times New Roman" w:eastAsia="Calibri" w:hAnsi="Times New Roman" w:cs="Times New Roman"/>
          <w:i/>
          <w:sz w:val="24"/>
          <w:szCs w:val="24"/>
        </w:rPr>
      </w:pPr>
      <w:r>
        <w:rPr>
          <w:rFonts w:ascii="Times New Roman" w:hAnsi="Times New Roman" w:cs="Times New Roman"/>
          <w:sz w:val="24"/>
          <w:szCs w:val="24"/>
        </w:rPr>
        <w:t xml:space="preserve">Zmena regulácie nemá taký vplyv na podnikateľské prostredie, ktorý by bol schopný prispieť </w:t>
      </w:r>
      <w:r w:rsidRPr="005D13CF">
        <w:rPr>
          <w:rFonts w:ascii="Times New Roman" w:hAnsi="Times New Roman" w:cs="Times New Roman"/>
          <w:sz w:val="24"/>
          <w:szCs w:val="24"/>
        </w:rPr>
        <w:t>k cieľu Slovenska mať najlepšie podnikateľské prostredie spomedzi susediacich krajín EÚ</w:t>
      </w:r>
      <w:r>
        <w:rPr>
          <w:rFonts w:ascii="Times New Roman" w:hAnsi="Times New Roman" w:cs="Times New Roman"/>
          <w:sz w:val="24"/>
          <w:szCs w:val="24"/>
        </w:rPr>
        <w:t>.</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0CC94CC7" w:rsidR="00054C41" w:rsidRPr="00D8247C" w:rsidRDefault="000D270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sdt>
                <w:sdtPr>
                  <w:rPr>
                    <w:rFonts w:ascii="Times New Roman" w:eastAsia="Calibri" w:hAnsi="Times New Roman" w:cs="Times New Roman"/>
                    <w:i/>
                    <w:sz w:val="24"/>
                    <w:szCs w:val="24"/>
                  </w:rPr>
                  <w:id w:val="1346212695"/>
                </w:sdtPr>
                <w:sdtEndPr/>
                <w:sdtContent>
                  <w:sdt>
                    <w:sdtPr>
                      <w:rPr>
                        <w:rFonts w:ascii="Times New Roman" w:eastAsia="Calibri" w:hAnsi="Times New Roman" w:cs="Times New Roman"/>
                        <w:i/>
                        <w:sz w:val="24"/>
                        <w:szCs w:val="24"/>
                      </w:rPr>
                      <w:id w:val="-935597246"/>
                    </w:sdtPr>
                    <w:sdtEndPr/>
                    <w:sdtContent>
                      <w:sdt>
                        <w:sdtPr>
                          <w:rPr>
                            <w:rFonts w:ascii="Times New Roman" w:eastAsia="Calibri" w:hAnsi="Times New Roman" w:cs="Times New Roman"/>
                            <w:i/>
                            <w:sz w:val="24"/>
                            <w:szCs w:val="24"/>
                          </w:rPr>
                          <w:id w:val="-1053234063"/>
                        </w:sdtPr>
                        <w:sdtEndPr/>
                        <w:sdtContent>
                          <w:r w:rsidR="005D13CF" w:rsidRPr="00D8247C">
                            <w:rPr>
                              <w:rFonts w:ascii="Segoe UI Symbol" w:eastAsia="Calibri" w:hAnsi="Segoe UI Symbol" w:cs="Segoe UI Symbol"/>
                              <w:i/>
                              <w:sz w:val="24"/>
                              <w:szCs w:val="24"/>
                            </w:rPr>
                            <w:t>☐</w:t>
                          </w:r>
                        </w:sdtContent>
                      </w:sdt>
                    </w:sdtContent>
                  </w:sdt>
                </w:sdtContent>
              </w:sdt>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rPr>
                  <w:id w:val="1357613930"/>
                </w:sdtPr>
                <w:sdtEndPr/>
                <w:sdtContent>
                  <w:r w:rsidR="005D13CF">
                    <w:rPr>
                      <w:rFonts w:ascii="Segoe UI Symbol" w:eastAsia="Calibri" w:hAnsi="Segoe UI Symbol" w:cs="Times New Roman"/>
                      <w:i/>
                      <w:sz w:val="24"/>
                      <w:szCs w:val="24"/>
                    </w:rPr>
                    <w:t>⌧</w:t>
                  </w:r>
                </w:sdtContent>
              </w:sdt>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4547B8F" w14:textId="7D938692" w:rsidR="00054C41" w:rsidRPr="005D13CF" w:rsidRDefault="005D13CF" w:rsidP="00054C41">
      <w:pPr>
        <w:spacing w:after="0"/>
        <w:jc w:val="both"/>
        <w:rPr>
          <w:rFonts w:ascii="Times New Roman" w:eastAsia="Calibri" w:hAnsi="Times New Roman" w:cs="Times New Roman"/>
          <w:sz w:val="24"/>
          <w:szCs w:val="24"/>
        </w:rPr>
      </w:pPr>
      <w:r w:rsidRPr="005D13CF">
        <w:rPr>
          <w:rFonts w:ascii="Times New Roman" w:hAnsi="Times New Roman" w:cs="Times New Roman"/>
          <w:sz w:val="24"/>
          <w:szCs w:val="24"/>
        </w:rPr>
        <w:t>Predkladaný materiál nemá žiad</w:t>
      </w:r>
      <w:r w:rsidR="00670DF0">
        <w:rPr>
          <w:rFonts w:ascii="Times New Roman" w:hAnsi="Times New Roman" w:cs="Times New Roman"/>
          <w:sz w:val="24"/>
          <w:szCs w:val="24"/>
        </w:rPr>
        <w:t>ny</w:t>
      </w:r>
      <w:r w:rsidRPr="005D13CF">
        <w:rPr>
          <w:rFonts w:ascii="Times New Roman" w:hAnsi="Times New Roman" w:cs="Times New Roman"/>
          <w:sz w:val="24"/>
          <w:szCs w:val="24"/>
        </w:rPr>
        <w:t xml:space="preserve"> vplyv na zmenu pomeru medzi produkciou podnikov a ich nákladmi.</w:t>
      </w: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424DBDFC" w14:textId="10FBF91E" w:rsidR="00B21D1F" w:rsidRPr="007C1B8B" w:rsidRDefault="00D114ED" w:rsidP="007C1B8B">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7C2DE365" w14:textId="77777777" w:rsidR="007C1B8B" w:rsidRDefault="007C1B8B" w:rsidP="007C1B8B">
      <w:pPr>
        <w:spacing w:after="0"/>
        <w:jc w:val="both"/>
        <w:rPr>
          <w:rFonts w:ascii="Times New Roman" w:eastAsia="Calibri" w:hAnsi="Times New Roman" w:cs="Times New Roman"/>
          <w:sz w:val="24"/>
          <w:szCs w:val="24"/>
        </w:rPr>
      </w:pPr>
    </w:p>
    <w:p w14:paraId="0779A31D" w14:textId="77777777" w:rsidR="007C1B8B" w:rsidRPr="007C1B8B" w:rsidRDefault="007C1B8B" w:rsidP="007C1B8B">
      <w:pPr>
        <w:jc w:val="both"/>
        <w:rPr>
          <w:rFonts w:ascii="Times New Roman" w:eastAsia="Calibri" w:hAnsi="Times New Roman" w:cs="Times New Roman"/>
          <w:bCs/>
          <w:i/>
          <w:iCs/>
          <w:sz w:val="24"/>
          <w:szCs w:val="24"/>
          <w:u w:val="single"/>
        </w:rPr>
      </w:pPr>
      <w:r w:rsidRPr="007C1B8B">
        <w:rPr>
          <w:rFonts w:ascii="Times New Roman" w:eastAsia="Calibri" w:hAnsi="Times New Roman" w:cs="Times New Roman"/>
          <w:bCs/>
          <w:i/>
          <w:iCs/>
          <w:sz w:val="24"/>
          <w:szCs w:val="24"/>
          <w:u w:val="single"/>
        </w:rPr>
        <w:t>Možnosť uhradiť advokátovi preddavok (§ 5b)</w:t>
      </w:r>
    </w:p>
    <w:p w14:paraId="3B7CBDB3" w14:textId="7B3A016C" w:rsidR="007C1B8B" w:rsidRPr="007C1B8B" w:rsidRDefault="007C1B8B" w:rsidP="007C1B8B">
      <w:pPr>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Ako iný vplyv bola zhodnotená navrhovaná možnosť uhradiť advokátovi určenému</w:t>
      </w:r>
      <w:r w:rsidRPr="007C1B8B">
        <w:rPr>
          <w:rFonts w:ascii="Times New Roman" w:eastAsia="Calibri" w:hAnsi="Times New Roman" w:cs="Times New Roman"/>
          <w:bCs/>
          <w:iCs/>
          <w:sz w:val="24"/>
          <w:szCs w:val="24"/>
        </w:rPr>
        <w:t xml:space="preserve"> centrom preddavok odmeny v prípadoch hodných osobitného zreteľa. Preddavok na odmenu za právne zastupovanie určenému advokátovi nesmie byť vyšší ako 50 % paušálnej odmeny za právne zastupovanie, na ktorú by mal advokát určený nárok. </w:t>
      </w:r>
    </w:p>
    <w:p w14:paraId="3B8652A5" w14:textId="77777777" w:rsidR="007C1B8B" w:rsidRPr="007C1B8B" w:rsidRDefault="007C1B8B" w:rsidP="007C1B8B">
      <w:pPr>
        <w:jc w:val="both"/>
        <w:rPr>
          <w:rFonts w:ascii="Times New Roman" w:hAnsi="Times New Roman" w:cs="Times New Roman"/>
          <w:sz w:val="24"/>
          <w:szCs w:val="24"/>
        </w:rPr>
      </w:pPr>
      <w:r w:rsidRPr="007C1B8B">
        <w:rPr>
          <w:rFonts w:ascii="Times New Roman" w:hAnsi="Times New Roman" w:cs="Times New Roman"/>
          <w:sz w:val="24"/>
          <w:szCs w:val="24"/>
        </w:rPr>
        <w:t xml:space="preserve">O tomto nároku bude oprávnený rozhodnúť riaditeľ centra, avšak len na základe predchádzajúceho stanoviska rady, súčasťou ktorého má byť aj návrh výšky tohto preddavku. Preddavok odmeny za právne zastupovanie je možné poskytnúť len v prípadoch poskytnutia právnej pomoci bez finančnej účasti oprávnenej osoby. </w:t>
      </w:r>
    </w:p>
    <w:p w14:paraId="3FC81A49" w14:textId="77777777" w:rsidR="007C1B8B" w:rsidRDefault="007C1B8B" w:rsidP="007C1B8B">
      <w:pPr>
        <w:jc w:val="both"/>
        <w:rPr>
          <w:rFonts w:ascii="Times New Roman" w:hAnsi="Times New Roman" w:cs="Times New Roman"/>
          <w:sz w:val="24"/>
          <w:szCs w:val="24"/>
        </w:rPr>
      </w:pPr>
      <w:r w:rsidRPr="007C1B8B">
        <w:rPr>
          <w:rFonts w:ascii="Times New Roman" w:hAnsi="Times New Roman" w:cs="Times New Roman"/>
          <w:sz w:val="24"/>
          <w:szCs w:val="24"/>
        </w:rPr>
        <w:t>Takáto právna úprava tak v konkrétne vymedzených prípadoch zjednodušuje advokátom ako dotknutým subjektom prístup k časti odmeny, na ktorú majú nárok.</w:t>
      </w:r>
      <w:r>
        <w:rPr>
          <w:rFonts w:ascii="Times New Roman" w:hAnsi="Times New Roman" w:cs="Times New Roman"/>
          <w:sz w:val="24"/>
          <w:szCs w:val="24"/>
        </w:rPr>
        <w:t xml:space="preserve"> </w:t>
      </w:r>
    </w:p>
    <w:p w14:paraId="6073481B" w14:textId="713D1E7E" w:rsidR="007C1B8B" w:rsidRPr="007C1B8B" w:rsidRDefault="007C1B8B" w:rsidP="007C1B8B">
      <w:pPr>
        <w:jc w:val="both"/>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 xml:space="preserve">Počet prípadov (všeobecná agenda) poskytnutia právnej pomoci určením advokáta </w:t>
      </w:r>
      <w:r w:rsidRPr="007C1B8B">
        <w:rPr>
          <w:rFonts w:ascii="Times New Roman" w:eastAsia="Calibri" w:hAnsi="Times New Roman" w:cs="Times New Roman"/>
          <w:b/>
          <w:bCs/>
          <w:iCs/>
          <w:sz w:val="24"/>
          <w:szCs w:val="24"/>
        </w:rPr>
        <w:t>bez finančnej spoluúčasti</w:t>
      </w:r>
      <w:r w:rsidRPr="007C1B8B">
        <w:rPr>
          <w:rFonts w:ascii="Times New Roman" w:eastAsia="Calibri" w:hAnsi="Times New Roman" w:cs="Times New Roman"/>
          <w:bCs/>
          <w:iCs/>
          <w:sz w:val="24"/>
          <w:szCs w:val="24"/>
        </w:rPr>
        <w:t xml:space="preserve"> klienta podľa rokov: </w:t>
      </w:r>
    </w:p>
    <w:tbl>
      <w:tblPr>
        <w:tblStyle w:val="Mriekatabuky"/>
        <w:tblW w:w="0" w:type="auto"/>
        <w:tblLook w:val="04A0" w:firstRow="1" w:lastRow="0" w:firstColumn="1" w:lastColumn="0" w:noHBand="0" w:noVBand="1"/>
      </w:tblPr>
      <w:tblGrid>
        <w:gridCol w:w="1676"/>
        <w:gridCol w:w="1394"/>
        <w:gridCol w:w="1493"/>
        <w:gridCol w:w="1493"/>
        <w:gridCol w:w="1653"/>
        <w:gridCol w:w="1353"/>
      </w:tblGrid>
      <w:tr w:rsidR="007C1B8B" w:rsidRPr="007C1B8B" w14:paraId="270B2A5E" w14:textId="5C26F878" w:rsidTr="007C1B8B">
        <w:tc>
          <w:tcPr>
            <w:tcW w:w="1676" w:type="dxa"/>
            <w:shd w:val="clear" w:color="auto" w:fill="E7E6E6" w:themeFill="background2"/>
          </w:tcPr>
          <w:p w14:paraId="41A212F8" w14:textId="77777777" w:rsidR="007C1B8B" w:rsidRPr="007C1B8B" w:rsidRDefault="007C1B8B" w:rsidP="00B20443">
            <w:pPr>
              <w:jc w:val="cente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Rok</w:t>
            </w:r>
          </w:p>
        </w:tc>
        <w:tc>
          <w:tcPr>
            <w:tcW w:w="1394" w:type="dxa"/>
            <w:shd w:val="clear" w:color="auto" w:fill="E7E6E6" w:themeFill="background2"/>
          </w:tcPr>
          <w:p w14:paraId="01BE81CC" w14:textId="77777777" w:rsidR="007C1B8B" w:rsidRPr="007C1B8B" w:rsidRDefault="007C1B8B" w:rsidP="00B20443">
            <w:pPr>
              <w:jc w:val="cente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2019</w:t>
            </w:r>
          </w:p>
        </w:tc>
        <w:tc>
          <w:tcPr>
            <w:tcW w:w="1493" w:type="dxa"/>
            <w:shd w:val="clear" w:color="auto" w:fill="E7E6E6" w:themeFill="background2"/>
          </w:tcPr>
          <w:p w14:paraId="04863073" w14:textId="77777777" w:rsidR="007C1B8B" w:rsidRPr="007C1B8B" w:rsidRDefault="007C1B8B" w:rsidP="00B20443">
            <w:pPr>
              <w:jc w:val="cente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2020</w:t>
            </w:r>
          </w:p>
        </w:tc>
        <w:tc>
          <w:tcPr>
            <w:tcW w:w="1493" w:type="dxa"/>
            <w:shd w:val="clear" w:color="auto" w:fill="E7E6E6" w:themeFill="background2"/>
          </w:tcPr>
          <w:p w14:paraId="2AFD6E3E" w14:textId="77777777" w:rsidR="007C1B8B" w:rsidRPr="007C1B8B" w:rsidRDefault="007C1B8B" w:rsidP="00B20443">
            <w:pPr>
              <w:jc w:val="cente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2021</w:t>
            </w:r>
          </w:p>
        </w:tc>
        <w:tc>
          <w:tcPr>
            <w:tcW w:w="1653" w:type="dxa"/>
            <w:shd w:val="clear" w:color="auto" w:fill="E7E6E6" w:themeFill="background2"/>
          </w:tcPr>
          <w:p w14:paraId="577B0F6A" w14:textId="77777777" w:rsidR="007C1B8B" w:rsidRPr="007C1B8B" w:rsidRDefault="007C1B8B" w:rsidP="00B20443">
            <w:pPr>
              <w:jc w:val="cente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2022</w:t>
            </w:r>
          </w:p>
        </w:tc>
        <w:tc>
          <w:tcPr>
            <w:tcW w:w="1353" w:type="dxa"/>
            <w:shd w:val="clear" w:color="auto" w:fill="E7E6E6" w:themeFill="background2"/>
          </w:tcPr>
          <w:p w14:paraId="5E16F23A" w14:textId="31ACBAD4" w:rsidR="007C1B8B" w:rsidRPr="007C1B8B" w:rsidRDefault="007C1B8B" w:rsidP="00B20443">
            <w:pPr>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2023</w:t>
            </w:r>
          </w:p>
        </w:tc>
      </w:tr>
      <w:tr w:rsidR="007C1B8B" w:rsidRPr="007C1B8B" w14:paraId="463B7F65" w14:textId="315784B8" w:rsidTr="007C1B8B">
        <w:tc>
          <w:tcPr>
            <w:tcW w:w="1676" w:type="dxa"/>
            <w:shd w:val="clear" w:color="auto" w:fill="E7E6E6" w:themeFill="background2"/>
            <w:vAlign w:val="center"/>
          </w:tcPr>
          <w:p w14:paraId="726513A4" w14:textId="77777777" w:rsidR="007C1B8B" w:rsidRPr="007C1B8B" w:rsidRDefault="007C1B8B" w:rsidP="00B20443">
            <w:pPr>
              <w:rPr>
                <w:rFonts w:ascii="Times New Roman" w:eastAsia="Calibri" w:hAnsi="Times New Roman" w:cs="Times New Roman"/>
                <w:b/>
                <w:bCs/>
                <w:iCs/>
                <w:sz w:val="24"/>
                <w:szCs w:val="24"/>
              </w:rPr>
            </w:pPr>
            <w:r w:rsidRPr="007C1B8B">
              <w:rPr>
                <w:rFonts w:ascii="Times New Roman" w:eastAsia="Calibri" w:hAnsi="Times New Roman" w:cs="Times New Roman"/>
                <w:b/>
                <w:bCs/>
                <w:iCs/>
                <w:sz w:val="24"/>
                <w:szCs w:val="24"/>
              </w:rPr>
              <w:t>Počet prípadov</w:t>
            </w:r>
          </w:p>
        </w:tc>
        <w:tc>
          <w:tcPr>
            <w:tcW w:w="1394" w:type="dxa"/>
            <w:vAlign w:val="center"/>
          </w:tcPr>
          <w:p w14:paraId="2AAF5CF6" w14:textId="77777777" w:rsidR="007C1B8B" w:rsidRPr="007C1B8B" w:rsidRDefault="007C1B8B" w:rsidP="00B20443">
            <w:pPr>
              <w:jc w:val="center"/>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2130</w:t>
            </w:r>
          </w:p>
        </w:tc>
        <w:tc>
          <w:tcPr>
            <w:tcW w:w="1493" w:type="dxa"/>
            <w:vAlign w:val="center"/>
          </w:tcPr>
          <w:p w14:paraId="248E0FE0" w14:textId="77777777" w:rsidR="007C1B8B" w:rsidRPr="007C1B8B" w:rsidRDefault="007C1B8B" w:rsidP="00B20443">
            <w:pPr>
              <w:jc w:val="center"/>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1919</w:t>
            </w:r>
          </w:p>
        </w:tc>
        <w:tc>
          <w:tcPr>
            <w:tcW w:w="1493" w:type="dxa"/>
            <w:vAlign w:val="center"/>
          </w:tcPr>
          <w:p w14:paraId="7903DB4A" w14:textId="77777777" w:rsidR="007C1B8B" w:rsidRPr="007C1B8B" w:rsidRDefault="007C1B8B" w:rsidP="00B20443">
            <w:pPr>
              <w:jc w:val="center"/>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1796</w:t>
            </w:r>
          </w:p>
        </w:tc>
        <w:tc>
          <w:tcPr>
            <w:tcW w:w="1653" w:type="dxa"/>
            <w:vAlign w:val="center"/>
          </w:tcPr>
          <w:p w14:paraId="24009AB3" w14:textId="77777777" w:rsidR="007C1B8B" w:rsidRPr="007C1B8B" w:rsidRDefault="007C1B8B" w:rsidP="00B20443">
            <w:pPr>
              <w:jc w:val="center"/>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2048</w:t>
            </w:r>
          </w:p>
        </w:tc>
        <w:tc>
          <w:tcPr>
            <w:tcW w:w="1353" w:type="dxa"/>
            <w:vAlign w:val="center"/>
          </w:tcPr>
          <w:p w14:paraId="058B6508" w14:textId="5958EE89" w:rsidR="007C1B8B" w:rsidRPr="007C1B8B" w:rsidRDefault="007C1B8B" w:rsidP="007C1B8B">
            <w:pPr>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2668</w:t>
            </w:r>
          </w:p>
        </w:tc>
      </w:tr>
    </w:tbl>
    <w:p w14:paraId="0011CAA2" w14:textId="77777777" w:rsidR="007C1B8B" w:rsidRPr="007C1B8B" w:rsidRDefault="007C1B8B" w:rsidP="007C1B8B">
      <w:pPr>
        <w:jc w:val="right"/>
        <w:rPr>
          <w:rFonts w:ascii="Times New Roman" w:eastAsia="Calibri" w:hAnsi="Times New Roman" w:cs="Times New Roman"/>
          <w:bCs/>
          <w:iCs/>
          <w:sz w:val="24"/>
          <w:szCs w:val="24"/>
        </w:rPr>
      </w:pPr>
    </w:p>
    <w:p w14:paraId="739332A2" w14:textId="778D3AB3" w:rsidR="007C1B8B" w:rsidRPr="007C1B8B" w:rsidRDefault="007C1B8B" w:rsidP="007C1B8B">
      <w:pPr>
        <w:jc w:val="right"/>
        <w:rPr>
          <w:rFonts w:ascii="Times New Roman" w:eastAsia="Calibri" w:hAnsi="Times New Roman" w:cs="Times New Roman"/>
          <w:bCs/>
          <w:iCs/>
          <w:sz w:val="24"/>
          <w:szCs w:val="24"/>
        </w:rPr>
      </w:pPr>
      <w:r w:rsidRPr="007C1B8B">
        <w:rPr>
          <w:rFonts w:ascii="Times New Roman" w:eastAsia="Calibri" w:hAnsi="Times New Roman" w:cs="Times New Roman"/>
          <w:bCs/>
          <w:iCs/>
          <w:sz w:val="24"/>
          <w:szCs w:val="24"/>
        </w:rPr>
        <w:t>Zdroj: Centrum právnej pomoci</w:t>
      </w:r>
    </w:p>
    <w:p w14:paraId="6763AC26" w14:textId="120D1512" w:rsidR="00F26B92" w:rsidRPr="007C1B8B" w:rsidRDefault="007C1B8B" w:rsidP="007C1B8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Dopady regulácie však nie je možné vyčísliť, preto je zhodnotená ako „iné vplyvy na podnikateľské prostredie“.</w:t>
      </w:r>
    </w:p>
    <w:p w14:paraId="22C948D3" w14:textId="42A4F0A8" w:rsidR="007C1B8B" w:rsidRPr="008A0539" w:rsidRDefault="007C1B8B" w:rsidP="008A0539">
      <w:pPr>
        <w:spacing w:after="0" w:line="240" w:lineRule="auto"/>
        <w:rPr>
          <w:rFonts w:ascii="Times New Roman" w:eastAsia="Times New Roman" w:hAnsi="Times New Roman" w:cs="Times New Roman"/>
          <w:sz w:val="28"/>
          <w:szCs w:val="28"/>
          <w:lang w:eastAsia="sk-SK"/>
        </w:rPr>
      </w:pPr>
    </w:p>
    <w:sectPr w:rsidR="007C1B8B" w:rsidRPr="008A0539"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F2C3A" w14:textId="77777777" w:rsidR="000D270B" w:rsidRDefault="000D270B" w:rsidP="00054C41">
      <w:pPr>
        <w:spacing w:after="0" w:line="240" w:lineRule="auto"/>
      </w:pPr>
      <w:r>
        <w:separator/>
      </w:r>
    </w:p>
  </w:endnote>
  <w:endnote w:type="continuationSeparator" w:id="0">
    <w:p w14:paraId="6C6CCDDD" w14:textId="77777777" w:rsidR="000D270B" w:rsidRDefault="000D270B"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EE"/>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5EA09D90" w:rsidR="00D57698" w:rsidRPr="006045CB" w:rsidRDefault="00D57698"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CA04C4">
          <w:rPr>
            <w:rFonts w:ascii="Times New Roman" w:hAnsi="Times New Roman" w:cs="Times New Roman"/>
            <w:noProof/>
            <w:sz w:val="24"/>
            <w:szCs w:val="24"/>
          </w:rPr>
          <w:t>6</w:t>
        </w:r>
        <w:r w:rsidRPr="006045CB">
          <w:rPr>
            <w:rFonts w:ascii="Times New Roman" w:hAnsi="Times New Roman" w:cs="Times New Roman"/>
            <w:sz w:val="24"/>
            <w:szCs w:val="24"/>
          </w:rPr>
          <w:fldChar w:fldCharType="end"/>
        </w:r>
      </w:p>
    </w:sdtContent>
  </w:sdt>
  <w:p w14:paraId="4556761F" w14:textId="77777777" w:rsidR="00D57698" w:rsidRPr="00FF7125" w:rsidRDefault="00D57698" w:rsidP="00054C41">
    <w:pPr>
      <w:pStyle w:val="Pta"/>
      <w:rPr>
        <w:sz w:val="24"/>
        <w:szCs w:val="24"/>
      </w:rPr>
    </w:pPr>
  </w:p>
  <w:p w14:paraId="20FE6A4A" w14:textId="77777777" w:rsidR="00D57698" w:rsidRDefault="00D5769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9ACCA" w14:textId="77777777" w:rsidR="000D270B" w:rsidRDefault="000D270B" w:rsidP="00054C41">
      <w:pPr>
        <w:spacing w:after="0" w:line="240" w:lineRule="auto"/>
      </w:pPr>
      <w:r>
        <w:separator/>
      </w:r>
    </w:p>
  </w:footnote>
  <w:footnote w:type="continuationSeparator" w:id="0">
    <w:p w14:paraId="53DD66D0" w14:textId="77777777" w:rsidR="000D270B" w:rsidRDefault="000D270B" w:rsidP="00054C41">
      <w:pPr>
        <w:spacing w:after="0" w:line="240" w:lineRule="auto"/>
      </w:pPr>
      <w:r>
        <w:continuationSeparator/>
      </w:r>
    </w:p>
  </w:footnote>
  <w:footnote w:id="1">
    <w:p w14:paraId="6CC680CB" w14:textId="6BF8CDC6" w:rsidR="00D57698" w:rsidRPr="000A6B7F" w:rsidRDefault="00D57698"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06022F8F" w:rsidR="00D57698" w:rsidRPr="00804BC8" w:rsidRDefault="00D57698"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Informácie sa uvádzajú  iba v</w:t>
      </w:r>
      <w:r w:rsidR="00233275">
        <w:rPr>
          <w:rFonts w:ascii="Times New Roman" w:hAnsi="Times New Roman" w:cs="Times New Roman"/>
        </w:rPr>
        <w:t xml:space="preserve"> </w:t>
      </w:r>
      <w:r w:rsidRPr="00804BC8">
        <w:rPr>
          <w:rFonts w:ascii="Times New Roman" w:hAnsi="Times New Roman" w:cs="Times New Roman"/>
        </w:rPr>
        <w:t xml:space="preserve">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D57698" w:rsidRDefault="00D57698"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7777777" w:rsidR="00D57698" w:rsidRPr="006045CB" w:rsidRDefault="00D57698"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D57698" w:rsidRPr="006045CB" w:rsidRDefault="00D57698"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260C4"/>
    <w:multiLevelType w:val="hybridMultilevel"/>
    <w:tmpl w:val="50CE49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3A43B5E"/>
    <w:multiLevelType w:val="hybridMultilevel"/>
    <w:tmpl w:val="E1423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17D5D8B"/>
    <w:multiLevelType w:val="hybridMultilevel"/>
    <w:tmpl w:val="9DC4E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12"/>
  </w:num>
  <w:num w:numId="3">
    <w:abstractNumId w:val="13"/>
  </w:num>
  <w:num w:numId="4">
    <w:abstractNumId w:val="11"/>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6"/>
  </w:num>
  <w:num w:numId="12">
    <w:abstractNumId w:val="0"/>
  </w:num>
  <w:num w:numId="13">
    <w:abstractNumId w:val="14"/>
  </w:num>
  <w:num w:numId="14">
    <w:abstractNumId w:val="8"/>
  </w:num>
  <w:num w:numId="15">
    <w:abstractNumId w:val="4"/>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03C24"/>
    <w:rsid w:val="00016399"/>
    <w:rsid w:val="0002425A"/>
    <w:rsid w:val="00024EE4"/>
    <w:rsid w:val="00047C70"/>
    <w:rsid w:val="00050AAB"/>
    <w:rsid w:val="00054A53"/>
    <w:rsid w:val="00054C41"/>
    <w:rsid w:val="00060DA1"/>
    <w:rsid w:val="00061E85"/>
    <w:rsid w:val="000820E0"/>
    <w:rsid w:val="00091A43"/>
    <w:rsid w:val="0009490E"/>
    <w:rsid w:val="000A6B7F"/>
    <w:rsid w:val="000C5419"/>
    <w:rsid w:val="000C5E9A"/>
    <w:rsid w:val="000D11A6"/>
    <w:rsid w:val="000D15F0"/>
    <w:rsid w:val="000D270B"/>
    <w:rsid w:val="000E778C"/>
    <w:rsid w:val="0011003B"/>
    <w:rsid w:val="001133DA"/>
    <w:rsid w:val="00126A2B"/>
    <w:rsid w:val="00142154"/>
    <w:rsid w:val="001476A4"/>
    <w:rsid w:val="00162C6C"/>
    <w:rsid w:val="0016512E"/>
    <w:rsid w:val="0018715C"/>
    <w:rsid w:val="001A1561"/>
    <w:rsid w:val="001A1F95"/>
    <w:rsid w:val="001B4C03"/>
    <w:rsid w:val="001C7B91"/>
    <w:rsid w:val="001D1083"/>
    <w:rsid w:val="001D3FA0"/>
    <w:rsid w:val="001E24E8"/>
    <w:rsid w:val="001E53CB"/>
    <w:rsid w:val="00207F43"/>
    <w:rsid w:val="002232D3"/>
    <w:rsid w:val="00225A83"/>
    <w:rsid w:val="00231B8F"/>
    <w:rsid w:val="00233275"/>
    <w:rsid w:val="00270EA5"/>
    <w:rsid w:val="002712B9"/>
    <w:rsid w:val="00284B8C"/>
    <w:rsid w:val="00287E52"/>
    <w:rsid w:val="00290216"/>
    <w:rsid w:val="0029483F"/>
    <w:rsid w:val="002C11B4"/>
    <w:rsid w:val="002C1EA9"/>
    <w:rsid w:val="002C2FC0"/>
    <w:rsid w:val="002E04B4"/>
    <w:rsid w:val="00302A17"/>
    <w:rsid w:val="0030723C"/>
    <w:rsid w:val="00314D25"/>
    <w:rsid w:val="00315BE2"/>
    <w:rsid w:val="003322EE"/>
    <w:rsid w:val="00337630"/>
    <w:rsid w:val="00340CFD"/>
    <w:rsid w:val="003413D5"/>
    <w:rsid w:val="00342621"/>
    <w:rsid w:val="00357F22"/>
    <w:rsid w:val="0036748D"/>
    <w:rsid w:val="00376039"/>
    <w:rsid w:val="0038255E"/>
    <w:rsid w:val="0038695E"/>
    <w:rsid w:val="00391648"/>
    <w:rsid w:val="0039304E"/>
    <w:rsid w:val="0039334E"/>
    <w:rsid w:val="00394AD2"/>
    <w:rsid w:val="003A02AF"/>
    <w:rsid w:val="003A3124"/>
    <w:rsid w:val="003A686F"/>
    <w:rsid w:val="003E58B8"/>
    <w:rsid w:val="003F06D7"/>
    <w:rsid w:val="00400224"/>
    <w:rsid w:val="00400BA5"/>
    <w:rsid w:val="00403060"/>
    <w:rsid w:val="00410E62"/>
    <w:rsid w:val="00414FA7"/>
    <w:rsid w:val="00420090"/>
    <w:rsid w:val="004239D1"/>
    <w:rsid w:val="00430BFB"/>
    <w:rsid w:val="00445638"/>
    <w:rsid w:val="00446432"/>
    <w:rsid w:val="00446512"/>
    <w:rsid w:val="00466462"/>
    <w:rsid w:val="00466D7A"/>
    <w:rsid w:val="0048237B"/>
    <w:rsid w:val="00484D16"/>
    <w:rsid w:val="00485A69"/>
    <w:rsid w:val="00491853"/>
    <w:rsid w:val="004A14CD"/>
    <w:rsid w:val="004A2C6B"/>
    <w:rsid w:val="004D20CB"/>
    <w:rsid w:val="004D4604"/>
    <w:rsid w:val="004D65B2"/>
    <w:rsid w:val="004D681D"/>
    <w:rsid w:val="004E2324"/>
    <w:rsid w:val="004F63E6"/>
    <w:rsid w:val="005103DA"/>
    <w:rsid w:val="00511F8F"/>
    <w:rsid w:val="00512BA7"/>
    <w:rsid w:val="00515726"/>
    <w:rsid w:val="00562527"/>
    <w:rsid w:val="00562A1E"/>
    <w:rsid w:val="00563427"/>
    <w:rsid w:val="00581EB9"/>
    <w:rsid w:val="005B4E6E"/>
    <w:rsid w:val="005B56E4"/>
    <w:rsid w:val="005C795C"/>
    <w:rsid w:val="005D0E50"/>
    <w:rsid w:val="005D13CF"/>
    <w:rsid w:val="005D39D8"/>
    <w:rsid w:val="0061097B"/>
    <w:rsid w:val="0061612F"/>
    <w:rsid w:val="006177C8"/>
    <w:rsid w:val="0062600A"/>
    <w:rsid w:val="0063777D"/>
    <w:rsid w:val="0064266B"/>
    <w:rsid w:val="00643358"/>
    <w:rsid w:val="00646084"/>
    <w:rsid w:val="006564C3"/>
    <w:rsid w:val="006578CB"/>
    <w:rsid w:val="00670DF0"/>
    <w:rsid w:val="00692D95"/>
    <w:rsid w:val="006A4E85"/>
    <w:rsid w:val="006A60C0"/>
    <w:rsid w:val="006A712F"/>
    <w:rsid w:val="006B5D74"/>
    <w:rsid w:val="006C25BE"/>
    <w:rsid w:val="006D7AD8"/>
    <w:rsid w:val="006F1D57"/>
    <w:rsid w:val="0070364C"/>
    <w:rsid w:val="00710EDF"/>
    <w:rsid w:val="0072221D"/>
    <w:rsid w:val="0072357C"/>
    <w:rsid w:val="007259CB"/>
    <w:rsid w:val="00726031"/>
    <w:rsid w:val="00751DA9"/>
    <w:rsid w:val="00755E69"/>
    <w:rsid w:val="007648EE"/>
    <w:rsid w:val="0077106D"/>
    <w:rsid w:val="00780ACC"/>
    <w:rsid w:val="00787A11"/>
    <w:rsid w:val="00797B40"/>
    <w:rsid w:val="007A0C9D"/>
    <w:rsid w:val="007B40FB"/>
    <w:rsid w:val="007B4739"/>
    <w:rsid w:val="007B62AF"/>
    <w:rsid w:val="007C1B8B"/>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16CC"/>
    <w:rsid w:val="00882407"/>
    <w:rsid w:val="008920C3"/>
    <w:rsid w:val="00894052"/>
    <w:rsid w:val="008A0539"/>
    <w:rsid w:val="008A7B87"/>
    <w:rsid w:val="008B4AA1"/>
    <w:rsid w:val="008C1C71"/>
    <w:rsid w:val="008C40BE"/>
    <w:rsid w:val="008C4EC9"/>
    <w:rsid w:val="008E1AD0"/>
    <w:rsid w:val="008E315F"/>
    <w:rsid w:val="008E6B82"/>
    <w:rsid w:val="008F6ADE"/>
    <w:rsid w:val="0091269B"/>
    <w:rsid w:val="00923C0C"/>
    <w:rsid w:val="0095170D"/>
    <w:rsid w:val="00952CF6"/>
    <w:rsid w:val="00960413"/>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1736E"/>
    <w:rsid w:val="00A216DF"/>
    <w:rsid w:val="00A24B62"/>
    <w:rsid w:val="00A33F2C"/>
    <w:rsid w:val="00A4317D"/>
    <w:rsid w:val="00A50EE3"/>
    <w:rsid w:val="00A82994"/>
    <w:rsid w:val="00A83E11"/>
    <w:rsid w:val="00A85A46"/>
    <w:rsid w:val="00A94A0F"/>
    <w:rsid w:val="00AA3C6D"/>
    <w:rsid w:val="00AB57C4"/>
    <w:rsid w:val="00B11CF5"/>
    <w:rsid w:val="00B209FA"/>
    <w:rsid w:val="00B21D1F"/>
    <w:rsid w:val="00B410BA"/>
    <w:rsid w:val="00B43D68"/>
    <w:rsid w:val="00B44A3A"/>
    <w:rsid w:val="00B5600C"/>
    <w:rsid w:val="00B66E33"/>
    <w:rsid w:val="00B72FB1"/>
    <w:rsid w:val="00B87333"/>
    <w:rsid w:val="00B953DA"/>
    <w:rsid w:val="00BA19B0"/>
    <w:rsid w:val="00BA6947"/>
    <w:rsid w:val="00BB3870"/>
    <w:rsid w:val="00BB45A7"/>
    <w:rsid w:val="00BD0EF7"/>
    <w:rsid w:val="00BD6778"/>
    <w:rsid w:val="00C01599"/>
    <w:rsid w:val="00C048D1"/>
    <w:rsid w:val="00C05563"/>
    <w:rsid w:val="00C11132"/>
    <w:rsid w:val="00C115B9"/>
    <w:rsid w:val="00C12FDD"/>
    <w:rsid w:val="00C145AA"/>
    <w:rsid w:val="00C14655"/>
    <w:rsid w:val="00C21399"/>
    <w:rsid w:val="00C446E2"/>
    <w:rsid w:val="00C535F5"/>
    <w:rsid w:val="00C560C4"/>
    <w:rsid w:val="00C6748F"/>
    <w:rsid w:val="00C74337"/>
    <w:rsid w:val="00C75DC8"/>
    <w:rsid w:val="00C84008"/>
    <w:rsid w:val="00C929AE"/>
    <w:rsid w:val="00C937B6"/>
    <w:rsid w:val="00CA04C4"/>
    <w:rsid w:val="00CA4344"/>
    <w:rsid w:val="00CA610D"/>
    <w:rsid w:val="00CA6348"/>
    <w:rsid w:val="00CB1232"/>
    <w:rsid w:val="00CB17A0"/>
    <w:rsid w:val="00CC3B7D"/>
    <w:rsid w:val="00CD5AE4"/>
    <w:rsid w:val="00CD5E86"/>
    <w:rsid w:val="00CE3B21"/>
    <w:rsid w:val="00CF4D09"/>
    <w:rsid w:val="00D005F2"/>
    <w:rsid w:val="00D03938"/>
    <w:rsid w:val="00D03A8E"/>
    <w:rsid w:val="00D114ED"/>
    <w:rsid w:val="00D3032C"/>
    <w:rsid w:val="00D31A3B"/>
    <w:rsid w:val="00D5309D"/>
    <w:rsid w:val="00D57698"/>
    <w:rsid w:val="00D631FA"/>
    <w:rsid w:val="00D71064"/>
    <w:rsid w:val="00D811BB"/>
    <w:rsid w:val="00D82356"/>
    <w:rsid w:val="00D84EEE"/>
    <w:rsid w:val="00D90A61"/>
    <w:rsid w:val="00D946EF"/>
    <w:rsid w:val="00D95553"/>
    <w:rsid w:val="00DA31C4"/>
    <w:rsid w:val="00DC355F"/>
    <w:rsid w:val="00DD0597"/>
    <w:rsid w:val="00DD1E4C"/>
    <w:rsid w:val="00DE331A"/>
    <w:rsid w:val="00DE6ACB"/>
    <w:rsid w:val="00DF02CE"/>
    <w:rsid w:val="00DF1462"/>
    <w:rsid w:val="00E009CD"/>
    <w:rsid w:val="00E030DA"/>
    <w:rsid w:val="00E214C0"/>
    <w:rsid w:val="00E30D85"/>
    <w:rsid w:val="00E366CC"/>
    <w:rsid w:val="00E444EB"/>
    <w:rsid w:val="00E7235E"/>
    <w:rsid w:val="00E77A69"/>
    <w:rsid w:val="00E81A42"/>
    <w:rsid w:val="00E961E8"/>
    <w:rsid w:val="00E96244"/>
    <w:rsid w:val="00E96DE0"/>
    <w:rsid w:val="00EB2BEC"/>
    <w:rsid w:val="00EB74BF"/>
    <w:rsid w:val="00EC0704"/>
    <w:rsid w:val="00EC508B"/>
    <w:rsid w:val="00ED6B5D"/>
    <w:rsid w:val="00EE4C99"/>
    <w:rsid w:val="00EE572D"/>
    <w:rsid w:val="00F1317C"/>
    <w:rsid w:val="00F153D7"/>
    <w:rsid w:val="00F1599C"/>
    <w:rsid w:val="00F2433F"/>
    <w:rsid w:val="00F244DC"/>
    <w:rsid w:val="00F26B92"/>
    <w:rsid w:val="00F378F4"/>
    <w:rsid w:val="00F47912"/>
    <w:rsid w:val="00F541B6"/>
    <w:rsid w:val="00F57702"/>
    <w:rsid w:val="00F61361"/>
    <w:rsid w:val="00F613E8"/>
    <w:rsid w:val="00F74D3C"/>
    <w:rsid w:val="00F74FC9"/>
    <w:rsid w:val="00F91F47"/>
    <w:rsid w:val="00FA4F36"/>
    <w:rsid w:val="00FA6FFE"/>
    <w:rsid w:val="00FA71E2"/>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D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468744531">
      <w:bodyDiv w:val="1"/>
      <w:marLeft w:val="0"/>
      <w:marRight w:val="0"/>
      <w:marTop w:val="0"/>
      <w:marBottom w:val="0"/>
      <w:divBdr>
        <w:top w:val="none" w:sz="0" w:space="0" w:color="auto"/>
        <w:left w:val="none" w:sz="0" w:space="0" w:color="auto"/>
        <w:bottom w:val="none" w:sz="0" w:space="0" w:color="auto"/>
        <w:right w:val="none" w:sz="0" w:space="0" w:color="auto"/>
      </w:divBdr>
    </w:div>
    <w:div w:id="540242945">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33144535">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6.3.-analyza_vplyvy_PP-(CPP)-MPK-final"/>
    <f:field ref="objsubject" par="" edit="true" text=""/>
    <f:field ref="objcreatedby" par="" text="Lanáková, Viera"/>
    <f:field ref="objcreatedat" par="" text="21.8.2024 14:11:18"/>
    <f:field ref="objchangedby" par="" text="Administrator, System"/>
    <f:field ref="objmodifiedat" par="" text="21.8.2024 14:11: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2C21EEA-86B9-41BA-9FB7-F822DBB8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1761</Words>
  <Characters>10042</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2024-10-23T06:24:00Z</dcterms:created>
  <dcterms:modified xsi:type="dcterms:W3CDTF">2024-11-06T12:30:00Z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Viera Lanáková</vt:lpwstr>
  </property>
  <property fmtid="{D5CDD505-2E9C-101B-9397-08002B2CF9AE}" pid="12" name="FSC#SKEDITIONSLOVLEX@103.510:zodppredkladatel">
    <vt:lpwstr>Boris Susko</vt:lpwstr>
  </property>
  <property fmtid="{D5CDD505-2E9C-101B-9397-08002B2CF9AE}" pid="13" name="FSC#SKEDITIONSLOVLEX@103.510:dalsipredkladatel">
    <vt:lpwstr/>
  </property>
  <property fmtid="{D5CDD505-2E9C-101B-9397-08002B2CF9AE}" pid="14" name="FSC#SKEDITIONSLOVLEX@103.510:nazovpredpis">
    <vt:lpwstr>, ktorým sa mení a dopĺňa zákon č. 327/2005 Z. z. o poskytovaní právnej pomoci osobám v materiálnej núdzi a o zmene a doplnení zákona č. 586/2003 Z. z. o advokácii a o zmene a doplnení zákona č. 455/1991 Zb. o živnostenskom podnikaní (živnostenský zákon)</vt:lpwstr>
  </property>
  <property fmtid="{D5CDD505-2E9C-101B-9397-08002B2CF9AE}" pid="15" name="FSC#SKEDITIONSLOVLEX@103.510:nazovpredpis1">
    <vt:lpwstr> v znení neskorších predpisov v znení zákona č. 8/2005 Z. z. v znení neskorších predpisov a ktorým sa menia a dopĺňajú niektoré zákony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2024_x000d_
</vt:lpwstr>
  </property>
  <property fmtid="{D5CDD505-2E9C-101B-9397-08002B2CF9AE}" pid="23" name="FSC#SKEDITIONSLOVLEX@103.510:plnynazovpredpis">
    <vt:lpwstr> Zákon, ktorým sa mení a dopĺňa zákon č. 327/2005 Z. z. o poskytovaní právnej pomoci osobám v materiálnej núdzi a o zmene a doplnení zákona č. 586/2003 Z. z. o advokácii a o zmene a doplnení zákona č. 455/1991 Zb. o živnostenskom podnikaní (živnostenský z</vt:lpwstr>
  </property>
  <property fmtid="{D5CDD505-2E9C-101B-9397-08002B2CF9AE}" pid="24" name="FSC#SKEDITIONSLOVLEX@103.510:plnynazovpredpis1">
    <vt:lpwstr>ákon) v znení neskorších predpisov v znení zákona č. 8/2005 Z. z. v znení neskorších predpisov a ktorým sa menia a dopĺňajú niektoré zákony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S-MSSR-008722/2024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LP/2024/428</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78 a 81 Zmluvy o fungovaní Európskej únie.</vt:lpwstr>
  </property>
  <property fmtid="{D5CDD505-2E9C-101B-9397-08002B2CF9AE}" pid="47" name="FSC#SKEDITIONSLOVLEX@103.510:AttrStrListDocPropSekundarneLegPravoPO">
    <vt:lpwstr>Nariadenie Rady (ES) 4/2009 z 18. decembra 2008 o právomoci, rozhodnom práve, uznávaní a výkone rozhodnutí a o spolupráci vo veciach vyživovacej povinnosti (Ú. v. EÚ L 7, 10. 1. 2009).   Smernica Rady 2003/8/ES z 27. januára 2003 o zlepšení prístupu k spr</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Rozsudok Súdneho dvora (veľká komora) z 30. novembra 2009 (návrh na začatie prejudiciálneho konania, ktorý podal Administrativen sad Sofia-grad - Bulharsko) - Said Shamilovich Kadzoev (Chučbarov) vo veci C-357/09.  Rozsudok Súdneho dvora (druhá komora) z </vt:lpwstr>
  </property>
  <property fmtid="{D5CDD505-2E9C-101B-9397-08002B2CF9AE}" pid="52" name="FSC#SKEDITIONSLOVLEX@103.510:AttrStrListDocPropLehotaPrebratieSmernice">
    <vt:lpwstr>Smernica Rady 2003/8/ES – 31. december 2005 _x000d_
_x000d_
Smernica Európskeho parlamentu a Rady 2008/115/ES - 24. december 2010; (článok 13 ods. 4 -  24. december 2011)_x000d_
_x000d_
Smernica Európskeho parlamentu a Rady 2013/32/EÚ – 20. júl 2015;  _x000d_
(článok 31 ods. 3 až 5 -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bezpredmetné</vt:lpwstr>
  </property>
  <property fmtid="{D5CDD505-2E9C-101B-9397-08002B2CF9AE}" pid="55" name="FSC#SKEDITIONSLOVLEX@103.510:AttrStrListDocPropInfoUzPreberanePP">
    <vt:lpwstr>Smernica Rady 2003/8/ES:_x000d_
- zákon č. 327/2005 Z. z. o poskytovaní právnej pomoci osobám v materiálnej núdzi_x000d_
 a o zmene a doplnení zákona č. 586/2003 Z. z. o advokácii a o zmene a doplnení zákona _x000d_
č. 455/1991 Zb. o živnostenskom podnikaní (živnostenský z</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9. 8. 2024</vt:lpwstr>
  </property>
  <property fmtid="{D5CDD505-2E9C-101B-9397-08002B2CF9AE}" pid="59" name="FSC#SKEDITIONSLOVLEX@103.510:AttrDateDocPropUkonceniePKK">
    <vt:lpwstr/>
  </property>
  <property fmtid="{D5CDD505-2E9C-101B-9397-08002B2CF9AE}" pid="60" name="FSC#SKEDITIONSLOVLEX@103.510:AttrStrDocPropVplyvRozpocetVS">
    <vt:lpwstr>Pozitívne</vt:lpwstr>
  </property>
  <property fmtid="{D5CDD505-2E9C-101B-9397-08002B2CF9AE}" pid="61" name="FSC#SKEDITIONSLOVLEX@103.510:AttrStrDocPropVplyvPodnikatelskeProstr">
    <vt:lpwstr>Pozitívne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K preskúmaniu účinnosti a účelnosti návrhu zákona dôjde po uplynutí dvoch rokov od nadobudnutia účinnosti návrhu zákona, a&amp;nbsp;to na základe údajov vedených v novom informačnom systéme centra v porovnaní s aktuálnymi údajmi, ktoré má centrum k&amp;nbsp;dispo</vt:lpwstr>
  </property>
  <property fmtid="{D5CDD505-2E9C-101B-9397-08002B2CF9AE}" pid="66" name="FSC#SKEDITIONSLOVLEX@103.510:AttrStrListDocPropAltRiesenia">
    <vt:lpwstr>Pri posudzovaní riešenej problematiky sa uplatňuje nulový variant, nakoľko bez prijatia navrhovanej právnej úpravy by nedošlo k rozšíreniu okruhu oprávnených osôb, ktoré by spadali do pôsobnosti centra, a rovnako tak k rozšíreniu okruhu pôsobnosti vo vzťa</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Boris Susko_x000d_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justify;"&gt;&amp;nbsp; &amp;nbsp; &amp;nbsp; &amp;nbsp; &amp;nbsp; &amp;nbsp;Ministerstvo spravodlivosti Slovenskej republiky do medzirezortného pripomienkového konania návrh zákona, ktorým sa mení a dopĺňa zákon č. 327/2005 Z. z. o&amp;nbsp;poskytovaní právnej p</vt:lpwstr>
  </property>
  <property fmtid="{D5CDD505-2E9C-101B-9397-08002B2CF9AE}" pid="150" name="FSC#SKEDITIONSLOVLEX@103.510:vytvorenedna">
    <vt:lpwstr>21. 8. 2024</vt:lpwstr>
  </property>
  <property fmtid="{D5CDD505-2E9C-101B-9397-08002B2CF9AE}" pid="151" name="FSC#COOSYSTEM@1.1:Container">
    <vt:lpwstr>COO.2145.1000.3.6321512</vt:lpwstr>
  </property>
  <property fmtid="{D5CDD505-2E9C-101B-9397-08002B2CF9AE}" pid="152" name="FSC#FSCFOLIO@1.1001:docpropproject">
    <vt:lpwstr/>
  </property>
</Properties>
</file>