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FA7CC" w14:textId="2DB45599" w:rsidR="00A97A7F" w:rsidRDefault="009D0D54" w:rsidP="009D0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14:paraId="1A49D424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57D" w14:textId="35ED235C" w:rsidR="009D0D54" w:rsidRDefault="009D0D54" w:rsidP="00E94E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D0D54">
        <w:rPr>
          <w:rFonts w:ascii="Times New Roman" w:hAnsi="Times New Roman" w:cs="Times New Roman"/>
          <w:b/>
          <w:bCs/>
          <w:sz w:val="24"/>
          <w:szCs w:val="24"/>
        </w:rPr>
        <w:tab/>
        <w:t>Všeobecná časť</w:t>
      </w:r>
    </w:p>
    <w:p w14:paraId="279D9679" w14:textId="63BFB041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06721A">
        <w:rPr>
          <w:rFonts w:ascii="Times New Roman" w:hAnsi="Times New Roman" w:cs="Times New Roman"/>
          <w:sz w:val="24"/>
          <w:szCs w:val="24"/>
        </w:rPr>
        <w:t>Predložený návrh zákona, ktorým sa mení a dopĺňa zákon č. 595/2003 Z. z. o dani z príjmov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1A">
        <w:rPr>
          <w:rFonts w:ascii="Times New Roman" w:hAnsi="Times New Roman" w:cs="Times New Roman"/>
          <w:sz w:val="24"/>
          <w:szCs w:val="24"/>
        </w:rPr>
        <w:t>(ďalej len „návrh zákona“) predkladajú  na rokovanie Národnej rady Slovenskej republiky poslanci Národnej rady Slovenskej republiky Anna ZÁBORSKÁ a Richard VAŠEČKA.</w:t>
      </w:r>
    </w:p>
    <w:p w14:paraId="29B775A8" w14:textId="2F2B6A90" w:rsidR="0072300B" w:rsidRPr="009D0D54" w:rsidRDefault="0072300B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Zníženie daňového bonusu bez ohľadu na počet detí, ktoré bolo súčasťou 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prijatého </w:t>
      </w:r>
      <w:r w:rsidRPr="009D0D54">
        <w:rPr>
          <w:rFonts w:ascii="Times New Roman" w:hAnsi="Times New Roman" w:cs="Times New Roman"/>
          <w:sz w:val="24"/>
          <w:szCs w:val="24"/>
        </w:rPr>
        <w:t>konsolid</w:t>
      </w:r>
      <w:r w:rsidR="00DC4660" w:rsidRPr="009D0D54">
        <w:rPr>
          <w:rFonts w:ascii="Times New Roman" w:hAnsi="Times New Roman" w:cs="Times New Roman"/>
          <w:sz w:val="24"/>
          <w:szCs w:val="24"/>
        </w:rPr>
        <w:t>ačného balíka bude mať neprimeraný vplyv na väčšie rodiny.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Vláda zaviedla krátenie sumy daňového bonusu pre daňovníkov, pričom daňovníkom s hrubým príjmom vyšším ako 3 632 eur v dôsledku krátenia sumy daňového bonusu nevznikne nárok na daňový bonus, a to bez ohľadu na počet detí, keďže krátenie sumy sa uplatňuje na každé jedno dieťa samostatne. 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Maximálny daňový bonus si budú môcť uplatniť iba rodičia, ktorí zarábajú maximálne 1,5-násobok priemernej mzdy. To bude na budúci rok 2 477 eur, od tejto hranice bude postupne daňový bonus klesať. Ak príjmy prekročia 3 632 eur, nárok na bonus zanikne úplne. </w:t>
      </w:r>
      <w:r w:rsidR="00A97A7F" w:rsidRPr="009D0D54">
        <w:rPr>
          <w:rFonts w:ascii="Times New Roman" w:hAnsi="Times New Roman" w:cs="Times New Roman"/>
          <w:sz w:val="24"/>
          <w:szCs w:val="24"/>
        </w:rPr>
        <w:t xml:space="preserve">Rodiny prídu o stovky eur mesačne, najmä viacdetné. </w:t>
      </w:r>
      <w:r w:rsidR="00DC4660" w:rsidRPr="009D0D54">
        <w:rPr>
          <w:rFonts w:ascii="Times New Roman" w:hAnsi="Times New Roman" w:cs="Times New Roman"/>
          <w:sz w:val="24"/>
          <w:szCs w:val="24"/>
        </w:rPr>
        <w:t>Takéto určenie sumy daňového bonusu je nespravodlivé, keďže je rozdiel, či sa z takejto mzdy daňovníci starajú o jedno dieťa alebo tri a viac detí.</w:t>
      </w:r>
    </w:p>
    <w:p w14:paraId="777841A1" w14:textId="26883E1E" w:rsidR="0072300B" w:rsidRPr="009D0D54" w:rsidRDefault="0072300B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Na Slovensku je nízka pôrodnosť, čo sa</w:t>
      </w:r>
      <w:r w:rsidR="0006721A">
        <w:rPr>
          <w:rFonts w:ascii="Times New Roman" w:hAnsi="Times New Roman" w:cs="Times New Roman"/>
          <w:sz w:val="24"/>
          <w:szCs w:val="24"/>
        </w:rPr>
        <w:t xml:space="preserve"> </w:t>
      </w:r>
      <w:r w:rsidRPr="009D0D54">
        <w:rPr>
          <w:rFonts w:ascii="Times New Roman" w:hAnsi="Times New Roman" w:cs="Times New Roman"/>
          <w:sz w:val="24"/>
          <w:szCs w:val="24"/>
        </w:rPr>
        <w:t>v najbližšej dobe odrazí rýchlym starnutím obyvateľstva. S rastúcim podielom starších občanov sa zníži počet obyvateľov v produktívnom veku, čím vznikne nerovnováha v závislosti, ktorá následne zvýši finančné zaťaženie štátu. Početnejšie rodiny prispievajú k zvýšeniu pôrodnosti, čim pomáhajú udržiavať mladšiu demografiu, ktorá môže podporovať starnúce obyvateľstvo a znížiť dlhodobý tlak na sociálny a dôchodkový systém. Politikou, ktorá podporuje viacpočetné rodiny môže vláda zabezpečiť stabilný prísun budúcich pracovníkov, ktorý je nevyhnutný na udržanie dynamického hospodárstva, prilákanie zahraničných investícií a zabezpečenie udržateľného hospodárskeho rastu.</w:t>
      </w:r>
    </w:p>
    <w:p w14:paraId="6D066BC9" w14:textId="55DA34E0" w:rsidR="0072300B" w:rsidRDefault="0072300B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Mnohé rodiny dnes váhajú, či mať viac ako jedno alebo dve deti, a to z dôvodu finančnej náročnosti vrátane nákladov na bývanie. </w:t>
      </w:r>
      <w:r w:rsidR="00DC4660" w:rsidRPr="009D0D54">
        <w:rPr>
          <w:rFonts w:ascii="Times New Roman" w:hAnsi="Times New Roman" w:cs="Times New Roman"/>
          <w:sz w:val="24"/>
          <w:szCs w:val="24"/>
        </w:rPr>
        <w:t>Prijat</w:t>
      </w:r>
      <w:r w:rsidR="00251EC9" w:rsidRPr="009D0D54">
        <w:rPr>
          <w:rFonts w:ascii="Times New Roman" w:hAnsi="Times New Roman" w:cs="Times New Roman"/>
          <w:sz w:val="24"/>
          <w:szCs w:val="24"/>
        </w:rPr>
        <w:t>ý konsolidačný balíček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 v súvislosti s</w:t>
      </w:r>
      <w:r w:rsidR="00251EC9" w:rsidRPr="009D0D54">
        <w:rPr>
          <w:rFonts w:ascii="Times New Roman" w:hAnsi="Times New Roman" w:cs="Times New Roman"/>
          <w:sz w:val="24"/>
          <w:szCs w:val="24"/>
        </w:rPr>
        <w:t xml:space="preserve"> ďalšími opatreniami, ktoré zvýšia pravidelné náklady občanov, </w:t>
      </w:r>
      <w:r w:rsidR="00DC4660" w:rsidRPr="009D0D54">
        <w:rPr>
          <w:rFonts w:ascii="Times New Roman" w:hAnsi="Times New Roman" w:cs="Times New Roman"/>
          <w:sz w:val="24"/>
          <w:szCs w:val="24"/>
        </w:rPr>
        <w:t xml:space="preserve">bude mať zásadný vplyv pri rozhodovaní sa rodičov, či sa dokážu postarať o ďalšie dieťa alebo nie. </w:t>
      </w:r>
      <w:r w:rsidRPr="009D0D54">
        <w:rPr>
          <w:rFonts w:ascii="Times New Roman" w:hAnsi="Times New Roman" w:cs="Times New Roman"/>
          <w:sz w:val="24"/>
          <w:szCs w:val="24"/>
        </w:rPr>
        <w:t>Väčšie rodiny čelia obzvlášť vysokým nákladom, čo ich často vedie k obmedzeniu základných potrieb. Poskytovaním cielenej daňovej podpory, ako sú zvýšené daňové úľavy, môže štát zmierniť niektoré z týchto finančných záťaží.  Politika zameraná na rodiny môže pomôcť znížiť chudobu detí, zlepšiť prístup k zdrojom a vytvoriť lepšie podmienky pre deti z viacpočetných rodín. Zároveň vytvorením prostredia priaznivého pre rozvoj rodiny štát podporuje kultúrnu zmenu, ktorá oceňuje a posilňuje rast rodiny. V súčasnej dobe, ktorá sa vyznačuje individualistickým a ekonomicky zameraným myslením, ktoré odrádza ľudí od zakladania väčších rodín je úlohou štátu posilňovať sociálnu súdržnosť a pozitívny pohľad na rozširovanie rodín. Fiškálna politika štátu zameraná na väčšie rodiny je strategickou investíciou do populačnej stability, ekonomickej produktivity a sociálnej súdržnosti našej krajiny.</w:t>
      </w:r>
    </w:p>
    <w:p w14:paraId="3969E01B" w14:textId="4E779D9E" w:rsidR="00775824" w:rsidRPr="00775824" w:rsidRDefault="00775824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775824">
        <w:rPr>
          <w:rFonts w:ascii="Times New Roman" w:hAnsi="Times New Roman" w:cs="Times New Roman"/>
          <w:sz w:val="24"/>
          <w:szCs w:val="24"/>
        </w:rPr>
        <w:t xml:space="preserve">Návrh zákona bude mať negatívny vplyv na verejné financie. Návrh zákona nebude mať vplyv na podnikateľské prostredie, životné prostredie a informatizáciu spoločnosti. Návrh zákona </w:t>
      </w:r>
      <w:r w:rsidRPr="00775824">
        <w:rPr>
          <w:rFonts w:ascii="Times New Roman" w:hAnsi="Times New Roman" w:cs="Times New Roman"/>
          <w:sz w:val="24"/>
          <w:szCs w:val="24"/>
        </w:rPr>
        <w:lastRenderedPageBreak/>
        <w:t>bude mať pozitívny sociálny vplyv. Návrh zákona bude mať pozitívny vplyv na manželstvo, rodičovstvo a rodinu.</w:t>
      </w:r>
    </w:p>
    <w:p w14:paraId="4D7B8BE9" w14:textId="26B7D06F" w:rsidR="0006721A" w:rsidRPr="009D0D54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06721A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32E887D8" w14:textId="77777777" w:rsidR="0072300B" w:rsidRDefault="0072300B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D4483" w14:textId="77777777" w:rsidR="009D0D54" w:rsidRP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D83DD" w14:textId="77777777" w:rsidR="00A97A7F" w:rsidRDefault="00A97A7F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6B5F9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2287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35473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BD4F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D8EA4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CBE9E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D377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80BE1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04A3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6D485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26464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8E278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5668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94446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60260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2D242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8A30D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01647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B0396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B39C4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4BE12" w14:textId="77777777" w:rsidR="00775824" w:rsidRDefault="0077582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6BB62" w14:textId="77777777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F8F9E" w14:textId="77777777" w:rsidR="0006721A" w:rsidRPr="009D0D54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20E18" w14:textId="452553F3" w:rsidR="009D0D54" w:rsidRDefault="009D0D54" w:rsidP="009D0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Osobitná časť</w:t>
      </w:r>
    </w:p>
    <w:p w14:paraId="2620BE69" w14:textId="77777777" w:rsidR="0006721A" w:rsidRDefault="0006721A" w:rsidP="0006721A">
      <w:pPr>
        <w:spacing w:line="240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</w:p>
    <w:p w14:paraId="19A1AF1C" w14:textId="7F6A252A" w:rsidR="0006721A" w:rsidRPr="008917DD" w:rsidRDefault="0006721A" w:rsidP="0006721A">
      <w:pPr>
        <w:spacing w:line="240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Čl. I</w:t>
      </w:r>
    </w:p>
    <w:p w14:paraId="6AC789F4" w14:textId="32476F8E" w:rsidR="0006721A" w:rsidRPr="008917DD" w:rsidRDefault="0006721A" w:rsidP="0006721A">
      <w:pPr>
        <w:spacing w:line="240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K bodu 1</w:t>
      </w:r>
    </w:p>
    <w:p w14:paraId="53743354" w14:textId="2547B51C" w:rsidR="00E94EAA" w:rsidRPr="009D0D54" w:rsidRDefault="00E94EAA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Navrhuje sa, aby sa krátenie sumy daňového bonusu nevzťahovalo na rodičov, ktorí majú 3 a viac detí.</w:t>
      </w:r>
    </w:p>
    <w:p w14:paraId="14870326" w14:textId="77777777" w:rsidR="00E94EAA" w:rsidRDefault="00E94EA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9CD14" w14:textId="4CAD5FF7" w:rsidR="0006721A" w:rsidRPr="008917DD" w:rsidRDefault="0006721A" w:rsidP="0006721A">
      <w:pPr>
        <w:spacing w:line="240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Čl. I</w:t>
      </w:r>
      <w:r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I</w:t>
      </w:r>
    </w:p>
    <w:p w14:paraId="6049A6D8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Tento zákon nadobúda účinnosť dňom vyhlásenia v Zbierke zákonov.</w:t>
      </w:r>
    </w:p>
    <w:p w14:paraId="64DBE4EF" w14:textId="77777777" w:rsidR="009D0D54" w:rsidRP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4C350" w14:textId="77777777" w:rsidR="00E94EAA" w:rsidRDefault="00E94EA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D486A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95630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A3255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7CA77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651EA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87206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F3A08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29947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9A583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2F6BB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0C7E1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712D0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34EF0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7F45B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670EE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D61D8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315A8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B7AE2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0BF09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5A316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2758B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DOLOŽKA ZLUČITEĽNOSTI</w:t>
      </w:r>
    </w:p>
    <w:p w14:paraId="0B845853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Pr="009D0D54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6F3D215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43756" w14:textId="77777777" w:rsid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1. Navrhovateľ zákona:</w:t>
      </w:r>
      <w:r w:rsidRPr="009D0D54">
        <w:rPr>
          <w:rFonts w:ascii="Times New Roman" w:hAnsi="Times New Roman" w:cs="Times New Roman"/>
          <w:sz w:val="24"/>
          <w:szCs w:val="24"/>
        </w:rPr>
        <w:t xml:space="preserve"> poslanci Národnej rady Slovenskej republiky Anna Záborská a Richard Vašečka</w:t>
      </w:r>
    </w:p>
    <w:p w14:paraId="69263760" w14:textId="798F78D8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2. Názov návrhu zákona: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="00356ECF" w:rsidRPr="00356ECF">
        <w:rPr>
          <w:rFonts w:ascii="Times New Roman" w:hAnsi="Times New Roman" w:cs="Times New Roman"/>
          <w:sz w:val="24"/>
          <w:szCs w:val="24"/>
        </w:rPr>
        <w:t xml:space="preserve">ktorým sa mení </w:t>
      </w:r>
      <w:r w:rsidR="0077479F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356ECF" w:rsidRPr="00356ECF">
        <w:rPr>
          <w:rFonts w:ascii="Times New Roman" w:hAnsi="Times New Roman" w:cs="Times New Roman"/>
          <w:sz w:val="24"/>
          <w:szCs w:val="24"/>
        </w:rPr>
        <w:t>zákon č. 595/2003 Z.</w:t>
      </w:r>
      <w:r w:rsidR="0006721A">
        <w:rPr>
          <w:rFonts w:ascii="Times New Roman" w:hAnsi="Times New Roman" w:cs="Times New Roman"/>
          <w:sz w:val="24"/>
          <w:szCs w:val="24"/>
        </w:rPr>
        <w:t xml:space="preserve"> </w:t>
      </w:r>
      <w:r w:rsidR="00356ECF" w:rsidRPr="00356ECF">
        <w:rPr>
          <w:rFonts w:ascii="Times New Roman" w:hAnsi="Times New Roman" w:cs="Times New Roman"/>
          <w:sz w:val="24"/>
          <w:szCs w:val="24"/>
        </w:rPr>
        <w:t>z. o dani z príjmov v znení neskorších predpisov</w:t>
      </w:r>
    </w:p>
    <w:p w14:paraId="0C551CE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3. Predmet návrhu zákona:</w:t>
      </w:r>
    </w:p>
    <w:p w14:paraId="384267F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a) nie je upravený v primárnom práve Európskej únie,</w:t>
      </w:r>
    </w:p>
    <w:p w14:paraId="669B4259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b) nie je upravený v sekundárnom práve Európskej únie,</w:t>
      </w:r>
    </w:p>
    <w:p w14:paraId="6D4D4571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c) nie je obsiahnutý v judikatúre Súdneho dvora Európskej únie. </w:t>
      </w:r>
    </w:p>
    <w:p w14:paraId="486DFC95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4.Záväzky Slovenskej republiky vo vzťahu k Európskej únii:</w:t>
      </w:r>
    </w:p>
    <w:p w14:paraId="3E7FB5C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Bezpredmetné</w:t>
      </w:r>
    </w:p>
    <w:p w14:paraId="446D3802" w14:textId="30E1AB34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5.Návrh zákona je zlučiteľný s právom Európskej únie</w:t>
      </w:r>
      <w:r w:rsidR="007758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0A7EB8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Stupeň zlučiteľnosti - úplný</w:t>
      </w:r>
    </w:p>
    <w:p w14:paraId="06AC1218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ECD8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E9CD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3A8D0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0230F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DB4B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AA825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1813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6D26D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3895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7F3F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646A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085C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8DD5C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109DB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404ED" w14:textId="77777777" w:rsidR="009D0D54" w:rsidRPr="009D0D54" w:rsidRDefault="009D0D54" w:rsidP="009D0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DE75E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DOLOŽKA</w:t>
      </w:r>
    </w:p>
    <w:p w14:paraId="7521D0DF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vybraných vplyvov</w:t>
      </w:r>
    </w:p>
    <w:p w14:paraId="2D56DF0B" w14:textId="5C71B2DF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356ECF" w:rsidRPr="00356ECF">
        <w:rPr>
          <w:rFonts w:ascii="Times New Roman" w:hAnsi="Times New Roman" w:cs="Times New Roman"/>
          <w:sz w:val="24"/>
          <w:szCs w:val="24"/>
        </w:rPr>
        <w:t>ktorým sa mení</w:t>
      </w:r>
      <w:r w:rsidR="0077479F">
        <w:rPr>
          <w:rFonts w:ascii="Times New Roman" w:hAnsi="Times New Roman" w:cs="Times New Roman"/>
          <w:sz w:val="24"/>
          <w:szCs w:val="24"/>
        </w:rPr>
        <w:t xml:space="preserve"> a dopĺňa</w:t>
      </w:r>
      <w:r w:rsidR="00356ECF" w:rsidRPr="00356ECF">
        <w:rPr>
          <w:rFonts w:ascii="Times New Roman" w:hAnsi="Times New Roman" w:cs="Times New Roman"/>
          <w:sz w:val="24"/>
          <w:szCs w:val="24"/>
        </w:rPr>
        <w:t xml:space="preserve"> zákon č. 595/2003 Z.</w:t>
      </w:r>
      <w:r w:rsidR="00775824">
        <w:rPr>
          <w:rFonts w:ascii="Times New Roman" w:hAnsi="Times New Roman" w:cs="Times New Roman"/>
          <w:sz w:val="24"/>
          <w:szCs w:val="24"/>
        </w:rPr>
        <w:t xml:space="preserve"> </w:t>
      </w:r>
      <w:r w:rsidR="00356ECF" w:rsidRPr="00356ECF">
        <w:rPr>
          <w:rFonts w:ascii="Times New Roman" w:hAnsi="Times New Roman" w:cs="Times New Roman"/>
          <w:sz w:val="24"/>
          <w:szCs w:val="24"/>
        </w:rPr>
        <w:t>z. o dani z príjmov v znení neskorších predpisov</w:t>
      </w:r>
    </w:p>
    <w:p w14:paraId="78B76F5A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Termín začatia a ukončenia PPK: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Pr="009D0D54">
        <w:rPr>
          <w:rFonts w:ascii="Times New Roman" w:hAnsi="Times New Roman" w:cs="Times New Roman"/>
          <w:i/>
          <w:iCs/>
          <w:sz w:val="24"/>
          <w:szCs w:val="24"/>
        </w:rPr>
        <w:t>bezpredmetné</w:t>
      </w:r>
    </w:p>
    <w:p w14:paraId="3037BF0A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A.2. Vplyvy: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270"/>
      </w:tblGrid>
      <w:tr w:rsidR="009D0D54" w:rsidRPr="009D0D54" w14:paraId="1D6935BA" w14:textId="77777777" w:rsidTr="002131D5">
        <w:tc>
          <w:tcPr>
            <w:tcW w:w="4957" w:type="dxa"/>
          </w:tcPr>
          <w:p w14:paraId="65A8B979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E044CE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418" w:type="dxa"/>
          </w:tcPr>
          <w:p w14:paraId="7ABC513F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270" w:type="dxa"/>
          </w:tcPr>
          <w:p w14:paraId="2585E9DB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9D0D54" w:rsidRPr="009D0D54" w14:paraId="4C0540BE" w14:textId="77777777" w:rsidTr="002131D5">
        <w:tc>
          <w:tcPr>
            <w:tcW w:w="4957" w:type="dxa"/>
          </w:tcPr>
          <w:p w14:paraId="683ED8C4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417" w:type="dxa"/>
          </w:tcPr>
          <w:p w14:paraId="4E0EB9E2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FDF569" w14:textId="4330497C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ABC7C9D" w14:textId="2E7FFF5A" w:rsidR="009D0D54" w:rsidRPr="009D0D54" w:rsidRDefault="00DA1D3C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D54" w:rsidRPr="009D0D54" w14:paraId="4A87D86B" w14:textId="77777777" w:rsidTr="002131D5">
        <w:tc>
          <w:tcPr>
            <w:tcW w:w="4957" w:type="dxa"/>
          </w:tcPr>
          <w:p w14:paraId="00918B39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prostredie-</w:t>
            </w:r>
          </w:p>
          <w:p w14:paraId="6A96C725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 xml:space="preserve">    dochádza k zvýšeniu regulačného zaťaženia?</w:t>
            </w:r>
          </w:p>
        </w:tc>
        <w:tc>
          <w:tcPr>
            <w:tcW w:w="1417" w:type="dxa"/>
          </w:tcPr>
          <w:p w14:paraId="3562D48C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80D8B3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09061CB4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32E1312A" w14:textId="77777777" w:rsidTr="002131D5">
        <w:tc>
          <w:tcPr>
            <w:tcW w:w="4957" w:type="dxa"/>
          </w:tcPr>
          <w:p w14:paraId="58864F18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417" w:type="dxa"/>
          </w:tcPr>
          <w:p w14:paraId="33953DD6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7F7206B7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478A1BA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343824C3" w14:textId="77777777" w:rsidTr="002131D5">
        <w:tc>
          <w:tcPr>
            <w:tcW w:w="4957" w:type="dxa"/>
          </w:tcPr>
          <w:p w14:paraId="0427F4E0" w14:textId="77777777" w:rsidR="009D0D54" w:rsidRPr="009D0D54" w:rsidRDefault="009D0D54" w:rsidP="009D0D5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vplyvy na hospodárenie obyvateľstva</w:t>
            </w:r>
          </w:p>
        </w:tc>
        <w:tc>
          <w:tcPr>
            <w:tcW w:w="1417" w:type="dxa"/>
          </w:tcPr>
          <w:p w14:paraId="0BE9D5F9" w14:textId="7F73E959" w:rsidR="009D0D54" w:rsidRPr="009D0D54" w:rsidRDefault="00DA1D3C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24C26576" w14:textId="1CCBEA61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0BB1597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26F5F07A" w14:textId="77777777" w:rsidTr="002131D5">
        <w:tc>
          <w:tcPr>
            <w:tcW w:w="4957" w:type="dxa"/>
          </w:tcPr>
          <w:p w14:paraId="68E71DAF" w14:textId="77777777" w:rsidR="009D0D54" w:rsidRPr="009D0D54" w:rsidRDefault="009D0D54" w:rsidP="009D0D5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 xml:space="preserve">sociálnu </w:t>
            </w:r>
            <w:proofErr w:type="spellStart"/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exklúziu</w:t>
            </w:r>
            <w:proofErr w:type="spellEnd"/>
          </w:p>
        </w:tc>
        <w:tc>
          <w:tcPr>
            <w:tcW w:w="1417" w:type="dxa"/>
          </w:tcPr>
          <w:p w14:paraId="056AC268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0BE9C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768D54AA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478685F5" w14:textId="77777777" w:rsidTr="002131D5">
        <w:tc>
          <w:tcPr>
            <w:tcW w:w="4957" w:type="dxa"/>
          </w:tcPr>
          <w:p w14:paraId="44172F65" w14:textId="77777777" w:rsidR="009D0D54" w:rsidRPr="009D0D54" w:rsidRDefault="009D0D54" w:rsidP="009D0D5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rovnosť príležitostí a rodovú rovnosť a vplyvy na zamestnanosť</w:t>
            </w:r>
          </w:p>
        </w:tc>
        <w:tc>
          <w:tcPr>
            <w:tcW w:w="1417" w:type="dxa"/>
          </w:tcPr>
          <w:p w14:paraId="4881FC93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C366CC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0C4B8052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0F6A2E1C" w14:textId="77777777" w:rsidTr="002131D5">
        <w:tc>
          <w:tcPr>
            <w:tcW w:w="4957" w:type="dxa"/>
          </w:tcPr>
          <w:p w14:paraId="0ECDDC60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417" w:type="dxa"/>
          </w:tcPr>
          <w:p w14:paraId="0A8C1696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4B2573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4CE88604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1B588C71" w14:textId="77777777" w:rsidTr="002131D5">
        <w:tc>
          <w:tcPr>
            <w:tcW w:w="4957" w:type="dxa"/>
          </w:tcPr>
          <w:p w14:paraId="777795CD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417" w:type="dxa"/>
          </w:tcPr>
          <w:p w14:paraId="41BACB10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0D0CBD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2DAE8607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7D9997A5" w14:textId="77777777" w:rsidTr="002131D5">
        <w:tc>
          <w:tcPr>
            <w:tcW w:w="4957" w:type="dxa"/>
          </w:tcPr>
          <w:p w14:paraId="2F1092FC" w14:textId="61FC460B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6. Vplyvy na manželstvo, rodičovstvo a</w:t>
            </w:r>
            <w:r w:rsidR="00774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rodinu</w:t>
            </w:r>
          </w:p>
        </w:tc>
        <w:tc>
          <w:tcPr>
            <w:tcW w:w="1417" w:type="dxa"/>
          </w:tcPr>
          <w:p w14:paraId="29E38F69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1A017C06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5FFB398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957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0FDAC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A.3. Poznámky</w:t>
      </w:r>
    </w:p>
    <w:p w14:paraId="3B907F5C" w14:textId="3DF13738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i/>
          <w:iCs/>
          <w:sz w:val="24"/>
          <w:szCs w:val="24"/>
        </w:rPr>
        <w:t>Návrh zákona bude mať negatívny vplyv na verejné financie. Návrh zákona nebude mať vplyv na podnikateľské prostredie, životné prostredie a informatizáciu spoločnosti. Návrh zákona bude mať pozitívny sociálny vplyv. Návrh zákona bude mať pozitívny vplyv na manželstvo, rodičovstvo a rodinu.</w:t>
      </w:r>
    </w:p>
    <w:p w14:paraId="3172B80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190AA29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i/>
          <w:iCs/>
          <w:sz w:val="24"/>
          <w:szCs w:val="24"/>
        </w:rPr>
        <w:t>bezpredmetné</w:t>
      </w:r>
    </w:p>
    <w:p w14:paraId="68780D57" w14:textId="77777777" w:rsidR="00775824" w:rsidRPr="00775824" w:rsidRDefault="00775824" w:rsidP="00775824">
      <w:pPr>
        <w:rPr>
          <w:rFonts w:ascii="Times New Roman" w:eastAsia="-webkit-standard" w:hAnsi="Times New Roman" w:cs="Times New Roman"/>
          <w:color w:val="000000"/>
          <w:sz w:val="24"/>
          <w:szCs w:val="24"/>
        </w:rPr>
      </w:pPr>
      <w:r w:rsidRPr="00775824">
        <w:rPr>
          <w:rFonts w:ascii="Times New Roman" w:hAnsi="Times New Roman" w:cs="Times New Roman"/>
          <w:b/>
          <w:color w:val="000000"/>
          <w:sz w:val="24"/>
          <w:szCs w:val="24"/>
        </w:rPr>
        <w:t>A.5. Stanovisko gestorov</w:t>
      </w:r>
    </w:p>
    <w:p w14:paraId="57EE3644" w14:textId="5651F655" w:rsidR="009D0D54" w:rsidRPr="00775824" w:rsidRDefault="00775824" w:rsidP="00775824">
      <w:pPr>
        <w:rPr>
          <w:rFonts w:ascii="Times New Roman" w:eastAsia="-webkit-standard" w:hAnsi="Times New Roman" w:cs="Times New Roman"/>
          <w:color w:val="000000"/>
          <w:sz w:val="24"/>
          <w:szCs w:val="24"/>
        </w:rPr>
      </w:pPr>
      <w:r w:rsidRPr="00775824">
        <w:rPr>
          <w:rFonts w:ascii="Times New Roman" w:hAnsi="Times New Roman" w:cs="Times New Roman"/>
          <w:i/>
          <w:color w:val="000000"/>
          <w:sz w:val="24"/>
          <w:szCs w:val="24"/>
        </w:rPr>
        <w:t>Návrh zákona bol zaslaný na vyjadrenie Ministerstvu financií SR a Ministerstvu hospodárstva SR a stanovisko ministerstiev tvorí súčasť predkladaného materiálu.</w:t>
      </w:r>
    </w:p>
    <w:sectPr w:rsidR="009D0D54" w:rsidRPr="0077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-webkit-standard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A7139"/>
    <w:multiLevelType w:val="hybridMultilevel"/>
    <w:tmpl w:val="19E60700"/>
    <w:lvl w:ilvl="0" w:tplc="B606924C">
      <w:start w:val="3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11041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AA"/>
    <w:rsid w:val="0006721A"/>
    <w:rsid w:val="00251EC9"/>
    <w:rsid w:val="00356ECF"/>
    <w:rsid w:val="00546067"/>
    <w:rsid w:val="0072300B"/>
    <w:rsid w:val="0077479F"/>
    <w:rsid w:val="00775824"/>
    <w:rsid w:val="009D0D54"/>
    <w:rsid w:val="00A53131"/>
    <w:rsid w:val="00A97A7F"/>
    <w:rsid w:val="00C16A4C"/>
    <w:rsid w:val="00C7636B"/>
    <w:rsid w:val="00DA1D3C"/>
    <w:rsid w:val="00DC4660"/>
    <w:rsid w:val="00E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F355"/>
  <w15:chartTrackingRefBased/>
  <w15:docId w15:val="{5BE429C2-643D-4662-9476-17B2EE17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94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4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4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4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4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4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4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4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4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4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4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4E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4E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4E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4E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4E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4EA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94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4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4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94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94EA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94EA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94EA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4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4EA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94EAA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D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Wallenfels Jozef</cp:lastModifiedBy>
  <cp:revision>5</cp:revision>
  <dcterms:created xsi:type="dcterms:W3CDTF">2024-11-04T15:34:00Z</dcterms:created>
  <dcterms:modified xsi:type="dcterms:W3CDTF">2024-11-06T10:07:00Z</dcterms:modified>
</cp:coreProperties>
</file>