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E100E" w14:textId="69562E16" w:rsidR="00482DD1" w:rsidRPr="00482DD1" w:rsidRDefault="00482DD1" w:rsidP="00234BB7">
      <w:pPr>
        <w:jc w:val="center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t xml:space="preserve">D ô v o d o v á </w:t>
      </w:r>
      <w:r w:rsidR="00584A77">
        <w:rPr>
          <w:rFonts w:ascii="Times New Roman" w:hAnsi="Times New Roman"/>
          <w:b/>
          <w:sz w:val="24"/>
        </w:rPr>
        <w:t xml:space="preserve">   </w:t>
      </w:r>
      <w:r w:rsidRPr="00482DD1">
        <w:rPr>
          <w:rFonts w:ascii="Times New Roman" w:hAnsi="Times New Roman"/>
          <w:b/>
          <w:sz w:val="24"/>
        </w:rPr>
        <w:t>s p r á v a</w:t>
      </w:r>
    </w:p>
    <w:p w14:paraId="04B231C4" w14:textId="77777777" w:rsidR="00234BB7" w:rsidRDefault="00234BB7" w:rsidP="00482DD1">
      <w:pPr>
        <w:rPr>
          <w:rFonts w:ascii="Times New Roman" w:hAnsi="Times New Roman"/>
          <w:b/>
          <w:sz w:val="24"/>
        </w:rPr>
      </w:pPr>
    </w:p>
    <w:p w14:paraId="7F227087" w14:textId="37CE6980" w:rsidR="00482DD1" w:rsidRPr="00482DD1" w:rsidRDefault="00482DD1" w:rsidP="00234BB7">
      <w:pPr>
        <w:ind w:firstLine="708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t>A. Všeobecná časť</w:t>
      </w:r>
    </w:p>
    <w:p w14:paraId="726F2BDA" w14:textId="30B62CCA" w:rsidR="00482DD1" w:rsidRPr="00482DD1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482DD1">
        <w:rPr>
          <w:rFonts w:ascii="Times New Roman" w:hAnsi="Times New Roman"/>
          <w:sz w:val="24"/>
        </w:rPr>
        <w:t>Návrh zákona, ktorým sa dopĺňa zákon č. 160/2015 Z. z. Civilný sporový poriadok v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znení neskorších predpisov a ktorým sa dopĺňa zákon č. 553/2002 Z. z. o</w:t>
      </w:r>
      <w:r>
        <w:rPr>
          <w:rFonts w:ascii="Times New Roman" w:hAnsi="Times New Roman"/>
          <w:sz w:val="24"/>
        </w:rPr>
        <w:t> </w:t>
      </w:r>
      <w:r w:rsidRPr="00482DD1">
        <w:rPr>
          <w:rFonts w:ascii="Times New Roman" w:hAnsi="Times New Roman"/>
          <w:sz w:val="24"/>
        </w:rPr>
        <w:t>sprístupnení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dokumentov o činnosti bezpečnostných zložiek štátu 1939 – 1989 a o založení Ústavu pamäti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národa a o doplnení niektorých zákonov (zákon o pamäti národa) v znení neskorších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predpisov predkladajú na rokovanie Národnej rady Slovenskej republiky poslanci Národnej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rady Slovenskej republiky Mária Kolíková,</w:t>
      </w:r>
      <w:r>
        <w:rPr>
          <w:rFonts w:ascii="Times New Roman" w:hAnsi="Times New Roman"/>
          <w:sz w:val="24"/>
        </w:rPr>
        <w:t xml:space="preserve"> Ondrej Dostál, Marián Viskupič a Juraj Krúpa.</w:t>
      </w:r>
    </w:p>
    <w:p w14:paraId="401A9F76" w14:textId="68B4053C" w:rsidR="00482DD1" w:rsidRPr="00744289" w:rsidRDefault="00482DD1" w:rsidP="00234BB7">
      <w:pPr>
        <w:ind w:firstLine="708"/>
        <w:jc w:val="both"/>
        <w:rPr>
          <w:rFonts w:ascii="Times New Roman" w:hAnsi="Times New Roman"/>
          <w:b/>
          <w:bCs/>
          <w:sz w:val="24"/>
        </w:rPr>
      </w:pPr>
      <w:r w:rsidRPr="00744289">
        <w:rPr>
          <w:rFonts w:ascii="Times New Roman" w:hAnsi="Times New Roman"/>
          <w:b/>
          <w:bCs/>
          <w:sz w:val="24"/>
        </w:rPr>
        <w:t>Cieľom návrhu zákona je reagovať na niektoré aplikačné otázky, týkajúce sa schvaľovania zmieru v civilnom procese.</w:t>
      </w:r>
    </w:p>
    <w:p w14:paraId="629A45B7" w14:textId="1D4D423A" w:rsidR="00482DD1" w:rsidRPr="00482DD1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482DD1">
        <w:rPr>
          <w:rFonts w:ascii="Times New Roman" w:hAnsi="Times New Roman"/>
          <w:sz w:val="24"/>
        </w:rPr>
        <w:t>Dôvodová správa k vládnemu návrh</w:t>
      </w:r>
      <w:r w:rsidR="00E17E8E">
        <w:rPr>
          <w:rFonts w:ascii="Times New Roman" w:hAnsi="Times New Roman"/>
          <w:sz w:val="24"/>
        </w:rPr>
        <w:t>u</w:t>
      </w:r>
      <w:r w:rsidRPr="00482DD1">
        <w:rPr>
          <w:rFonts w:ascii="Times New Roman" w:hAnsi="Times New Roman"/>
          <w:sz w:val="24"/>
        </w:rPr>
        <w:t xml:space="preserve"> zákona </w:t>
      </w:r>
      <w:r w:rsidR="00E17E8E">
        <w:rPr>
          <w:rFonts w:ascii="Times New Roman" w:hAnsi="Times New Roman"/>
          <w:sz w:val="24"/>
        </w:rPr>
        <w:t xml:space="preserve">- </w:t>
      </w:r>
      <w:r w:rsidRPr="00482DD1">
        <w:rPr>
          <w:rFonts w:ascii="Times New Roman" w:hAnsi="Times New Roman"/>
          <w:sz w:val="24"/>
        </w:rPr>
        <w:t>Civilný sporový poriadok, ktorý bol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predložený Národnej rade S</w:t>
      </w:r>
      <w:r w:rsidR="00A723EE">
        <w:rPr>
          <w:rFonts w:ascii="Times New Roman" w:hAnsi="Times New Roman"/>
          <w:sz w:val="24"/>
        </w:rPr>
        <w:t xml:space="preserve">lovenskej republiky </w:t>
      </w:r>
      <w:r w:rsidRPr="00482DD1">
        <w:rPr>
          <w:rFonts w:ascii="Times New Roman" w:hAnsi="Times New Roman"/>
          <w:sz w:val="24"/>
        </w:rPr>
        <w:t>dňa</w:t>
      </w:r>
      <w:r w:rsidR="00A723EE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19.</w:t>
      </w:r>
      <w:r w:rsidR="00A723EE">
        <w:rPr>
          <w:rFonts w:ascii="Times New Roman" w:hAnsi="Times New Roman"/>
          <w:sz w:val="24"/>
        </w:rPr>
        <w:t xml:space="preserve"> decembra </w:t>
      </w:r>
      <w:r w:rsidRPr="00482DD1">
        <w:rPr>
          <w:rFonts w:ascii="Times New Roman" w:hAnsi="Times New Roman"/>
          <w:sz w:val="24"/>
        </w:rPr>
        <w:t>2014 (ČPT 1333), uvádzala najmä, že sa „</w:t>
      </w:r>
      <w:r w:rsidR="00020411">
        <w:rPr>
          <w:rFonts w:ascii="Times New Roman" w:hAnsi="Times New Roman"/>
          <w:sz w:val="24"/>
        </w:rPr>
        <w:t>o</w:t>
      </w:r>
      <w:r w:rsidRPr="00482DD1">
        <w:rPr>
          <w:rFonts w:ascii="Times New Roman" w:hAnsi="Times New Roman"/>
          <w:sz w:val="24"/>
        </w:rPr>
        <w:t>dstraňuje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 xml:space="preserve">redundantný prvok spočívajúci v opätovnom potenciálnom </w:t>
      </w:r>
      <w:proofErr w:type="spellStart"/>
      <w:r w:rsidRPr="00482DD1">
        <w:rPr>
          <w:rFonts w:ascii="Times New Roman" w:hAnsi="Times New Roman"/>
          <w:sz w:val="24"/>
        </w:rPr>
        <w:t>prejednaní</w:t>
      </w:r>
      <w:proofErr w:type="spellEnd"/>
      <w:r w:rsidRPr="00482DD1">
        <w:rPr>
          <w:rFonts w:ascii="Times New Roman" w:hAnsi="Times New Roman"/>
          <w:sz w:val="24"/>
        </w:rPr>
        <w:t xml:space="preserve"> veci, ktorá už bola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právoplatne rozhodnutá, súd predsa otázku súladnosti s hmotným právom vyriešil v rozsudku,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ktorým schválil súdny zmier.“.</w:t>
      </w:r>
    </w:p>
    <w:p w14:paraId="624D3F80" w14:textId="37F25BB3" w:rsidR="00482DD1" w:rsidRPr="00482DD1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482DD1">
        <w:rPr>
          <w:rFonts w:ascii="Times New Roman" w:hAnsi="Times New Roman"/>
          <w:sz w:val="24"/>
        </w:rPr>
        <w:t>Je nepochybné, že tak v  teórii ako aj praxi je možné sa s </w:t>
      </w:r>
      <w:proofErr w:type="spellStart"/>
      <w:r w:rsidRPr="00482DD1">
        <w:rPr>
          <w:rFonts w:ascii="Times New Roman" w:hAnsi="Times New Roman"/>
          <w:sz w:val="24"/>
        </w:rPr>
        <w:t>redundantnosťou</w:t>
      </w:r>
      <w:proofErr w:type="spellEnd"/>
      <w:r w:rsidRPr="00482DD1">
        <w:rPr>
          <w:rFonts w:ascii="Times New Roman" w:hAnsi="Times New Roman"/>
          <w:sz w:val="24"/>
        </w:rPr>
        <w:t xml:space="preserve"> niektorých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inštitútov stretnúť (napr. „U </w:t>
      </w:r>
      <w:proofErr w:type="spellStart"/>
      <w:r w:rsidRPr="00482DD1">
        <w:rPr>
          <w:rFonts w:ascii="Times New Roman" w:hAnsi="Times New Roman"/>
          <w:sz w:val="24"/>
        </w:rPr>
        <w:t>Bronsteina</w:t>
      </w:r>
      <w:proofErr w:type="spellEnd"/>
      <w:r w:rsidRPr="00482DD1">
        <w:rPr>
          <w:rFonts w:ascii="Times New Roman" w:hAnsi="Times New Roman"/>
          <w:sz w:val="24"/>
        </w:rPr>
        <w:t>, ktorý redukoval redundantný počet učebníc, aby si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 xml:space="preserve">uvoľnil sektor B1; Jak </w:t>
      </w:r>
      <w:proofErr w:type="spellStart"/>
      <w:r w:rsidRPr="00482DD1">
        <w:rPr>
          <w:rFonts w:ascii="Times New Roman" w:hAnsi="Times New Roman"/>
          <w:sz w:val="24"/>
        </w:rPr>
        <w:t>básníci</w:t>
      </w:r>
      <w:proofErr w:type="spellEnd"/>
      <w:r w:rsidRPr="00482DD1">
        <w:rPr>
          <w:rFonts w:ascii="Times New Roman" w:hAnsi="Times New Roman"/>
          <w:sz w:val="24"/>
        </w:rPr>
        <w:t xml:space="preserve"> </w:t>
      </w:r>
      <w:proofErr w:type="spellStart"/>
      <w:r w:rsidRPr="00482DD1">
        <w:rPr>
          <w:rFonts w:ascii="Times New Roman" w:hAnsi="Times New Roman"/>
          <w:sz w:val="24"/>
        </w:rPr>
        <w:t>přicházejí</w:t>
      </w:r>
      <w:proofErr w:type="spellEnd"/>
      <w:r w:rsidRPr="00482DD1">
        <w:rPr>
          <w:rFonts w:ascii="Times New Roman" w:hAnsi="Times New Roman"/>
          <w:sz w:val="24"/>
        </w:rPr>
        <w:t xml:space="preserve"> o </w:t>
      </w:r>
      <w:proofErr w:type="spellStart"/>
      <w:r w:rsidRPr="00482DD1">
        <w:rPr>
          <w:rFonts w:ascii="Times New Roman" w:hAnsi="Times New Roman"/>
          <w:sz w:val="24"/>
        </w:rPr>
        <w:t>iluze</w:t>
      </w:r>
      <w:proofErr w:type="spellEnd"/>
      <w:r w:rsidRPr="00482DD1">
        <w:rPr>
          <w:rFonts w:ascii="Times New Roman" w:hAnsi="Times New Roman"/>
          <w:sz w:val="24"/>
        </w:rPr>
        <w:t>, 1984), avšak pri súdnom zmieri nie je táto</w:t>
      </w:r>
      <w:r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argumentácia adekvátna.</w:t>
      </w:r>
    </w:p>
    <w:p w14:paraId="61831ED3" w14:textId="0CE76524" w:rsidR="00482DD1" w:rsidRPr="00482DD1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482DD1">
        <w:rPr>
          <w:rFonts w:ascii="Times New Roman" w:hAnsi="Times New Roman"/>
          <w:sz w:val="24"/>
        </w:rPr>
        <w:t>Možnosť uzavretia súdneho zmieru vychádza z predpokladu existencie určitej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skutkovej okolnosti, o ktorej sa strany môžu dohodnúť a dohode bráni existencia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asymetrických informácií, na ktorých existenciu majú strany dosah. Taká okolnosť bude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vyplývať typicky z dvojstranných súkromnoprávnych vzťahov strán, založených na zmluvnej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autonómii strán. Korekciou pri nich je len rozpor so všeobecne záväznými právnymi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predpismi. V prvom rade absolútna neplatnosť alebo odporovateľnosť (pozri napr. I. ÚS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260/2019 z 28. 1. 2020)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Nie všetky právne vzťahy sú však založené na zmluvnej autonómii strán. Na to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 xml:space="preserve">pamätal aj pôvodný procesný predpis </w:t>
      </w:r>
      <w:proofErr w:type="spellStart"/>
      <w:r w:rsidRPr="00482DD1">
        <w:rPr>
          <w:rFonts w:ascii="Times New Roman" w:hAnsi="Times New Roman"/>
          <w:sz w:val="24"/>
        </w:rPr>
        <w:t>t.j</w:t>
      </w:r>
      <w:proofErr w:type="spellEnd"/>
      <w:r w:rsidRPr="00482DD1">
        <w:rPr>
          <w:rFonts w:ascii="Times New Roman" w:hAnsi="Times New Roman"/>
          <w:sz w:val="24"/>
        </w:rPr>
        <w:t>. Občiansky súdny poriadok, ktorý v § 99 ods. 1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 xml:space="preserve">uvádzal výslovne ešte jedno </w:t>
      </w:r>
      <w:proofErr w:type="spellStart"/>
      <w:r w:rsidRPr="00482DD1">
        <w:rPr>
          <w:rFonts w:ascii="Times New Roman" w:hAnsi="Times New Roman"/>
          <w:sz w:val="24"/>
        </w:rPr>
        <w:t>korektívne</w:t>
      </w:r>
      <w:proofErr w:type="spellEnd"/>
      <w:r w:rsidRPr="00482DD1">
        <w:rPr>
          <w:rFonts w:ascii="Times New Roman" w:hAnsi="Times New Roman"/>
          <w:sz w:val="24"/>
        </w:rPr>
        <w:t xml:space="preserve"> kritériu</w:t>
      </w:r>
      <w:r w:rsidR="00A723EE">
        <w:rPr>
          <w:rFonts w:ascii="Times New Roman" w:hAnsi="Times New Roman"/>
          <w:sz w:val="24"/>
        </w:rPr>
        <w:t>m</w:t>
      </w:r>
      <w:r w:rsidRPr="00482DD1">
        <w:rPr>
          <w:rFonts w:ascii="Times New Roman" w:hAnsi="Times New Roman"/>
          <w:sz w:val="24"/>
        </w:rPr>
        <w:t xml:space="preserve"> pre možnosť skončiť vec zmierom,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potvrdeným súdom a síce, že to pripúšťa „povaha veci“. Toto pravidlo zamedzovalo tomu,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aby strany využívali autoritu súdu na to, aby svojou „pečiatkou“ prikryl existenciu alebo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 xml:space="preserve">neexistenciu určitej skutkovej okolnosti, na ktorej </w:t>
      </w:r>
      <w:r w:rsidR="00773EE2">
        <w:rPr>
          <w:rFonts w:ascii="Times New Roman" w:hAnsi="Times New Roman"/>
          <w:sz w:val="24"/>
        </w:rPr>
        <w:t xml:space="preserve">sa </w:t>
      </w:r>
      <w:r w:rsidRPr="00482DD1">
        <w:rPr>
          <w:rFonts w:ascii="Times New Roman" w:hAnsi="Times New Roman"/>
          <w:sz w:val="24"/>
        </w:rPr>
        <w:t>strany dohodli, hoci táto okolnosť nebola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 xml:space="preserve">stranami </w:t>
      </w:r>
      <w:proofErr w:type="spellStart"/>
      <w:r w:rsidRPr="00482DD1">
        <w:rPr>
          <w:rFonts w:ascii="Times New Roman" w:hAnsi="Times New Roman"/>
          <w:sz w:val="24"/>
        </w:rPr>
        <w:t>negociovateľná</w:t>
      </w:r>
      <w:proofErr w:type="spellEnd"/>
      <w:r w:rsidRPr="00482DD1">
        <w:rPr>
          <w:rFonts w:ascii="Times New Roman" w:hAnsi="Times New Roman"/>
          <w:sz w:val="24"/>
        </w:rPr>
        <w:t>, zjavne nenastala alebo jej vznik bol nepravdepodobný.</w:t>
      </w:r>
    </w:p>
    <w:p w14:paraId="2613BB61" w14:textId="200AEC02" w:rsidR="00482DD1" w:rsidRPr="00482DD1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482DD1">
        <w:rPr>
          <w:rFonts w:ascii="Times New Roman" w:hAnsi="Times New Roman"/>
          <w:sz w:val="24"/>
        </w:rPr>
        <w:t> </w:t>
      </w:r>
      <w:r w:rsidR="00A723EE">
        <w:rPr>
          <w:rFonts w:ascii="Times New Roman" w:hAnsi="Times New Roman"/>
          <w:sz w:val="24"/>
        </w:rPr>
        <w:t xml:space="preserve">V </w:t>
      </w:r>
      <w:r w:rsidRPr="00482DD1">
        <w:rPr>
          <w:rFonts w:ascii="Times New Roman" w:hAnsi="Times New Roman"/>
          <w:sz w:val="24"/>
        </w:rPr>
        <w:t>demokratickom a právnom štáte však súdy nemôžu pôsobiť ako inštitúcie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nepresadzujúce žiadne hodnoty. Išlo by o návrat pred rok 1989 a k tomu, čo napr. maďarský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teoretik Csaba Varga nazval, „degeneráciou európskeho právneho pozitivizmu“. Právo by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bolo identifikované iba a výlučne zákonom zbaveným relevantných hodnôt, princípov a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účelu. Analýza relevantných hodnôt a iných pre výklad práva relevantných štandardov by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bola nahradená sterilným opakovaním fráz a rozsiahlymi citáciami statí, o ktorých význame</w:t>
      </w:r>
      <w:r w:rsidR="00991100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takmer nikto nepremýšľa</w:t>
      </w:r>
      <w:r w:rsidR="00B374E9">
        <w:rPr>
          <w:rFonts w:ascii="Times New Roman" w:hAnsi="Times New Roman"/>
          <w:sz w:val="24"/>
        </w:rPr>
        <w:t>,</w:t>
      </w:r>
      <w:r w:rsidRPr="00482DD1">
        <w:rPr>
          <w:rFonts w:ascii="Times New Roman" w:hAnsi="Times New Roman"/>
          <w:sz w:val="24"/>
        </w:rPr>
        <w:t xml:space="preserve"> a ktorých spochybňovanie je zakázané (porovnaj </w:t>
      </w:r>
      <w:proofErr w:type="spellStart"/>
      <w:r w:rsidRPr="00482DD1">
        <w:rPr>
          <w:rFonts w:ascii="Times New Roman" w:hAnsi="Times New Roman"/>
          <w:sz w:val="24"/>
        </w:rPr>
        <w:t>K</w:t>
      </w:r>
      <w:sdt>
        <w:sdtPr>
          <w:tag w:val="goog_rdk_19"/>
          <w:id w:val="564843516"/>
        </w:sdtPr>
        <w:sdtContent>
          <w:r w:rsidR="005B596C">
            <w:rPr>
              <w:rFonts w:ascii="Times New Roman" w:hAnsi="Times New Roman"/>
              <w:sz w:val="24"/>
              <w:szCs w:val="24"/>
            </w:rPr>
            <w:t>ü</w:t>
          </w:r>
        </w:sdtContent>
      </w:sdt>
      <w:r w:rsidRPr="00482DD1">
        <w:rPr>
          <w:rFonts w:ascii="Times New Roman" w:hAnsi="Times New Roman"/>
          <w:sz w:val="24"/>
        </w:rPr>
        <w:t>hn</w:t>
      </w:r>
      <w:proofErr w:type="spellEnd"/>
      <w:r w:rsidRPr="00482DD1">
        <w:rPr>
          <w:rFonts w:ascii="Times New Roman" w:hAnsi="Times New Roman"/>
          <w:sz w:val="24"/>
        </w:rPr>
        <w:t xml:space="preserve"> Z., </w:t>
      </w:r>
      <w:proofErr w:type="spellStart"/>
      <w:r w:rsidRPr="00482DD1">
        <w:rPr>
          <w:rFonts w:ascii="Times New Roman" w:hAnsi="Times New Roman"/>
          <w:sz w:val="24"/>
        </w:rPr>
        <w:t>Ideologie</w:t>
      </w:r>
      <w:proofErr w:type="spellEnd"/>
      <w:r w:rsidR="00991100">
        <w:rPr>
          <w:rFonts w:ascii="Times New Roman" w:hAnsi="Times New Roman"/>
          <w:sz w:val="24"/>
        </w:rPr>
        <w:t xml:space="preserve"> </w:t>
      </w:r>
      <w:proofErr w:type="spellStart"/>
      <w:r w:rsidRPr="00482DD1">
        <w:rPr>
          <w:rFonts w:ascii="Times New Roman" w:hAnsi="Times New Roman"/>
          <w:sz w:val="24"/>
        </w:rPr>
        <w:t>aplikace</w:t>
      </w:r>
      <w:proofErr w:type="spellEnd"/>
      <w:r w:rsidRPr="00482DD1">
        <w:rPr>
          <w:rFonts w:ascii="Times New Roman" w:hAnsi="Times New Roman"/>
          <w:sz w:val="24"/>
        </w:rPr>
        <w:t xml:space="preserve"> práva v </w:t>
      </w:r>
      <w:proofErr w:type="spellStart"/>
      <w:r w:rsidRPr="00482DD1">
        <w:rPr>
          <w:rFonts w:ascii="Times New Roman" w:hAnsi="Times New Roman"/>
          <w:sz w:val="24"/>
        </w:rPr>
        <w:t>době</w:t>
      </w:r>
      <w:proofErr w:type="spellEnd"/>
      <w:r w:rsidRPr="00482DD1">
        <w:rPr>
          <w:rFonts w:ascii="Times New Roman" w:hAnsi="Times New Roman"/>
          <w:sz w:val="24"/>
        </w:rPr>
        <w:t xml:space="preserve"> reálneho </w:t>
      </w:r>
      <w:proofErr w:type="spellStart"/>
      <w:r w:rsidRPr="00482DD1">
        <w:rPr>
          <w:rFonts w:ascii="Times New Roman" w:hAnsi="Times New Roman"/>
          <w:sz w:val="24"/>
        </w:rPr>
        <w:t>socialismu</w:t>
      </w:r>
      <w:proofErr w:type="spellEnd"/>
      <w:r w:rsidRPr="00482DD1">
        <w:rPr>
          <w:rFonts w:ascii="Times New Roman" w:hAnsi="Times New Roman"/>
          <w:sz w:val="24"/>
        </w:rPr>
        <w:t>, in Komunistické právo v Československu, MU,</w:t>
      </w:r>
      <w:r w:rsidR="00991100">
        <w:rPr>
          <w:rFonts w:ascii="Times New Roman" w:hAnsi="Times New Roman"/>
          <w:sz w:val="24"/>
        </w:rPr>
        <w:t xml:space="preserve"> </w:t>
      </w:r>
      <w:r w:rsidRPr="00B374E9">
        <w:rPr>
          <w:rFonts w:ascii="Times New Roman" w:hAnsi="Times New Roman"/>
          <w:sz w:val="24"/>
        </w:rPr>
        <w:t>B</w:t>
      </w:r>
      <w:r w:rsidRPr="00482DD1">
        <w:rPr>
          <w:rFonts w:ascii="Times New Roman" w:hAnsi="Times New Roman"/>
          <w:sz w:val="24"/>
        </w:rPr>
        <w:t>rno,</w:t>
      </w:r>
      <w:r w:rsidR="00B374E9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2009, str. 61, dostupné na adrese www.komunistickepravo.cz ).</w:t>
      </w:r>
    </w:p>
    <w:p w14:paraId="03CED4ED" w14:textId="5A664F15" w:rsidR="00482DD1" w:rsidRPr="00482DD1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482DD1">
        <w:rPr>
          <w:rFonts w:ascii="Times New Roman" w:hAnsi="Times New Roman"/>
          <w:sz w:val="24"/>
        </w:rPr>
        <w:lastRenderedPageBreak/>
        <w:t>Navrhuje sa preto, aby zákon výslovne uvádzal, že súdny zmier je možné schváliť iba</w:t>
      </w:r>
      <w:r w:rsidR="00842256">
        <w:rPr>
          <w:rFonts w:ascii="Times New Roman" w:hAnsi="Times New Roman"/>
          <w:sz w:val="24"/>
        </w:rPr>
        <w:t xml:space="preserve"> v </w:t>
      </w:r>
      <w:r w:rsidRPr="00482DD1">
        <w:rPr>
          <w:rFonts w:ascii="Times New Roman" w:hAnsi="Times New Roman"/>
          <w:sz w:val="24"/>
        </w:rPr>
        <w:t>situáciách, kedy to pripúšťa „povaha veci“ a zároveň pri súdnom zmieri sa neupínať len na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preventívnu súdnu kontrolu jeho súladu so „všeobecne záväznými právnymi predpismi“, ale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 xml:space="preserve">pripustiť (hoci pôjde zrejme o výnimočné situácie) aj možnosť kontroly </w:t>
      </w:r>
      <w:r w:rsidR="00D24DD7">
        <w:rPr>
          <w:rFonts w:ascii="Times New Roman" w:hAnsi="Times New Roman"/>
          <w:sz w:val="24"/>
        </w:rPr>
        <w:t xml:space="preserve">takéhoto </w:t>
      </w:r>
      <w:r w:rsidRPr="00482DD1">
        <w:rPr>
          <w:rFonts w:ascii="Times New Roman" w:hAnsi="Times New Roman"/>
          <w:sz w:val="24"/>
        </w:rPr>
        <w:t>súlad</w:t>
      </w:r>
      <w:r w:rsidR="008C1521">
        <w:rPr>
          <w:rFonts w:ascii="Times New Roman" w:hAnsi="Times New Roman"/>
          <w:sz w:val="24"/>
        </w:rPr>
        <w:t>u</w:t>
      </w:r>
      <w:r w:rsidRPr="00482DD1">
        <w:rPr>
          <w:rFonts w:ascii="Times New Roman" w:hAnsi="Times New Roman"/>
          <w:sz w:val="24"/>
        </w:rPr>
        <w:t xml:space="preserve"> aj po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jeho schválení. Zároveň sa zvýrazňuje, že zmiery nemožno uzatvárať v situáciách, kedy by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išlo o roz</w:t>
      </w:r>
      <w:r w:rsidR="00842256">
        <w:rPr>
          <w:rFonts w:ascii="Times New Roman" w:hAnsi="Times New Roman"/>
          <w:sz w:val="24"/>
        </w:rPr>
        <w:t>por so zákonom o pamäti národa.</w:t>
      </w:r>
    </w:p>
    <w:p w14:paraId="0B61B49C" w14:textId="1FC44BFD" w:rsidR="00482DD1" w:rsidRPr="00482DD1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482DD1">
        <w:rPr>
          <w:rFonts w:ascii="Times New Roman" w:hAnsi="Times New Roman"/>
          <w:sz w:val="24"/>
        </w:rPr>
        <w:t>Návrh zákona nebude mať negatívny vplyv na rozpočet verejnej správy, nebude mať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vplyv na podnikateľské prostredie, nebude mať sociálne vplyvy, ani vplyv na životné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prostredie, informatizáciu spoločnosti, služby verejnej správy pre občana a ani vplyv na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manželstvo, rodičovstvo a rodinu.</w:t>
      </w:r>
    </w:p>
    <w:p w14:paraId="71D3F9DF" w14:textId="33847697" w:rsidR="00482DD1" w:rsidRPr="00482DD1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482DD1">
        <w:rPr>
          <w:rFonts w:ascii="Times New Roman" w:hAnsi="Times New Roman"/>
          <w:sz w:val="24"/>
        </w:rPr>
        <w:t>Návrh zákona je v súlade s Ústavou Slovenskej republiky, ústavnými zákonmi a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ostatnými všeobecne záväznými právnymi predpismi Slovenskej republiky, medzinárodnými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zmluvami a inými medzinárodnými dokument</w:t>
      </w:r>
      <w:r w:rsidR="00CC51FE">
        <w:rPr>
          <w:rFonts w:ascii="Times New Roman" w:hAnsi="Times New Roman"/>
          <w:sz w:val="24"/>
        </w:rPr>
        <w:t>a</w:t>
      </w:r>
      <w:r w:rsidRPr="00482DD1">
        <w:rPr>
          <w:rFonts w:ascii="Times New Roman" w:hAnsi="Times New Roman"/>
          <w:sz w:val="24"/>
        </w:rPr>
        <w:t>mi, ktorými je Slovenská republika viazaná,</w:t>
      </w:r>
      <w:r w:rsidR="00842256">
        <w:rPr>
          <w:rFonts w:ascii="Times New Roman" w:hAnsi="Times New Roman"/>
          <w:sz w:val="24"/>
        </w:rPr>
        <w:t xml:space="preserve"> </w:t>
      </w:r>
      <w:r w:rsidRPr="00482DD1">
        <w:rPr>
          <w:rFonts w:ascii="Times New Roman" w:hAnsi="Times New Roman"/>
          <w:sz w:val="24"/>
        </w:rPr>
        <w:t>ako aj s právom Európskej únie.</w:t>
      </w:r>
    </w:p>
    <w:p w14:paraId="6C25C922" w14:textId="77777777" w:rsidR="00482DD1" w:rsidRDefault="00482DD1" w:rsidP="00842256">
      <w:pPr>
        <w:jc w:val="both"/>
        <w:rPr>
          <w:rFonts w:ascii="Times New Roman" w:hAnsi="Times New Roman"/>
          <w:b/>
          <w:sz w:val="24"/>
        </w:rPr>
      </w:pPr>
    </w:p>
    <w:p w14:paraId="444C0B98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2599FA31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2858D1A6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096E0A19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2162027C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2DB4D126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0084523B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12CD984F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18EAD374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5BC7EAE5" w14:textId="4B68A19B" w:rsidR="006C6945" w:rsidRDefault="0064140A" w:rsidP="0064140A">
      <w:pPr>
        <w:tabs>
          <w:tab w:val="left" w:pos="744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3D19B3B8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76166A8E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15936229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1329BDAA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0429B3DE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66DB52EB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7C6F1A06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1CB3F5DB" w14:textId="77777777" w:rsidR="006C6945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56660B3B" w14:textId="77777777" w:rsidR="006C6945" w:rsidRPr="00482DD1" w:rsidRDefault="006C6945" w:rsidP="00842256">
      <w:pPr>
        <w:jc w:val="both"/>
        <w:rPr>
          <w:rFonts w:ascii="Times New Roman" w:hAnsi="Times New Roman"/>
          <w:b/>
          <w:sz w:val="24"/>
        </w:rPr>
      </w:pPr>
    </w:p>
    <w:p w14:paraId="00A21790" w14:textId="77777777" w:rsidR="00482DD1" w:rsidRPr="00482DD1" w:rsidRDefault="00482DD1" w:rsidP="00234BB7">
      <w:pPr>
        <w:ind w:firstLine="708"/>
        <w:jc w:val="both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lastRenderedPageBreak/>
        <w:t>B. Osobitná časť</w:t>
      </w:r>
    </w:p>
    <w:p w14:paraId="656EACAD" w14:textId="77777777" w:rsidR="00482DD1" w:rsidRPr="00482DD1" w:rsidRDefault="00482DD1" w:rsidP="00234BB7">
      <w:pPr>
        <w:ind w:firstLine="708"/>
        <w:jc w:val="both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t>K čl. I</w:t>
      </w:r>
    </w:p>
    <w:p w14:paraId="61E35FFC" w14:textId="77777777" w:rsidR="00482DD1" w:rsidRPr="00482DD1" w:rsidRDefault="00482DD1" w:rsidP="00234BB7">
      <w:pPr>
        <w:ind w:firstLine="708"/>
        <w:jc w:val="both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t>K bodu 1</w:t>
      </w:r>
    </w:p>
    <w:p w14:paraId="5DF143B5" w14:textId="71FA41CD" w:rsidR="00482DD1" w:rsidRPr="00842256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842256">
        <w:rPr>
          <w:rFonts w:ascii="Times New Roman" w:hAnsi="Times New Roman"/>
          <w:sz w:val="24"/>
        </w:rPr>
        <w:t>Navrhuje sa zavedenie možnosti zrušiť rozsudkom zmier, ak je zmier podľa hmotného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 xml:space="preserve">práva neplatný alebo ak </w:t>
      </w:r>
      <w:r w:rsidR="00842256">
        <w:rPr>
          <w:rFonts w:ascii="Times New Roman" w:hAnsi="Times New Roman"/>
          <w:sz w:val="24"/>
        </w:rPr>
        <w:t xml:space="preserve">by </w:t>
      </w:r>
      <w:r w:rsidRPr="00842256">
        <w:rPr>
          <w:rFonts w:ascii="Times New Roman" w:hAnsi="Times New Roman"/>
          <w:sz w:val="24"/>
        </w:rPr>
        <w:t>povaha veci uzavretie zmieru nepripúšťala. Vytvára sa tak výslovne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priestor, aby v osobitných zákonoch mohli byť stanovené situácie,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 xml:space="preserve">aby </w:t>
      </w:r>
      <w:r w:rsidR="00842256">
        <w:rPr>
          <w:rFonts w:ascii="Times New Roman" w:hAnsi="Times New Roman"/>
          <w:sz w:val="24"/>
        </w:rPr>
        <w:t>schválený súdny zmier</w:t>
      </w:r>
      <w:r w:rsidRPr="00842256">
        <w:rPr>
          <w:rFonts w:ascii="Times New Roman" w:hAnsi="Times New Roman"/>
          <w:sz w:val="24"/>
        </w:rPr>
        <w:t xml:space="preserve"> v situáciách, v ktorých to nepripúšťa povaha veci resp. je neplatný pre rozpor so</w:t>
      </w:r>
      <w:r w:rsidR="00842256">
        <w:rPr>
          <w:rFonts w:ascii="Times New Roman" w:hAnsi="Times New Roman"/>
          <w:sz w:val="24"/>
        </w:rPr>
        <w:t xml:space="preserve"> zákonom, </w:t>
      </w:r>
      <w:r w:rsidRPr="00842256">
        <w:rPr>
          <w:rFonts w:ascii="Times New Roman" w:hAnsi="Times New Roman"/>
          <w:sz w:val="24"/>
        </w:rPr>
        <w:t>moho</w:t>
      </w:r>
      <w:r w:rsidR="00842256">
        <w:rPr>
          <w:rFonts w:ascii="Times New Roman" w:hAnsi="Times New Roman"/>
          <w:sz w:val="24"/>
        </w:rPr>
        <w:t>l byť odstránený.</w:t>
      </w:r>
    </w:p>
    <w:p w14:paraId="1813CC35" w14:textId="71A63427" w:rsidR="00482DD1" w:rsidRPr="00842256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842256">
        <w:rPr>
          <w:rFonts w:ascii="Times New Roman" w:hAnsi="Times New Roman"/>
          <w:sz w:val="24"/>
        </w:rPr>
        <w:t>V kontexte daného návrhu zákona ide najmä o prípad uvedený v čl. II, bode 2. Zároveň sa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zakotvuje, že návrh možno podať do troch rokov od právoplatnosti uznesenia, ktorým bol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zmier schválený.</w:t>
      </w:r>
    </w:p>
    <w:p w14:paraId="4A8DC9B9" w14:textId="77777777" w:rsidR="00482DD1" w:rsidRPr="00482DD1" w:rsidRDefault="00482DD1" w:rsidP="00234BB7">
      <w:pPr>
        <w:ind w:firstLine="708"/>
        <w:jc w:val="both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t>K bodu 2</w:t>
      </w:r>
    </w:p>
    <w:p w14:paraId="29F19194" w14:textId="014F8F66" w:rsidR="00482DD1" w:rsidRPr="00842256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842256">
        <w:rPr>
          <w:rFonts w:ascii="Times New Roman" w:hAnsi="Times New Roman"/>
          <w:sz w:val="24"/>
        </w:rPr>
        <w:t>Navrhuje sa, aby výslovne v prípadoch, že tak stanoví osobitný predpis, mohol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generálny prokurátor podať dovolanie aj na základe podnetu inej osoby ako strany konania.</w:t>
      </w:r>
    </w:p>
    <w:p w14:paraId="7723DD0A" w14:textId="77777777" w:rsidR="00482DD1" w:rsidRPr="00482DD1" w:rsidRDefault="00482DD1" w:rsidP="00234BB7">
      <w:pPr>
        <w:ind w:firstLine="708"/>
        <w:jc w:val="both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t>K čl. II</w:t>
      </w:r>
    </w:p>
    <w:p w14:paraId="35E3C085" w14:textId="77777777" w:rsidR="00482DD1" w:rsidRPr="00482DD1" w:rsidRDefault="00482DD1" w:rsidP="00234BB7">
      <w:pPr>
        <w:ind w:firstLine="708"/>
        <w:jc w:val="both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t>K bodu 1</w:t>
      </w:r>
    </w:p>
    <w:p w14:paraId="1F9F18E3" w14:textId="0D558A2B" w:rsidR="00482DD1" w:rsidRPr="00842256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842256">
        <w:rPr>
          <w:rFonts w:ascii="Times New Roman" w:hAnsi="Times New Roman"/>
          <w:sz w:val="24"/>
        </w:rPr>
        <w:t>V § 8 ods. 1, ktorý upravuje úlohy Ústavu pamäti národa zverené štátom, sa dopĺňa</w:t>
      </w:r>
      <w:r w:rsidR="00842256" w:rsidRP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 xml:space="preserve">nová úloha, ktorou je podávanie podnetov na podanie dovolania generálneho </w:t>
      </w:r>
      <w:r w:rsidR="00842256" w:rsidRPr="00842256">
        <w:rPr>
          <w:rFonts w:ascii="Times New Roman" w:hAnsi="Times New Roman"/>
          <w:sz w:val="24"/>
        </w:rPr>
        <w:t>prokurátora</w:t>
      </w:r>
      <w:r w:rsidRPr="00842256">
        <w:rPr>
          <w:rFonts w:ascii="Times New Roman" w:hAnsi="Times New Roman"/>
          <w:sz w:val="24"/>
        </w:rPr>
        <w:t>, ak</w:t>
      </w:r>
      <w:r w:rsidR="00842256" w:rsidRPr="00842256">
        <w:rPr>
          <w:rFonts w:ascii="Times New Roman" w:hAnsi="Times New Roman"/>
          <w:sz w:val="24"/>
        </w:rPr>
        <w:t xml:space="preserve"> ide o vec </w:t>
      </w:r>
      <w:r w:rsidRPr="00842256">
        <w:rPr>
          <w:rFonts w:ascii="Times New Roman" w:hAnsi="Times New Roman"/>
          <w:sz w:val="24"/>
        </w:rPr>
        <w:t>týkajúcu sa pôsobnosti Ústavu pamäti národa a to aj v prípadoch, kedy Ústav</w:t>
      </w:r>
      <w:r w:rsidR="00842256" w:rsidRPr="00842256">
        <w:rPr>
          <w:rFonts w:ascii="Times New Roman" w:hAnsi="Times New Roman"/>
          <w:sz w:val="24"/>
        </w:rPr>
        <w:t xml:space="preserve"> pamäti národa </w:t>
      </w:r>
      <w:r w:rsidRPr="00842256">
        <w:rPr>
          <w:rFonts w:ascii="Times New Roman" w:hAnsi="Times New Roman"/>
          <w:sz w:val="24"/>
        </w:rPr>
        <w:t>nie je</w:t>
      </w:r>
      <w:r w:rsidR="00842256" w:rsidRP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stranou konania. Generálna prokuratúra Slovenskej republiky už v súčasnosti významne</w:t>
      </w:r>
      <w:r w:rsidR="00842256" w:rsidRP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pôsobí pri napĺňaní cieľov zákona.</w:t>
      </w:r>
    </w:p>
    <w:p w14:paraId="358A8F90" w14:textId="77777777" w:rsidR="00482DD1" w:rsidRPr="00482DD1" w:rsidRDefault="00482DD1" w:rsidP="00234BB7">
      <w:pPr>
        <w:ind w:firstLine="708"/>
        <w:jc w:val="both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t>K bodu 2</w:t>
      </w:r>
    </w:p>
    <w:p w14:paraId="442DC8BA" w14:textId="1E60AA6E" w:rsidR="00482DD1" w:rsidRDefault="00482DD1" w:rsidP="00234BB7">
      <w:pPr>
        <w:ind w:firstLine="708"/>
        <w:jc w:val="both"/>
        <w:rPr>
          <w:rFonts w:ascii="Times New Roman" w:hAnsi="Times New Roman"/>
          <w:sz w:val="24"/>
        </w:rPr>
      </w:pPr>
      <w:r w:rsidRPr="00842256">
        <w:rPr>
          <w:rFonts w:ascii="Times New Roman" w:hAnsi="Times New Roman"/>
          <w:sz w:val="24"/>
        </w:rPr>
        <w:t>Aj keď to povaha veci nepripúšťa, pre zamedzeni</w:t>
      </w:r>
      <w:r w:rsidR="00842256">
        <w:rPr>
          <w:rFonts w:ascii="Times New Roman" w:hAnsi="Times New Roman"/>
          <w:sz w:val="24"/>
        </w:rPr>
        <w:t>e akýchkoľvek pochybností sa do</w:t>
      </w:r>
      <w:r w:rsidRPr="00842256">
        <w:rPr>
          <w:rFonts w:ascii="Times New Roman" w:hAnsi="Times New Roman"/>
          <w:sz w:val="24"/>
        </w:rPr>
        <w:t xml:space="preserve"> §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8 ods. 3 navrhuje doplniť zákaz pre orgán verejnej moci uzatvoriť dohodu o urovnaní alebo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zmier ohľadom obsahu dokumentov o činnosti bezpečnostných zložiek štátu [§ 2 písm. f) a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g)] vo vlastníctve ústavu. Dôvodom takto navrhnutého ustanovenia je snaha o</w:t>
      </w:r>
      <w:r w:rsidR="00842256">
        <w:rPr>
          <w:rFonts w:ascii="Times New Roman" w:hAnsi="Times New Roman"/>
          <w:sz w:val="24"/>
        </w:rPr>
        <w:t> </w:t>
      </w:r>
      <w:r w:rsidRPr="00842256">
        <w:rPr>
          <w:rFonts w:ascii="Times New Roman" w:hAnsi="Times New Roman"/>
          <w:sz w:val="24"/>
        </w:rPr>
        <w:t>zamedzenie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uzatvárania dohôd o urovnaní alebo zmierov, pretože sa tak dohodou nahrádza riadne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posúdenie veci nezávislým súdom. Dohody o urovnaní alebo zmier</w:t>
      </w:r>
      <w:r w:rsidR="0054101D">
        <w:rPr>
          <w:rFonts w:ascii="Times New Roman" w:hAnsi="Times New Roman"/>
          <w:sz w:val="24"/>
        </w:rPr>
        <w:t>y</w:t>
      </w:r>
      <w:r w:rsidRPr="00842256">
        <w:rPr>
          <w:rFonts w:ascii="Times New Roman" w:hAnsi="Times New Roman"/>
          <w:sz w:val="24"/>
        </w:rPr>
        <w:t xml:space="preserve"> zjavne kolidujú</w:t>
      </w:r>
      <w:r w:rsidR="00842256">
        <w:rPr>
          <w:rFonts w:ascii="Times New Roman" w:hAnsi="Times New Roman"/>
          <w:sz w:val="24"/>
        </w:rPr>
        <w:t xml:space="preserve"> </w:t>
      </w:r>
      <w:r w:rsidRPr="00842256">
        <w:rPr>
          <w:rFonts w:ascii="Times New Roman" w:hAnsi="Times New Roman"/>
          <w:sz w:val="24"/>
        </w:rPr>
        <w:t>s dôvodmi, cieľmi a podstatou toho, prečo tento zákon bol prijatý.</w:t>
      </w:r>
    </w:p>
    <w:p w14:paraId="63FAEED7" w14:textId="17A2182D" w:rsidR="006C6945" w:rsidRPr="00744289" w:rsidRDefault="006C6945" w:rsidP="00234BB7">
      <w:pPr>
        <w:ind w:firstLine="708"/>
        <w:jc w:val="both"/>
        <w:rPr>
          <w:rFonts w:ascii="Times New Roman" w:hAnsi="Times New Roman"/>
          <w:b/>
          <w:bCs/>
          <w:sz w:val="24"/>
        </w:rPr>
      </w:pPr>
      <w:r w:rsidRPr="00744289">
        <w:rPr>
          <w:rFonts w:ascii="Times New Roman" w:hAnsi="Times New Roman"/>
          <w:b/>
          <w:bCs/>
          <w:sz w:val="24"/>
        </w:rPr>
        <w:t>K bodu 3</w:t>
      </w:r>
    </w:p>
    <w:p w14:paraId="5AD019DA" w14:textId="16117153" w:rsidR="006C6945" w:rsidRDefault="006C6945" w:rsidP="00234BB7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Navrhuje sa prechodné ustanovenie podľa ktorého zmier schválený súdom pred </w:t>
      </w:r>
      <w:r>
        <w:rPr>
          <w:rFonts w:ascii="Times New Roman" w:hAnsi="Times New Roman"/>
          <w:sz w:val="24"/>
          <w:szCs w:val="24"/>
          <w:lang w:eastAsia="sk-SK"/>
        </w:rPr>
        <w:t>1. marcom 2025</w:t>
      </w:r>
      <w:r w:rsidRPr="004964E3">
        <w:rPr>
          <w:rFonts w:ascii="Times New Roman" w:hAnsi="Times New Roman"/>
          <w:sz w:val="24"/>
          <w:szCs w:val="24"/>
          <w:lang w:eastAsia="sk-SK"/>
        </w:rPr>
        <w:t>, možno žiadať zrušiť do troch rokov od právoplatnosti uznesenia súdu, ktorým bol zmier schválený</w:t>
      </w:r>
      <w:r>
        <w:rPr>
          <w:rFonts w:ascii="Times New Roman" w:hAnsi="Times New Roman"/>
          <w:sz w:val="24"/>
          <w:szCs w:val="24"/>
          <w:lang w:eastAsia="sk-SK"/>
        </w:rPr>
        <w:t>,</w:t>
      </w:r>
      <w:r w:rsidRPr="00B26F07">
        <w:t xml:space="preserve"> </w:t>
      </w:r>
      <w:r w:rsidRPr="00B26F07">
        <w:rPr>
          <w:rFonts w:ascii="Times New Roman" w:hAnsi="Times New Roman"/>
          <w:sz w:val="24"/>
          <w:szCs w:val="24"/>
          <w:lang w:eastAsia="sk-SK"/>
        </w:rPr>
        <w:t>ak je zmier podľa hmotného práva neplatný alebo ak povaha veci uzavretie zm</w:t>
      </w:r>
      <w:r>
        <w:rPr>
          <w:rFonts w:ascii="Times New Roman" w:hAnsi="Times New Roman"/>
          <w:sz w:val="24"/>
          <w:szCs w:val="24"/>
          <w:lang w:eastAsia="sk-SK"/>
        </w:rPr>
        <w:t>i</w:t>
      </w:r>
      <w:r w:rsidRPr="00B26F07">
        <w:rPr>
          <w:rFonts w:ascii="Times New Roman" w:hAnsi="Times New Roman"/>
          <w:sz w:val="24"/>
          <w:szCs w:val="24"/>
          <w:lang w:eastAsia="sk-SK"/>
        </w:rPr>
        <w:t>eru nepripúšťala</w:t>
      </w:r>
      <w:r>
        <w:rPr>
          <w:rFonts w:ascii="Times New Roman" w:hAnsi="Times New Roman"/>
          <w:sz w:val="24"/>
          <w:szCs w:val="24"/>
          <w:lang w:eastAsia="sk-SK"/>
        </w:rPr>
        <w:t>.</w:t>
      </w:r>
    </w:p>
    <w:p w14:paraId="2B7A51D3" w14:textId="4D22E5C0" w:rsidR="00482DD1" w:rsidRPr="00482DD1" w:rsidRDefault="00482DD1" w:rsidP="00234BB7">
      <w:pPr>
        <w:ind w:firstLine="708"/>
        <w:jc w:val="both"/>
        <w:rPr>
          <w:rFonts w:ascii="Times New Roman" w:hAnsi="Times New Roman"/>
          <w:b/>
          <w:sz w:val="24"/>
        </w:rPr>
      </w:pPr>
      <w:r w:rsidRPr="00482DD1">
        <w:rPr>
          <w:rFonts w:ascii="Times New Roman" w:hAnsi="Times New Roman"/>
          <w:b/>
          <w:sz w:val="24"/>
        </w:rPr>
        <w:t>K čl. III</w:t>
      </w:r>
    </w:p>
    <w:p w14:paraId="435092B2" w14:textId="0EA1E5B8" w:rsidR="00907665" w:rsidRPr="00842256" w:rsidRDefault="00482DD1" w:rsidP="00234BB7">
      <w:pPr>
        <w:ind w:firstLine="708"/>
        <w:jc w:val="both"/>
      </w:pPr>
      <w:r w:rsidRPr="00842256">
        <w:rPr>
          <w:rFonts w:ascii="Times New Roman" w:hAnsi="Times New Roman"/>
          <w:sz w:val="24"/>
        </w:rPr>
        <w:t>Navrhuje sa účinnosť zákona od 1. marca 2025.</w:t>
      </w:r>
    </w:p>
    <w:sectPr w:rsidR="00907665" w:rsidRPr="00842256">
      <w:footerReference w:type="default" r:id="rId7"/>
      <w:pgSz w:w="11906" w:h="16838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45700" w14:textId="77777777" w:rsidR="00B66EFA" w:rsidRDefault="00B66EFA">
      <w:pPr>
        <w:spacing w:line="240" w:lineRule="auto"/>
      </w:pPr>
      <w:r>
        <w:separator/>
      </w:r>
    </w:p>
  </w:endnote>
  <w:endnote w:type="continuationSeparator" w:id="0">
    <w:p w14:paraId="11A5E436" w14:textId="77777777" w:rsidR="00B66EFA" w:rsidRDefault="00B66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092B7" w14:textId="3B785123" w:rsidR="00907665" w:rsidRDefault="00DC7604">
    <w:pPr>
      <w:pStyle w:val="Pt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842256">
      <w:rPr>
        <w:rFonts w:ascii="Times New Roman" w:hAnsi="Times New Roman"/>
        <w:noProof/>
        <w:sz w:val="24"/>
      </w:rPr>
      <w:t>3</w:t>
    </w:r>
    <w:r>
      <w:rPr>
        <w:rFonts w:ascii="Times New Roman" w:hAnsi="Times New Roman"/>
        <w:sz w:val="24"/>
      </w:rPr>
      <w:fldChar w:fldCharType="end"/>
    </w:r>
  </w:p>
  <w:p w14:paraId="435092B8" w14:textId="77777777" w:rsidR="00907665" w:rsidRDefault="00907665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C214F" w14:textId="77777777" w:rsidR="00B66EFA" w:rsidRDefault="00B66EFA">
      <w:pPr>
        <w:spacing w:after="0"/>
      </w:pPr>
      <w:r>
        <w:separator/>
      </w:r>
    </w:p>
  </w:footnote>
  <w:footnote w:type="continuationSeparator" w:id="0">
    <w:p w14:paraId="265993E4" w14:textId="77777777" w:rsidR="00B66EFA" w:rsidRDefault="00B66E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56651"/>
    <w:multiLevelType w:val="hybridMultilevel"/>
    <w:tmpl w:val="A4143DDE"/>
    <w:lvl w:ilvl="0" w:tplc="7B7A6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9846A6"/>
    <w:multiLevelType w:val="multilevel"/>
    <w:tmpl w:val="5E9846A6"/>
    <w:lvl w:ilvl="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006178626">
    <w:abstractNumId w:val="1"/>
  </w:num>
  <w:num w:numId="2" w16cid:durableId="204525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0D"/>
    <w:rsid w:val="00020411"/>
    <w:rsid w:val="0004018E"/>
    <w:rsid w:val="000711F0"/>
    <w:rsid w:val="000B3A0D"/>
    <w:rsid w:val="000C5A8E"/>
    <w:rsid w:val="000D0CE8"/>
    <w:rsid w:val="000F01A1"/>
    <w:rsid w:val="000F7656"/>
    <w:rsid w:val="00100470"/>
    <w:rsid w:val="00130001"/>
    <w:rsid w:val="00137170"/>
    <w:rsid w:val="001A6832"/>
    <w:rsid w:val="001C48C6"/>
    <w:rsid w:val="001D1769"/>
    <w:rsid w:val="001E2520"/>
    <w:rsid w:val="00206743"/>
    <w:rsid w:val="00224857"/>
    <w:rsid w:val="00234BB7"/>
    <w:rsid w:val="002431FF"/>
    <w:rsid w:val="00257A5D"/>
    <w:rsid w:val="002742D5"/>
    <w:rsid w:val="00275C76"/>
    <w:rsid w:val="00287609"/>
    <w:rsid w:val="00294E80"/>
    <w:rsid w:val="002B0BE5"/>
    <w:rsid w:val="002B3C7C"/>
    <w:rsid w:val="002C60D6"/>
    <w:rsid w:val="00314307"/>
    <w:rsid w:val="00324DD0"/>
    <w:rsid w:val="0033276E"/>
    <w:rsid w:val="0034041C"/>
    <w:rsid w:val="00347DE6"/>
    <w:rsid w:val="00353025"/>
    <w:rsid w:val="00365558"/>
    <w:rsid w:val="00374E98"/>
    <w:rsid w:val="00395D48"/>
    <w:rsid w:val="003A15BD"/>
    <w:rsid w:val="003C52D2"/>
    <w:rsid w:val="003D6C0D"/>
    <w:rsid w:val="003E7391"/>
    <w:rsid w:val="003F48B0"/>
    <w:rsid w:val="003F5E47"/>
    <w:rsid w:val="004337A1"/>
    <w:rsid w:val="00440C3A"/>
    <w:rsid w:val="00450696"/>
    <w:rsid w:val="0046462D"/>
    <w:rsid w:val="0046568E"/>
    <w:rsid w:val="00482DD1"/>
    <w:rsid w:val="00487C01"/>
    <w:rsid w:val="004917FD"/>
    <w:rsid w:val="004940CB"/>
    <w:rsid w:val="004A7C22"/>
    <w:rsid w:val="004C0974"/>
    <w:rsid w:val="004E18C1"/>
    <w:rsid w:val="004E3022"/>
    <w:rsid w:val="004F75B0"/>
    <w:rsid w:val="0051545F"/>
    <w:rsid w:val="0054101D"/>
    <w:rsid w:val="00557AE2"/>
    <w:rsid w:val="005729DB"/>
    <w:rsid w:val="0058179E"/>
    <w:rsid w:val="00584A77"/>
    <w:rsid w:val="00585302"/>
    <w:rsid w:val="0058766D"/>
    <w:rsid w:val="00591CAC"/>
    <w:rsid w:val="005B596C"/>
    <w:rsid w:val="005D6B9B"/>
    <w:rsid w:val="005E0C24"/>
    <w:rsid w:val="006046A1"/>
    <w:rsid w:val="00605976"/>
    <w:rsid w:val="0060631D"/>
    <w:rsid w:val="00625908"/>
    <w:rsid w:val="00635A28"/>
    <w:rsid w:val="0064140A"/>
    <w:rsid w:val="00650103"/>
    <w:rsid w:val="00681BF2"/>
    <w:rsid w:val="006B6348"/>
    <w:rsid w:val="006C0BAC"/>
    <w:rsid w:val="006C589C"/>
    <w:rsid w:val="006C6945"/>
    <w:rsid w:val="006F145A"/>
    <w:rsid w:val="006F7064"/>
    <w:rsid w:val="00724559"/>
    <w:rsid w:val="00744289"/>
    <w:rsid w:val="00751ED4"/>
    <w:rsid w:val="00761BB7"/>
    <w:rsid w:val="00770DA9"/>
    <w:rsid w:val="00773EE2"/>
    <w:rsid w:val="007938C9"/>
    <w:rsid w:val="007939E3"/>
    <w:rsid w:val="00794453"/>
    <w:rsid w:val="007A7B7B"/>
    <w:rsid w:val="0080412A"/>
    <w:rsid w:val="00815175"/>
    <w:rsid w:val="00833227"/>
    <w:rsid w:val="00842256"/>
    <w:rsid w:val="00897496"/>
    <w:rsid w:val="008A5B0E"/>
    <w:rsid w:val="008C1521"/>
    <w:rsid w:val="008D50E1"/>
    <w:rsid w:val="008E70CE"/>
    <w:rsid w:val="00903C79"/>
    <w:rsid w:val="00907665"/>
    <w:rsid w:val="0092605B"/>
    <w:rsid w:val="009344B5"/>
    <w:rsid w:val="00952FC3"/>
    <w:rsid w:val="00957358"/>
    <w:rsid w:val="00957576"/>
    <w:rsid w:val="00964C78"/>
    <w:rsid w:val="00966D9A"/>
    <w:rsid w:val="009676A6"/>
    <w:rsid w:val="00991100"/>
    <w:rsid w:val="00995D17"/>
    <w:rsid w:val="009B65D8"/>
    <w:rsid w:val="009C149C"/>
    <w:rsid w:val="009D3B86"/>
    <w:rsid w:val="00A00338"/>
    <w:rsid w:val="00A1174B"/>
    <w:rsid w:val="00A11868"/>
    <w:rsid w:val="00A1343B"/>
    <w:rsid w:val="00A2512F"/>
    <w:rsid w:val="00A44ACE"/>
    <w:rsid w:val="00A52658"/>
    <w:rsid w:val="00A6707C"/>
    <w:rsid w:val="00A723EE"/>
    <w:rsid w:val="00A839C2"/>
    <w:rsid w:val="00AA55C3"/>
    <w:rsid w:val="00AD47D3"/>
    <w:rsid w:val="00AF203E"/>
    <w:rsid w:val="00AF5289"/>
    <w:rsid w:val="00B2571A"/>
    <w:rsid w:val="00B374E9"/>
    <w:rsid w:val="00B66EFA"/>
    <w:rsid w:val="00BA2E6C"/>
    <w:rsid w:val="00BC21E2"/>
    <w:rsid w:val="00BC555A"/>
    <w:rsid w:val="00BE3DE4"/>
    <w:rsid w:val="00BE555A"/>
    <w:rsid w:val="00C16F2D"/>
    <w:rsid w:val="00C20A8C"/>
    <w:rsid w:val="00C460C2"/>
    <w:rsid w:val="00C51475"/>
    <w:rsid w:val="00C55B54"/>
    <w:rsid w:val="00C61F6D"/>
    <w:rsid w:val="00C71A56"/>
    <w:rsid w:val="00C77573"/>
    <w:rsid w:val="00C86FE6"/>
    <w:rsid w:val="00C941D6"/>
    <w:rsid w:val="00CA2771"/>
    <w:rsid w:val="00CB5161"/>
    <w:rsid w:val="00CC51FE"/>
    <w:rsid w:val="00CE1F31"/>
    <w:rsid w:val="00D24DD7"/>
    <w:rsid w:val="00D4047B"/>
    <w:rsid w:val="00D81E2D"/>
    <w:rsid w:val="00D93D89"/>
    <w:rsid w:val="00D93E12"/>
    <w:rsid w:val="00DC7604"/>
    <w:rsid w:val="00DE1197"/>
    <w:rsid w:val="00DF4851"/>
    <w:rsid w:val="00E1649A"/>
    <w:rsid w:val="00E17E8E"/>
    <w:rsid w:val="00E3032B"/>
    <w:rsid w:val="00E75357"/>
    <w:rsid w:val="00EA681C"/>
    <w:rsid w:val="00ED1734"/>
    <w:rsid w:val="00EE715A"/>
    <w:rsid w:val="00F10F47"/>
    <w:rsid w:val="00F27D9A"/>
    <w:rsid w:val="00F35EF7"/>
    <w:rsid w:val="00F37B47"/>
    <w:rsid w:val="00F4206E"/>
    <w:rsid w:val="00F45A16"/>
    <w:rsid w:val="00F46267"/>
    <w:rsid w:val="00F617DD"/>
    <w:rsid w:val="00F8219E"/>
    <w:rsid w:val="00F96337"/>
    <w:rsid w:val="00FA3E19"/>
    <w:rsid w:val="00FF75C1"/>
    <w:rsid w:val="04A356D8"/>
    <w:rsid w:val="17CE2D1D"/>
    <w:rsid w:val="215B63C6"/>
    <w:rsid w:val="227009AB"/>
    <w:rsid w:val="28EE4234"/>
    <w:rsid w:val="388108C3"/>
    <w:rsid w:val="38F143FA"/>
    <w:rsid w:val="39461F0A"/>
    <w:rsid w:val="41B86DE1"/>
    <w:rsid w:val="69054688"/>
    <w:rsid w:val="6DEB696D"/>
    <w:rsid w:val="6F1D6061"/>
    <w:rsid w:val="7E6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09285"/>
  <w15:docId w15:val="{937BFDBE-F0B7-4A2D-B1D6-1BA76716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Theme="minorHAnsi" w:eastAsia="Times New Roman" w:hAnsiTheme="minorHAns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Odsekzoznamu">
    <w:name w:val="List Paragraph"/>
    <w:basedOn w:val="Normlny"/>
    <w:link w:val="OdsekzoznamuChar"/>
    <w:uiPriority w:val="34"/>
    <w:qFormat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qFormat/>
    <w:rPr>
      <w:rFonts w:eastAsia="Times New Roman" w:cs="Times New Roman"/>
    </w:rPr>
  </w:style>
  <w:style w:type="character" w:customStyle="1" w:styleId="OdsekzoznamuChar">
    <w:name w:val="Odsek zoznamu Char"/>
    <w:link w:val="Odsekzoznamu"/>
    <w:uiPriority w:val="34"/>
    <w:qFormat/>
    <w:locked/>
    <w:rPr>
      <w:rFonts w:eastAsia="Times New Roman" w:cs="Times New Roman"/>
    </w:rPr>
  </w:style>
  <w:style w:type="character" w:customStyle="1" w:styleId="awspan">
    <w:name w:val="awspan"/>
    <w:basedOn w:val="Predvolenpsmoodseku"/>
    <w:qFormat/>
  </w:style>
  <w:style w:type="paragraph" w:customStyle="1" w:styleId="title-doc-oj-reference">
    <w:name w:val="title-doc-oj-reference"/>
    <w:basedOn w:val="Normlny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8766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8766D"/>
    <w:rPr>
      <w:color w:val="605E5C"/>
      <w:shd w:val="clear" w:color="auto" w:fill="E1DFDD"/>
    </w:rPr>
  </w:style>
  <w:style w:type="paragraph" w:styleId="Revzia">
    <w:name w:val="Revision"/>
    <w:hidden/>
    <w:uiPriority w:val="99"/>
    <w:unhideWhenUsed/>
    <w:rsid w:val="00A723EE"/>
    <w:rPr>
      <w:rFonts w:asciiTheme="minorHAnsi" w:eastAsia="Times New Roman" w:hAnsiTheme="minorHAns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F52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F52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F5289"/>
    <w:rPr>
      <w:rFonts w:asciiTheme="minorHAnsi" w:eastAsia="Times New Roman" w:hAnsiTheme="minorHAns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52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5289"/>
    <w:rPr>
      <w:rFonts w:asciiTheme="minorHAnsi" w:eastAsia="Times New Roman" w:hAnsi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969</Words>
  <Characters>5495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Kolíková, Mária</dc:creator>
  <cp:lastModifiedBy>Andrej Pitonak</cp:lastModifiedBy>
  <cp:revision>27</cp:revision>
  <cp:lastPrinted>2024-10-24T13:11:00Z</cp:lastPrinted>
  <dcterms:created xsi:type="dcterms:W3CDTF">2024-10-24T11:51:00Z</dcterms:created>
  <dcterms:modified xsi:type="dcterms:W3CDTF">2024-10-24T13:12:00Z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857206B142DD4C1C8CA3D6F3A346C51F_12</vt:lpwstr>
  </property>
  <property fmtid="{D5CDD505-2E9C-101B-9397-08002B2CF9AE}" pid="4" name="GrammarlyDocumentId">
    <vt:lpwstr>4ac17223e37c84e84287b41b20aacc1f998020a23d4e15a3ad7f177842bd0b6b</vt:lpwstr>
  </property>
</Properties>
</file>