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EBF05" w14:textId="77777777" w:rsidR="009E49C4" w:rsidRPr="00B709AF" w:rsidRDefault="009E49C4" w:rsidP="009E49C4">
      <w:pPr>
        <w:pStyle w:val="Nadpis2"/>
        <w:ind w:hanging="3649"/>
        <w:jc w:val="left"/>
      </w:pPr>
      <w:bookmarkStart w:id="0" w:name="_GoBack"/>
      <w:bookmarkEnd w:id="0"/>
      <w:r w:rsidRPr="00CD0180">
        <w:t>ÚSTAVNOPRÁVNY VÝBOR</w:t>
      </w:r>
    </w:p>
    <w:p w14:paraId="5D8313D8" w14:textId="77777777" w:rsidR="009E49C4" w:rsidRPr="00CD0180" w:rsidRDefault="009E49C4" w:rsidP="009E49C4">
      <w:pPr>
        <w:rPr>
          <w:b/>
        </w:rPr>
      </w:pPr>
      <w:r w:rsidRPr="00CD0180">
        <w:rPr>
          <w:b/>
        </w:rPr>
        <w:t>NÁRODNEJ RADY SLOVENSKEJ REPUBLIKY</w:t>
      </w:r>
    </w:p>
    <w:p w14:paraId="089D32CB" w14:textId="77777777" w:rsidR="009E49C4" w:rsidRDefault="009E49C4" w:rsidP="009E49C4">
      <w:pPr>
        <w:pStyle w:val="Bezriadkovania"/>
      </w:pPr>
    </w:p>
    <w:p w14:paraId="11B249C0" w14:textId="523BDE43" w:rsidR="009E49C4" w:rsidRDefault="009E49C4" w:rsidP="009E49C4">
      <w:pPr>
        <w:ind w:left="5664"/>
      </w:pPr>
      <w:r>
        <w:t>6</w:t>
      </w:r>
      <w:r w:rsidR="00F04EB6">
        <w:t>4</w:t>
      </w:r>
      <w:r>
        <w:t>. schôdza</w:t>
      </w:r>
    </w:p>
    <w:p w14:paraId="7FC40078" w14:textId="162B70AC" w:rsidR="009E49C4" w:rsidRDefault="009E49C4" w:rsidP="009E49C4">
      <w:pPr>
        <w:ind w:left="1418" w:firstLine="709"/>
      </w:pPr>
      <w:r>
        <w:tab/>
      </w:r>
      <w:r>
        <w:tab/>
      </w:r>
      <w:r>
        <w:tab/>
      </w:r>
      <w:r>
        <w:tab/>
      </w:r>
      <w:r>
        <w:tab/>
        <w:t>Č.: KNR-UPV-</w:t>
      </w:r>
      <w:r w:rsidR="00717FF3">
        <w:t>16</w:t>
      </w:r>
      <w:r w:rsidR="00993550">
        <w:t>76</w:t>
      </w:r>
      <w:r>
        <w:t>/2024-</w:t>
      </w:r>
      <w:r w:rsidR="00993550">
        <w:t>3</w:t>
      </w:r>
    </w:p>
    <w:p w14:paraId="1D5304DD" w14:textId="77777777" w:rsidR="009E49C4" w:rsidRPr="003938E1" w:rsidRDefault="009E49C4" w:rsidP="009E49C4">
      <w:pPr>
        <w:pStyle w:val="Bezriadkovania"/>
        <w:rPr>
          <w:sz w:val="20"/>
          <w:szCs w:val="20"/>
        </w:rPr>
      </w:pPr>
    </w:p>
    <w:p w14:paraId="14EE6323" w14:textId="331BBE17" w:rsidR="009E49C4" w:rsidRPr="00993550" w:rsidRDefault="009C103A" w:rsidP="009E49C4">
      <w:pPr>
        <w:jc w:val="center"/>
        <w:rPr>
          <w:i/>
          <w:sz w:val="36"/>
          <w:szCs w:val="36"/>
        </w:rPr>
      </w:pPr>
      <w:r>
        <w:rPr>
          <w:sz w:val="36"/>
          <w:szCs w:val="36"/>
        </w:rPr>
        <w:t>189</w:t>
      </w:r>
    </w:p>
    <w:p w14:paraId="185DE8D2" w14:textId="77777777" w:rsidR="009E49C4" w:rsidRDefault="009E49C4" w:rsidP="009E49C4">
      <w:pPr>
        <w:jc w:val="center"/>
        <w:rPr>
          <w:b/>
        </w:rPr>
      </w:pPr>
      <w:r>
        <w:rPr>
          <w:b/>
        </w:rPr>
        <w:t>U z n e s e n i e</w:t>
      </w:r>
    </w:p>
    <w:p w14:paraId="65B96F1E" w14:textId="77777777" w:rsidR="009E49C4" w:rsidRDefault="009E49C4" w:rsidP="009E49C4">
      <w:pPr>
        <w:jc w:val="center"/>
        <w:rPr>
          <w:b/>
        </w:rPr>
      </w:pPr>
      <w:r>
        <w:rPr>
          <w:b/>
        </w:rPr>
        <w:t>Ústavnoprávneho výboru Národnej rady Slovenskej republiky</w:t>
      </w:r>
    </w:p>
    <w:p w14:paraId="15E8BFE5" w14:textId="0D966E9D" w:rsidR="009E49C4" w:rsidRDefault="009E49C4" w:rsidP="009E49C4">
      <w:pPr>
        <w:jc w:val="center"/>
        <w:rPr>
          <w:b/>
        </w:rPr>
      </w:pPr>
      <w:r>
        <w:rPr>
          <w:b/>
        </w:rPr>
        <w:t xml:space="preserve">z </w:t>
      </w:r>
      <w:r w:rsidR="00993550">
        <w:rPr>
          <w:b/>
        </w:rPr>
        <w:t>22</w:t>
      </w:r>
      <w:r>
        <w:rPr>
          <w:b/>
        </w:rPr>
        <w:t>. októbra 2024</w:t>
      </w:r>
    </w:p>
    <w:p w14:paraId="1D16808C" w14:textId="77777777" w:rsidR="009E49C4" w:rsidRDefault="009E49C4" w:rsidP="009E49C4">
      <w:pPr>
        <w:pStyle w:val="Bezriadkovania"/>
      </w:pPr>
    </w:p>
    <w:p w14:paraId="034E31DC" w14:textId="77777777" w:rsidR="009E49C4" w:rsidRDefault="009E49C4" w:rsidP="009E49C4">
      <w:pPr>
        <w:tabs>
          <w:tab w:val="left" w:pos="284"/>
          <w:tab w:val="left" w:pos="3402"/>
          <w:tab w:val="left" w:pos="3828"/>
        </w:tabs>
        <w:jc w:val="both"/>
        <w:rPr>
          <w:shd w:val="clear" w:color="auto" w:fill="FFFFFF"/>
        </w:rPr>
      </w:pPr>
      <w:r w:rsidRPr="007C6BB6">
        <w:t>k </w:t>
      </w:r>
      <w:r w:rsidRPr="007C6BB6">
        <w:rPr>
          <w:shd w:val="clear" w:color="auto" w:fill="FFFFFF"/>
        </w:rPr>
        <w:t xml:space="preserve">návrhu </w:t>
      </w:r>
      <w:r w:rsidRPr="008675F2">
        <w:t xml:space="preserve">poslancov Národnej rady Slovenskej republiky Adama LUČANSKÉHO, Milana GARAJA, Andreja DANKA a Rudolfa HULIAKA na vydanie zákona, ktorým sa mení a  dopĺňa </w:t>
      </w:r>
      <w:r w:rsidRPr="00D62E0B">
        <w:rPr>
          <w:b/>
        </w:rPr>
        <w:t>zákon č. 211/2000 Z. z. o slobodnom prístupe k informáciám</w:t>
      </w:r>
      <w:r w:rsidRPr="008675F2">
        <w:t xml:space="preserve"> a o zmene a  doplnení niektorých zákonov (zákon o slobode informácií) v znení neskorších predpisov (tlač 345)</w:t>
      </w:r>
    </w:p>
    <w:p w14:paraId="69DB84D5" w14:textId="77777777" w:rsidR="009E49C4" w:rsidRPr="00CD0180" w:rsidRDefault="009E49C4" w:rsidP="009E49C4">
      <w:pPr>
        <w:tabs>
          <w:tab w:val="left" w:pos="284"/>
          <w:tab w:val="left" w:pos="3402"/>
          <w:tab w:val="left" w:pos="3828"/>
        </w:tabs>
        <w:jc w:val="both"/>
      </w:pPr>
    </w:p>
    <w:p w14:paraId="2583DD43" w14:textId="77777777" w:rsidR="009E49C4" w:rsidRPr="00CD0180" w:rsidRDefault="009E49C4" w:rsidP="009E49C4">
      <w:pPr>
        <w:tabs>
          <w:tab w:val="left" w:pos="284"/>
          <w:tab w:val="left" w:pos="851"/>
          <w:tab w:val="left" w:pos="3402"/>
        </w:tabs>
        <w:jc w:val="both"/>
        <w:rPr>
          <w:b/>
          <w:lang w:eastAsia="en-US"/>
        </w:rPr>
      </w:pPr>
      <w:r w:rsidRPr="00CD0180">
        <w:tab/>
      </w:r>
      <w:r w:rsidRPr="00CD0180">
        <w:tab/>
      </w:r>
      <w:r w:rsidRPr="00CD0180">
        <w:rPr>
          <w:b/>
        </w:rPr>
        <w:t>Ústavnoprávny výbor Národnej rady Slovenskej republiky</w:t>
      </w:r>
    </w:p>
    <w:p w14:paraId="4ECC23D0" w14:textId="77777777" w:rsidR="009E49C4" w:rsidRPr="00CD0180" w:rsidRDefault="009E49C4" w:rsidP="009E49C4">
      <w:pPr>
        <w:tabs>
          <w:tab w:val="left" w:pos="851"/>
          <w:tab w:val="left" w:pos="993"/>
        </w:tabs>
        <w:jc w:val="both"/>
        <w:rPr>
          <w:b/>
        </w:rPr>
      </w:pPr>
    </w:p>
    <w:p w14:paraId="0886BF8D" w14:textId="77777777" w:rsidR="009E49C4" w:rsidRPr="00CD0180" w:rsidRDefault="009E49C4" w:rsidP="009E49C4">
      <w:pPr>
        <w:tabs>
          <w:tab w:val="left" w:pos="851"/>
          <w:tab w:val="left" w:pos="993"/>
          <w:tab w:val="left" w:pos="1276"/>
        </w:tabs>
        <w:jc w:val="both"/>
        <w:rPr>
          <w:lang w:eastAsia="en-US"/>
        </w:rPr>
      </w:pPr>
      <w:r w:rsidRPr="00CD0180">
        <w:rPr>
          <w:b/>
        </w:rPr>
        <w:tab/>
        <w:t>A.   s ú h l a s í</w:t>
      </w:r>
    </w:p>
    <w:p w14:paraId="346F47A9" w14:textId="77777777" w:rsidR="009E49C4" w:rsidRPr="00CD0180" w:rsidRDefault="009E49C4" w:rsidP="009E49C4">
      <w:pPr>
        <w:tabs>
          <w:tab w:val="left" w:pos="284"/>
          <w:tab w:val="left" w:pos="851"/>
          <w:tab w:val="left" w:pos="1276"/>
        </w:tabs>
        <w:jc w:val="both"/>
      </w:pPr>
    </w:p>
    <w:p w14:paraId="2C1CE428" w14:textId="77777777" w:rsidR="009E49C4" w:rsidRDefault="009E49C4" w:rsidP="009E49C4">
      <w:pPr>
        <w:tabs>
          <w:tab w:val="left" w:pos="284"/>
          <w:tab w:val="left" w:pos="1276"/>
          <w:tab w:val="left" w:pos="3828"/>
        </w:tabs>
        <w:jc w:val="both"/>
        <w:rPr>
          <w:shd w:val="clear" w:color="auto" w:fill="FFFFFF"/>
        </w:rPr>
      </w:pPr>
      <w:r w:rsidRPr="00CD0180">
        <w:tab/>
      </w:r>
      <w:r>
        <w:tab/>
      </w:r>
      <w:r w:rsidRPr="007C6BB6">
        <w:t>s </w:t>
      </w:r>
      <w:r>
        <w:t xml:space="preserve">návrhom </w:t>
      </w:r>
      <w:r w:rsidRPr="008675F2">
        <w:t>poslancov Národnej rady Slovenskej republiky Adama LUČANSKÉHO, Milana GARAJA, Andreja DANKA a Rudolfa HULIAKA na vydanie zákona, ktorým sa mení a  dopĺňa zákon č. 211/2000 Z. z. o slobodnom prístupe k informáciám a o zmene a  doplnení niektorých zákonov (zákon o slobode informácií) v znení neskorších predpisov (tlač 345)</w:t>
      </w:r>
      <w:r>
        <w:rPr>
          <w:rFonts w:cs="Arial"/>
          <w:noProof/>
        </w:rPr>
        <w:t>;</w:t>
      </w:r>
    </w:p>
    <w:p w14:paraId="6B698A20" w14:textId="77777777" w:rsidR="009E49C4" w:rsidRPr="00CD0180" w:rsidRDefault="009E49C4" w:rsidP="009E49C4">
      <w:pPr>
        <w:tabs>
          <w:tab w:val="left" w:pos="1276"/>
        </w:tabs>
        <w:jc w:val="both"/>
      </w:pPr>
    </w:p>
    <w:p w14:paraId="4AE4E549" w14:textId="77777777" w:rsidR="009E49C4" w:rsidRPr="00CD0180" w:rsidRDefault="009E49C4" w:rsidP="009E49C4">
      <w:pPr>
        <w:tabs>
          <w:tab w:val="left" w:pos="709"/>
          <w:tab w:val="left" w:pos="851"/>
          <w:tab w:val="left" w:pos="993"/>
          <w:tab w:val="left" w:pos="1276"/>
        </w:tabs>
        <w:jc w:val="both"/>
        <w:rPr>
          <w:b/>
        </w:rPr>
      </w:pPr>
      <w:r w:rsidRPr="00CD0180">
        <w:tab/>
      </w:r>
      <w:r w:rsidRPr="00CD0180">
        <w:tab/>
      </w:r>
      <w:r w:rsidRPr="00CD0180">
        <w:rPr>
          <w:b/>
        </w:rPr>
        <w:t>B.  o d p o r ú č a</w:t>
      </w:r>
    </w:p>
    <w:p w14:paraId="4A3CFE81" w14:textId="77777777" w:rsidR="009E49C4" w:rsidRPr="00221563" w:rsidRDefault="009E49C4" w:rsidP="00221563">
      <w:pPr>
        <w:pStyle w:val="Bezriadkovania"/>
      </w:pPr>
    </w:p>
    <w:p w14:paraId="20FC84AA" w14:textId="77777777" w:rsidR="009E49C4" w:rsidRPr="00CD0180" w:rsidRDefault="009E49C4" w:rsidP="009E49C4">
      <w:pPr>
        <w:tabs>
          <w:tab w:val="left" w:pos="709"/>
          <w:tab w:val="left" w:pos="851"/>
          <w:tab w:val="left" w:pos="993"/>
          <w:tab w:val="left" w:pos="1276"/>
        </w:tabs>
        <w:jc w:val="both"/>
      </w:pPr>
      <w:r w:rsidRPr="00CD0180">
        <w:rPr>
          <w:b/>
        </w:rPr>
        <w:tab/>
      </w:r>
      <w:r w:rsidRPr="00CD0180">
        <w:rPr>
          <w:b/>
        </w:rPr>
        <w:tab/>
      </w:r>
      <w:r w:rsidRPr="00CD0180">
        <w:rPr>
          <w:b/>
        </w:rPr>
        <w:tab/>
        <w:t xml:space="preserve">    </w:t>
      </w:r>
      <w:r w:rsidRPr="00CD0180">
        <w:t>Národnej rade Slovenskej republiky</w:t>
      </w:r>
    </w:p>
    <w:p w14:paraId="127A3385" w14:textId="77777777" w:rsidR="009E49C4" w:rsidRPr="00CD0180" w:rsidRDefault="009E49C4" w:rsidP="00221563">
      <w:pPr>
        <w:pStyle w:val="Bezriadkovania"/>
      </w:pPr>
    </w:p>
    <w:p w14:paraId="75172CE9" w14:textId="2B694F54" w:rsidR="009E49C4" w:rsidRPr="009E49C4" w:rsidRDefault="009E49C4" w:rsidP="009E49C4">
      <w:pPr>
        <w:jc w:val="both"/>
        <w:rPr>
          <w:bCs/>
        </w:rPr>
      </w:pPr>
      <w:r w:rsidRPr="00CD0180">
        <w:rPr>
          <w:rFonts w:cs="Arial"/>
          <w:noProof/>
        </w:rPr>
        <w:tab/>
        <w:t xml:space="preserve">         návrh </w:t>
      </w:r>
      <w:r w:rsidRPr="008675F2">
        <w:t>poslancov Národnej rady Slovenskej republiky Adama LUČANSKÉHO, Milana GARAJA, Andreja DANKA a Rudolfa HULIAKA na vydanie zákona, ktorým sa mení a  dopĺňa zákon č. 211/2000 Z. z. o slobodnom prístupe k informáciám a o zmene a  doplnení niektorých zákonov (zákon o slobode informácií) v znení neskorších predpisov (tlač 345)</w:t>
      </w:r>
      <w:r>
        <w:rPr>
          <w:shd w:val="clear" w:color="auto" w:fill="FFFFFF"/>
        </w:rPr>
        <w:t xml:space="preserve"> </w:t>
      </w:r>
      <w:r w:rsidRPr="005A39D4">
        <w:rPr>
          <w:b/>
          <w:bCs/>
        </w:rPr>
        <w:t>schváliť</w:t>
      </w:r>
      <w:r w:rsidRPr="009E49C4">
        <w:t xml:space="preserve"> </w:t>
      </w:r>
      <w:r w:rsidRPr="009E49C4">
        <w:rPr>
          <w:bCs/>
        </w:rPr>
        <w:t>so zmenami a doplnkami uvedenými v  prílohe tohto uznesenia;</w:t>
      </w:r>
    </w:p>
    <w:p w14:paraId="1522DE4F" w14:textId="77777777" w:rsidR="009E49C4" w:rsidRPr="00221563" w:rsidRDefault="009E49C4" w:rsidP="00221563">
      <w:pPr>
        <w:pStyle w:val="Bezriadkovania"/>
      </w:pPr>
    </w:p>
    <w:p w14:paraId="75B73352" w14:textId="77777777" w:rsidR="009E49C4" w:rsidRPr="00CD0180" w:rsidRDefault="009E49C4" w:rsidP="009E49C4">
      <w:pPr>
        <w:tabs>
          <w:tab w:val="left" w:pos="1134"/>
          <w:tab w:val="left" w:pos="1276"/>
        </w:tabs>
        <w:ind w:firstLine="708"/>
        <w:rPr>
          <w:b/>
        </w:rPr>
      </w:pPr>
      <w:r w:rsidRPr="00CD0180">
        <w:rPr>
          <w:b/>
        </w:rPr>
        <w:t> C.</w:t>
      </w:r>
      <w:r w:rsidRPr="00CD0180">
        <w:rPr>
          <w:b/>
        </w:rPr>
        <w:tab/>
        <w:t>p o v e r u j e</w:t>
      </w:r>
    </w:p>
    <w:p w14:paraId="1038BA97" w14:textId="77777777" w:rsidR="009E49C4" w:rsidRPr="00CD0180" w:rsidRDefault="009E49C4" w:rsidP="00221563">
      <w:pPr>
        <w:pStyle w:val="Bezriadkovania"/>
      </w:pPr>
      <w:r w:rsidRPr="00CD0180">
        <w:tab/>
      </w:r>
    </w:p>
    <w:p w14:paraId="6B5AF89D" w14:textId="593E29C9" w:rsidR="009E49C4" w:rsidRDefault="009E49C4" w:rsidP="009E49C4">
      <w:pPr>
        <w:tabs>
          <w:tab w:val="left" w:pos="1134"/>
        </w:tabs>
        <w:jc w:val="both"/>
      </w:pPr>
      <w:r w:rsidRPr="00CD0180">
        <w:tab/>
        <w:t xml:space="preserve">  </w:t>
      </w:r>
      <w:r>
        <w:t xml:space="preserve">predsedu výboru, aby spracoval výsledky rokovania Ústavnoprávneho výboru Národnej rady Slovenskej republiky z </w:t>
      </w:r>
      <w:r w:rsidR="00B03EA3">
        <w:t>22</w:t>
      </w:r>
      <w:r>
        <w:t>. októbra 2024 spolu s výsledkami rokovania Výboru Národnej rady Slovenskej republiky pre verejnú správu a regionálny rozvoj do písomnej spoločnej správy výborov Národnej rady Slovenskej republiky a predložil ju na schválenie gestorskému výboru.</w:t>
      </w:r>
    </w:p>
    <w:p w14:paraId="1C007CFF" w14:textId="77777777" w:rsidR="009E49C4" w:rsidRDefault="009E49C4" w:rsidP="009E49C4">
      <w:pPr>
        <w:jc w:val="both"/>
      </w:pPr>
    </w:p>
    <w:p w14:paraId="59C81415" w14:textId="77777777" w:rsidR="009E49C4" w:rsidRPr="00CD0180" w:rsidRDefault="009E49C4" w:rsidP="009E49C4">
      <w:pPr>
        <w:jc w:val="both"/>
      </w:pPr>
    </w:p>
    <w:p w14:paraId="6BB75479" w14:textId="77777777" w:rsidR="009E49C4" w:rsidRPr="00CD0180" w:rsidRDefault="009E49C4" w:rsidP="009E49C4">
      <w:pPr>
        <w:jc w:val="both"/>
      </w:pPr>
      <w:r w:rsidRPr="00CD0180">
        <w:tab/>
      </w:r>
      <w:r w:rsidRPr="00CD0180">
        <w:tab/>
      </w:r>
      <w:r w:rsidRPr="00CD0180">
        <w:tab/>
      </w:r>
      <w:r w:rsidRPr="00CD0180">
        <w:tab/>
      </w:r>
      <w:r w:rsidRPr="00CD0180">
        <w:tab/>
      </w:r>
      <w:r w:rsidRPr="00CD0180">
        <w:tab/>
      </w:r>
      <w:r w:rsidRPr="00CD0180">
        <w:tab/>
      </w:r>
      <w:r w:rsidRPr="00CD0180">
        <w:tab/>
      </w:r>
      <w:r w:rsidRPr="00CD0180">
        <w:tab/>
      </w:r>
      <w:r w:rsidRPr="00CD0180">
        <w:tab/>
        <w:t xml:space="preserve">Miroslav Čellár </w:t>
      </w:r>
    </w:p>
    <w:p w14:paraId="7330A6E8" w14:textId="77777777" w:rsidR="009E49C4" w:rsidRPr="00CD0180" w:rsidRDefault="009E49C4" w:rsidP="009E49C4">
      <w:pPr>
        <w:jc w:val="both"/>
        <w:rPr>
          <w:rFonts w:ascii="AT*Toronto" w:hAnsi="AT*Toronto"/>
          <w:szCs w:val="20"/>
        </w:rPr>
      </w:pPr>
      <w:r w:rsidRPr="00CD0180">
        <w:t xml:space="preserve">                                                                                                                       predseda výboru</w:t>
      </w:r>
    </w:p>
    <w:p w14:paraId="2C800359" w14:textId="77777777" w:rsidR="009E49C4" w:rsidRPr="00CD0180" w:rsidRDefault="009E49C4" w:rsidP="009E49C4">
      <w:pPr>
        <w:tabs>
          <w:tab w:val="left" w:pos="1021"/>
        </w:tabs>
        <w:jc w:val="both"/>
      </w:pPr>
      <w:r w:rsidRPr="00CD0180">
        <w:t>overovatelia výboru:</w:t>
      </w:r>
    </w:p>
    <w:p w14:paraId="460D4AEB" w14:textId="77777777" w:rsidR="009E49C4" w:rsidRPr="00CD0180" w:rsidRDefault="009E49C4" w:rsidP="009E49C4">
      <w:r w:rsidRPr="00CD0180">
        <w:t>Štefan Gašparovič</w:t>
      </w:r>
    </w:p>
    <w:p w14:paraId="471F615B" w14:textId="0EAACD53" w:rsidR="009E49C4" w:rsidRDefault="009E49C4" w:rsidP="008D7E05">
      <w:r>
        <w:t>Branislav Vančo</w:t>
      </w:r>
    </w:p>
    <w:p w14:paraId="23139A08" w14:textId="77777777" w:rsidR="002A4861" w:rsidRDefault="002A4861" w:rsidP="002A4861">
      <w:pPr>
        <w:pStyle w:val="Nadpis2"/>
        <w:jc w:val="left"/>
      </w:pPr>
      <w:r>
        <w:lastRenderedPageBreak/>
        <w:t>P r í l o h a</w:t>
      </w:r>
    </w:p>
    <w:p w14:paraId="4208F18F" w14:textId="77777777" w:rsidR="002A4861" w:rsidRDefault="002A4861" w:rsidP="002A4861">
      <w:pPr>
        <w:ind w:left="4253" w:firstLine="708"/>
        <w:jc w:val="both"/>
        <w:rPr>
          <w:b/>
          <w:bCs/>
        </w:rPr>
      </w:pPr>
      <w:r>
        <w:rPr>
          <w:b/>
          <w:bCs/>
        </w:rPr>
        <w:t xml:space="preserve">k uzneseniu Ústavnoprávneho </w:t>
      </w:r>
    </w:p>
    <w:p w14:paraId="6C27CDD1" w14:textId="2498E6F1" w:rsidR="002A4861" w:rsidRDefault="002A4861" w:rsidP="002A4861">
      <w:pPr>
        <w:ind w:left="4253" w:firstLine="708"/>
        <w:jc w:val="both"/>
        <w:rPr>
          <w:b/>
        </w:rPr>
      </w:pPr>
      <w:r>
        <w:rPr>
          <w:b/>
        </w:rPr>
        <w:t>vý</w:t>
      </w:r>
      <w:r w:rsidR="00717FF3">
        <w:rPr>
          <w:b/>
        </w:rPr>
        <w:t>boru Národnej rady SR č.</w:t>
      </w:r>
      <w:r w:rsidR="00B03EA3">
        <w:rPr>
          <w:b/>
        </w:rPr>
        <w:t xml:space="preserve"> 189</w:t>
      </w:r>
    </w:p>
    <w:p w14:paraId="4E0FC715" w14:textId="78947969" w:rsidR="002A4861" w:rsidRDefault="002A4861" w:rsidP="002A4861">
      <w:pPr>
        <w:ind w:left="4253" w:firstLine="708"/>
        <w:jc w:val="both"/>
        <w:rPr>
          <w:b/>
        </w:rPr>
      </w:pPr>
      <w:r>
        <w:rPr>
          <w:b/>
        </w:rPr>
        <w:t xml:space="preserve">z </w:t>
      </w:r>
      <w:r w:rsidR="00B03EA3">
        <w:rPr>
          <w:b/>
        </w:rPr>
        <w:t>22</w:t>
      </w:r>
      <w:r>
        <w:rPr>
          <w:b/>
        </w:rPr>
        <w:t xml:space="preserve">. </w:t>
      </w:r>
      <w:r w:rsidR="00717FF3">
        <w:rPr>
          <w:b/>
        </w:rPr>
        <w:t xml:space="preserve">októbra </w:t>
      </w:r>
      <w:r>
        <w:rPr>
          <w:b/>
        </w:rPr>
        <w:t>2024</w:t>
      </w:r>
    </w:p>
    <w:p w14:paraId="38F9F08F" w14:textId="5A0ABE1D" w:rsidR="002A4861" w:rsidRDefault="002A4861" w:rsidP="002A4861">
      <w:pPr>
        <w:ind w:left="4253" w:firstLine="703"/>
        <w:jc w:val="both"/>
        <w:rPr>
          <w:b/>
          <w:bCs/>
          <w:lang w:eastAsia="en-US"/>
        </w:rPr>
      </w:pPr>
      <w:r>
        <w:rPr>
          <w:b/>
          <w:bCs/>
        </w:rPr>
        <w:t>_________________________</w:t>
      </w:r>
      <w:r w:rsidR="002A419E">
        <w:rPr>
          <w:b/>
          <w:bCs/>
        </w:rPr>
        <w:t>___</w:t>
      </w:r>
    </w:p>
    <w:p w14:paraId="678E7A2F" w14:textId="77777777" w:rsidR="002A4861" w:rsidRDefault="002A4861" w:rsidP="002A4861">
      <w:pPr>
        <w:jc w:val="center"/>
        <w:rPr>
          <w:lang w:eastAsia="en-US"/>
        </w:rPr>
      </w:pPr>
    </w:p>
    <w:p w14:paraId="46936909" w14:textId="1C2C051B" w:rsidR="002A4861" w:rsidRDefault="002A4861" w:rsidP="002A4861">
      <w:pPr>
        <w:rPr>
          <w:lang w:eastAsia="en-US"/>
        </w:rPr>
      </w:pPr>
    </w:p>
    <w:p w14:paraId="20314C6C" w14:textId="77777777" w:rsidR="002A4861" w:rsidRDefault="002A4861" w:rsidP="002A4861">
      <w:pPr>
        <w:pStyle w:val="Nadpis2"/>
        <w:ind w:left="0" w:firstLine="0"/>
        <w:jc w:val="center"/>
      </w:pPr>
      <w:r>
        <w:t>Pozmeňujúce a doplňujúce návrhy</w:t>
      </w:r>
    </w:p>
    <w:p w14:paraId="1E4D9005" w14:textId="77777777" w:rsidR="002A4861" w:rsidRDefault="002A4861" w:rsidP="002A4861">
      <w:pPr>
        <w:tabs>
          <w:tab w:val="left" w:pos="1021"/>
        </w:tabs>
        <w:jc w:val="both"/>
        <w:rPr>
          <w:b/>
        </w:rPr>
      </w:pPr>
    </w:p>
    <w:p w14:paraId="209ADFEB" w14:textId="77777777" w:rsidR="002A4861" w:rsidRDefault="002A4861" w:rsidP="002A4861">
      <w:pPr>
        <w:rPr>
          <w:b/>
        </w:rPr>
      </w:pPr>
    </w:p>
    <w:p w14:paraId="1DDE7F8E" w14:textId="77777777" w:rsidR="002A4861" w:rsidRPr="002A4861" w:rsidRDefault="002A4861" w:rsidP="002A4861">
      <w:pPr>
        <w:jc w:val="both"/>
        <w:rPr>
          <w:b/>
        </w:rPr>
      </w:pPr>
      <w:r w:rsidRPr="002A4861">
        <w:rPr>
          <w:b/>
        </w:rPr>
        <w:t>k návrhu poslancov Národnej rady Slovenskej republiky Adama LUČANSKÉHO, Milana GARAJA, Andreja DANKA a Rudolfa HULIAKA na vydanie zákona, ktorým sa mení a  dopĺňa zákon č. 211/2000 Z. z. o slobodnom prístupe k informáciám a o zmene a  doplnení niektorých zákonov (zákon o slobode informácií) v znení neskorších predpisov (tlač 345)</w:t>
      </w:r>
    </w:p>
    <w:p w14:paraId="6A8D43FE" w14:textId="77777777" w:rsidR="002A4861" w:rsidRDefault="002A4861" w:rsidP="002A4861">
      <w:pPr>
        <w:jc w:val="both"/>
      </w:pPr>
      <w:r>
        <w:rPr>
          <w:shd w:val="clear" w:color="auto" w:fill="FFFFFF"/>
        </w:rPr>
        <w:t>___________________________________________________________________________</w:t>
      </w:r>
    </w:p>
    <w:p w14:paraId="42779817" w14:textId="55FF34FF" w:rsidR="003137AF" w:rsidRDefault="003137AF" w:rsidP="003137AF">
      <w:pPr>
        <w:pStyle w:val="Bezriadkovania"/>
        <w:spacing w:line="360" w:lineRule="auto"/>
        <w:rPr>
          <w:b/>
        </w:rPr>
      </w:pPr>
    </w:p>
    <w:p w14:paraId="3AA0F41B" w14:textId="77777777" w:rsidR="003137AF" w:rsidRDefault="003137AF" w:rsidP="003137AF">
      <w:pPr>
        <w:pStyle w:val="Bezriadkovania"/>
        <w:spacing w:line="360" w:lineRule="auto"/>
        <w:rPr>
          <w:b/>
        </w:rPr>
      </w:pPr>
    </w:p>
    <w:p w14:paraId="01128ADE" w14:textId="77777777" w:rsidR="003137AF" w:rsidRPr="00C52068" w:rsidRDefault="003137AF" w:rsidP="003137AF">
      <w:pPr>
        <w:jc w:val="both"/>
        <w:rPr>
          <w:b/>
        </w:rPr>
      </w:pPr>
      <w:r w:rsidRPr="00C52068">
        <w:rPr>
          <w:b/>
        </w:rPr>
        <w:t>1. V čl. I body 1 až 3 znejú:</w:t>
      </w:r>
    </w:p>
    <w:p w14:paraId="3F661854" w14:textId="77777777" w:rsidR="003137AF" w:rsidRDefault="003137AF" w:rsidP="003137AF">
      <w:pPr>
        <w:jc w:val="both"/>
      </w:pPr>
      <w:r>
        <w:t>„1. V § 14 ods. 5 sa na konci pripájajú tieto slová: „</w:t>
      </w:r>
      <w:r w:rsidRPr="000131E6">
        <w:t>podľa § 21 ods. 1 prvej vety</w:t>
      </w:r>
      <w:r>
        <w:t>“.</w:t>
      </w:r>
    </w:p>
    <w:p w14:paraId="4AC01267" w14:textId="77777777" w:rsidR="003137AF" w:rsidRDefault="003137AF" w:rsidP="003137AF">
      <w:pPr>
        <w:jc w:val="both"/>
      </w:pPr>
    </w:p>
    <w:p w14:paraId="458ECE16" w14:textId="77777777" w:rsidR="003137AF" w:rsidRDefault="003137AF" w:rsidP="003137AF">
      <w:pPr>
        <w:jc w:val="both"/>
      </w:pPr>
      <w:r>
        <w:t>2. § 14 sa dopĺňa odsekmi 6 a 7, ktoré znejú:</w:t>
      </w:r>
    </w:p>
    <w:p w14:paraId="12850593" w14:textId="77777777" w:rsidR="003137AF" w:rsidRPr="000131E6" w:rsidRDefault="003137AF" w:rsidP="003137AF">
      <w:pPr>
        <w:jc w:val="both"/>
      </w:pPr>
      <w:r>
        <w:t xml:space="preserve">„(6) </w:t>
      </w:r>
      <w:r w:rsidRPr="000131E6">
        <w:t>Ak povinná osoba bude za poskytnutie informácie požadovať úhradu podľa § 21 ods. 1 druhej vety, písomne oznámi túto skutočnosť spolu s výš</w:t>
      </w:r>
      <w:r>
        <w:t>kou úhrady žiadateľovi v lehote do  piatich pracovných dní</w:t>
      </w:r>
      <w:r w:rsidRPr="000131E6">
        <w:t xml:space="preserve">. Z oznámenia musí byť zrejmé, na základe akých skutočností a akým spôsobom bola výška úhrady povinnou osobou vyčíslená. Žiadateľ môže proti vyčísleniu úhrady podať námietku, o ktorej rozhodne odvolací orgán tak, že vyčíslenie úhrady potvrdí alebo zníži, ak povinná osoba nevyhovie námietke. </w:t>
      </w:r>
    </w:p>
    <w:p w14:paraId="14339B3E" w14:textId="77777777" w:rsidR="003137AF" w:rsidRPr="000131E6" w:rsidRDefault="003137AF" w:rsidP="003137AF">
      <w:pPr>
        <w:jc w:val="both"/>
      </w:pPr>
    </w:p>
    <w:p w14:paraId="1AD74DE7" w14:textId="77777777" w:rsidR="003137AF" w:rsidRDefault="003137AF" w:rsidP="003137AF">
      <w:pPr>
        <w:jc w:val="both"/>
      </w:pPr>
      <w:r w:rsidRPr="000131E6">
        <w:t>(7) Poskytnutie informácie podľa odseku 6 je podmienené zaplatením úhrady požadovanej povinnou osobou. Ak žiadateľ do siedmich dní odo dňa doručenia oznámenia podľa odseku 6 túto úhradu nezaplatí a zároveň nepodá námietku, povinná osoba žiadosť odloží. Odo dňa odoslania oznámenia podľa odseku 6 až do dňa pripísania úhrady na účet povinnej osoby lehota podľa § 17 ods. 1 a 2 neplynie.</w:t>
      </w:r>
      <w:r>
        <w:t>“.</w:t>
      </w:r>
    </w:p>
    <w:p w14:paraId="50D4491F" w14:textId="77777777" w:rsidR="003137AF" w:rsidRDefault="003137AF" w:rsidP="003137AF">
      <w:pPr>
        <w:jc w:val="both"/>
      </w:pPr>
    </w:p>
    <w:p w14:paraId="7B05F88F" w14:textId="77777777" w:rsidR="003137AF" w:rsidRDefault="003137AF" w:rsidP="003137AF">
      <w:pPr>
        <w:jc w:val="both"/>
      </w:pPr>
      <w:r>
        <w:t>3. V § 21 ods. 1 sa za prvú vetu vkladá nová druhá veta, ktorá znie: „</w:t>
      </w:r>
      <w:r w:rsidRPr="000131E6">
        <w:t>Povinná osoba môže požadovať aj úhradu účelne vynaložených nákladov za mimoriadne rozsiahle vyhľadávanie informácií.</w:t>
      </w:r>
      <w:r>
        <w:t xml:space="preserve">“.“. </w:t>
      </w:r>
    </w:p>
    <w:p w14:paraId="2F1D7F09" w14:textId="77777777" w:rsidR="003137AF" w:rsidRPr="003137AF" w:rsidRDefault="003137AF" w:rsidP="003137AF">
      <w:pPr>
        <w:ind w:left="2832" w:hanging="2832"/>
        <w:jc w:val="both"/>
      </w:pPr>
      <w:r w:rsidRPr="00C4211A">
        <w:tab/>
      </w:r>
      <w:r w:rsidRPr="003137AF">
        <w:t xml:space="preserve">Právna úprava sa mení tak, aby existoval dvojaký režim úhrad – prvou úhradou je existujúci model úhrady podľa § 21 ods. 1 zákona, druhou je úhrada za mimoriadne rozsiahle vyhľadávanie informácií (po novom § 21 ods. 1 druhá veta). S druhým typom úhrady bude spojený režim podľa § 14 ods. 6 a 7 návrhu zákona. Okrem toho sa do návrhu zákona dopĺňa mechanizmus námietky proti vyčísleniu úhrady za mimoriadne rozsiahle vyhľadávanie informácií, čím sa žiadateľom poskytuje prostriedok nápravy. Právna úprava tak bude viac vyvážená. </w:t>
      </w:r>
    </w:p>
    <w:p w14:paraId="199F4421" w14:textId="77777777" w:rsidR="003137AF" w:rsidRPr="003137AF" w:rsidRDefault="003137AF" w:rsidP="003137AF">
      <w:pPr>
        <w:jc w:val="both"/>
        <w:rPr>
          <w:i/>
        </w:rPr>
      </w:pPr>
    </w:p>
    <w:p w14:paraId="0318997D" w14:textId="77777777" w:rsidR="003137AF" w:rsidRPr="00754B05" w:rsidRDefault="003137AF" w:rsidP="003137AF">
      <w:pPr>
        <w:spacing w:line="276" w:lineRule="auto"/>
        <w:jc w:val="both"/>
        <w:rPr>
          <w:b/>
        </w:rPr>
      </w:pPr>
    </w:p>
    <w:p w14:paraId="61C4F6FF" w14:textId="77777777" w:rsidR="003137AF" w:rsidRPr="00C52068" w:rsidRDefault="003137AF" w:rsidP="003137AF">
      <w:pPr>
        <w:jc w:val="both"/>
        <w:rPr>
          <w:b/>
        </w:rPr>
      </w:pPr>
      <w:r w:rsidRPr="00C52068">
        <w:rPr>
          <w:b/>
        </w:rPr>
        <w:lastRenderedPageBreak/>
        <w:t>2. Čl. I sa dopĺňa bodom 5, ktorý znie:</w:t>
      </w:r>
    </w:p>
    <w:p w14:paraId="5C448362" w14:textId="77777777" w:rsidR="003137AF" w:rsidRDefault="003137AF" w:rsidP="003137AF">
      <w:pPr>
        <w:jc w:val="both"/>
      </w:pPr>
      <w:r>
        <w:t>„5. Za § 22h sa vkladá § 22i, ktorý vrátane nadpisu znie:</w:t>
      </w:r>
    </w:p>
    <w:p w14:paraId="4B7122EA" w14:textId="77777777" w:rsidR="003137AF" w:rsidRDefault="003137AF" w:rsidP="003137AF">
      <w:pPr>
        <w:jc w:val="both"/>
      </w:pPr>
    </w:p>
    <w:p w14:paraId="4E553C74" w14:textId="77777777" w:rsidR="003137AF" w:rsidRPr="000131E6" w:rsidRDefault="003137AF" w:rsidP="003137AF">
      <w:pPr>
        <w:tabs>
          <w:tab w:val="left" w:pos="1465"/>
        </w:tabs>
        <w:jc w:val="center"/>
      </w:pPr>
      <w:r>
        <w:t>„</w:t>
      </w:r>
      <w:r w:rsidRPr="000131E6">
        <w:t>§ 22i</w:t>
      </w:r>
    </w:p>
    <w:p w14:paraId="36FD18FD" w14:textId="77777777" w:rsidR="003137AF" w:rsidRPr="000131E6" w:rsidRDefault="003137AF" w:rsidP="003137AF">
      <w:pPr>
        <w:tabs>
          <w:tab w:val="left" w:pos="1465"/>
        </w:tabs>
        <w:jc w:val="center"/>
      </w:pPr>
      <w:r w:rsidRPr="000131E6">
        <w:t>Prechodné ustanovenia k úpravám účinnom od 1. marca 2025</w:t>
      </w:r>
    </w:p>
    <w:p w14:paraId="26B47C80" w14:textId="77777777" w:rsidR="003137AF" w:rsidRPr="000131E6" w:rsidRDefault="003137AF" w:rsidP="003137AF">
      <w:pPr>
        <w:tabs>
          <w:tab w:val="left" w:pos="1465"/>
        </w:tabs>
        <w:jc w:val="both"/>
      </w:pPr>
    </w:p>
    <w:p w14:paraId="75190520" w14:textId="77777777" w:rsidR="003137AF" w:rsidRDefault="003137AF" w:rsidP="003137AF">
      <w:pPr>
        <w:ind w:firstLine="708"/>
        <w:jc w:val="both"/>
      </w:pPr>
      <w:r w:rsidRPr="000131E6">
        <w:t>Konani</w:t>
      </w:r>
      <w:r>
        <w:t>a</w:t>
      </w:r>
      <w:r w:rsidRPr="000131E6">
        <w:t xml:space="preserve"> začaté </w:t>
      </w:r>
      <w:r>
        <w:t>a právoplatne neukončené</w:t>
      </w:r>
      <w:r w:rsidRPr="000131E6">
        <w:t xml:space="preserve"> do 28. februára 2025 sa dokonč</w:t>
      </w:r>
      <w:r>
        <w:t>ia</w:t>
      </w:r>
      <w:r w:rsidRPr="000131E6">
        <w:t xml:space="preserve"> podľa predpisov účinných do 28. februára 202</w:t>
      </w:r>
      <w:r>
        <w:t>5</w:t>
      </w:r>
      <w:r w:rsidRPr="000131E6">
        <w:t>.</w:t>
      </w:r>
      <w:r>
        <w:t>“.“.</w:t>
      </w:r>
      <w:r>
        <w:tab/>
      </w:r>
    </w:p>
    <w:p w14:paraId="5BE69987" w14:textId="77777777" w:rsidR="003137AF" w:rsidRDefault="003137AF" w:rsidP="003137AF">
      <w:pPr>
        <w:jc w:val="both"/>
      </w:pPr>
    </w:p>
    <w:p w14:paraId="389CC874" w14:textId="77777777" w:rsidR="003137AF" w:rsidRPr="003137AF" w:rsidRDefault="003137AF" w:rsidP="003137AF">
      <w:pPr>
        <w:ind w:left="2832" w:hanging="2832"/>
        <w:jc w:val="both"/>
      </w:pPr>
      <w:r w:rsidRPr="00C4211A">
        <w:tab/>
      </w:r>
      <w:r w:rsidRPr="003137AF">
        <w:t xml:space="preserve">S ohľadom na zmenu procesnej úpravy sa navrhuje doplniť štandardné prechodné ustanovenie, ktoré rieši kolíziu pôvodnej úpravy a novej úpravy tak, že doterajšie konania sa dokončia podľa doterajších predpisov. </w:t>
      </w:r>
    </w:p>
    <w:p w14:paraId="4E2F0CA0" w14:textId="77777777" w:rsidR="003137AF" w:rsidRPr="0066504A" w:rsidRDefault="003137AF" w:rsidP="003137AF">
      <w:pPr>
        <w:jc w:val="both"/>
        <w:rPr>
          <w:i/>
        </w:rPr>
      </w:pPr>
    </w:p>
    <w:p w14:paraId="7E043EF2" w14:textId="77777777" w:rsidR="003137AF" w:rsidRDefault="003137AF" w:rsidP="003137AF">
      <w:pPr>
        <w:jc w:val="both"/>
      </w:pPr>
      <w:r w:rsidRPr="006A634D">
        <w:rPr>
          <w:b/>
        </w:rPr>
        <w:t>3</w:t>
      </w:r>
      <w:r>
        <w:t>. V čl. II sa slová „1. decembra 2024“ nahrádzajú slovami „1. marca 2025“.</w:t>
      </w:r>
    </w:p>
    <w:p w14:paraId="03EFCE8B" w14:textId="77777777" w:rsidR="003137AF" w:rsidRDefault="003137AF" w:rsidP="003137AF">
      <w:pPr>
        <w:jc w:val="both"/>
      </w:pPr>
    </w:p>
    <w:p w14:paraId="21D34B18" w14:textId="77777777" w:rsidR="003137AF" w:rsidRPr="003137AF" w:rsidRDefault="003137AF" w:rsidP="003137AF">
      <w:pPr>
        <w:ind w:left="2832" w:hanging="2832"/>
        <w:jc w:val="both"/>
      </w:pPr>
      <w:r w:rsidRPr="0066504A">
        <w:rPr>
          <w:i/>
        </w:rPr>
        <w:tab/>
      </w:r>
      <w:r w:rsidRPr="003137AF">
        <w:t xml:space="preserve">Navrhuje sa posun účinnosti pre vytvorenie dostatočnej </w:t>
      </w:r>
      <w:proofErr w:type="spellStart"/>
      <w:r w:rsidRPr="003137AF">
        <w:t>legisvakačnej</w:t>
      </w:r>
      <w:proofErr w:type="spellEnd"/>
      <w:r w:rsidRPr="003137AF">
        <w:t xml:space="preserve"> lehoty na prípravu aplikácie novej právnej úpravy.</w:t>
      </w:r>
    </w:p>
    <w:p w14:paraId="41F48BB8" w14:textId="77777777" w:rsidR="003137AF" w:rsidRPr="00C4211A" w:rsidRDefault="003137AF" w:rsidP="003137AF">
      <w:pPr>
        <w:pStyle w:val="Bezriadkovania"/>
        <w:spacing w:line="360" w:lineRule="auto"/>
        <w:rPr>
          <w:b/>
        </w:rPr>
      </w:pPr>
    </w:p>
    <w:p w14:paraId="01D4A65F" w14:textId="52CA83AA" w:rsidR="003137AF" w:rsidRDefault="003137AF" w:rsidP="003137AF">
      <w:pPr>
        <w:pStyle w:val="Bezriadkovania"/>
        <w:spacing w:line="276" w:lineRule="auto"/>
        <w:rPr>
          <w:b/>
        </w:rPr>
      </w:pPr>
      <w:r>
        <w:rPr>
          <w:b/>
        </w:rPr>
        <w:t xml:space="preserve">                                               </w:t>
      </w:r>
    </w:p>
    <w:p w14:paraId="35611F03" w14:textId="77777777" w:rsidR="002A4861" w:rsidRDefault="002A4861" w:rsidP="008D7E05"/>
    <w:sectPr w:rsidR="002A4861" w:rsidSect="002A42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72A"/>
    <w:multiLevelType w:val="hybridMultilevel"/>
    <w:tmpl w:val="0906A4B8"/>
    <w:lvl w:ilvl="0" w:tplc="FF108DC4">
      <w:start w:val="1"/>
      <w:numFmt w:val="decimal"/>
      <w:lvlText w:val="%1."/>
      <w:lvlJc w:val="left"/>
      <w:pPr>
        <w:ind w:left="36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FB28D6"/>
    <w:multiLevelType w:val="hybridMultilevel"/>
    <w:tmpl w:val="3E42B56C"/>
    <w:lvl w:ilvl="0" w:tplc="82E2AD1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1875EA"/>
    <w:multiLevelType w:val="hybridMultilevel"/>
    <w:tmpl w:val="6276AD9A"/>
    <w:lvl w:ilvl="0" w:tplc="738E719E">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0F71071"/>
    <w:multiLevelType w:val="hybridMultilevel"/>
    <w:tmpl w:val="AC443084"/>
    <w:lvl w:ilvl="0" w:tplc="1C5C6EDC">
      <w:start w:val="1"/>
      <w:numFmt w:val="decimal"/>
      <w:lvlText w:val="%1."/>
      <w:lvlJc w:val="left"/>
      <w:pPr>
        <w:ind w:left="1637" w:hanging="360"/>
      </w:pPr>
      <w:rPr>
        <w:rFonts w:hint="default"/>
        <w:b w:val="0"/>
        <w:color w:val="333333"/>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41255A3C"/>
    <w:multiLevelType w:val="hybridMultilevel"/>
    <w:tmpl w:val="9A0EA6A0"/>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79B4A16"/>
    <w:multiLevelType w:val="hybridMultilevel"/>
    <w:tmpl w:val="27ECE7D8"/>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4F720190"/>
    <w:multiLevelType w:val="hybridMultilevel"/>
    <w:tmpl w:val="54EC6B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2977FFD"/>
    <w:multiLevelType w:val="hybridMultilevel"/>
    <w:tmpl w:val="0826E524"/>
    <w:lvl w:ilvl="0" w:tplc="47EEFDEE">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 w15:restartNumberingAfterBreak="0">
    <w:nsid w:val="695D5B61"/>
    <w:multiLevelType w:val="hybridMultilevel"/>
    <w:tmpl w:val="6C1E5DF2"/>
    <w:lvl w:ilvl="0" w:tplc="A7C4A73A">
      <w:start w:val="1"/>
      <w:numFmt w:val="decimal"/>
      <w:lvlText w:val="%1."/>
      <w:lvlJc w:val="left"/>
      <w:pPr>
        <w:ind w:left="6031"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EE34A0C"/>
    <w:multiLevelType w:val="hybridMultilevel"/>
    <w:tmpl w:val="7090DE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3A669C7"/>
    <w:multiLevelType w:val="hybridMultilevel"/>
    <w:tmpl w:val="231E9A54"/>
    <w:lvl w:ilvl="0" w:tplc="EFD20602">
      <w:start w:val="1"/>
      <w:numFmt w:val="decimal"/>
      <w:lvlText w:val="%1."/>
      <w:lvlJc w:val="left"/>
      <w:pPr>
        <w:ind w:left="1428" w:hanging="360"/>
      </w:pPr>
      <w:rPr>
        <w:rFonts w:hint="default"/>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num w:numId="1">
    <w:abstractNumId w:val="8"/>
  </w:num>
  <w:num w:numId="2">
    <w:abstractNumId w:val="2"/>
  </w:num>
  <w:num w:numId="3">
    <w:abstractNumId w:val="5"/>
  </w:num>
  <w:num w:numId="4">
    <w:abstractNumId w:val="6"/>
  </w:num>
  <w:num w:numId="5">
    <w:abstractNumId w:val="3"/>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
  </w:num>
  <w:num w:numId="11">
    <w:abstractNumId w:val="1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45"/>
    <w:rsid w:val="00013802"/>
    <w:rsid w:val="000148AC"/>
    <w:rsid w:val="00026256"/>
    <w:rsid w:val="00026947"/>
    <w:rsid w:val="00032D35"/>
    <w:rsid w:val="00033501"/>
    <w:rsid w:val="00036654"/>
    <w:rsid w:val="00042C54"/>
    <w:rsid w:val="00057EDA"/>
    <w:rsid w:val="0007423F"/>
    <w:rsid w:val="000A0E0D"/>
    <w:rsid w:val="000A6016"/>
    <w:rsid w:val="000C3393"/>
    <w:rsid w:val="000D0351"/>
    <w:rsid w:val="000D505C"/>
    <w:rsid w:val="000E174A"/>
    <w:rsid w:val="0010523D"/>
    <w:rsid w:val="001208BB"/>
    <w:rsid w:val="00124DE6"/>
    <w:rsid w:val="001445DD"/>
    <w:rsid w:val="00150F6A"/>
    <w:rsid w:val="00153388"/>
    <w:rsid w:val="0015413D"/>
    <w:rsid w:val="00162D22"/>
    <w:rsid w:val="0016427D"/>
    <w:rsid w:val="00174CEE"/>
    <w:rsid w:val="0018239E"/>
    <w:rsid w:val="00182632"/>
    <w:rsid w:val="00194D0C"/>
    <w:rsid w:val="001A0FB2"/>
    <w:rsid w:val="001A5EDA"/>
    <w:rsid w:val="001A6FD1"/>
    <w:rsid w:val="001A726B"/>
    <w:rsid w:val="001B0A2E"/>
    <w:rsid w:val="001B3AED"/>
    <w:rsid w:val="001C08F6"/>
    <w:rsid w:val="001C650A"/>
    <w:rsid w:val="001D141C"/>
    <w:rsid w:val="001D7A2B"/>
    <w:rsid w:val="001E4C05"/>
    <w:rsid w:val="00204229"/>
    <w:rsid w:val="002058EF"/>
    <w:rsid w:val="00206A1C"/>
    <w:rsid w:val="00212AB6"/>
    <w:rsid w:val="00221563"/>
    <w:rsid w:val="00221877"/>
    <w:rsid w:val="00222CF3"/>
    <w:rsid w:val="0023411B"/>
    <w:rsid w:val="00242458"/>
    <w:rsid w:val="0024454D"/>
    <w:rsid w:val="00246D4B"/>
    <w:rsid w:val="002600D3"/>
    <w:rsid w:val="00267972"/>
    <w:rsid w:val="002736DE"/>
    <w:rsid w:val="00280C01"/>
    <w:rsid w:val="00295FD4"/>
    <w:rsid w:val="0029766F"/>
    <w:rsid w:val="002A0165"/>
    <w:rsid w:val="002A0AB6"/>
    <w:rsid w:val="002A419E"/>
    <w:rsid w:val="002A428F"/>
    <w:rsid w:val="002A4861"/>
    <w:rsid w:val="002A5B9D"/>
    <w:rsid w:val="002A61CE"/>
    <w:rsid w:val="002B203B"/>
    <w:rsid w:val="002B6773"/>
    <w:rsid w:val="002B76E5"/>
    <w:rsid w:val="002C3C2F"/>
    <w:rsid w:val="002D2FAC"/>
    <w:rsid w:val="003028AD"/>
    <w:rsid w:val="0031096C"/>
    <w:rsid w:val="003137AF"/>
    <w:rsid w:val="00346745"/>
    <w:rsid w:val="003470A3"/>
    <w:rsid w:val="00363809"/>
    <w:rsid w:val="0038595A"/>
    <w:rsid w:val="00390FCA"/>
    <w:rsid w:val="003938E1"/>
    <w:rsid w:val="003A4822"/>
    <w:rsid w:val="003B1AA7"/>
    <w:rsid w:val="003B6412"/>
    <w:rsid w:val="003C6C3C"/>
    <w:rsid w:val="003D363E"/>
    <w:rsid w:val="003D53DC"/>
    <w:rsid w:val="003E2F0F"/>
    <w:rsid w:val="003F475E"/>
    <w:rsid w:val="003F70FA"/>
    <w:rsid w:val="00406F4A"/>
    <w:rsid w:val="00425116"/>
    <w:rsid w:val="00426966"/>
    <w:rsid w:val="00435CBB"/>
    <w:rsid w:val="004533F7"/>
    <w:rsid w:val="004700A0"/>
    <w:rsid w:val="0047266F"/>
    <w:rsid w:val="00485DEB"/>
    <w:rsid w:val="004B476C"/>
    <w:rsid w:val="004C4F94"/>
    <w:rsid w:val="004C6382"/>
    <w:rsid w:val="004D08E8"/>
    <w:rsid w:val="004E6345"/>
    <w:rsid w:val="004F572F"/>
    <w:rsid w:val="004F7D53"/>
    <w:rsid w:val="00522BC4"/>
    <w:rsid w:val="005247F5"/>
    <w:rsid w:val="005368CB"/>
    <w:rsid w:val="0054340C"/>
    <w:rsid w:val="00547B3B"/>
    <w:rsid w:val="005512EC"/>
    <w:rsid w:val="00551A91"/>
    <w:rsid w:val="00553129"/>
    <w:rsid w:val="00565A2A"/>
    <w:rsid w:val="00571F87"/>
    <w:rsid w:val="0058230A"/>
    <w:rsid w:val="005969D0"/>
    <w:rsid w:val="005A1258"/>
    <w:rsid w:val="005A1F00"/>
    <w:rsid w:val="005A39D4"/>
    <w:rsid w:val="005B4684"/>
    <w:rsid w:val="005E547E"/>
    <w:rsid w:val="005F296F"/>
    <w:rsid w:val="005F41C2"/>
    <w:rsid w:val="00601F04"/>
    <w:rsid w:val="00611225"/>
    <w:rsid w:val="00612762"/>
    <w:rsid w:val="0061425B"/>
    <w:rsid w:val="00622EC1"/>
    <w:rsid w:val="006315F5"/>
    <w:rsid w:val="00647C69"/>
    <w:rsid w:val="00651CDF"/>
    <w:rsid w:val="00654F58"/>
    <w:rsid w:val="00664898"/>
    <w:rsid w:val="006678BC"/>
    <w:rsid w:val="006860A4"/>
    <w:rsid w:val="00690E26"/>
    <w:rsid w:val="00693B36"/>
    <w:rsid w:val="006C0F18"/>
    <w:rsid w:val="006C376D"/>
    <w:rsid w:val="006F07F9"/>
    <w:rsid w:val="006F73EA"/>
    <w:rsid w:val="00714CA1"/>
    <w:rsid w:val="00717FF3"/>
    <w:rsid w:val="00722FED"/>
    <w:rsid w:val="0072422D"/>
    <w:rsid w:val="007262C0"/>
    <w:rsid w:val="00733BAE"/>
    <w:rsid w:val="00740AB2"/>
    <w:rsid w:val="00740E9D"/>
    <w:rsid w:val="00742DC7"/>
    <w:rsid w:val="007449A7"/>
    <w:rsid w:val="00747312"/>
    <w:rsid w:val="0075072F"/>
    <w:rsid w:val="00754040"/>
    <w:rsid w:val="00763895"/>
    <w:rsid w:val="007852C2"/>
    <w:rsid w:val="007914DD"/>
    <w:rsid w:val="007A31FF"/>
    <w:rsid w:val="007C23A2"/>
    <w:rsid w:val="007C4D88"/>
    <w:rsid w:val="007C6BB6"/>
    <w:rsid w:val="007D0E04"/>
    <w:rsid w:val="007D2BE9"/>
    <w:rsid w:val="007D2F5B"/>
    <w:rsid w:val="007D7176"/>
    <w:rsid w:val="007E610C"/>
    <w:rsid w:val="00801592"/>
    <w:rsid w:val="00802759"/>
    <w:rsid w:val="00805829"/>
    <w:rsid w:val="008321DB"/>
    <w:rsid w:val="008417F5"/>
    <w:rsid w:val="008455A7"/>
    <w:rsid w:val="00852247"/>
    <w:rsid w:val="00872EDE"/>
    <w:rsid w:val="00880FB3"/>
    <w:rsid w:val="00881083"/>
    <w:rsid w:val="008815FC"/>
    <w:rsid w:val="008C1D92"/>
    <w:rsid w:val="008D249C"/>
    <w:rsid w:val="008D7E05"/>
    <w:rsid w:val="008F7799"/>
    <w:rsid w:val="008F7FE2"/>
    <w:rsid w:val="00910948"/>
    <w:rsid w:val="00913C57"/>
    <w:rsid w:val="00924ECA"/>
    <w:rsid w:val="00940C0D"/>
    <w:rsid w:val="00945F50"/>
    <w:rsid w:val="009469B8"/>
    <w:rsid w:val="0095696D"/>
    <w:rsid w:val="009574CF"/>
    <w:rsid w:val="00957BE3"/>
    <w:rsid w:val="0097561F"/>
    <w:rsid w:val="00992714"/>
    <w:rsid w:val="00993550"/>
    <w:rsid w:val="009B297B"/>
    <w:rsid w:val="009B44D0"/>
    <w:rsid w:val="009C103A"/>
    <w:rsid w:val="009D102B"/>
    <w:rsid w:val="009D6644"/>
    <w:rsid w:val="009E0869"/>
    <w:rsid w:val="009E49C4"/>
    <w:rsid w:val="009E4DFB"/>
    <w:rsid w:val="009F4003"/>
    <w:rsid w:val="009F4197"/>
    <w:rsid w:val="00A0197F"/>
    <w:rsid w:val="00A05E57"/>
    <w:rsid w:val="00A05EFD"/>
    <w:rsid w:val="00A26D2A"/>
    <w:rsid w:val="00A31C26"/>
    <w:rsid w:val="00A44CB4"/>
    <w:rsid w:val="00A755AD"/>
    <w:rsid w:val="00A851D3"/>
    <w:rsid w:val="00AA3E6B"/>
    <w:rsid w:val="00AB1A07"/>
    <w:rsid w:val="00AB1A71"/>
    <w:rsid w:val="00AB2C30"/>
    <w:rsid w:val="00AB6420"/>
    <w:rsid w:val="00AB6969"/>
    <w:rsid w:val="00AC34B0"/>
    <w:rsid w:val="00AD59C6"/>
    <w:rsid w:val="00AD6188"/>
    <w:rsid w:val="00AD7B22"/>
    <w:rsid w:val="00AF0AF5"/>
    <w:rsid w:val="00B03EA3"/>
    <w:rsid w:val="00B04B24"/>
    <w:rsid w:val="00B05279"/>
    <w:rsid w:val="00B2232D"/>
    <w:rsid w:val="00B30B03"/>
    <w:rsid w:val="00B32539"/>
    <w:rsid w:val="00B709AF"/>
    <w:rsid w:val="00B86C2B"/>
    <w:rsid w:val="00B908DF"/>
    <w:rsid w:val="00B92945"/>
    <w:rsid w:val="00BA5D0A"/>
    <w:rsid w:val="00BB29B3"/>
    <w:rsid w:val="00BC1C98"/>
    <w:rsid w:val="00BD5E48"/>
    <w:rsid w:val="00BE0D8A"/>
    <w:rsid w:val="00BF65C1"/>
    <w:rsid w:val="00C10EEA"/>
    <w:rsid w:val="00C2274B"/>
    <w:rsid w:val="00C4621B"/>
    <w:rsid w:val="00C539CE"/>
    <w:rsid w:val="00C56A7B"/>
    <w:rsid w:val="00C621A5"/>
    <w:rsid w:val="00C74D8A"/>
    <w:rsid w:val="00C82487"/>
    <w:rsid w:val="00CC0A94"/>
    <w:rsid w:val="00CD0180"/>
    <w:rsid w:val="00CD23B7"/>
    <w:rsid w:val="00CD76B2"/>
    <w:rsid w:val="00CE1A48"/>
    <w:rsid w:val="00CF53B8"/>
    <w:rsid w:val="00D07A2D"/>
    <w:rsid w:val="00D21A79"/>
    <w:rsid w:val="00D22BDF"/>
    <w:rsid w:val="00D23979"/>
    <w:rsid w:val="00D24ED8"/>
    <w:rsid w:val="00D26C98"/>
    <w:rsid w:val="00D3302C"/>
    <w:rsid w:val="00D371D4"/>
    <w:rsid w:val="00D43BD5"/>
    <w:rsid w:val="00D47ADF"/>
    <w:rsid w:val="00D62E0B"/>
    <w:rsid w:val="00D65C26"/>
    <w:rsid w:val="00D7350F"/>
    <w:rsid w:val="00D737BD"/>
    <w:rsid w:val="00D81A3C"/>
    <w:rsid w:val="00D8539D"/>
    <w:rsid w:val="00D9721A"/>
    <w:rsid w:val="00DA21A5"/>
    <w:rsid w:val="00DB1AA1"/>
    <w:rsid w:val="00DB3702"/>
    <w:rsid w:val="00DB4E77"/>
    <w:rsid w:val="00DB7AD2"/>
    <w:rsid w:val="00DC788B"/>
    <w:rsid w:val="00DE6504"/>
    <w:rsid w:val="00DF278D"/>
    <w:rsid w:val="00DF27BB"/>
    <w:rsid w:val="00DF5619"/>
    <w:rsid w:val="00E0027B"/>
    <w:rsid w:val="00E06B05"/>
    <w:rsid w:val="00E075CA"/>
    <w:rsid w:val="00E12F77"/>
    <w:rsid w:val="00E15552"/>
    <w:rsid w:val="00E1639E"/>
    <w:rsid w:val="00E22843"/>
    <w:rsid w:val="00E26F44"/>
    <w:rsid w:val="00E30506"/>
    <w:rsid w:val="00E33FB1"/>
    <w:rsid w:val="00E45212"/>
    <w:rsid w:val="00E557D4"/>
    <w:rsid w:val="00E627F8"/>
    <w:rsid w:val="00E66CB2"/>
    <w:rsid w:val="00E71692"/>
    <w:rsid w:val="00E736F9"/>
    <w:rsid w:val="00E84F94"/>
    <w:rsid w:val="00E90D10"/>
    <w:rsid w:val="00E97702"/>
    <w:rsid w:val="00EA1420"/>
    <w:rsid w:val="00EA2062"/>
    <w:rsid w:val="00EB218F"/>
    <w:rsid w:val="00EE6CF8"/>
    <w:rsid w:val="00EF1207"/>
    <w:rsid w:val="00EF2687"/>
    <w:rsid w:val="00EF3835"/>
    <w:rsid w:val="00F02FC5"/>
    <w:rsid w:val="00F04EB6"/>
    <w:rsid w:val="00F052B0"/>
    <w:rsid w:val="00F15859"/>
    <w:rsid w:val="00F31B94"/>
    <w:rsid w:val="00F327C2"/>
    <w:rsid w:val="00F33A9B"/>
    <w:rsid w:val="00F65FB3"/>
    <w:rsid w:val="00F67AF7"/>
    <w:rsid w:val="00F77BDC"/>
    <w:rsid w:val="00F77F33"/>
    <w:rsid w:val="00F97029"/>
    <w:rsid w:val="00FB2E3C"/>
    <w:rsid w:val="00FC1C78"/>
    <w:rsid w:val="00FD5C89"/>
    <w:rsid w:val="00FF4DC6"/>
    <w:rsid w:val="00FF68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A40"/>
  <w15:docId w15:val="{8B4C4BD0-556C-4A08-8E52-D1227668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7A2B"/>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unhideWhenUsed/>
    <w:qFormat/>
    <w:rsid w:val="001D7A2B"/>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1D7A2B"/>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1D7A2B"/>
    <w:pPr>
      <w:jc w:val="both"/>
    </w:pPr>
  </w:style>
  <w:style w:type="character" w:customStyle="1" w:styleId="ZkladntextChar">
    <w:name w:val="Základný text Char"/>
    <w:basedOn w:val="Predvolenpsmoodseku"/>
    <w:link w:val="Zkladntext"/>
    <w:uiPriority w:val="99"/>
    <w:rsid w:val="001D7A2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1D7A2B"/>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1D7A2B"/>
    <w:rPr>
      <w:rFonts w:ascii="Times New Roman" w:eastAsia="Times New Roman" w:hAnsi="Times New Roman" w:cs="Times New Roman"/>
      <w:sz w:val="24"/>
    </w:rPr>
  </w:style>
  <w:style w:type="paragraph" w:styleId="Bezriadkovania">
    <w:name w:val="No Spacing"/>
    <w:uiPriority w:val="1"/>
    <w:qFormat/>
    <w:rsid w:val="001D7A2B"/>
    <w:pPr>
      <w:spacing w:after="0" w:line="240" w:lineRule="auto"/>
    </w:pPr>
    <w:rPr>
      <w:rFonts w:ascii="Times New Roman" w:eastAsia="Times New Roman" w:hAnsi="Times New Roman" w:cs="Times New Roman"/>
      <w:sz w:val="24"/>
      <w:szCs w:val="24"/>
      <w:lang w:eastAsia="sk-SK"/>
    </w:rPr>
  </w:style>
  <w:style w:type="paragraph" w:customStyle="1" w:styleId="TxBrp9">
    <w:name w:val="TxBr_p9"/>
    <w:basedOn w:val="Normlny"/>
    <w:rsid w:val="001D7A2B"/>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1D7A2B"/>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
    <w:name w:val="awspan"/>
    <w:basedOn w:val="Predvolenpsmoodseku"/>
    <w:rsid w:val="001D7A2B"/>
  </w:style>
  <w:style w:type="character" w:styleId="Zvraznenie">
    <w:name w:val="Emphasis"/>
    <w:uiPriority w:val="20"/>
    <w:qFormat/>
    <w:rsid w:val="00601F04"/>
    <w:rPr>
      <w:rFonts w:ascii="Times New Roman" w:hAnsi="Times New Roman" w:cs="Times New Roman" w:hint="default"/>
      <w:i/>
      <w:iCs/>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601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basedOn w:val="Predvolenpsmoodseku"/>
    <w:link w:val="Odsekzoznamu"/>
    <w:uiPriority w:val="34"/>
    <w:qFormat/>
    <w:locked/>
    <w:rsid w:val="00601F04"/>
    <w:rPr>
      <w:rFonts w:ascii="Calibri" w:eastAsia="Calibri" w:hAnsi="Calibri" w:cs="Times New Roman"/>
    </w:rPr>
  </w:style>
  <w:style w:type="paragraph" w:styleId="Textbubliny">
    <w:name w:val="Balloon Text"/>
    <w:basedOn w:val="Normlny"/>
    <w:link w:val="TextbublinyChar"/>
    <w:uiPriority w:val="99"/>
    <w:semiHidden/>
    <w:unhideWhenUsed/>
    <w:rsid w:val="00FF683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837"/>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91476">
      <w:bodyDiv w:val="1"/>
      <w:marLeft w:val="0"/>
      <w:marRight w:val="0"/>
      <w:marTop w:val="0"/>
      <w:marBottom w:val="0"/>
      <w:divBdr>
        <w:top w:val="none" w:sz="0" w:space="0" w:color="auto"/>
        <w:left w:val="none" w:sz="0" w:space="0" w:color="auto"/>
        <w:bottom w:val="none" w:sz="0" w:space="0" w:color="auto"/>
        <w:right w:val="none" w:sz="0" w:space="0" w:color="auto"/>
      </w:divBdr>
    </w:div>
    <w:div w:id="234633311">
      <w:bodyDiv w:val="1"/>
      <w:marLeft w:val="0"/>
      <w:marRight w:val="0"/>
      <w:marTop w:val="0"/>
      <w:marBottom w:val="0"/>
      <w:divBdr>
        <w:top w:val="none" w:sz="0" w:space="0" w:color="auto"/>
        <w:left w:val="none" w:sz="0" w:space="0" w:color="auto"/>
        <w:bottom w:val="none" w:sz="0" w:space="0" w:color="auto"/>
        <w:right w:val="none" w:sz="0" w:space="0" w:color="auto"/>
      </w:divBdr>
    </w:div>
    <w:div w:id="444271414">
      <w:bodyDiv w:val="1"/>
      <w:marLeft w:val="0"/>
      <w:marRight w:val="0"/>
      <w:marTop w:val="0"/>
      <w:marBottom w:val="0"/>
      <w:divBdr>
        <w:top w:val="none" w:sz="0" w:space="0" w:color="auto"/>
        <w:left w:val="none" w:sz="0" w:space="0" w:color="auto"/>
        <w:bottom w:val="none" w:sz="0" w:space="0" w:color="auto"/>
        <w:right w:val="none" w:sz="0" w:space="0" w:color="auto"/>
      </w:divBdr>
      <w:divsChild>
        <w:div w:id="218900689">
          <w:marLeft w:val="0"/>
          <w:marRight w:val="0"/>
          <w:marTop w:val="0"/>
          <w:marBottom w:val="0"/>
          <w:divBdr>
            <w:top w:val="none" w:sz="0" w:space="0" w:color="auto"/>
            <w:left w:val="none" w:sz="0" w:space="0" w:color="auto"/>
            <w:bottom w:val="none" w:sz="0" w:space="0" w:color="auto"/>
            <w:right w:val="none" w:sz="0" w:space="0" w:color="auto"/>
          </w:divBdr>
        </w:div>
        <w:div w:id="1943760866">
          <w:marLeft w:val="0"/>
          <w:marRight w:val="0"/>
          <w:marTop w:val="0"/>
          <w:marBottom w:val="0"/>
          <w:divBdr>
            <w:top w:val="none" w:sz="0" w:space="0" w:color="auto"/>
            <w:left w:val="none" w:sz="0" w:space="0" w:color="auto"/>
            <w:bottom w:val="none" w:sz="0" w:space="0" w:color="auto"/>
            <w:right w:val="none" w:sz="0" w:space="0" w:color="auto"/>
          </w:divBdr>
        </w:div>
        <w:div w:id="1365597040">
          <w:marLeft w:val="0"/>
          <w:marRight w:val="0"/>
          <w:marTop w:val="0"/>
          <w:marBottom w:val="0"/>
          <w:divBdr>
            <w:top w:val="none" w:sz="0" w:space="0" w:color="auto"/>
            <w:left w:val="none" w:sz="0" w:space="0" w:color="auto"/>
            <w:bottom w:val="none" w:sz="0" w:space="0" w:color="auto"/>
            <w:right w:val="none" w:sz="0" w:space="0" w:color="auto"/>
          </w:divBdr>
        </w:div>
        <w:div w:id="187179630">
          <w:marLeft w:val="0"/>
          <w:marRight w:val="0"/>
          <w:marTop w:val="0"/>
          <w:marBottom w:val="0"/>
          <w:divBdr>
            <w:top w:val="none" w:sz="0" w:space="0" w:color="auto"/>
            <w:left w:val="none" w:sz="0" w:space="0" w:color="auto"/>
            <w:bottom w:val="none" w:sz="0" w:space="0" w:color="auto"/>
            <w:right w:val="none" w:sz="0" w:space="0" w:color="auto"/>
          </w:divBdr>
        </w:div>
        <w:div w:id="1637367504">
          <w:marLeft w:val="0"/>
          <w:marRight w:val="0"/>
          <w:marTop w:val="0"/>
          <w:marBottom w:val="0"/>
          <w:divBdr>
            <w:top w:val="none" w:sz="0" w:space="0" w:color="auto"/>
            <w:left w:val="none" w:sz="0" w:space="0" w:color="auto"/>
            <w:bottom w:val="none" w:sz="0" w:space="0" w:color="auto"/>
            <w:right w:val="none" w:sz="0" w:space="0" w:color="auto"/>
          </w:divBdr>
        </w:div>
        <w:div w:id="1331762112">
          <w:marLeft w:val="0"/>
          <w:marRight w:val="0"/>
          <w:marTop w:val="0"/>
          <w:marBottom w:val="0"/>
          <w:divBdr>
            <w:top w:val="none" w:sz="0" w:space="0" w:color="auto"/>
            <w:left w:val="none" w:sz="0" w:space="0" w:color="auto"/>
            <w:bottom w:val="none" w:sz="0" w:space="0" w:color="auto"/>
            <w:right w:val="none" w:sz="0" w:space="0" w:color="auto"/>
          </w:divBdr>
        </w:div>
      </w:divsChild>
    </w:div>
    <w:div w:id="938634479">
      <w:bodyDiv w:val="1"/>
      <w:marLeft w:val="0"/>
      <w:marRight w:val="0"/>
      <w:marTop w:val="0"/>
      <w:marBottom w:val="0"/>
      <w:divBdr>
        <w:top w:val="none" w:sz="0" w:space="0" w:color="auto"/>
        <w:left w:val="none" w:sz="0" w:space="0" w:color="auto"/>
        <w:bottom w:val="none" w:sz="0" w:space="0" w:color="auto"/>
        <w:right w:val="none" w:sz="0" w:space="0" w:color="auto"/>
      </w:divBdr>
      <w:divsChild>
        <w:div w:id="2034378419">
          <w:marLeft w:val="0"/>
          <w:marRight w:val="0"/>
          <w:marTop w:val="0"/>
          <w:marBottom w:val="0"/>
          <w:divBdr>
            <w:top w:val="none" w:sz="0" w:space="0" w:color="auto"/>
            <w:left w:val="none" w:sz="0" w:space="0" w:color="auto"/>
            <w:bottom w:val="none" w:sz="0" w:space="0" w:color="auto"/>
            <w:right w:val="none" w:sz="0" w:space="0" w:color="auto"/>
          </w:divBdr>
        </w:div>
        <w:div w:id="889000458">
          <w:marLeft w:val="0"/>
          <w:marRight w:val="0"/>
          <w:marTop w:val="0"/>
          <w:marBottom w:val="0"/>
          <w:divBdr>
            <w:top w:val="none" w:sz="0" w:space="0" w:color="auto"/>
            <w:left w:val="none" w:sz="0" w:space="0" w:color="auto"/>
            <w:bottom w:val="none" w:sz="0" w:space="0" w:color="auto"/>
            <w:right w:val="none" w:sz="0" w:space="0" w:color="auto"/>
          </w:divBdr>
        </w:div>
        <w:div w:id="419984394">
          <w:marLeft w:val="0"/>
          <w:marRight w:val="0"/>
          <w:marTop w:val="0"/>
          <w:marBottom w:val="0"/>
          <w:divBdr>
            <w:top w:val="none" w:sz="0" w:space="0" w:color="auto"/>
            <w:left w:val="none" w:sz="0" w:space="0" w:color="auto"/>
            <w:bottom w:val="none" w:sz="0" w:space="0" w:color="auto"/>
            <w:right w:val="none" w:sz="0" w:space="0" w:color="auto"/>
          </w:divBdr>
        </w:div>
        <w:div w:id="1365836353">
          <w:marLeft w:val="0"/>
          <w:marRight w:val="0"/>
          <w:marTop w:val="0"/>
          <w:marBottom w:val="0"/>
          <w:divBdr>
            <w:top w:val="none" w:sz="0" w:space="0" w:color="auto"/>
            <w:left w:val="none" w:sz="0" w:space="0" w:color="auto"/>
            <w:bottom w:val="none" w:sz="0" w:space="0" w:color="auto"/>
            <w:right w:val="none" w:sz="0" w:space="0" w:color="auto"/>
          </w:divBdr>
        </w:div>
        <w:div w:id="1913273354">
          <w:marLeft w:val="0"/>
          <w:marRight w:val="0"/>
          <w:marTop w:val="0"/>
          <w:marBottom w:val="0"/>
          <w:divBdr>
            <w:top w:val="none" w:sz="0" w:space="0" w:color="auto"/>
            <w:left w:val="none" w:sz="0" w:space="0" w:color="auto"/>
            <w:bottom w:val="none" w:sz="0" w:space="0" w:color="auto"/>
            <w:right w:val="none" w:sz="0" w:space="0" w:color="auto"/>
          </w:divBdr>
        </w:div>
        <w:div w:id="1407536017">
          <w:marLeft w:val="0"/>
          <w:marRight w:val="0"/>
          <w:marTop w:val="0"/>
          <w:marBottom w:val="0"/>
          <w:divBdr>
            <w:top w:val="none" w:sz="0" w:space="0" w:color="auto"/>
            <w:left w:val="none" w:sz="0" w:space="0" w:color="auto"/>
            <w:bottom w:val="none" w:sz="0" w:space="0" w:color="auto"/>
            <w:right w:val="none" w:sz="0" w:space="0" w:color="auto"/>
          </w:divBdr>
        </w:div>
      </w:divsChild>
    </w:div>
    <w:div w:id="1110392590">
      <w:bodyDiv w:val="1"/>
      <w:marLeft w:val="0"/>
      <w:marRight w:val="0"/>
      <w:marTop w:val="0"/>
      <w:marBottom w:val="0"/>
      <w:divBdr>
        <w:top w:val="none" w:sz="0" w:space="0" w:color="auto"/>
        <w:left w:val="none" w:sz="0" w:space="0" w:color="auto"/>
        <w:bottom w:val="none" w:sz="0" w:space="0" w:color="auto"/>
        <w:right w:val="none" w:sz="0" w:space="0" w:color="auto"/>
      </w:divBdr>
    </w:div>
    <w:div w:id="1508789920">
      <w:bodyDiv w:val="1"/>
      <w:marLeft w:val="0"/>
      <w:marRight w:val="0"/>
      <w:marTop w:val="0"/>
      <w:marBottom w:val="0"/>
      <w:divBdr>
        <w:top w:val="none" w:sz="0" w:space="0" w:color="auto"/>
        <w:left w:val="none" w:sz="0" w:space="0" w:color="auto"/>
        <w:bottom w:val="none" w:sz="0" w:space="0" w:color="auto"/>
        <w:right w:val="none" w:sz="0" w:space="0" w:color="auto"/>
      </w:divBdr>
    </w:div>
    <w:div w:id="1514606965">
      <w:bodyDiv w:val="1"/>
      <w:marLeft w:val="0"/>
      <w:marRight w:val="0"/>
      <w:marTop w:val="0"/>
      <w:marBottom w:val="0"/>
      <w:divBdr>
        <w:top w:val="none" w:sz="0" w:space="0" w:color="auto"/>
        <w:left w:val="none" w:sz="0" w:space="0" w:color="auto"/>
        <w:bottom w:val="none" w:sz="0" w:space="0" w:color="auto"/>
        <w:right w:val="none" w:sz="0" w:space="0" w:color="auto"/>
      </w:divBdr>
    </w:div>
    <w:div w:id="1631787914">
      <w:bodyDiv w:val="1"/>
      <w:marLeft w:val="0"/>
      <w:marRight w:val="0"/>
      <w:marTop w:val="0"/>
      <w:marBottom w:val="0"/>
      <w:divBdr>
        <w:top w:val="none" w:sz="0" w:space="0" w:color="auto"/>
        <w:left w:val="none" w:sz="0" w:space="0" w:color="auto"/>
        <w:bottom w:val="none" w:sz="0" w:space="0" w:color="auto"/>
        <w:right w:val="none" w:sz="0" w:space="0" w:color="auto"/>
      </w:divBdr>
    </w:div>
    <w:div w:id="21064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8EEBB-BD9B-4AD2-98D5-34613B347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762</Words>
  <Characters>4350</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Ebringerová</dc:creator>
  <cp:lastModifiedBy>Ebringerová, Viera</cp:lastModifiedBy>
  <cp:revision>76</cp:revision>
  <cp:lastPrinted>2024-10-18T08:22:00Z</cp:lastPrinted>
  <dcterms:created xsi:type="dcterms:W3CDTF">2024-05-13T11:50:00Z</dcterms:created>
  <dcterms:modified xsi:type="dcterms:W3CDTF">2024-10-22T10:41:00Z</dcterms:modified>
</cp:coreProperties>
</file>