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F93E52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</w:t>
      </w:r>
      <w:r w:rsidR="00E42539">
        <w:rPr>
          <w:b/>
          <w:szCs w:val="24"/>
          <w:lang w:eastAsia="sk-SK"/>
        </w:rPr>
        <w:t xml:space="preserve">  29</w:t>
      </w:r>
      <w:r w:rsidR="00A11DAC">
        <w:rPr>
          <w:b/>
          <w:szCs w:val="24"/>
          <w:lang w:eastAsia="sk-SK"/>
        </w:rPr>
        <w:t>.  schôdza výboru</w:t>
      </w:r>
    </w:p>
    <w:p w:rsidR="00A11DAC" w:rsidRDefault="006C32A8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  <w:t xml:space="preserve">        </w:t>
      </w:r>
      <w:r w:rsidR="00E42539">
        <w:rPr>
          <w:szCs w:val="24"/>
          <w:lang w:eastAsia="sk-SK"/>
        </w:rPr>
        <w:t>KNR – VOB – 1804/2024 - 2</w:t>
      </w:r>
    </w:p>
    <w:p w:rsidR="00A11DAC" w:rsidRDefault="00663AED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                                                                        </w:t>
      </w:r>
    </w:p>
    <w:p w:rsidR="00A11DAC" w:rsidRDefault="00E42539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52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</w:t>
      </w:r>
      <w:r w:rsidR="00E42539">
        <w:rPr>
          <w:szCs w:val="24"/>
          <w:lang w:eastAsia="sk-SK"/>
        </w:rPr>
        <w:t> 22. októbra</w:t>
      </w:r>
      <w:r w:rsidR="0055586F">
        <w:rPr>
          <w:szCs w:val="24"/>
          <w:lang w:eastAsia="sk-SK"/>
        </w:rPr>
        <w:t xml:space="preserve"> </w:t>
      </w:r>
      <w:r w:rsidR="00501E53">
        <w:rPr>
          <w:szCs w:val="24"/>
          <w:lang w:eastAsia="sk-SK"/>
        </w:rPr>
        <w:t>2024</w:t>
      </w:r>
    </w:p>
    <w:p w:rsidR="00F93E52" w:rsidRDefault="00F93E52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Pr="00BA538D" w:rsidRDefault="00F93E52" w:rsidP="00820305">
      <w:pPr>
        <w:tabs>
          <w:tab w:val="left" w:pos="5580"/>
        </w:tabs>
        <w:spacing w:after="0" w:line="240" w:lineRule="auto"/>
        <w:jc w:val="both"/>
        <w:rPr>
          <w:b/>
          <w:szCs w:val="24"/>
          <w:lang w:eastAsia="sk-SK"/>
        </w:rPr>
      </w:pPr>
      <w:r w:rsidRPr="002933CB">
        <w:rPr>
          <w:szCs w:val="24"/>
          <w:lang w:eastAsia="sk-SK"/>
        </w:rPr>
        <w:t>Výbor Národnej rady Slovenskej republiky pre obranu a bezpečnosť prerokoval</w:t>
      </w:r>
      <w:r w:rsidR="00CD7F25">
        <w:rPr>
          <w:szCs w:val="24"/>
          <w:lang w:eastAsia="sk-SK"/>
        </w:rPr>
        <w:t xml:space="preserve"> vládny</w:t>
      </w:r>
      <w:r w:rsidR="0056461F" w:rsidRPr="002933CB">
        <w:rPr>
          <w:szCs w:val="24"/>
          <w:lang w:eastAsia="sk-SK"/>
        </w:rPr>
        <w:t xml:space="preserve"> </w:t>
      </w:r>
      <w:r w:rsidR="00CD7F25" w:rsidRPr="00E61493">
        <w:rPr>
          <w:rFonts w:cs="Arial"/>
          <w:noProof/>
          <w:szCs w:val="24"/>
        </w:rPr>
        <w:t xml:space="preserve">návrh zákona, ktorým sa mení a dopĺňa zákon Národnej rady Slovenskej republiky č. 171/1993 Z. z. o Policajnom zbore v znení neskorších predpisov a ktorým sa menia a dopĺňajú niektoré zákony </w:t>
      </w:r>
      <w:r w:rsidR="00CD7F25" w:rsidRPr="00E61493">
        <w:rPr>
          <w:rFonts w:cs="Arial"/>
          <w:b/>
          <w:noProof/>
          <w:szCs w:val="24"/>
        </w:rPr>
        <w:t>(tlač 405)</w:t>
      </w:r>
      <w:r w:rsidR="00CD7F25" w:rsidRPr="00E61493">
        <w:rPr>
          <w:b/>
          <w:szCs w:val="24"/>
          <w:lang w:eastAsia="sk-SK"/>
        </w:rPr>
        <w:t xml:space="preserve">  - druhé čítanie</w:t>
      </w:r>
      <w:r w:rsidR="002933CB">
        <w:rPr>
          <w:rFonts w:cs="Arial"/>
          <w:b/>
          <w:szCs w:val="24"/>
        </w:rPr>
        <w:t xml:space="preserve"> </w:t>
      </w:r>
      <w:r w:rsidRPr="00BA538D">
        <w:rPr>
          <w:bCs/>
          <w:szCs w:val="24"/>
          <w:lang w:eastAsia="sk-SK"/>
        </w:rPr>
        <w:t>a</w:t>
      </w:r>
    </w:p>
    <w:p w:rsidR="00F93E52" w:rsidRDefault="00F93E52" w:rsidP="00F93E52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Default="00F93E52" w:rsidP="00F93E52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F93E52" w:rsidRDefault="00F93E52" w:rsidP="00F93E52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F93E52" w:rsidRDefault="00F93E52" w:rsidP="001B6094">
      <w:pPr>
        <w:tabs>
          <w:tab w:val="left" w:pos="5580"/>
        </w:tabs>
        <w:spacing w:after="0" w:line="240" w:lineRule="auto"/>
        <w:ind w:left="1068"/>
        <w:jc w:val="both"/>
        <w:rPr>
          <w:rFonts w:cs="Arial"/>
          <w:b/>
        </w:rPr>
      </w:pPr>
      <w:r>
        <w:rPr>
          <w:bCs/>
          <w:szCs w:val="24"/>
          <w:lang w:eastAsia="sk-SK"/>
        </w:rPr>
        <w:t>s</w:t>
      </w:r>
      <w:r w:rsidR="001B6094">
        <w:rPr>
          <w:bCs/>
          <w:szCs w:val="24"/>
          <w:lang w:eastAsia="sk-SK"/>
        </w:rPr>
        <w:t xml:space="preserve"> vládnym</w:t>
      </w:r>
      <w:r>
        <w:rPr>
          <w:bCs/>
          <w:szCs w:val="24"/>
          <w:lang w:eastAsia="sk-SK"/>
        </w:rPr>
        <w:t xml:space="preserve"> </w:t>
      </w:r>
      <w:r w:rsidR="001B6094" w:rsidRPr="00E61493">
        <w:rPr>
          <w:rFonts w:cs="Arial"/>
          <w:noProof/>
          <w:szCs w:val="24"/>
        </w:rPr>
        <w:t>návrh</w:t>
      </w:r>
      <w:r w:rsidR="001B6094">
        <w:rPr>
          <w:rFonts w:cs="Arial"/>
          <w:noProof/>
          <w:szCs w:val="24"/>
        </w:rPr>
        <w:t>om</w:t>
      </w:r>
      <w:r w:rsidR="001B6094" w:rsidRPr="00E61493">
        <w:rPr>
          <w:rFonts w:cs="Arial"/>
          <w:noProof/>
          <w:szCs w:val="24"/>
        </w:rPr>
        <w:t xml:space="preserve"> zákona, ktorým sa mení a dopĺňa zákon Národnej rady Slovenskej republiky č. 171/1993 Z. z. o Policajnom zbore v znení neskorších predpisov a ktorým sa menia a dopĺňajú niektoré zákony </w:t>
      </w:r>
      <w:r w:rsidR="001B6094" w:rsidRPr="00E61493">
        <w:rPr>
          <w:rFonts w:cs="Arial"/>
          <w:b/>
          <w:noProof/>
          <w:szCs w:val="24"/>
        </w:rPr>
        <w:t>(tlač 405)</w:t>
      </w:r>
      <w:r w:rsidRPr="00E72961">
        <w:rPr>
          <w:rFonts w:cs="Arial"/>
          <w:b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0D6798" w:rsidRDefault="000D6798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F93E52" w:rsidRPr="000D6798" w:rsidRDefault="00F93E52" w:rsidP="00F93E52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 w:rsidR="000D6798">
        <w:rPr>
          <w:b/>
          <w:bCs/>
          <w:sz w:val="28"/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 </w:t>
      </w:r>
      <w:r w:rsidRPr="000D6798">
        <w:rPr>
          <w:b/>
          <w:szCs w:val="24"/>
          <w:lang w:eastAsia="sk-SK"/>
        </w:rPr>
        <w:t>Národnej rade Slovenskej republiky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F93E52" w:rsidRPr="00E947B3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 </w:t>
      </w:r>
      <w:r w:rsidR="00BB3B78">
        <w:rPr>
          <w:szCs w:val="24"/>
          <w:lang w:eastAsia="sk-SK"/>
        </w:rPr>
        <w:t xml:space="preserve">vládny </w:t>
      </w:r>
      <w:r w:rsidR="00BB3B78" w:rsidRPr="00E61493">
        <w:rPr>
          <w:rFonts w:cs="Arial"/>
          <w:noProof/>
          <w:szCs w:val="24"/>
        </w:rPr>
        <w:t xml:space="preserve">návrh zákona, ktorým sa mení a dopĺňa zákon Národnej rady Slovenskej republiky č. 171/1993 Z. z. o Policajnom zbore v znení neskorších predpisov a ktorým sa menia a dopĺňajú niektoré zákony </w:t>
      </w:r>
      <w:r w:rsidR="00BB3B78" w:rsidRPr="00E61493">
        <w:rPr>
          <w:rFonts w:cs="Arial"/>
          <w:b/>
          <w:noProof/>
          <w:szCs w:val="24"/>
        </w:rPr>
        <w:t>(tlač 405)</w:t>
      </w:r>
      <w:r w:rsidR="00BB3B78">
        <w:rPr>
          <w:b/>
          <w:szCs w:val="24"/>
          <w:lang w:eastAsia="sk-SK"/>
        </w:rPr>
        <w:t xml:space="preserve"> </w:t>
      </w:r>
      <w:r w:rsidRPr="001B2F9C">
        <w:rPr>
          <w:rFonts w:cs="Arial"/>
          <w:b/>
          <w:szCs w:val="24"/>
        </w:rPr>
        <w:t>schváliť</w:t>
      </w:r>
      <w:r w:rsidR="006C43F5">
        <w:rPr>
          <w:rFonts w:cs="Arial"/>
          <w:b/>
          <w:szCs w:val="24"/>
        </w:rPr>
        <w:t xml:space="preserve"> </w:t>
      </w:r>
      <w:r w:rsidR="000D6798" w:rsidRPr="00E947B3">
        <w:rPr>
          <w:rFonts w:cs="Arial"/>
          <w:b/>
          <w:szCs w:val="24"/>
        </w:rPr>
        <w:t>s pozmeňujúcim</w:t>
      </w:r>
      <w:r w:rsidR="003652DA" w:rsidRPr="00E947B3">
        <w:rPr>
          <w:rFonts w:cs="Arial"/>
          <w:b/>
          <w:szCs w:val="24"/>
        </w:rPr>
        <w:t>i</w:t>
      </w:r>
      <w:r w:rsidR="000D6798" w:rsidRPr="00E947B3">
        <w:rPr>
          <w:rFonts w:cs="Arial"/>
          <w:b/>
          <w:szCs w:val="24"/>
        </w:rPr>
        <w:t xml:space="preserve"> a doplňujúcim</w:t>
      </w:r>
      <w:r w:rsidR="00E327B0" w:rsidRPr="00E947B3">
        <w:rPr>
          <w:rFonts w:cs="Arial"/>
          <w:b/>
          <w:szCs w:val="24"/>
        </w:rPr>
        <w:t>i návrhmi</w:t>
      </w:r>
      <w:r w:rsidR="000D6798" w:rsidRPr="00E947B3">
        <w:rPr>
          <w:rFonts w:cs="Arial"/>
          <w:szCs w:val="24"/>
        </w:rPr>
        <w:t xml:space="preserve"> uvedeným</w:t>
      </w:r>
      <w:r w:rsidR="003652DA" w:rsidRPr="00E947B3">
        <w:rPr>
          <w:rFonts w:cs="Arial"/>
          <w:szCs w:val="24"/>
        </w:rPr>
        <w:t>i</w:t>
      </w:r>
      <w:r w:rsidRPr="00E947B3">
        <w:rPr>
          <w:rFonts w:cs="Arial"/>
          <w:szCs w:val="24"/>
        </w:rPr>
        <w:t xml:space="preserve"> v prílohe tohto uznesenia;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D64948" w:rsidRDefault="00D64948" w:rsidP="00F93E52">
      <w:pPr>
        <w:spacing w:after="0" w:line="240" w:lineRule="auto"/>
        <w:jc w:val="both"/>
        <w:rPr>
          <w:szCs w:val="24"/>
          <w:lang w:eastAsia="sk-SK"/>
        </w:rPr>
      </w:pPr>
    </w:p>
    <w:p w:rsidR="005964B7" w:rsidRDefault="005964B7" w:rsidP="005964B7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C. ukladá</w:t>
      </w:r>
    </w:p>
    <w:p w:rsidR="005964B7" w:rsidRPr="00022AE4" w:rsidRDefault="005964B7" w:rsidP="005964B7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</w:t>
      </w:r>
      <w:r w:rsidRPr="00022AE4">
        <w:rPr>
          <w:b/>
          <w:szCs w:val="24"/>
          <w:lang w:eastAsia="sk-SK"/>
        </w:rPr>
        <w:t>predsedovi výboru</w:t>
      </w:r>
    </w:p>
    <w:p w:rsidR="005964B7" w:rsidRDefault="005964B7" w:rsidP="005964B7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244A30" w:rsidRDefault="00244A30" w:rsidP="00244A30">
      <w:pPr>
        <w:spacing w:after="0" w:line="240" w:lineRule="auto"/>
        <w:jc w:val="both"/>
        <w:rPr>
          <w:szCs w:val="24"/>
          <w:lang w:eastAsia="sk-SK"/>
        </w:rPr>
      </w:pPr>
      <w:r w:rsidRPr="00060C8B">
        <w:rPr>
          <w:szCs w:val="24"/>
          <w:lang w:eastAsia="sk-SK"/>
        </w:rPr>
        <w:t>v spolupráci s ostatnými predsedami výborov Národnej rady Slovenskej republiky, ktorí predmetný návrh zákona prerokovali, predložiť Národnej rade Slovenskej republiky spoločnú správu o výsledku prerokovania uvedeného vládneho návrhu zákona vo výboroch.</w:t>
      </w:r>
    </w:p>
    <w:p w:rsidR="005964B7" w:rsidRDefault="005964B7" w:rsidP="005964B7">
      <w:pPr>
        <w:spacing w:after="0" w:line="240" w:lineRule="auto"/>
        <w:jc w:val="both"/>
        <w:rPr>
          <w:szCs w:val="24"/>
          <w:lang w:eastAsia="sk-SK"/>
        </w:rPr>
      </w:pPr>
    </w:p>
    <w:p w:rsidR="000415EB" w:rsidRDefault="000415EB" w:rsidP="000415EB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b/>
          <w:sz w:val="28"/>
          <w:szCs w:val="28"/>
        </w:rPr>
      </w:pPr>
      <w:r>
        <w:rPr>
          <w:b/>
          <w:i/>
          <w:szCs w:val="24"/>
          <w:lang w:eastAsia="sk-SK"/>
        </w:rPr>
        <w:tab/>
      </w:r>
      <w:r>
        <w:rPr>
          <w:b/>
          <w:i/>
          <w:szCs w:val="24"/>
          <w:lang w:eastAsia="sk-SK"/>
        </w:rPr>
        <w:tab/>
      </w:r>
      <w:r>
        <w:rPr>
          <w:b/>
          <w:i/>
          <w:szCs w:val="24"/>
          <w:lang w:eastAsia="sk-SK"/>
        </w:rPr>
        <w:tab/>
      </w:r>
      <w:r>
        <w:rPr>
          <w:b/>
          <w:i/>
          <w:szCs w:val="24"/>
          <w:lang w:eastAsia="sk-SK"/>
        </w:rPr>
        <w:tab/>
      </w:r>
      <w:r>
        <w:rPr>
          <w:b/>
          <w:i/>
          <w:szCs w:val="24"/>
          <w:lang w:eastAsia="sk-SK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0415EB" w:rsidRDefault="000415EB" w:rsidP="000415EB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586F4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Tibor Gašpar</w:t>
      </w:r>
    </w:p>
    <w:p w:rsidR="000415EB" w:rsidRDefault="000415EB" w:rsidP="000415EB">
      <w:pPr>
        <w:tabs>
          <w:tab w:val="left" w:pos="709"/>
          <w:tab w:val="left" w:pos="1021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predseda výboru</w:t>
      </w:r>
    </w:p>
    <w:p w:rsidR="000415EB" w:rsidRDefault="000415EB" w:rsidP="000415EB">
      <w:pPr>
        <w:keepNext/>
        <w:tabs>
          <w:tab w:val="left" w:pos="709"/>
          <w:tab w:val="left" w:pos="1021"/>
        </w:tabs>
        <w:spacing w:after="0" w:line="240" w:lineRule="auto"/>
        <w:outlineLvl w:val="4"/>
        <w:rPr>
          <w:b/>
          <w:sz w:val="28"/>
          <w:szCs w:val="28"/>
        </w:rPr>
      </w:pPr>
    </w:p>
    <w:p w:rsidR="000415EB" w:rsidRDefault="00DA3358" w:rsidP="000415EB">
      <w:pPr>
        <w:tabs>
          <w:tab w:val="left" w:pos="709"/>
          <w:tab w:val="left" w:pos="1021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Marián Saloň</w:t>
      </w:r>
    </w:p>
    <w:p w:rsidR="000415EB" w:rsidRDefault="000415EB" w:rsidP="000415EB">
      <w:pPr>
        <w:tabs>
          <w:tab w:val="left" w:pos="709"/>
          <w:tab w:val="left" w:pos="1021"/>
        </w:tabs>
        <w:spacing w:after="0" w:line="240" w:lineRule="auto"/>
        <w:rPr>
          <w:sz w:val="22"/>
        </w:rPr>
      </w:pPr>
      <w:r>
        <w:rPr>
          <w:sz w:val="22"/>
        </w:rPr>
        <w:t xml:space="preserve">Overovateľ                                                           </w:t>
      </w:r>
    </w:p>
    <w:p w:rsidR="000415EB" w:rsidRDefault="000415EB" w:rsidP="000415EB">
      <w:pPr>
        <w:tabs>
          <w:tab w:val="left" w:pos="709"/>
          <w:tab w:val="left" w:pos="1021"/>
        </w:tabs>
        <w:spacing w:after="0" w:line="240" w:lineRule="auto"/>
        <w:rPr>
          <w:b/>
          <w:sz w:val="28"/>
          <w:szCs w:val="28"/>
        </w:rPr>
      </w:pPr>
    </w:p>
    <w:p w:rsidR="000415EB" w:rsidRDefault="00DA3358" w:rsidP="000415EB">
      <w:pPr>
        <w:tabs>
          <w:tab w:val="left" w:pos="709"/>
          <w:tab w:val="left" w:pos="1021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Jaroslav Spišiak</w:t>
      </w:r>
      <w:r w:rsidR="000415EB">
        <w:rPr>
          <w:b/>
          <w:sz w:val="28"/>
          <w:szCs w:val="28"/>
        </w:rPr>
        <w:t xml:space="preserve">                                    </w:t>
      </w:r>
    </w:p>
    <w:p w:rsidR="000415EB" w:rsidRDefault="000415EB" w:rsidP="000415EB">
      <w:pPr>
        <w:tabs>
          <w:tab w:val="left" w:pos="709"/>
          <w:tab w:val="left" w:pos="1021"/>
        </w:tabs>
        <w:spacing w:after="0" w:line="240" w:lineRule="auto"/>
      </w:pPr>
      <w:r>
        <w:rPr>
          <w:sz w:val="22"/>
        </w:rPr>
        <w:t xml:space="preserve"> overovateľ</w:t>
      </w:r>
    </w:p>
    <w:p w:rsidR="000E30E2" w:rsidRDefault="00C04239" w:rsidP="000E30E2">
      <w:pPr>
        <w:spacing w:after="0" w:line="240" w:lineRule="auto"/>
        <w:jc w:val="right"/>
        <w:rPr>
          <w:sz w:val="22"/>
          <w:lang w:eastAsia="sk-SK"/>
        </w:rPr>
      </w:pPr>
      <w:r>
        <w:rPr>
          <w:sz w:val="22"/>
          <w:lang w:eastAsia="sk-SK"/>
        </w:rPr>
        <w:lastRenderedPageBreak/>
        <w:t>Príloha k </w:t>
      </w:r>
      <w:proofErr w:type="spellStart"/>
      <w:r>
        <w:rPr>
          <w:sz w:val="22"/>
          <w:lang w:eastAsia="sk-SK"/>
        </w:rPr>
        <w:t>uzn</w:t>
      </w:r>
      <w:proofErr w:type="spellEnd"/>
      <w:r>
        <w:rPr>
          <w:sz w:val="22"/>
          <w:lang w:eastAsia="sk-SK"/>
        </w:rPr>
        <w:t>. č. 52</w:t>
      </w:r>
    </w:p>
    <w:p w:rsidR="000E30E2" w:rsidRDefault="000E30E2" w:rsidP="000E30E2">
      <w:pPr>
        <w:spacing w:after="0" w:line="240" w:lineRule="auto"/>
        <w:jc w:val="right"/>
        <w:rPr>
          <w:sz w:val="22"/>
          <w:lang w:eastAsia="sk-SK"/>
        </w:rPr>
      </w:pPr>
    </w:p>
    <w:p w:rsidR="000E30E2" w:rsidRPr="004C4EB7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  <w:r w:rsidRPr="004C4EB7">
        <w:rPr>
          <w:sz w:val="28"/>
          <w:szCs w:val="28"/>
          <w:lang w:eastAsia="sk-SK"/>
        </w:rPr>
        <w:t>Pripomienky</w:t>
      </w: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D17950" w:rsidRDefault="00C04239" w:rsidP="00FB3D7C">
      <w:pPr>
        <w:tabs>
          <w:tab w:val="left" w:pos="5580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k vládnemu </w:t>
      </w:r>
      <w:r w:rsidRPr="00E61493">
        <w:rPr>
          <w:rFonts w:cs="Arial"/>
          <w:noProof/>
          <w:szCs w:val="24"/>
        </w:rPr>
        <w:t xml:space="preserve">návrh zákona, ktorým sa mení a dopĺňa zákon Národnej rady Slovenskej republiky č. 171/1993 Z. z. o Policajnom zbore v znení neskorších predpisov a ktorým sa menia a dopĺňajú niektoré zákony </w:t>
      </w:r>
      <w:r w:rsidRPr="00E61493">
        <w:rPr>
          <w:rFonts w:cs="Arial"/>
          <w:b/>
          <w:noProof/>
          <w:szCs w:val="24"/>
        </w:rPr>
        <w:t>(tlač 405)</w:t>
      </w:r>
      <w:r>
        <w:rPr>
          <w:b/>
          <w:szCs w:val="24"/>
          <w:lang w:eastAsia="sk-SK"/>
        </w:rPr>
        <w:t xml:space="preserve"> </w:t>
      </w:r>
    </w:p>
    <w:p w:rsidR="000E30E2" w:rsidRPr="00A531BB" w:rsidRDefault="000E30E2" w:rsidP="00FB3D7C">
      <w:pPr>
        <w:tabs>
          <w:tab w:val="left" w:pos="5580"/>
        </w:tabs>
        <w:spacing w:after="0" w:line="240" w:lineRule="auto"/>
        <w:rPr>
          <w:szCs w:val="24"/>
          <w:lang w:eastAsia="sk-SK"/>
        </w:rPr>
      </w:pPr>
      <w:r>
        <w:rPr>
          <w:rFonts w:cs="Arial"/>
          <w:b/>
        </w:rPr>
        <w:t>___________________________________________________________________________</w:t>
      </w:r>
    </w:p>
    <w:p w:rsidR="00726BB6" w:rsidRPr="00726BB6" w:rsidRDefault="00726BB6" w:rsidP="00726BB6">
      <w:pPr>
        <w:spacing w:before="120" w:after="0" w:line="360" w:lineRule="auto"/>
        <w:jc w:val="both"/>
        <w:rPr>
          <w:szCs w:val="24"/>
          <w:u w:val="single"/>
          <w:lang w:eastAsia="sk-SK"/>
        </w:rPr>
      </w:pPr>
      <w:r w:rsidRPr="00726BB6">
        <w:rPr>
          <w:szCs w:val="24"/>
          <w:u w:val="single"/>
          <w:lang w:eastAsia="sk-SK"/>
        </w:rPr>
        <w:t>K čl. I</w:t>
      </w:r>
    </w:p>
    <w:p w:rsidR="00F64900" w:rsidRPr="00F64900" w:rsidRDefault="00F64900" w:rsidP="00F649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V čl. I 5. bode nadpis piatej hlavy znie: „VÝMENA INFORMÁCIÍ S ORGÁNMI PRESADZOVANIA PRÁVA ČLENSKÝCH ŠTÁTOV“.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color w:val="000000"/>
          <w:szCs w:val="24"/>
          <w:lang w:eastAsia="sk-SK"/>
        </w:rPr>
      </w:pP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Spresňuje sa názov piatej hlavy tak, aby bolo zrejmé, že výmena informácií sa uskutočňuje medzi Slovenskou republikou a príslušnými orgánmi členských štátov Európskej únie.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color w:val="000000"/>
          <w:szCs w:val="24"/>
          <w:lang w:eastAsia="sk-SK"/>
        </w:rPr>
      </w:pPr>
    </w:p>
    <w:p w:rsidR="00F64900" w:rsidRPr="00F64900" w:rsidRDefault="00F64900" w:rsidP="00F649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V čl. I 5. bode § 69ga ods. 1 sa slová „medzi členskými štátmi Európskej únie“ nahrádzajú slovami „medzi orgánmi presadzovania práva podľa § 69gb písm. f) a orgánmi presadzovania práva členských štátov“.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Cs w:val="24"/>
          <w:lang w:eastAsia="sk-SK"/>
        </w:rPr>
      </w:pP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Spresňuje sa text tak, aby bolo zrejmé, že výmena informácií sa uskutočňuje medzi Slovenskou republikou a príslušnými orgánmi členských štátov Európskej únie.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Cs w:val="24"/>
          <w:lang w:eastAsia="sk-SK"/>
        </w:rPr>
      </w:pPr>
    </w:p>
    <w:p w:rsidR="00F64900" w:rsidRPr="00F64900" w:rsidRDefault="00F64900" w:rsidP="00F649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V čl. I 5. bode § 69ga ods. 2 sa slová „osobitné predpisy o medzinárodnej policajnej alebo colnej spolupráci a“ nahrádzajú slovami „medzinárodné zmluvy, ktorými je Slovenská republika viazaná,</w:t>
      </w:r>
      <w:r w:rsidRPr="00F64900">
        <w:rPr>
          <w:color w:val="000000"/>
          <w:szCs w:val="24"/>
          <w:vertAlign w:val="superscript"/>
          <w:lang w:eastAsia="sk-SK"/>
        </w:rPr>
        <w:t>27eba</w:t>
      </w:r>
      <w:r w:rsidRPr="00F64900">
        <w:rPr>
          <w:color w:val="000000"/>
          <w:szCs w:val="24"/>
          <w:lang w:eastAsia="sk-SK"/>
        </w:rPr>
        <w:t>) ani osobitné predpisy o“.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Cs w:val="24"/>
          <w:lang w:eastAsia="sk-SK"/>
        </w:rPr>
      </w:pP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Poznámka pod čiarou k odkazu 27eba znie: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contextualSpacing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„</w:t>
      </w:r>
      <w:r w:rsidRPr="00F64900">
        <w:rPr>
          <w:color w:val="000000"/>
          <w:szCs w:val="24"/>
          <w:vertAlign w:val="superscript"/>
          <w:lang w:eastAsia="sk-SK"/>
        </w:rPr>
        <w:t>27eba</w:t>
      </w:r>
      <w:r w:rsidRPr="00F64900">
        <w:rPr>
          <w:color w:val="000000"/>
          <w:szCs w:val="24"/>
          <w:lang w:eastAsia="sk-SK"/>
        </w:rPr>
        <w:t>) Napríklad Zmluva medzi Slovenskou republikou a Rakúskou republikou o policajnej spolupráci (oznámenie Ministerstva zahraničných vecí Slovenskej republiky č. 252/2005 Z. z.).“.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Cs w:val="24"/>
          <w:lang w:eastAsia="sk-SK"/>
        </w:rPr>
      </w:pP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V nadväznosti na to sa v čl. I 5. bode doterajšie odkazy na poznámky pod čiarou 27eba až 27ebg označujú ako odkazy na poznámky pod čiarou 27ebb až 27ebh. V súvislosti s tým sa upraví aj znenie úvodnej vety k poznámkam pod čiarou, ako aj ich označenie.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Cs w:val="24"/>
          <w:lang w:eastAsia="sk-SK"/>
        </w:rPr>
      </w:pP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V súlade so smernicou (EÚ) 2023/977 sa precizuje ustanovenie v tom smere, že výmenou informácií podľa navrhovanej piatej hlavy nie sú dotknuté ani medzinárodné zmluvy, ktoré sa týkajú policajnej alebo colnej spolupráce, keďže použitý pojem „osobitné predpisy“ ich nezahŕňa.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Cs w:val="24"/>
          <w:lang w:eastAsia="sk-SK"/>
        </w:rPr>
      </w:pPr>
    </w:p>
    <w:p w:rsidR="00726BB6" w:rsidRPr="00726BB6" w:rsidRDefault="00726BB6" w:rsidP="00F64900">
      <w:pPr>
        <w:spacing w:line="240" w:lineRule="auto"/>
        <w:rPr>
          <w:szCs w:val="24"/>
          <w:lang w:eastAsia="sk-SK"/>
        </w:rPr>
      </w:pPr>
    </w:p>
    <w:p w:rsidR="00726BB6" w:rsidRPr="00726BB6" w:rsidRDefault="00F64900" w:rsidP="00726BB6">
      <w:pPr>
        <w:spacing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4</w:t>
      </w:r>
      <w:r w:rsidR="00726BB6" w:rsidRPr="00726BB6">
        <w:rPr>
          <w:szCs w:val="24"/>
          <w:lang w:eastAsia="sk-SK"/>
        </w:rPr>
        <w:t xml:space="preserve">. </w:t>
      </w:r>
      <w:r w:rsidR="00726BB6" w:rsidRPr="00726BB6">
        <w:rPr>
          <w:szCs w:val="24"/>
          <w:lang w:eastAsia="sk-SK"/>
        </w:rPr>
        <w:tab/>
        <w:t xml:space="preserve">V čl. I 5. bode § 69ga ods. 3 sa pred slová „členský štát Európskej únie“ vkladá slovo „iný“ a slovo „tretí“ sa nahrádza slovom „iný“.  </w:t>
      </w:r>
    </w:p>
    <w:p w:rsidR="00726BB6" w:rsidRPr="00726BB6" w:rsidRDefault="00726BB6" w:rsidP="00726BB6">
      <w:pPr>
        <w:spacing w:line="360" w:lineRule="auto"/>
        <w:ind w:left="720"/>
        <w:contextualSpacing/>
        <w:jc w:val="both"/>
        <w:rPr>
          <w:szCs w:val="24"/>
          <w:lang w:eastAsia="sk-SK"/>
        </w:rPr>
      </w:pPr>
    </w:p>
    <w:p w:rsidR="00726BB6" w:rsidRPr="00726BB6" w:rsidRDefault="00726BB6" w:rsidP="00726BB6">
      <w:pPr>
        <w:spacing w:line="240" w:lineRule="auto"/>
        <w:ind w:left="4253"/>
        <w:jc w:val="both"/>
        <w:rPr>
          <w:szCs w:val="24"/>
          <w:lang w:eastAsia="sk-SK"/>
        </w:rPr>
      </w:pPr>
      <w:r w:rsidRPr="00726BB6">
        <w:rPr>
          <w:szCs w:val="24"/>
          <w:lang w:eastAsia="sk-SK"/>
        </w:rPr>
        <w:t xml:space="preserve">Legislatívno-technická pripomienka, ktorou sa upravuje definícia členského štátu Európskej únie nakoľko sa v texte napr. § 69gb písm. g) používa pojem „iného členského štátu Európskej únie“ a zároveň sa spresňuje ustanovenie tak, aby nekolidovalo so skratkou „tretí štát“ zavedenou v § 69gd ods. 5 písm. h). </w:t>
      </w:r>
    </w:p>
    <w:p w:rsidR="00726BB6" w:rsidRPr="00726BB6" w:rsidRDefault="00F64900" w:rsidP="00726BB6">
      <w:pPr>
        <w:spacing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5</w:t>
      </w:r>
      <w:r w:rsidR="00726BB6" w:rsidRPr="00726BB6">
        <w:rPr>
          <w:szCs w:val="24"/>
          <w:lang w:eastAsia="sk-SK"/>
        </w:rPr>
        <w:t xml:space="preserve">. </w:t>
      </w:r>
      <w:r w:rsidR="00726BB6" w:rsidRPr="00726BB6">
        <w:rPr>
          <w:szCs w:val="24"/>
          <w:lang w:eastAsia="sk-SK"/>
        </w:rPr>
        <w:tab/>
        <w:t xml:space="preserve">V čl. I 5. bode § 69gc ods. 2 písm. a) sa pred slovo „definovanie“ vkladá slovo „podrobné“. </w:t>
      </w:r>
    </w:p>
    <w:p w:rsidR="00726BB6" w:rsidRPr="00726BB6" w:rsidRDefault="00726BB6" w:rsidP="00726BB6">
      <w:pPr>
        <w:spacing w:line="240" w:lineRule="auto"/>
        <w:ind w:left="4253"/>
        <w:jc w:val="both"/>
        <w:rPr>
          <w:szCs w:val="24"/>
          <w:lang w:eastAsia="sk-SK"/>
        </w:rPr>
      </w:pPr>
      <w:r w:rsidRPr="00726BB6">
        <w:rPr>
          <w:szCs w:val="24"/>
          <w:lang w:eastAsia="sk-SK"/>
        </w:rPr>
        <w:t>Ide o spresnenie, nakoľko smernica 2023/977 v čl. 4 ods. 5 písm. a) požaduje, aby žiadosť obsahovala spresnenie požadovaných informácií, ktoré je podrobné do takej miery, do akej je to za daných okolností možné.</w:t>
      </w:r>
    </w:p>
    <w:p w:rsidR="00726BB6" w:rsidRPr="00726BB6" w:rsidRDefault="00726BB6" w:rsidP="00726BB6">
      <w:pPr>
        <w:spacing w:line="360" w:lineRule="auto"/>
        <w:jc w:val="both"/>
        <w:rPr>
          <w:szCs w:val="24"/>
          <w:lang w:eastAsia="sk-SK"/>
        </w:rPr>
      </w:pPr>
      <w:r w:rsidRPr="00726BB6">
        <w:rPr>
          <w:szCs w:val="24"/>
          <w:lang w:eastAsia="sk-SK"/>
        </w:rPr>
        <w:t xml:space="preserve"> </w:t>
      </w:r>
      <w:r w:rsidR="00F64900">
        <w:rPr>
          <w:szCs w:val="24"/>
          <w:lang w:eastAsia="sk-SK"/>
        </w:rPr>
        <w:t>6</w:t>
      </w:r>
      <w:r w:rsidRPr="00726BB6">
        <w:rPr>
          <w:szCs w:val="24"/>
          <w:lang w:eastAsia="sk-SK"/>
        </w:rPr>
        <w:t xml:space="preserve">. </w:t>
      </w:r>
      <w:r w:rsidRPr="00726BB6">
        <w:rPr>
          <w:szCs w:val="24"/>
          <w:lang w:eastAsia="sk-SK"/>
        </w:rPr>
        <w:tab/>
        <w:t xml:space="preserve">V čl. I 5. bode § 69gc ods. 5 sa za slovo „určenom“ vkladá slovo „dožiadaným“. </w:t>
      </w:r>
    </w:p>
    <w:p w:rsidR="00726BB6" w:rsidRPr="00726BB6" w:rsidRDefault="00726BB6" w:rsidP="00726BB6">
      <w:pPr>
        <w:spacing w:line="240" w:lineRule="auto"/>
        <w:ind w:left="4247" w:firstLine="6"/>
        <w:jc w:val="both"/>
        <w:rPr>
          <w:szCs w:val="24"/>
          <w:lang w:eastAsia="sk-SK"/>
        </w:rPr>
      </w:pPr>
      <w:r w:rsidRPr="00726BB6">
        <w:rPr>
          <w:szCs w:val="24"/>
          <w:lang w:eastAsia="sk-SK"/>
        </w:rPr>
        <w:t xml:space="preserve">Ide o spresnenie, že úrad spolupráce zasiela žiadosť v jazyku určenom členským štátom, ktorému žiadosť zasiela v zmysle čl. 4 ods. 6 smernice 2023/977. </w:t>
      </w:r>
    </w:p>
    <w:p w:rsidR="00F64900" w:rsidRPr="00F64900" w:rsidRDefault="00F64900" w:rsidP="00F64900">
      <w:pPr>
        <w:pStyle w:val="Odsekzoznamu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86"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V čl. I 5. bode § 69gc ods. 5 sa na konci bodka nahrádza bodkočiarkou a pripájajú sa tieto slová: „to platí aj na spresnenie alebo doplnenie žiadosti podľa odseku 7 a na akúkoľvek inú informáciu súvisiacu so žiadosťou o informácie.“.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3"/>
        <w:contextualSpacing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Precizuje sa ustanovenie o jazyku používanom pri komunikácií s dožiadaným členským štátom Európskej únie.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color w:val="000000"/>
          <w:szCs w:val="24"/>
          <w:lang w:eastAsia="sk-SK"/>
        </w:rPr>
      </w:pPr>
    </w:p>
    <w:p w:rsidR="00F64900" w:rsidRPr="00F64900" w:rsidRDefault="00F64900" w:rsidP="00F649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V čl. I 5. bode sa § 69gc dopĺňa odsekmi 7 a 8, ktoré znejú: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94"/>
        <w:contextualSpacing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„(7) Ak dožiadaný členský štát Európskej únie požiada úrad spolupráce o spresnenie alebo doplnenie žiadosti, úrad spolupráce tak bezodkladne urobí v súčinnosti s orgánom presadzovania práva, ktorý o informácie žiada podľa odseku 1.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94"/>
        <w:contextualSpacing/>
        <w:jc w:val="both"/>
        <w:rPr>
          <w:color w:val="000000"/>
          <w:szCs w:val="24"/>
          <w:lang w:eastAsia="sk-SK"/>
        </w:rPr>
      </w:pP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94"/>
        <w:contextualSpacing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(8) Ak boli úradu spolupráce poskytnuté informácie s podmienkou osobitného spôsobu spracúvania, sú úrad spolupráce a orgán presadzovania práva touto podmienkou viazané.“.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color w:val="000000"/>
          <w:szCs w:val="24"/>
          <w:lang w:eastAsia="sk-SK"/>
        </w:rPr>
      </w:pP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3"/>
        <w:contextualSpacing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V odseku 7 sa dopĺňa povinnosť reagovať na žiadosti o spresnenie alebo doplnenie informácií, ktoré potenciálne môže zaslať dožiadaný členský Európskej únie.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3"/>
        <w:contextualSpacing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V súlade so smernicou (EÚ) 2023/977 sa návrh zákona dopĺňa v odseku 8 o výslovnú požiadavku na dodržiavanie prípadných obmedzení pri ich následnom spracúvaní, ak boli žiadané informácie poskytnuté s nejakými obmedzeniami.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Cs w:val="24"/>
          <w:lang w:eastAsia="sk-SK"/>
        </w:rPr>
      </w:pPr>
    </w:p>
    <w:p w:rsidR="00F64900" w:rsidRPr="00F64900" w:rsidRDefault="00F64900" w:rsidP="00F649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V čl. I 5. bode § 69gd ods. 1 sa slovo „a“ za slovami „odseku 8“ nahrádza čiarkou a na konci sa pripájajú tieto slová: „a na akúkoľvek inú informáciu súvisiacu so žiadosťou o informácie“.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Cs w:val="24"/>
          <w:lang w:eastAsia="sk-SK"/>
        </w:rPr>
      </w:pP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color w:val="000000"/>
          <w:szCs w:val="24"/>
          <w:u w:val="single"/>
          <w:lang w:eastAsia="sk-SK"/>
        </w:rPr>
      </w:pPr>
      <w:r w:rsidRPr="00F64900">
        <w:rPr>
          <w:color w:val="000000"/>
          <w:szCs w:val="24"/>
          <w:u w:val="single"/>
          <w:lang w:eastAsia="sk-SK"/>
        </w:rPr>
        <w:t>Odôvodnenie k bodu 6: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Precizuje sa ustanovenie o jazyku používanom pri komunikácií s dožiadaným členským štátom Európskej únie.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Cs w:val="24"/>
          <w:lang w:eastAsia="sk-SK"/>
        </w:rPr>
      </w:pPr>
    </w:p>
    <w:p w:rsidR="00726BB6" w:rsidRPr="00726BB6" w:rsidRDefault="00726BB6" w:rsidP="00F64900">
      <w:pPr>
        <w:spacing w:line="240" w:lineRule="auto"/>
        <w:jc w:val="both"/>
        <w:rPr>
          <w:szCs w:val="24"/>
          <w:lang w:eastAsia="sk-SK"/>
        </w:rPr>
      </w:pPr>
    </w:p>
    <w:p w:rsidR="00726BB6" w:rsidRPr="00726BB6" w:rsidRDefault="00F64900" w:rsidP="00726BB6">
      <w:pPr>
        <w:spacing w:before="120" w:after="0"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10</w:t>
      </w:r>
      <w:r w:rsidR="00726BB6" w:rsidRPr="00726BB6">
        <w:rPr>
          <w:szCs w:val="24"/>
          <w:lang w:eastAsia="sk-SK"/>
        </w:rPr>
        <w:t>. </w:t>
      </w:r>
      <w:r w:rsidR="00726BB6" w:rsidRPr="00726BB6">
        <w:rPr>
          <w:szCs w:val="24"/>
          <w:lang w:eastAsia="sk-SK"/>
        </w:rPr>
        <w:tab/>
        <w:t>V čl. I 5. bode 69gd ods. 1, ods. 8 a § 69gf ods. 6 písm. a)  sa slová „</w:t>
      </w:r>
      <w:r w:rsidR="00726BB6" w:rsidRPr="00726BB6">
        <w:rPr>
          <w:rFonts w:eastAsiaTheme="minorHAnsi"/>
          <w:szCs w:val="24"/>
        </w:rPr>
        <w:t xml:space="preserve">o spresnenie a doplnenie“ nahrádzajú slovami „o spresnenie alebo doplnenie“ a v § 69gd ods. 8 sa slová „spresnenia a doplnenia“ nahrádzajú slovami „spresnenia alebo doplnenia“. </w:t>
      </w:r>
    </w:p>
    <w:p w:rsidR="00726BB6" w:rsidRPr="00726BB6" w:rsidRDefault="00726BB6" w:rsidP="00726BB6">
      <w:pPr>
        <w:spacing w:before="120" w:after="0" w:line="240" w:lineRule="auto"/>
        <w:ind w:left="4248"/>
        <w:jc w:val="both"/>
        <w:rPr>
          <w:szCs w:val="24"/>
          <w:lang w:eastAsia="sk-SK"/>
        </w:rPr>
      </w:pPr>
      <w:r w:rsidRPr="00726BB6">
        <w:rPr>
          <w:szCs w:val="24"/>
          <w:lang w:eastAsia="sk-SK"/>
        </w:rPr>
        <w:t xml:space="preserve">Ide o spresnenie ustanovenia v zmysle čl. 6 ods. 3 prvý </w:t>
      </w:r>
      <w:proofErr w:type="spellStart"/>
      <w:r w:rsidRPr="00726BB6">
        <w:rPr>
          <w:szCs w:val="24"/>
          <w:lang w:eastAsia="sk-SK"/>
        </w:rPr>
        <w:t>pododsek</w:t>
      </w:r>
      <w:proofErr w:type="spellEnd"/>
      <w:r w:rsidRPr="00726BB6">
        <w:rPr>
          <w:szCs w:val="24"/>
          <w:lang w:eastAsia="sk-SK"/>
        </w:rPr>
        <w:t xml:space="preserve">  smernice 2023/977.</w:t>
      </w:r>
    </w:p>
    <w:p w:rsidR="00726BB6" w:rsidRPr="00726BB6" w:rsidRDefault="00726BB6" w:rsidP="00726BB6">
      <w:pPr>
        <w:spacing w:before="120" w:after="0" w:line="360" w:lineRule="auto"/>
        <w:jc w:val="both"/>
        <w:rPr>
          <w:szCs w:val="24"/>
          <w:lang w:eastAsia="sk-SK"/>
        </w:rPr>
      </w:pPr>
    </w:p>
    <w:p w:rsidR="00726BB6" w:rsidRPr="00726BB6" w:rsidRDefault="00F64900" w:rsidP="00726BB6">
      <w:pPr>
        <w:spacing w:before="120" w:after="0"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11</w:t>
      </w:r>
      <w:r w:rsidR="00726BB6" w:rsidRPr="00726BB6">
        <w:rPr>
          <w:szCs w:val="24"/>
          <w:lang w:eastAsia="sk-SK"/>
        </w:rPr>
        <w:t xml:space="preserve">. </w:t>
      </w:r>
      <w:r w:rsidR="00726BB6" w:rsidRPr="00726BB6">
        <w:rPr>
          <w:szCs w:val="24"/>
          <w:lang w:eastAsia="sk-SK"/>
        </w:rPr>
        <w:tab/>
        <w:t>V čl. I 5. bode § 69gd ods. 5 písm. a) sa pred slová „iných subjektov“ vkladajú slová „orgánov presadzovania práva alebo“.</w:t>
      </w:r>
    </w:p>
    <w:p w:rsidR="00726BB6" w:rsidRPr="00726BB6" w:rsidRDefault="00726BB6" w:rsidP="00726BB6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  <w:r w:rsidRPr="00726BB6">
        <w:rPr>
          <w:szCs w:val="24"/>
          <w:lang w:eastAsia="sk-SK"/>
        </w:rPr>
        <w:t>Ide o legislatívno-technickú úpravu, ktorou sa spresňuje znenie navrhovaného ustanovenia, nakoľko podľa navrhovaného § 69gd ods. 2 úrad spolupráce žiada informácie, okrem iných subjektov, aj od orgánov presadzovania práva.</w:t>
      </w:r>
    </w:p>
    <w:p w:rsidR="00726BB6" w:rsidRPr="00726BB6" w:rsidRDefault="00726BB6" w:rsidP="00726BB6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726BB6" w:rsidRPr="00726BB6" w:rsidRDefault="00F64900" w:rsidP="00726BB6">
      <w:pPr>
        <w:spacing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12</w:t>
      </w:r>
      <w:r w:rsidR="00726BB6" w:rsidRPr="00726BB6">
        <w:rPr>
          <w:szCs w:val="24"/>
          <w:lang w:eastAsia="sk-SK"/>
        </w:rPr>
        <w:t xml:space="preserve">. </w:t>
      </w:r>
      <w:r w:rsidR="00726BB6" w:rsidRPr="00726BB6">
        <w:rPr>
          <w:szCs w:val="24"/>
          <w:lang w:eastAsia="sk-SK"/>
        </w:rPr>
        <w:tab/>
        <w:t>V čl. I 5. bode § 69gd ods. 5 písm. h)  sa za slová „iného členského štátu Európskej únie“ vkladajú slová „ako dožadujúceho členského štátu Európskej únie“.</w:t>
      </w:r>
    </w:p>
    <w:p w:rsidR="00726BB6" w:rsidRPr="00726BB6" w:rsidRDefault="00726BB6" w:rsidP="00726BB6">
      <w:pPr>
        <w:spacing w:line="240" w:lineRule="auto"/>
        <w:ind w:left="4247" w:firstLine="6"/>
        <w:jc w:val="both"/>
        <w:rPr>
          <w:szCs w:val="24"/>
          <w:lang w:eastAsia="sk-SK"/>
        </w:rPr>
      </w:pPr>
      <w:r w:rsidRPr="00726BB6">
        <w:rPr>
          <w:szCs w:val="24"/>
          <w:lang w:eastAsia="sk-SK"/>
        </w:rPr>
        <w:t xml:space="preserve">Ide o spresnenie ustanovenia, aby bolo zrejmé,  že súhlas na poskytnutie dožadujúcemu členskému štátu EÚ sa vyžaduje, iba ak bola informácia poskytnutá iným členským štátom EÚ ako je dožadujúci členský štát. </w:t>
      </w:r>
    </w:p>
    <w:p w:rsidR="00726BB6" w:rsidRPr="00726BB6" w:rsidRDefault="00F64900" w:rsidP="00726BB6">
      <w:pPr>
        <w:spacing w:line="360" w:lineRule="auto"/>
        <w:rPr>
          <w:szCs w:val="24"/>
          <w:lang w:eastAsia="sk-SK"/>
        </w:rPr>
      </w:pPr>
      <w:r>
        <w:rPr>
          <w:szCs w:val="24"/>
          <w:lang w:eastAsia="sk-SK"/>
        </w:rPr>
        <w:t>13</w:t>
      </w:r>
      <w:r w:rsidR="00726BB6" w:rsidRPr="00726BB6">
        <w:rPr>
          <w:szCs w:val="24"/>
          <w:lang w:eastAsia="sk-SK"/>
        </w:rPr>
        <w:t xml:space="preserve">. </w:t>
      </w:r>
      <w:r w:rsidR="00726BB6" w:rsidRPr="00726BB6">
        <w:rPr>
          <w:szCs w:val="24"/>
          <w:lang w:eastAsia="sk-SK"/>
        </w:rPr>
        <w:tab/>
        <w:t xml:space="preserve">V čl. I 5. bode § 69gd ods. 8 sa za slovo „požiada“ vkladá slovo „dožadujúci“. </w:t>
      </w:r>
    </w:p>
    <w:p w:rsidR="00726BB6" w:rsidRPr="00726BB6" w:rsidRDefault="00726BB6" w:rsidP="00726BB6">
      <w:pPr>
        <w:spacing w:line="240" w:lineRule="auto"/>
        <w:ind w:left="4248"/>
        <w:jc w:val="both"/>
        <w:rPr>
          <w:szCs w:val="24"/>
          <w:lang w:eastAsia="sk-SK"/>
        </w:rPr>
      </w:pPr>
      <w:r w:rsidRPr="00726BB6">
        <w:rPr>
          <w:szCs w:val="24"/>
          <w:lang w:eastAsia="sk-SK"/>
        </w:rPr>
        <w:t xml:space="preserve">Ide o spresnenie, že žiadosť o spresnenie alebo doplnenie žiadosti sa zasiela dožadujúcemu členskému štátu. </w:t>
      </w:r>
    </w:p>
    <w:p w:rsidR="00726BB6" w:rsidRPr="00726BB6" w:rsidRDefault="00726BB6" w:rsidP="00726BB6">
      <w:pPr>
        <w:spacing w:line="240" w:lineRule="auto"/>
        <w:jc w:val="both"/>
        <w:rPr>
          <w:szCs w:val="24"/>
          <w:lang w:eastAsia="sk-SK"/>
        </w:rPr>
      </w:pPr>
    </w:p>
    <w:p w:rsidR="00726BB6" w:rsidRPr="00726BB6" w:rsidRDefault="00F64900" w:rsidP="00726BB6">
      <w:pPr>
        <w:spacing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14</w:t>
      </w:r>
      <w:r w:rsidR="00726BB6" w:rsidRPr="00726BB6">
        <w:rPr>
          <w:szCs w:val="24"/>
          <w:lang w:eastAsia="sk-SK"/>
        </w:rPr>
        <w:t xml:space="preserve">. </w:t>
      </w:r>
      <w:r w:rsidR="00726BB6" w:rsidRPr="00726BB6">
        <w:rPr>
          <w:szCs w:val="24"/>
          <w:lang w:eastAsia="sk-SK"/>
        </w:rPr>
        <w:tab/>
        <w:t>V čl. I 5.bode § 69gd ods. 9 písm. c) sa slová „inému členskému štátu Európskej únie“ nahrádzajú slovami  „dožadujúcemu členskému štátu Európskej únie“ .</w:t>
      </w:r>
    </w:p>
    <w:p w:rsidR="00726BB6" w:rsidRPr="00726BB6" w:rsidRDefault="00726BB6" w:rsidP="00726BB6">
      <w:pPr>
        <w:spacing w:line="360" w:lineRule="auto"/>
        <w:jc w:val="both"/>
        <w:rPr>
          <w:szCs w:val="24"/>
          <w:lang w:eastAsia="sk-SK"/>
        </w:rPr>
      </w:pPr>
    </w:p>
    <w:p w:rsidR="00726BB6" w:rsidRPr="00726BB6" w:rsidRDefault="00726BB6" w:rsidP="00726BB6">
      <w:pPr>
        <w:spacing w:line="240" w:lineRule="auto"/>
        <w:ind w:left="4248"/>
        <w:jc w:val="both"/>
        <w:rPr>
          <w:szCs w:val="24"/>
          <w:lang w:eastAsia="sk-SK"/>
        </w:rPr>
      </w:pPr>
      <w:r w:rsidRPr="00726BB6">
        <w:rPr>
          <w:szCs w:val="24"/>
          <w:lang w:eastAsia="sk-SK"/>
        </w:rPr>
        <w:t xml:space="preserve">Ide o spresnenie textu, nakoľko informácie, ktoré sú osobnými údajmi sa poskytujú dožadujúcemu členskému štátu Európskej únie. </w:t>
      </w:r>
    </w:p>
    <w:p w:rsidR="00726BB6" w:rsidRPr="00726BB6" w:rsidRDefault="00726BB6" w:rsidP="00726BB6">
      <w:pPr>
        <w:spacing w:line="360" w:lineRule="auto"/>
        <w:jc w:val="both"/>
        <w:rPr>
          <w:szCs w:val="24"/>
          <w:lang w:eastAsia="sk-SK"/>
        </w:rPr>
      </w:pPr>
    </w:p>
    <w:p w:rsidR="00726BB6" w:rsidRPr="00726BB6" w:rsidRDefault="00F64900" w:rsidP="00726BB6">
      <w:pPr>
        <w:spacing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15</w:t>
      </w:r>
      <w:r w:rsidR="00726BB6" w:rsidRPr="00726BB6">
        <w:rPr>
          <w:szCs w:val="24"/>
          <w:lang w:eastAsia="sk-SK"/>
        </w:rPr>
        <w:t xml:space="preserve">. </w:t>
      </w:r>
      <w:r w:rsidR="00726BB6" w:rsidRPr="00726BB6">
        <w:rPr>
          <w:szCs w:val="24"/>
          <w:lang w:eastAsia="sk-SK"/>
        </w:rPr>
        <w:tab/>
        <w:t xml:space="preserve">V čl. I 5. bode § 69gf ods. ods. 1 sa za slová „informácií s“ vkladá slovo „inými“ a v odseku 3 sa za slová „získať súhlas“ vkladajú slová „tohto iného“. </w:t>
      </w:r>
    </w:p>
    <w:p w:rsidR="00726BB6" w:rsidRPr="00726BB6" w:rsidRDefault="00726BB6" w:rsidP="00726BB6">
      <w:pPr>
        <w:spacing w:line="240" w:lineRule="auto"/>
        <w:ind w:left="4247"/>
        <w:jc w:val="both"/>
        <w:rPr>
          <w:szCs w:val="24"/>
          <w:lang w:eastAsia="sk-SK"/>
        </w:rPr>
      </w:pPr>
      <w:r w:rsidRPr="00726BB6">
        <w:rPr>
          <w:szCs w:val="24"/>
          <w:lang w:eastAsia="sk-SK"/>
        </w:rPr>
        <w:t xml:space="preserve">Ide o legislatívno-technickú pripomienku, keďže návrh zákona používa pojem „iný členský štát Európskej únie“. </w:t>
      </w:r>
    </w:p>
    <w:p w:rsidR="00726BB6" w:rsidRPr="00726BB6" w:rsidRDefault="00726BB6" w:rsidP="00726BB6">
      <w:pPr>
        <w:spacing w:before="120" w:after="0" w:line="360" w:lineRule="auto"/>
        <w:jc w:val="both"/>
        <w:rPr>
          <w:szCs w:val="24"/>
          <w:u w:val="single"/>
          <w:lang w:eastAsia="sk-SK"/>
        </w:rPr>
      </w:pPr>
      <w:r w:rsidRPr="00726BB6">
        <w:rPr>
          <w:szCs w:val="24"/>
          <w:u w:val="single"/>
          <w:lang w:eastAsia="sk-SK"/>
        </w:rPr>
        <w:t>K čl. II</w:t>
      </w:r>
    </w:p>
    <w:p w:rsidR="00726BB6" w:rsidRPr="00726BB6" w:rsidRDefault="00726BB6" w:rsidP="00726BB6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726BB6" w:rsidRPr="00726BB6" w:rsidRDefault="00726BB6" w:rsidP="00726BB6">
      <w:pPr>
        <w:spacing w:before="120" w:after="0" w:line="360" w:lineRule="auto"/>
        <w:jc w:val="both"/>
        <w:rPr>
          <w:szCs w:val="24"/>
          <w:lang w:eastAsia="sk-SK"/>
        </w:rPr>
      </w:pPr>
      <w:r w:rsidRPr="00726BB6">
        <w:rPr>
          <w:szCs w:val="24"/>
          <w:lang w:eastAsia="sk-SK"/>
        </w:rPr>
        <w:t>1</w:t>
      </w:r>
      <w:r w:rsidR="00F64900">
        <w:rPr>
          <w:szCs w:val="24"/>
          <w:lang w:eastAsia="sk-SK"/>
        </w:rPr>
        <w:t>6</w:t>
      </w:r>
      <w:r w:rsidRPr="00726BB6">
        <w:rPr>
          <w:szCs w:val="24"/>
          <w:lang w:eastAsia="sk-SK"/>
        </w:rPr>
        <w:t xml:space="preserve">. </w:t>
      </w:r>
      <w:r w:rsidRPr="00726BB6">
        <w:rPr>
          <w:szCs w:val="24"/>
          <w:lang w:eastAsia="sk-SK"/>
        </w:rPr>
        <w:tab/>
        <w:t>V čl. II 2. bode § 35ga ods. 1 sa slová „iného členského štátu“ nahrádzajú slovami „členského štátu Európskej únie“ a slová „inému členskému štátu“ sa nahrádzajú slovami „členskému štátu Európskej únie“.</w:t>
      </w:r>
    </w:p>
    <w:p w:rsidR="00726BB6" w:rsidRDefault="00726BB6" w:rsidP="00726BB6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  <w:r w:rsidRPr="00726BB6">
        <w:rPr>
          <w:szCs w:val="24"/>
          <w:lang w:eastAsia="sk-SK"/>
        </w:rPr>
        <w:t>Ide o legislatívno-technickú úpravu, ktorou precizuje navrhovaná terminológia. Zároveň sa spresňuje text navrhovaného ustanovenia tak, aby bolo zrejmé, že ide o členský štát Európskej únie.</w:t>
      </w:r>
    </w:p>
    <w:p w:rsidR="00F64900" w:rsidRPr="00F64900" w:rsidRDefault="00F64900" w:rsidP="00F64900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86"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V čl. II 2. bode § 35ga sa za odsek 1 vkladá nový odsek 2, ktorý znie: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94"/>
        <w:contextualSpacing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„(2) Za členský štát Európskej únie podľa odseku 1 sa považuje aj iný štát podľa medzinárodnej zmluvy.</w:t>
      </w:r>
      <w:r w:rsidRPr="00F64900">
        <w:rPr>
          <w:color w:val="000000"/>
          <w:szCs w:val="24"/>
          <w:vertAlign w:val="superscript"/>
          <w:lang w:eastAsia="sk-SK"/>
        </w:rPr>
        <w:t>5k</w:t>
      </w:r>
      <w:r w:rsidRPr="00F64900">
        <w:rPr>
          <w:color w:val="000000"/>
          <w:szCs w:val="24"/>
          <w:lang w:eastAsia="sk-SK"/>
        </w:rPr>
        <w:t>)“.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color w:val="000000"/>
          <w:szCs w:val="24"/>
          <w:lang w:eastAsia="sk-SK"/>
        </w:rPr>
      </w:pP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Poznámka pod čiarou k odkazu 5k znie: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141"/>
        <w:contextualSpacing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„</w:t>
      </w:r>
      <w:r w:rsidRPr="00F64900">
        <w:rPr>
          <w:color w:val="000000"/>
          <w:szCs w:val="24"/>
          <w:vertAlign w:val="superscript"/>
          <w:lang w:eastAsia="sk-SK"/>
        </w:rPr>
        <w:t>5k</w:t>
      </w:r>
      <w:r w:rsidRPr="00F64900">
        <w:rPr>
          <w:color w:val="000000"/>
          <w:szCs w:val="24"/>
          <w:lang w:eastAsia="sk-SK"/>
        </w:rPr>
        <w:t xml:space="preserve">) Napríklad Dohoda medzi Radou Európskej únie a Islandskou republikou a Nórskym kráľovstvom o pridružení týchto dvoch štátov pri vykonávaní, uplatňovaní a rozvoji schengenského </w:t>
      </w:r>
      <w:proofErr w:type="spellStart"/>
      <w:r w:rsidRPr="00F64900">
        <w:rPr>
          <w:color w:val="000000"/>
          <w:szCs w:val="24"/>
          <w:lang w:eastAsia="sk-SK"/>
        </w:rPr>
        <w:t>acquis</w:t>
      </w:r>
      <w:proofErr w:type="spellEnd"/>
      <w:r w:rsidRPr="00F64900">
        <w:rPr>
          <w:color w:val="000000"/>
          <w:szCs w:val="24"/>
          <w:lang w:eastAsia="sk-SK"/>
        </w:rPr>
        <w:t xml:space="preserve"> (Ú. v. ES L 176, 10. 7. 1999; Mimoriadne vydanie Ú. v. EÚ, kap. 11/zv. 32).“.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Cs w:val="24"/>
          <w:lang w:eastAsia="sk-SK"/>
        </w:rPr>
      </w:pP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 xml:space="preserve">Doterajší odsek 2 sa označuje ako odsek 3. 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color w:val="000000"/>
          <w:szCs w:val="24"/>
          <w:lang w:eastAsia="sk-SK"/>
        </w:rPr>
      </w:pPr>
    </w:p>
    <w:p w:rsid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V súvislosti s vložením novej poznámky pod čiarou sa upraví aj znenie úvodnej vety k poznámke pod čiarou.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Z dôvodu jednoznačnosti právnej úpravy sa do zákona o Vojenskej polícii dopĺňa analogické ustanovenie, aké je v zákone o Policajnom zbore (čl. I) o tom, že na účely výmeny informácií sa za členské štáty Európskej únie považujú aj niektoré tretie (schengenské) štáty.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Cs w:val="24"/>
          <w:lang w:eastAsia="sk-SK"/>
        </w:rPr>
      </w:pPr>
    </w:p>
    <w:p w:rsidR="00F64900" w:rsidRPr="00F64900" w:rsidRDefault="00F64900" w:rsidP="00F64900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86"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V čl. II 3. bode sa vypúšťa veta „Poznámka pod čiarou k odkazu 5k sa vypúšťa.“.</w:t>
      </w:r>
    </w:p>
    <w:p w:rsid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color w:val="000000"/>
          <w:szCs w:val="24"/>
          <w:lang w:eastAsia="sk-SK"/>
        </w:rPr>
      </w:pP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Z dôvodu jednoznačnosti právnej úpravy sa do zákona o Vojenskej polícii dopĺňa analogické ustanovenie, aké je v zákone o Policajnom zbore (čl. I) o tom, že na účely výmeny informácií sa za členské štáty Európskej únie považujú aj niektoré tretie (schengenské) štáty.</w:t>
      </w:r>
    </w:p>
    <w:p w:rsidR="00F64900" w:rsidRPr="00726BB6" w:rsidRDefault="00F64900" w:rsidP="00F64900">
      <w:pPr>
        <w:spacing w:before="100" w:beforeAutospacing="1" w:after="0" w:line="240" w:lineRule="auto"/>
        <w:contextualSpacing/>
        <w:jc w:val="both"/>
        <w:rPr>
          <w:szCs w:val="24"/>
          <w:lang w:eastAsia="sk-SK"/>
        </w:rPr>
      </w:pPr>
    </w:p>
    <w:p w:rsidR="00726BB6" w:rsidRPr="00726BB6" w:rsidRDefault="00726BB6" w:rsidP="00726BB6">
      <w:pPr>
        <w:spacing w:before="120" w:after="0" w:line="360" w:lineRule="auto"/>
        <w:jc w:val="both"/>
        <w:rPr>
          <w:szCs w:val="24"/>
          <w:lang w:eastAsia="sk-SK"/>
        </w:rPr>
      </w:pPr>
      <w:r w:rsidRPr="00726BB6">
        <w:rPr>
          <w:szCs w:val="24"/>
          <w:lang w:eastAsia="sk-SK"/>
        </w:rPr>
        <w:t>1</w:t>
      </w:r>
      <w:r w:rsidR="00F64900">
        <w:rPr>
          <w:szCs w:val="24"/>
          <w:lang w:eastAsia="sk-SK"/>
        </w:rPr>
        <w:t>9</w:t>
      </w:r>
      <w:r w:rsidRPr="00726BB6">
        <w:rPr>
          <w:szCs w:val="24"/>
          <w:lang w:eastAsia="sk-SK"/>
        </w:rPr>
        <w:t xml:space="preserve">. </w:t>
      </w:r>
      <w:r w:rsidRPr="00726BB6">
        <w:rPr>
          <w:szCs w:val="24"/>
          <w:lang w:eastAsia="sk-SK"/>
        </w:rPr>
        <w:tab/>
        <w:t xml:space="preserve">V čl. II 4. bode (§ 36 ods. 2) sa pred slová „spôsobom podľa“ vkladajú slová „Európskej únie“. </w:t>
      </w:r>
    </w:p>
    <w:p w:rsidR="00726BB6" w:rsidRPr="00726BB6" w:rsidRDefault="00726BB6" w:rsidP="00726BB6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  <w:r w:rsidRPr="00726BB6">
        <w:rPr>
          <w:szCs w:val="24"/>
          <w:lang w:eastAsia="sk-SK"/>
        </w:rPr>
        <w:t>Ide o legislatívno-technickú úpravu, ktorou sa spresňuje text navrhovaného ustanovenia tak, aby bolo zrejmé, že ide o členský štát Európskej únie.</w:t>
      </w:r>
    </w:p>
    <w:p w:rsidR="00726BB6" w:rsidRPr="00726BB6" w:rsidRDefault="00726BB6" w:rsidP="00726BB6">
      <w:pPr>
        <w:spacing w:before="100" w:beforeAutospacing="1" w:after="0" w:line="240" w:lineRule="auto"/>
        <w:contextualSpacing/>
        <w:jc w:val="both"/>
        <w:rPr>
          <w:szCs w:val="24"/>
          <w:lang w:eastAsia="sk-SK"/>
        </w:rPr>
      </w:pPr>
    </w:p>
    <w:p w:rsidR="00726BB6" w:rsidRPr="00726BB6" w:rsidRDefault="00726BB6" w:rsidP="00726BB6">
      <w:pPr>
        <w:spacing w:before="120" w:after="0" w:line="360" w:lineRule="auto"/>
        <w:jc w:val="both"/>
        <w:rPr>
          <w:szCs w:val="24"/>
          <w:lang w:eastAsia="sk-SK"/>
        </w:rPr>
      </w:pPr>
      <w:r w:rsidRPr="00726BB6">
        <w:rPr>
          <w:szCs w:val="24"/>
          <w:lang w:eastAsia="sk-SK"/>
        </w:rPr>
        <w:t>2</w:t>
      </w:r>
      <w:r w:rsidR="00F64900">
        <w:rPr>
          <w:szCs w:val="24"/>
          <w:lang w:eastAsia="sk-SK"/>
        </w:rPr>
        <w:t>0</w:t>
      </w:r>
      <w:r w:rsidRPr="00726BB6">
        <w:rPr>
          <w:szCs w:val="24"/>
          <w:lang w:eastAsia="sk-SK"/>
        </w:rPr>
        <w:t xml:space="preserve">. </w:t>
      </w:r>
      <w:r w:rsidRPr="00726BB6">
        <w:rPr>
          <w:szCs w:val="24"/>
          <w:lang w:eastAsia="sk-SK"/>
        </w:rPr>
        <w:tab/>
        <w:t xml:space="preserve">V čl. II 5. bod znie: </w:t>
      </w:r>
    </w:p>
    <w:p w:rsidR="00726BB6" w:rsidRPr="00726BB6" w:rsidRDefault="00726BB6" w:rsidP="00726BB6">
      <w:pPr>
        <w:spacing w:before="120" w:after="0" w:line="360" w:lineRule="auto"/>
        <w:jc w:val="both"/>
        <w:rPr>
          <w:szCs w:val="24"/>
          <w:lang w:eastAsia="sk-SK"/>
        </w:rPr>
      </w:pPr>
      <w:r w:rsidRPr="00726BB6">
        <w:rPr>
          <w:szCs w:val="24"/>
          <w:lang w:eastAsia="sk-SK"/>
        </w:rPr>
        <w:t>„5. V § 36 ods. 3 druhej vete sa slová „uvedeného v“ nahrádzajú slovami „Európskej únie, od ktorého boli Vojenskej polícii poskytnuté alebo sprístupnené osobné údaje spôsobom podľa“.“.</w:t>
      </w:r>
    </w:p>
    <w:p w:rsidR="00726BB6" w:rsidRPr="00726BB6" w:rsidRDefault="00726BB6" w:rsidP="00726BB6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  <w:r w:rsidRPr="00726BB6">
        <w:rPr>
          <w:szCs w:val="24"/>
          <w:lang w:eastAsia="sk-SK"/>
        </w:rPr>
        <w:t>Ide o legislatívno-technickú úpravu, ktorou sa spresňuje text navrhovaného ustanovenia tak, aby bolo zrejmé, že ide o členský štát Európskej únie.</w:t>
      </w:r>
    </w:p>
    <w:p w:rsidR="00726BB6" w:rsidRPr="00726BB6" w:rsidRDefault="00726BB6" w:rsidP="00726BB6">
      <w:pPr>
        <w:spacing w:before="120" w:after="0" w:line="360" w:lineRule="auto"/>
        <w:jc w:val="both"/>
        <w:rPr>
          <w:szCs w:val="24"/>
          <w:u w:val="single"/>
          <w:lang w:eastAsia="sk-SK"/>
        </w:rPr>
      </w:pPr>
      <w:r w:rsidRPr="00726BB6">
        <w:rPr>
          <w:szCs w:val="24"/>
          <w:u w:val="single"/>
          <w:lang w:eastAsia="sk-SK"/>
        </w:rPr>
        <w:t>K čl. III</w:t>
      </w:r>
    </w:p>
    <w:p w:rsidR="00726BB6" w:rsidRPr="00726BB6" w:rsidRDefault="00F64900" w:rsidP="00726BB6">
      <w:pPr>
        <w:spacing w:before="120" w:after="0"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21</w:t>
      </w:r>
      <w:r w:rsidR="00726BB6" w:rsidRPr="00726BB6">
        <w:rPr>
          <w:szCs w:val="24"/>
          <w:lang w:eastAsia="sk-SK"/>
        </w:rPr>
        <w:t xml:space="preserve">. </w:t>
      </w:r>
      <w:r w:rsidR="00726BB6" w:rsidRPr="00726BB6">
        <w:rPr>
          <w:szCs w:val="24"/>
          <w:lang w:eastAsia="sk-SK"/>
        </w:rPr>
        <w:tab/>
        <w:t>V čl. III 2. bode § 65c ods. 1  sa slová „iného členského štátu“ nahrádzajú slovami „členského štátu“ a slová „inému členskému štátu“ sa nahrádzajú slovami „členskému štátu“.</w:t>
      </w:r>
    </w:p>
    <w:p w:rsidR="00726BB6" w:rsidRDefault="00726BB6" w:rsidP="00726BB6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  <w:r w:rsidRPr="00726BB6">
        <w:rPr>
          <w:szCs w:val="24"/>
          <w:lang w:eastAsia="sk-SK"/>
        </w:rPr>
        <w:t xml:space="preserve">Ide o legislatívno-technickú úpravu, ktorou sa precizuje navrhovaná terminológia. </w:t>
      </w:r>
    </w:p>
    <w:p w:rsidR="00F64900" w:rsidRPr="00F64900" w:rsidRDefault="00F64900" w:rsidP="00F64900">
      <w:pPr>
        <w:pStyle w:val="Odsekzoznamu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86"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V čl. III 2. bode § 65c za odsek 1 vkladá nový odsek 2, ktorý znie: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94"/>
        <w:contextualSpacing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„(2) Za členský štát Európskej únie podľa odseku 1 sa považuje aj iný štát podľa medzinárodnej zmluvy.</w:t>
      </w:r>
      <w:r w:rsidRPr="00F64900">
        <w:rPr>
          <w:color w:val="000000"/>
          <w:szCs w:val="24"/>
          <w:vertAlign w:val="superscript"/>
          <w:lang w:eastAsia="sk-SK"/>
        </w:rPr>
        <w:t>18a</w:t>
      </w:r>
      <w:r w:rsidRPr="00F64900">
        <w:rPr>
          <w:color w:val="000000"/>
          <w:szCs w:val="24"/>
          <w:lang w:eastAsia="sk-SK"/>
        </w:rPr>
        <w:t>)“.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Cs w:val="24"/>
          <w:lang w:eastAsia="sk-SK"/>
        </w:rPr>
      </w:pP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Poznámka pod čiarou k odkazu 18a znie: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141"/>
        <w:contextualSpacing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„</w:t>
      </w:r>
      <w:r w:rsidRPr="00F64900">
        <w:rPr>
          <w:color w:val="000000"/>
          <w:szCs w:val="24"/>
          <w:vertAlign w:val="superscript"/>
          <w:lang w:eastAsia="sk-SK"/>
        </w:rPr>
        <w:t>18a</w:t>
      </w:r>
      <w:r w:rsidRPr="00F64900">
        <w:rPr>
          <w:color w:val="000000"/>
          <w:szCs w:val="24"/>
          <w:lang w:eastAsia="sk-SK"/>
        </w:rPr>
        <w:t xml:space="preserve">) Napríklad Dohoda medzi Radou Európskej únie a Islandskou republikou a Nórskym kráľovstvom o pridružení týchto dvoch štátov pri vykonávaní, uplatňovaní a rozvoji schengenského </w:t>
      </w:r>
      <w:proofErr w:type="spellStart"/>
      <w:r w:rsidRPr="00F64900">
        <w:rPr>
          <w:color w:val="000000"/>
          <w:szCs w:val="24"/>
          <w:lang w:eastAsia="sk-SK"/>
        </w:rPr>
        <w:t>acquis</w:t>
      </w:r>
      <w:proofErr w:type="spellEnd"/>
      <w:r w:rsidRPr="00F64900">
        <w:rPr>
          <w:color w:val="000000"/>
          <w:szCs w:val="24"/>
          <w:lang w:eastAsia="sk-SK"/>
        </w:rPr>
        <w:t xml:space="preserve"> (Ú. v. ES L 176, 10.7.1999;Mimoriadne vydanie Ú. v. EÚ, kap. 11/zv. 32).“.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Cs w:val="24"/>
          <w:lang w:eastAsia="sk-SK"/>
        </w:rPr>
      </w:pPr>
    </w:p>
    <w:p w:rsidR="00F64900" w:rsidRPr="00F64900" w:rsidRDefault="00F64900" w:rsidP="00F64900">
      <w:pPr>
        <w:spacing w:after="0" w:line="240" w:lineRule="auto"/>
        <w:ind w:left="426"/>
        <w:contextualSpacing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 xml:space="preserve">Doterajší odsek 2 sa označuje ako odsek 3. </w:t>
      </w:r>
    </w:p>
    <w:p w:rsidR="00F64900" w:rsidRPr="00F64900" w:rsidRDefault="00F64900" w:rsidP="00F64900">
      <w:pPr>
        <w:spacing w:after="0" w:line="240" w:lineRule="auto"/>
        <w:ind w:left="426"/>
        <w:contextualSpacing/>
        <w:rPr>
          <w:color w:val="000000"/>
          <w:szCs w:val="24"/>
          <w:lang w:eastAsia="sk-SK"/>
        </w:rPr>
      </w:pPr>
    </w:p>
    <w:p w:rsidR="00F64900" w:rsidRDefault="00F64900" w:rsidP="00F64900">
      <w:pPr>
        <w:spacing w:after="0" w:line="240" w:lineRule="auto"/>
        <w:ind w:left="426"/>
        <w:contextualSpacing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 xml:space="preserve">V súvislosti s vložením novej poznámky pod čiarou sa upraví aj znenie úvodnej vety k poznámke pod čiarou. 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Z dôvodu jednoznačnosti právnej úpravy sa do zákona o Zbore väzenskej a justičnej stráže dopĺňa analogické ustanovenie, aké je v zákone o Policajnom zbore (čl. I) o tom, že na účely výmeny informácií sa za členské štáty Európskej únie považujú aj niektoré tretie (schengenské) štáty.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Cs w:val="24"/>
          <w:lang w:eastAsia="sk-SK"/>
        </w:rPr>
      </w:pPr>
    </w:p>
    <w:p w:rsidR="00F64900" w:rsidRPr="00F64900" w:rsidRDefault="00F64900" w:rsidP="00F64900">
      <w:pPr>
        <w:pStyle w:val="Odsekzoznamu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86"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V čl. III 2. bode sa vypúšťa veta „Poznámka pod čiarou k odkazu 18a sa vypúšťa.“.</w:t>
      </w:r>
    </w:p>
    <w:p w:rsidR="00F64900" w:rsidRP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Cs w:val="24"/>
          <w:lang w:eastAsia="sk-SK"/>
        </w:rPr>
      </w:pPr>
    </w:p>
    <w:p w:rsidR="00F64900" w:rsidRDefault="00F64900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color w:val="000000"/>
          <w:szCs w:val="24"/>
          <w:lang w:eastAsia="sk-SK"/>
        </w:rPr>
      </w:pPr>
      <w:r w:rsidRPr="00F64900">
        <w:rPr>
          <w:color w:val="000000"/>
          <w:szCs w:val="24"/>
          <w:lang w:eastAsia="sk-SK"/>
        </w:rPr>
        <w:t>Z dôvodu jednoznačnosti právnej úpravy sa do zákona o Zbore väzenskej a justičnej stráže dopĺňa analogické ustanovenie, aké je v zákone o Policajnom zbore (čl. I) o tom, že na účely výmeny informácií sa za členské štáty Európskej únie považujú aj niektoré tretie (schengenské) štáty.</w:t>
      </w:r>
    </w:p>
    <w:p w:rsidR="00FE4818" w:rsidRPr="00F64900" w:rsidRDefault="00FE4818" w:rsidP="00F6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color w:val="000000"/>
          <w:szCs w:val="24"/>
          <w:lang w:eastAsia="sk-SK"/>
        </w:rPr>
      </w:pPr>
    </w:p>
    <w:p w:rsidR="00FE4818" w:rsidRPr="00FE4818" w:rsidRDefault="00FE4818" w:rsidP="00FE4818">
      <w:pPr>
        <w:pStyle w:val="Odsekzoznamu"/>
        <w:numPr>
          <w:ilvl w:val="0"/>
          <w:numId w:val="19"/>
        </w:numPr>
        <w:spacing w:after="0" w:line="240" w:lineRule="auto"/>
        <w:rPr>
          <w:bCs/>
        </w:rPr>
      </w:pPr>
      <w:r w:rsidRPr="00FE4818">
        <w:rPr>
          <w:bCs/>
        </w:rPr>
        <w:t>Za článok III sa vkladá nový článok IV, ktorý znie:</w:t>
      </w:r>
    </w:p>
    <w:p w:rsidR="00FE4818" w:rsidRPr="00FE4818" w:rsidRDefault="00FE4818" w:rsidP="00FE4818">
      <w:pPr>
        <w:spacing w:after="0" w:line="240" w:lineRule="auto"/>
        <w:contextualSpacing/>
      </w:pPr>
    </w:p>
    <w:p w:rsidR="00FE4818" w:rsidRPr="00FE4818" w:rsidRDefault="00FE4818" w:rsidP="00FE4818">
      <w:pPr>
        <w:spacing w:after="0" w:line="240" w:lineRule="auto"/>
        <w:contextualSpacing/>
        <w:jc w:val="center"/>
        <w:rPr>
          <w:b/>
          <w:bCs/>
        </w:rPr>
      </w:pPr>
      <w:r w:rsidRPr="00FE4818">
        <w:rPr>
          <w:b/>
          <w:bCs/>
        </w:rPr>
        <w:t>„Čl. IV</w:t>
      </w:r>
    </w:p>
    <w:p w:rsidR="00FE4818" w:rsidRPr="00FE4818" w:rsidRDefault="00FE4818" w:rsidP="00FE4818">
      <w:pPr>
        <w:spacing w:after="0" w:line="240" w:lineRule="auto"/>
        <w:contextualSpacing/>
        <w:jc w:val="both"/>
      </w:pPr>
    </w:p>
    <w:p w:rsidR="00FE4818" w:rsidRPr="00FE4818" w:rsidRDefault="00FE4818" w:rsidP="00FE4818">
      <w:pPr>
        <w:spacing w:after="0" w:line="240" w:lineRule="auto"/>
        <w:ind w:left="567"/>
        <w:contextualSpacing/>
        <w:jc w:val="both"/>
      </w:pPr>
      <w:r w:rsidRPr="00FE4818">
        <w:t>Zákon č. 541/2004 Z. z. o mierovom využívaní jadrovej energie (atómový zákon) a o zmene a doplnení niektorých zákonov v znení zákona č. 238/2006 Z. z., zákona č. 21/2007 Z. z., zákona č. 94/2007 Z. z., zákona č. 335/2007 Z. z., zákona č. 408/2008 Z. z., zákona č. 120/2010 Z. z., zákona č. 145/2010 Z. z., zákona č. 350/2011 Z. z., zákona č. 143/2013 Z. z., zákona č. 314/2014 Z. z., zákona č. 54/2015 Z. z., zákona č. 91/2016 Z. z., zákona č. 125/2016 Z. z., zákona č. 96/2017 Z. z., zákona č. 18/2018 Z. z., zákona č. 87/2018 Z. z., zákona 177/2018 Z. z., zákona 308/2018 Z. z., zákona č. 279/2019 Z. z., zákona č. 310/2021 Z. z., zákona č. 363/2021 Z. z., zákona č. 146/2023 Z. z., zákona č. 205/2023, zákona č. 309/2023 Z. z. a zákona č. 161/2024 Z. z.  sa mení a dopĺňa takto:</w:t>
      </w:r>
    </w:p>
    <w:p w:rsidR="00FE4818" w:rsidRPr="00FE4818" w:rsidRDefault="00FE4818" w:rsidP="00FE4818">
      <w:pPr>
        <w:spacing w:after="0" w:line="240" w:lineRule="auto"/>
        <w:contextualSpacing/>
      </w:pPr>
    </w:p>
    <w:p w:rsidR="00FE4818" w:rsidRPr="00FE4818" w:rsidRDefault="00FE4818" w:rsidP="00FE4818">
      <w:pPr>
        <w:numPr>
          <w:ilvl w:val="0"/>
          <w:numId w:val="21"/>
        </w:numPr>
        <w:spacing w:after="0" w:line="240" w:lineRule="auto"/>
        <w:ind w:left="993" w:hanging="426"/>
        <w:contextualSpacing/>
      </w:pPr>
      <w:r w:rsidRPr="00FE4818">
        <w:t>V § 25a odsek 4 znie:</w:t>
      </w:r>
    </w:p>
    <w:p w:rsidR="00FE4818" w:rsidRPr="00FE4818" w:rsidRDefault="00FE4818" w:rsidP="00FE4818">
      <w:pPr>
        <w:spacing w:after="0" w:line="240" w:lineRule="auto"/>
        <w:contextualSpacing/>
        <w:jc w:val="both"/>
      </w:pPr>
    </w:p>
    <w:p w:rsidR="00FE4818" w:rsidRPr="00FE4818" w:rsidRDefault="00FE4818" w:rsidP="00FE4818">
      <w:pPr>
        <w:spacing w:after="0" w:line="240" w:lineRule="auto"/>
        <w:ind w:left="993"/>
        <w:contextualSpacing/>
        <w:jc w:val="both"/>
        <w:rPr>
          <w:i/>
          <w:iCs/>
        </w:rPr>
      </w:pPr>
      <w:r w:rsidRPr="00FE4818">
        <w:rPr>
          <w:i/>
          <w:iCs/>
        </w:rPr>
        <w:t>„(4) Spoľahlivosť podľa odseku 3 písm. c) sa preukazuje odpisom registra trestov.</w:t>
      </w:r>
      <w:r w:rsidRPr="00FE4818">
        <w:rPr>
          <w:i/>
          <w:iCs/>
          <w:vertAlign w:val="superscript"/>
        </w:rPr>
        <w:t>35a</w:t>
      </w:r>
      <w:r w:rsidRPr="00FE4818">
        <w:rPr>
          <w:i/>
          <w:iCs/>
        </w:rPr>
        <w:t>) Držiteľ povolenia písomne požiada Policajný zbor o preverenie spoľahlivosti každej fyzickej osoby, ktorá má byť oprávnená vstupovať do vnútorného priestoru a životne dôležitého priestoru bez sprievodu podľa odseku 9, okrem fyzických osôb, u ktorých sa spoľahlivosť vyžaduje a preukazuje na účely výkonu činnosti podľa osobitných predpisov.</w:t>
      </w:r>
      <w:r w:rsidRPr="00FE4818">
        <w:rPr>
          <w:i/>
          <w:iCs/>
          <w:vertAlign w:val="superscript"/>
        </w:rPr>
        <w:t>36e</w:t>
      </w:r>
      <w:r w:rsidRPr="00FE4818">
        <w:rPr>
          <w:i/>
          <w:iCs/>
        </w:rPr>
        <w:t>) Držiteľ povolenia k žiadosti pripojí identifikačné údaje fyzickej osoby, ktorá sa má preveriť, v rozsahu podľa § 26 ods. 6 a údaje potrebné na vyžiadanie odpisu registra trestov. Poskytnuté údaje zašle Policajný zbor v elektronickej podobe prostredníctvom elektronickej komunikácie Generálnej prokuratúre Slovenskej republiky na vydanie odpisu registra trestov. Spoľahlivosť sa preveruje raz za päť rokov. Policajný zbor informuje držiteľa povolenia o výsledku preverenia v lehote 40 dní od doručenia žiadosti podľa druhej vety.“.“</w:t>
      </w:r>
    </w:p>
    <w:p w:rsidR="00FE4818" w:rsidRPr="00FE4818" w:rsidRDefault="00FE4818" w:rsidP="00FE4818">
      <w:pPr>
        <w:spacing w:after="0" w:line="240" w:lineRule="auto"/>
        <w:ind w:left="426"/>
        <w:contextualSpacing/>
      </w:pPr>
    </w:p>
    <w:p w:rsidR="00FE4818" w:rsidRPr="00FE4818" w:rsidRDefault="00FE4818" w:rsidP="00FE4818">
      <w:pPr>
        <w:spacing w:after="0" w:line="240" w:lineRule="auto"/>
        <w:ind w:left="426" w:firstLine="567"/>
        <w:contextualSpacing/>
      </w:pPr>
      <w:r w:rsidRPr="00FE4818">
        <w:t xml:space="preserve">Poznámka pod čiarou k odkazu 35a znie: </w:t>
      </w:r>
    </w:p>
    <w:p w:rsidR="00FE4818" w:rsidRPr="00FE4818" w:rsidRDefault="00FE4818" w:rsidP="00FE4818">
      <w:pPr>
        <w:spacing w:after="0" w:line="240" w:lineRule="auto"/>
        <w:ind w:left="426" w:firstLine="567"/>
        <w:contextualSpacing/>
      </w:pPr>
    </w:p>
    <w:p w:rsidR="00FE4818" w:rsidRPr="00FE4818" w:rsidRDefault="00FE4818" w:rsidP="00FE4818">
      <w:pPr>
        <w:spacing w:after="0" w:line="240" w:lineRule="auto"/>
        <w:ind w:left="993"/>
        <w:contextualSpacing/>
      </w:pPr>
      <w:r w:rsidRPr="00FE4818">
        <w:t>„</w:t>
      </w:r>
      <w:r w:rsidRPr="00FE4818">
        <w:rPr>
          <w:vertAlign w:val="superscript"/>
        </w:rPr>
        <w:t>35a</w:t>
      </w:r>
      <w:r w:rsidRPr="00FE4818">
        <w:t>) § 20 a 21 zákona č. 192/2023 Z. z. o registri trestov a o zmene a doplnení niektorých zákonov v znení neskorších predpisov.“.</w:t>
      </w:r>
    </w:p>
    <w:p w:rsidR="00FE4818" w:rsidRPr="00FE4818" w:rsidRDefault="00FE4818" w:rsidP="00FE4818">
      <w:pPr>
        <w:spacing w:after="0" w:line="240" w:lineRule="auto"/>
        <w:rPr>
          <w:bCs/>
        </w:rPr>
      </w:pPr>
    </w:p>
    <w:p w:rsidR="00FE4818" w:rsidRPr="00FE4818" w:rsidRDefault="00FE4818" w:rsidP="00FE4818">
      <w:pPr>
        <w:numPr>
          <w:ilvl w:val="0"/>
          <w:numId w:val="21"/>
        </w:numPr>
        <w:spacing w:after="0" w:line="240" w:lineRule="auto"/>
        <w:ind w:left="993" w:hanging="426"/>
        <w:contextualSpacing/>
        <w:rPr>
          <w:bCs/>
        </w:rPr>
      </w:pPr>
      <w:r w:rsidRPr="00FE4818">
        <w:rPr>
          <w:bCs/>
        </w:rPr>
        <w:t xml:space="preserve">V § 37bea </w:t>
      </w:r>
      <w:r w:rsidRPr="00FE4818">
        <w:t>sa</w:t>
      </w:r>
      <w:r w:rsidRPr="00FE4818">
        <w:rPr>
          <w:bCs/>
        </w:rPr>
        <w:t xml:space="preserve"> vypúšťa odsek 2. </w:t>
      </w:r>
    </w:p>
    <w:p w:rsidR="00FE4818" w:rsidRPr="00FE4818" w:rsidRDefault="00FE4818" w:rsidP="00FE4818">
      <w:pPr>
        <w:spacing w:after="0" w:line="240" w:lineRule="auto"/>
        <w:rPr>
          <w:bCs/>
        </w:rPr>
      </w:pPr>
    </w:p>
    <w:p w:rsidR="00FE4818" w:rsidRPr="00FE4818" w:rsidRDefault="00FE4818" w:rsidP="00FE4818">
      <w:pPr>
        <w:spacing w:after="0" w:line="240" w:lineRule="auto"/>
        <w:rPr>
          <w:bCs/>
        </w:rPr>
      </w:pPr>
    </w:p>
    <w:p w:rsidR="00FE4818" w:rsidRPr="00FE4818" w:rsidRDefault="00FE4818" w:rsidP="00FE4818">
      <w:pPr>
        <w:numPr>
          <w:ilvl w:val="0"/>
          <w:numId w:val="21"/>
        </w:numPr>
        <w:spacing w:after="0" w:line="240" w:lineRule="auto"/>
        <w:ind w:left="993" w:hanging="426"/>
        <w:contextualSpacing/>
        <w:rPr>
          <w:bCs/>
        </w:rPr>
      </w:pPr>
      <w:r w:rsidRPr="00FE4818">
        <w:rPr>
          <w:bCs/>
        </w:rPr>
        <w:t xml:space="preserve">Za § 37bea sa vkladá § 37beb, ktorý vrátane nadpisu znie: </w:t>
      </w:r>
    </w:p>
    <w:p w:rsidR="00FE4818" w:rsidRPr="00FE4818" w:rsidRDefault="00FE4818" w:rsidP="00FE4818">
      <w:pPr>
        <w:spacing w:after="0" w:line="240" w:lineRule="auto"/>
        <w:ind w:left="993"/>
        <w:jc w:val="center"/>
        <w:rPr>
          <w:bCs/>
        </w:rPr>
      </w:pPr>
      <w:r w:rsidRPr="00FE4818">
        <w:rPr>
          <w:bCs/>
        </w:rPr>
        <w:t>„§ 37beb</w:t>
      </w:r>
    </w:p>
    <w:p w:rsidR="00FE4818" w:rsidRPr="00FE4818" w:rsidRDefault="00FE4818" w:rsidP="00FE4818">
      <w:pPr>
        <w:spacing w:after="0" w:line="240" w:lineRule="auto"/>
        <w:ind w:left="993"/>
        <w:jc w:val="center"/>
        <w:rPr>
          <w:bCs/>
        </w:rPr>
      </w:pPr>
      <w:r w:rsidRPr="00FE4818">
        <w:rPr>
          <w:bCs/>
        </w:rPr>
        <w:t>Prechodné ustanovenie k úpravám účinným od 12. decembra 2024</w:t>
      </w:r>
    </w:p>
    <w:p w:rsidR="00FE4818" w:rsidRPr="00FE4818" w:rsidRDefault="00FE4818" w:rsidP="00FE4818">
      <w:pPr>
        <w:spacing w:after="0" w:line="240" w:lineRule="auto"/>
        <w:ind w:left="993"/>
        <w:rPr>
          <w:bCs/>
        </w:rPr>
      </w:pPr>
    </w:p>
    <w:p w:rsidR="00FE4818" w:rsidRPr="00FE4818" w:rsidRDefault="00FE4818" w:rsidP="00FE4818">
      <w:pPr>
        <w:spacing w:after="0" w:line="240" w:lineRule="auto"/>
        <w:ind w:left="993"/>
        <w:jc w:val="both"/>
        <w:rPr>
          <w:bCs/>
        </w:rPr>
      </w:pPr>
      <w:r w:rsidRPr="00FE4818">
        <w:rPr>
          <w:bCs/>
        </w:rPr>
        <w:t>Spoľahlivosť fyzickej osoby, ktorá vstupuje bez sprievodu do vnútorného priestoru a životne dôležitého priestoru jadrového zariadenia, sa musí preveriť podľa § 25a ods. 4 do 12. júna 2026.“.</w:t>
      </w:r>
    </w:p>
    <w:p w:rsidR="00FE4818" w:rsidRPr="00FE4818" w:rsidRDefault="00FE4818" w:rsidP="00FE4818">
      <w:pPr>
        <w:spacing w:after="0" w:line="240" w:lineRule="auto"/>
        <w:rPr>
          <w:bCs/>
        </w:rPr>
      </w:pPr>
    </w:p>
    <w:p w:rsidR="00FE4818" w:rsidRPr="00FE4818" w:rsidRDefault="00FE4818" w:rsidP="00FE4818">
      <w:pPr>
        <w:spacing w:after="0" w:line="240" w:lineRule="auto"/>
        <w:ind w:firstLine="567"/>
        <w:rPr>
          <w:bCs/>
        </w:rPr>
      </w:pPr>
      <w:r w:rsidRPr="00FE4818">
        <w:rPr>
          <w:bCs/>
        </w:rPr>
        <w:t>Doterajšie články IV a V sa primerane preznačia.</w:t>
      </w:r>
    </w:p>
    <w:p w:rsidR="00FE4818" w:rsidRPr="00FE4818" w:rsidRDefault="00FE4818" w:rsidP="00FE4818">
      <w:pPr>
        <w:spacing w:after="0" w:line="240" w:lineRule="auto"/>
        <w:contextualSpacing/>
      </w:pPr>
    </w:p>
    <w:p w:rsidR="00FE4818" w:rsidRDefault="00FE4818" w:rsidP="00FE4818">
      <w:pPr>
        <w:spacing w:after="0" w:line="240" w:lineRule="auto"/>
        <w:ind w:left="3402"/>
        <w:contextualSpacing/>
        <w:jc w:val="both"/>
      </w:pPr>
      <w:r w:rsidRPr="00FE4818">
        <w:t>Zákonom č. 161/2024 Z. z. sa mimo iné vstúpilo aj do ustanovení o fyzickej ochrane jadrových zariadení podľa atómového zákona. Zákonom sa zavádza zvýšená ochrana jadrového zariadenia pred vstupom nepovolaných osôb. Do vymedzených priestorov jadrových zariadení môžu vstupovať len osoby s preverenou bezúhonnosťou a spoľahlivosťou. Za týmto účelom je Policajný zbor oprávnený žiadať od Generálnej prokuratúry Slovenskej republiky odpis registra trestov. Napriek tomu, že doterajšia právna úprava sledovala oprávnený cieľ ochrany citlivých ekonomických a bezpečnostných objektov, predsa len v nej absentovala explicitná úprava na oprávnenie Policajného zboru žiadať od Generálnej prokuratúry Slovenskej republiky odpis registra trestov preverovanej osoby. Pozmeňujúcim návrhom sa odstraňuje tento nedostatok. Navrhovaná právna úprava je plne v súlade s už dávnejšie ustáleným mechanizmom preverovania bezúhonnosti a spoľahlivosti zavedeným v § 13 ods. 3 a 4 zákona č. 473/2005 Z. z. o poskytovaní služieb v oblasti súkromnej bezpečnosti a o zmene a doplnení niektorých zákonov (zákon o súkromnej bezpečnosti) v znení neskorších predpisov.</w:t>
      </w:r>
    </w:p>
    <w:p w:rsidR="00FE4818" w:rsidRPr="00FE4818" w:rsidRDefault="00FE4818" w:rsidP="00FE4818">
      <w:pPr>
        <w:spacing w:after="0" w:line="240" w:lineRule="auto"/>
        <w:ind w:left="3402"/>
        <w:contextualSpacing/>
        <w:jc w:val="both"/>
      </w:pPr>
    </w:p>
    <w:p w:rsidR="00FE4818" w:rsidRDefault="00FE4818" w:rsidP="00FE4818">
      <w:pPr>
        <w:pStyle w:val="Odsekzoznamu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86"/>
        <w:jc w:val="both"/>
        <w:rPr>
          <w:color w:val="000000"/>
          <w:szCs w:val="24"/>
        </w:rPr>
      </w:pPr>
      <w:r>
        <w:rPr>
          <w:color w:val="000000"/>
          <w:szCs w:val="24"/>
        </w:rPr>
        <w:t>V čl. IV 1. bode v nadpise § 23 sa za slovo „štátmi“ vkladajú slová „a inými štátmi“.</w:t>
      </w:r>
    </w:p>
    <w:p w:rsidR="00FE4818" w:rsidRDefault="00FE4818" w:rsidP="00FE4818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both"/>
        <w:rPr>
          <w:color w:val="000000"/>
          <w:szCs w:val="24"/>
        </w:rPr>
      </w:pPr>
    </w:p>
    <w:p w:rsidR="00FE4818" w:rsidRDefault="00FE4818" w:rsidP="00FE4818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4"/>
        <w:jc w:val="both"/>
        <w:rPr>
          <w:color w:val="000000"/>
          <w:szCs w:val="24"/>
        </w:rPr>
      </w:pPr>
      <w:r w:rsidRPr="00FE4818">
        <w:rPr>
          <w:color w:val="000000"/>
          <w:szCs w:val="24"/>
        </w:rPr>
        <w:t>Z dôvodu jednoznačnosti právnej úpravy sa do zákona o finančnej správe dopĺňajú ustanovenia o tom, že výmena informácií sa okrem členských štátov Európskej únie vzťahuje aj na niektoré tretie (schengenské) štáty.</w:t>
      </w:r>
    </w:p>
    <w:p w:rsidR="00726BB6" w:rsidRPr="00726BB6" w:rsidRDefault="00726BB6" w:rsidP="00726BB6">
      <w:pPr>
        <w:spacing w:before="120" w:after="0" w:line="360" w:lineRule="auto"/>
        <w:jc w:val="both"/>
        <w:rPr>
          <w:szCs w:val="24"/>
          <w:u w:val="single"/>
          <w:lang w:eastAsia="sk-SK"/>
        </w:rPr>
      </w:pPr>
      <w:r w:rsidRPr="00726BB6">
        <w:rPr>
          <w:szCs w:val="24"/>
          <w:u w:val="single"/>
          <w:lang w:eastAsia="sk-SK"/>
        </w:rPr>
        <w:t>K čl. IV</w:t>
      </w:r>
    </w:p>
    <w:p w:rsidR="00726BB6" w:rsidRPr="00726BB6" w:rsidRDefault="007E08E4" w:rsidP="00726BB6">
      <w:pPr>
        <w:spacing w:before="120" w:after="0"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26</w:t>
      </w:r>
      <w:r w:rsidR="00726BB6" w:rsidRPr="00726BB6">
        <w:rPr>
          <w:szCs w:val="24"/>
          <w:lang w:eastAsia="sk-SK"/>
        </w:rPr>
        <w:t xml:space="preserve">. </w:t>
      </w:r>
      <w:r w:rsidR="00726BB6" w:rsidRPr="00726BB6">
        <w:rPr>
          <w:szCs w:val="24"/>
          <w:lang w:eastAsia="sk-SK"/>
        </w:rPr>
        <w:tab/>
        <w:t>V čl. IV 1. bode § 23 ods. 1 sa slová „iného členského štátu“ nahrádzajú slovami „členského štátu“ a slová „inému členskému štátu“ sa nahrádzajú slovami „členskému štátu“.</w:t>
      </w:r>
    </w:p>
    <w:p w:rsidR="00726BB6" w:rsidRDefault="00726BB6" w:rsidP="00726BB6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  <w:r w:rsidRPr="00726BB6">
        <w:rPr>
          <w:szCs w:val="24"/>
          <w:lang w:eastAsia="sk-SK"/>
        </w:rPr>
        <w:t>Ide o legislatívno-technickú úpravu, ktorou sa precizuje navrhovaná terminológia a reaguje sa zároveň na zavedenie legislatívnej skratky „členský štát“ v § 4 ods. 3 písm. l).</w:t>
      </w:r>
    </w:p>
    <w:p w:rsidR="007E08E4" w:rsidRDefault="007E08E4" w:rsidP="00726BB6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7E08E4" w:rsidRPr="007E08E4" w:rsidRDefault="007E08E4" w:rsidP="007E08E4">
      <w:pPr>
        <w:pStyle w:val="Odsekzoznamu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86"/>
        <w:jc w:val="both"/>
        <w:rPr>
          <w:color w:val="000000"/>
          <w:szCs w:val="24"/>
          <w:lang w:eastAsia="sk-SK"/>
        </w:rPr>
      </w:pPr>
      <w:r w:rsidRPr="007E08E4">
        <w:rPr>
          <w:color w:val="000000"/>
          <w:szCs w:val="24"/>
          <w:lang w:eastAsia="sk-SK"/>
        </w:rPr>
        <w:t>V čl. IV 1. bode § 23 ods. 1 sa za slová „členského štátu“ vkladajú slová „alebo iného štátu podľa medzinárodnej zmluvy</w:t>
      </w:r>
      <w:r w:rsidRPr="007E08E4">
        <w:rPr>
          <w:color w:val="000000"/>
          <w:szCs w:val="24"/>
          <w:vertAlign w:val="superscript"/>
          <w:lang w:eastAsia="sk-SK"/>
        </w:rPr>
        <w:t>82</w:t>
      </w:r>
      <w:r w:rsidRPr="007E08E4">
        <w:rPr>
          <w:color w:val="000000"/>
          <w:szCs w:val="24"/>
          <w:lang w:eastAsia="sk-SK"/>
        </w:rPr>
        <w:t>)“, nad slovami „osobitným predpisom“ sa odkaz na poznámku pod čiarou „82“ označuje ako odkaz „83“,  za slová „členskému štátu“ sa vkladajú slová „alebo inému štátu podľa medzinárodnej zmluvy</w:t>
      </w:r>
      <w:r w:rsidRPr="007E08E4">
        <w:rPr>
          <w:color w:val="000000"/>
          <w:szCs w:val="24"/>
          <w:vertAlign w:val="superscript"/>
          <w:lang w:eastAsia="sk-SK"/>
        </w:rPr>
        <w:t>82</w:t>
      </w:r>
      <w:r w:rsidRPr="007E08E4">
        <w:rPr>
          <w:color w:val="000000"/>
          <w:szCs w:val="24"/>
          <w:lang w:eastAsia="sk-SK"/>
        </w:rPr>
        <w:t>)“ a v odseku 2 sa nad slovami „osobitný predpis“  odkaz na poznámku pod čiarou „82“ označuje ako odkaz „83“.</w:t>
      </w:r>
    </w:p>
    <w:p w:rsidR="007E08E4" w:rsidRPr="007E08E4" w:rsidRDefault="007E08E4" w:rsidP="007E0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color w:val="000000"/>
          <w:szCs w:val="24"/>
          <w:lang w:eastAsia="sk-SK"/>
        </w:rPr>
      </w:pPr>
    </w:p>
    <w:p w:rsidR="007E08E4" w:rsidRPr="007E08E4" w:rsidRDefault="007E08E4" w:rsidP="007E0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color w:val="000000"/>
          <w:szCs w:val="24"/>
          <w:lang w:eastAsia="sk-SK"/>
        </w:rPr>
      </w:pPr>
      <w:r w:rsidRPr="007E08E4">
        <w:rPr>
          <w:color w:val="000000"/>
          <w:szCs w:val="24"/>
          <w:lang w:eastAsia="sk-SK"/>
        </w:rPr>
        <w:t>Poznámky pod čiarou k odkazom 82 a 83 znejú:</w:t>
      </w:r>
    </w:p>
    <w:p w:rsidR="007E08E4" w:rsidRPr="007E08E4" w:rsidRDefault="007E08E4" w:rsidP="007E0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141"/>
        <w:contextualSpacing/>
        <w:jc w:val="both"/>
        <w:rPr>
          <w:color w:val="000000"/>
          <w:szCs w:val="24"/>
          <w:lang w:eastAsia="sk-SK"/>
        </w:rPr>
      </w:pPr>
      <w:r w:rsidRPr="007E08E4">
        <w:rPr>
          <w:color w:val="000000"/>
          <w:szCs w:val="24"/>
          <w:lang w:eastAsia="sk-SK"/>
        </w:rPr>
        <w:t>„</w:t>
      </w:r>
      <w:r w:rsidRPr="007E08E4">
        <w:rPr>
          <w:color w:val="000000"/>
          <w:szCs w:val="24"/>
          <w:vertAlign w:val="superscript"/>
          <w:lang w:eastAsia="sk-SK"/>
        </w:rPr>
        <w:t>82</w:t>
      </w:r>
      <w:r w:rsidRPr="007E08E4">
        <w:rPr>
          <w:color w:val="000000"/>
          <w:szCs w:val="24"/>
          <w:lang w:eastAsia="sk-SK"/>
        </w:rPr>
        <w:t xml:space="preserve">) Napríklad Dohoda medzi Radou Európskej únie a Islandskou republikou a Nórskym kráľovstvom o pridružení týchto dvoch štátov pri vykonávaní, uplatňovaní a rozvoji schengenského </w:t>
      </w:r>
      <w:proofErr w:type="spellStart"/>
      <w:r w:rsidRPr="007E08E4">
        <w:rPr>
          <w:color w:val="000000"/>
          <w:szCs w:val="24"/>
          <w:lang w:eastAsia="sk-SK"/>
        </w:rPr>
        <w:t>acquis</w:t>
      </w:r>
      <w:proofErr w:type="spellEnd"/>
      <w:r w:rsidRPr="007E08E4">
        <w:rPr>
          <w:color w:val="000000"/>
          <w:szCs w:val="24"/>
          <w:lang w:eastAsia="sk-SK"/>
        </w:rPr>
        <w:t xml:space="preserve"> (Ú. v. ES L 176, 10. 7. 1999; Mimoriadne vydanie Ú. v. EÚ, kap. 11/zv. 32).</w:t>
      </w:r>
    </w:p>
    <w:p w:rsidR="007E08E4" w:rsidRPr="007E08E4" w:rsidRDefault="007E08E4" w:rsidP="007E0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141"/>
        <w:contextualSpacing/>
        <w:rPr>
          <w:color w:val="000000"/>
          <w:szCs w:val="24"/>
          <w:lang w:eastAsia="sk-SK"/>
        </w:rPr>
      </w:pPr>
      <w:r w:rsidRPr="007E08E4">
        <w:rPr>
          <w:color w:val="000000"/>
          <w:szCs w:val="24"/>
          <w:vertAlign w:val="superscript"/>
          <w:lang w:eastAsia="sk-SK"/>
        </w:rPr>
        <w:t>83</w:t>
      </w:r>
      <w:r w:rsidRPr="007E08E4">
        <w:rPr>
          <w:color w:val="000000"/>
          <w:szCs w:val="24"/>
          <w:lang w:eastAsia="sk-SK"/>
        </w:rPr>
        <w:t xml:space="preserve">) § 69ga až 69gf zákona Národnej rady Slovenskej republiky č. 171/1993 Z. z. v znení zákona č. .../2024 Z. z.“. </w:t>
      </w:r>
    </w:p>
    <w:p w:rsidR="007E08E4" w:rsidRPr="007E08E4" w:rsidRDefault="007E08E4" w:rsidP="007E0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color w:val="000000"/>
          <w:szCs w:val="24"/>
          <w:lang w:eastAsia="sk-SK"/>
        </w:rPr>
      </w:pPr>
    </w:p>
    <w:p w:rsidR="007E08E4" w:rsidRDefault="007E08E4" w:rsidP="007E0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color w:val="000000"/>
          <w:szCs w:val="24"/>
          <w:lang w:eastAsia="sk-SK"/>
        </w:rPr>
      </w:pPr>
      <w:r w:rsidRPr="007E08E4">
        <w:rPr>
          <w:color w:val="000000"/>
          <w:szCs w:val="24"/>
          <w:lang w:eastAsia="sk-SK"/>
        </w:rPr>
        <w:t>V nadväznosti na to sa primerane upraví aj znenie úvodnej vety k poznámkam pod čiarou.</w:t>
      </w:r>
    </w:p>
    <w:p w:rsidR="007E08E4" w:rsidRDefault="007E08E4" w:rsidP="007E0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color w:val="000000"/>
          <w:szCs w:val="24"/>
          <w:lang w:eastAsia="sk-SK"/>
        </w:rPr>
      </w:pPr>
    </w:p>
    <w:p w:rsidR="007E08E4" w:rsidRDefault="007E08E4" w:rsidP="007E08E4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jc w:val="both"/>
        <w:rPr>
          <w:color w:val="000000"/>
          <w:szCs w:val="24"/>
        </w:rPr>
      </w:pPr>
      <w:r>
        <w:rPr>
          <w:color w:val="000000"/>
          <w:szCs w:val="24"/>
        </w:rPr>
        <w:t>Z dôvodu jednoznačnosti právnej úpravy sa do zákona o finančnej správe dopĺňajú ustanovenia o tom, že výmena informácií sa okrem členských štátov Európskej únie vzťahuje aj na niektoré tretie (schengenské) štáty.</w:t>
      </w:r>
    </w:p>
    <w:p w:rsidR="007E08E4" w:rsidRPr="007E08E4" w:rsidRDefault="007E08E4" w:rsidP="007E0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color w:val="000000"/>
          <w:szCs w:val="24"/>
          <w:lang w:eastAsia="sk-SK"/>
        </w:rPr>
      </w:pPr>
    </w:p>
    <w:p w:rsidR="007E08E4" w:rsidRPr="007E08E4" w:rsidRDefault="007E08E4" w:rsidP="007E0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color w:val="000000"/>
          <w:szCs w:val="24"/>
          <w:lang w:eastAsia="sk-SK"/>
        </w:rPr>
      </w:pPr>
    </w:p>
    <w:p w:rsidR="007E08E4" w:rsidRDefault="007E08E4" w:rsidP="007E08E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color w:val="000000"/>
          <w:szCs w:val="24"/>
          <w:lang w:eastAsia="sk-SK"/>
        </w:rPr>
      </w:pPr>
      <w:r w:rsidRPr="007E08E4">
        <w:rPr>
          <w:color w:val="000000"/>
          <w:szCs w:val="24"/>
          <w:lang w:eastAsia="sk-SK"/>
        </w:rPr>
        <w:t>V čl. IV 2. bode sa vypúšťa veta „Poznámka pod čiarou k odkazu 83 sa vypúšťa.“.</w:t>
      </w:r>
    </w:p>
    <w:p w:rsidR="007E08E4" w:rsidRPr="007E08E4" w:rsidRDefault="007E08E4" w:rsidP="007E0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color w:val="000000"/>
          <w:szCs w:val="24"/>
          <w:lang w:eastAsia="sk-SK"/>
        </w:rPr>
      </w:pPr>
    </w:p>
    <w:p w:rsidR="007E08E4" w:rsidRDefault="007E08E4" w:rsidP="007E08E4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jc w:val="both"/>
        <w:rPr>
          <w:color w:val="000000"/>
          <w:szCs w:val="24"/>
        </w:rPr>
      </w:pPr>
      <w:r>
        <w:rPr>
          <w:color w:val="000000"/>
          <w:szCs w:val="24"/>
        </w:rPr>
        <w:t>Z dôvodu jednoznačnosti právnej úpravy sa do zákona o finančnej správe dopĺňajú ustanovenia o tom, že výmena informácií sa okrem členských štátov Európskej únie vzťahuje aj na niektoré tretie (schengenské) štáty.</w:t>
      </w:r>
    </w:p>
    <w:p w:rsidR="007E08E4" w:rsidRPr="007E08E4" w:rsidRDefault="007E08E4" w:rsidP="007E0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color w:val="000000"/>
          <w:szCs w:val="24"/>
          <w:lang w:eastAsia="sk-SK"/>
        </w:rPr>
      </w:pPr>
    </w:p>
    <w:p w:rsidR="007E08E4" w:rsidRDefault="007E08E4" w:rsidP="007E08E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eastAsia="Calibri"/>
          <w:szCs w:val="24"/>
          <w:lang w:eastAsia="sk-SK"/>
        </w:rPr>
      </w:pPr>
      <w:r w:rsidRPr="007E08E4">
        <w:rPr>
          <w:rFonts w:eastAsia="Calibri"/>
          <w:szCs w:val="24"/>
          <w:lang w:eastAsia="sk-SK"/>
        </w:rPr>
        <w:t xml:space="preserve">V čl. IV 4. bode § 314 ods. 3 sa za slová „iného členského štátu“ vkladajú slová „alebo iného </w:t>
      </w:r>
      <w:r w:rsidRPr="007E08E4">
        <w:rPr>
          <w:color w:val="000000"/>
          <w:szCs w:val="24"/>
          <w:lang w:eastAsia="sk-SK"/>
        </w:rPr>
        <w:t>štátu</w:t>
      </w:r>
      <w:r w:rsidRPr="007E08E4">
        <w:rPr>
          <w:rFonts w:eastAsia="Calibri"/>
          <w:szCs w:val="24"/>
          <w:lang w:eastAsia="sk-SK"/>
        </w:rPr>
        <w:t xml:space="preserve"> podľa medzinárodnej zmluvy</w:t>
      </w:r>
      <w:r w:rsidRPr="007E08E4">
        <w:rPr>
          <w:rFonts w:eastAsia="Calibri"/>
          <w:szCs w:val="24"/>
          <w:vertAlign w:val="superscript"/>
          <w:lang w:eastAsia="sk-SK"/>
        </w:rPr>
        <w:t>82</w:t>
      </w:r>
      <w:r w:rsidRPr="007E08E4">
        <w:rPr>
          <w:rFonts w:eastAsia="Calibri"/>
          <w:szCs w:val="24"/>
          <w:lang w:eastAsia="sk-SK"/>
        </w:rPr>
        <w:t>)“.</w:t>
      </w:r>
    </w:p>
    <w:p w:rsidR="007E08E4" w:rsidRPr="007E08E4" w:rsidRDefault="007E08E4" w:rsidP="007E0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eastAsia="Calibri"/>
          <w:szCs w:val="24"/>
          <w:lang w:eastAsia="sk-SK"/>
        </w:rPr>
      </w:pPr>
    </w:p>
    <w:p w:rsidR="007E08E4" w:rsidRDefault="007E08E4" w:rsidP="007E08E4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jc w:val="both"/>
        <w:rPr>
          <w:color w:val="000000"/>
          <w:szCs w:val="24"/>
        </w:rPr>
      </w:pPr>
      <w:r>
        <w:rPr>
          <w:color w:val="000000"/>
          <w:szCs w:val="24"/>
        </w:rPr>
        <w:t>Z dôvodu jednoznačnosti právnej úpravy sa do zákona o finančnej správe dopĺňajú ustanovenia o tom, že výmena informácií sa okrem členských štátov Európskej únie vzťahuje aj na niektoré tretie (schengenské) štáty.</w:t>
      </w:r>
    </w:p>
    <w:p w:rsidR="007E08E4" w:rsidRPr="007E08E4" w:rsidRDefault="007E08E4" w:rsidP="007E08E4">
      <w:pPr>
        <w:spacing w:after="0" w:line="240" w:lineRule="auto"/>
        <w:contextualSpacing/>
        <w:jc w:val="both"/>
        <w:rPr>
          <w:rFonts w:eastAsia="Calibri"/>
          <w:b/>
          <w:szCs w:val="24"/>
          <w:lang w:eastAsia="sk-SK"/>
        </w:rPr>
      </w:pPr>
    </w:p>
    <w:p w:rsidR="007E08E4" w:rsidRPr="00726BB6" w:rsidRDefault="007E08E4" w:rsidP="007E08E4">
      <w:pPr>
        <w:spacing w:before="100" w:beforeAutospacing="1" w:after="0" w:line="240" w:lineRule="auto"/>
        <w:contextualSpacing/>
        <w:jc w:val="both"/>
        <w:rPr>
          <w:szCs w:val="24"/>
          <w:lang w:eastAsia="sk-SK"/>
        </w:rPr>
      </w:pPr>
    </w:p>
    <w:p w:rsidR="00726BB6" w:rsidRPr="00726BB6" w:rsidRDefault="007E08E4" w:rsidP="00726BB6">
      <w:pPr>
        <w:spacing w:before="120" w:after="0"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30</w:t>
      </w:r>
      <w:r w:rsidR="00726BB6" w:rsidRPr="00726BB6">
        <w:rPr>
          <w:szCs w:val="24"/>
          <w:lang w:eastAsia="sk-SK"/>
        </w:rPr>
        <w:t xml:space="preserve">. </w:t>
      </w:r>
      <w:r w:rsidR="00726BB6" w:rsidRPr="00726BB6">
        <w:rPr>
          <w:szCs w:val="24"/>
          <w:lang w:eastAsia="sk-SK"/>
        </w:rPr>
        <w:tab/>
        <w:t>V čl. IV 4. bode (§ 314 ods. 3) a 5. bode (§ 314 ods. 5) sa slová „iného členského štátu“ nahrádzajú slovami „členského štátu“.</w:t>
      </w:r>
    </w:p>
    <w:p w:rsidR="00726BB6" w:rsidRPr="00726BB6" w:rsidRDefault="00726BB6" w:rsidP="007E08E4">
      <w:pPr>
        <w:spacing w:before="100" w:beforeAutospacing="1" w:after="0" w:line="240" w:lineRule="auto"/>
        <w:ind w:left="3544" w:firstLine="6"/>
        <w:contextualSpacing/>
        <w:jc w:val="both"/>
        <w:rPr>
          <w:szCs w:val="24"/>
          <w:lang w:eastAsia="sk-SK"/>
        </w:rPr>
      </w:pPr>
      <w:r w:rsidRPr="00726BB6">
        <w:rPr>
          <w:szCs w:val="24"/>
          <w:lang w:eastAsia="sk-SK"/>
        </w:rPr>
        <w:t>Ide o legislatívno-technickú úpravu, ktorou sa precizuje navrhovaná terminológia a reaguje sa zároveň na zavedenie legislatívnej skratky „členský štát“ v § 4 ods. 3 písm. l).</w:t>
      </w:r>
    </w:p>
    <w:p w:rsidR="00726BB6" w:rsidRPr="00726BB6" w:rsidRDefault="00726BB6" w:rsidP="00726BB6">
      <w:pPr>
        <w:autoSpaceDE w:val="0"/>
        <w:autoSpaceDN w:val="0"/>
        <w:spacing w:after="0" w:line="240" w:lineRule="auto"/>
        <w:jc w:val="both"/>
        <w:rPr>
          <w:rFonts w:eastAsiaTheme="minorHAnsi"/>
          <w:szCs w:val="24"/>
          <w:lang w:eastAsia="sk-SK"/>
        </w:rPr>
      </w:pPr>
    </w:p>
    <w:p w:rsidR="007E08E4" w:rsidRPr="007E08E4" w:rsidRDefault="007E08E4" w:rsidP="007E08E4">
      <w:pPr>
        <w:pStyle w:val="Odsekzoznamu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86"/>
        <w:jc w:val="both"/>
        <w:rPr>
          <w:szCs w:val="24"/>
        </w:rPr>
      </w:pPr>
      <w:r w:rsidRPr="007E08E4">
        <w:rPr>
          <w:color w:val="000000"/>
          <w:szCs w:val="24"/>
        </w:rPr>
        <w:t xml:space="preserve">V čl. IV 5. bode § 314 ods. 5 sa za slová „iného členského štátu“ vkladajú slová „alebo </w:t>
      </w:r>
      <w:r w:rsidRPr="007E08E4">
        <w:rPr>
          <w:szCs w:val="24"/>
        </w:rPr>
        <w:t>iného</w:t>
      </w:r>
      <w:r w:rsidRPr="007E08E4">
        <w:rPr>
          <w:color w:val="000000"/>
          <w:szCs w:val="24"/>
        </w:rPr>
        <w:t xml:space="preserve"> štátu podľa medzinárodnej zmluvy</w:t>
      </w:r>
      <w:r w:rsidRPr="007E08E4">
        <w:rPr>
          <w:color w:val="000000"/>
          <w:szCs w:val="24"/>
          <w:vertAlign w:val="superscript"/>
        </w:rPr>
        <w:t>82</w:t>
      </w:r>
      <w:r w:rsidRPr="007E08E4">
        <w:rPr>
          <w:color w:val="000000"/>
          <w:szCs w:val="24"/>
        </w:rPr>
        <w:t>)“.</w:t>
      </w:r>
    </w:p>
    <w:p w:rsidR="007E08E4" w:rsidRPr="007E08E4" w:rsidRDefault="007E08E4" w:rsidP="007E08E4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both"/>
        <w:rPr>
          <w:szCs w:val="24"/>
        </w:rPr>
      </w:pPr>
    </w:p>
    <w:p w:rsidR="007E08E4" w:rsidRDefault="007E08E4" w:rsidP="007E08E4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jc w:val="both"/>
        <w:rPr>
          <w:color w:val="000000"/>
          <w:szCs w:val="24"/>
        </w:rPr>
      </w:pPr>
      <w:r>
        <w:rPr>
          <w:color w:val="000000"/>
          <w:szCs w:val="24"/>
        </w:rPr>
        <w:t>Z dôvodu jednoznačnosti právnej úpravy sa do zákona o finančnej správe dopĺňajú ustanovenia o tom, že výmena informácií sa okrem členských štátov Európskej únie vzťahuje aj na niektoré tretie (schengenské) štáty.</w:t>
      </w:r>
    </w:p>
    <w:p w:rsidR="007E08E4" w:rsidRPr="007E08E4" w:rsidRDefault="007E08E4" w:rsidP="007E08E4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jc w:val="both"/>
        <w:rPr>
          <w:color w:val="000000"/>
          <w:szCs w:val="24"/>
        </w:rPr>
      </w:pPr>
    </w:p>
    <w:p w:rsidR="007E08E4" w:rsidRPr="007E08E4" w:rsidRDefault="007E08E4" w:rsidP="007E08E4">
      <w:pPr>
        <w:pStyle w:val="Odsekzoznamu"/>
        <w:numPr>
          <w:ilvl w:val="0"/>
          <w:numId w:val="24"/>
        </w:numPr>
        <w:spacing w:after="0" w:line="240" w:lineRule="auto"/>
        <w:ind w:hanging="786"/>
        <w:rPr>
          <w:bCs/>
        </w:rPr>
      </w:pPr>
      <w:r w:rsidRPr="007E08E4">
        <w:rPr>
          <w:bCs/>
        </w:rPr>
        <w:t xml:space="preserve">Za článok IV sa vkladá nový článok V, ktorý znie: </w:t>
      </w:r>
    </w:p>
    <w:p w:rsidR="007E08E4" w:rsidRPr="007E08E4" w:rsidRDefault="007E08E4" w:rsidP="007E08E4">
      <w:pPr>
        <w:spacing w:after="0" w:line="240" w:lineRule="auto"/>
        <w:contextualSpacing/>
      </w:pPr>
    </w:p>
    <w:p w:rsidR="007E08E4" w:rsidRPr="007E08E4" w:rsidRDefault="007E08E4" w:rsidP="007E08E4">
      <w:pPr>
        <w:spacing w:after="0" w:line="240" w:lineRule="auto"/>
        <w:contextualSpacing/>
        <w:jc w:val="center"/>
        <w:rPr>
          <w:bCs/>
        </w:rPr>
      </w:pPr>
      <w:r w:rsidRPr="007E08E4">
        <w:rPr>
          <w:bCs/>
        </w:rPr>
        <w:t>„Čl. V</w:t>
      </w:r>
    </w:p>
    <w:p w:rsidR="007E08E4" w:rsidRPr="007E08E4" w:rsidRDefault="007E08E4" w:rsidP="007E08E4">
      <w:pPr>
        <w:spacing w:after="0" w:line="240" w:lineRule="auto"/>
        <w:contextualSpacing/>
      </w:pPr>
    </w:p>
    <w:p w:rsidR="007E08E4" w:rsidRPr="007E08E4" w:rsidRDefault="007E08E4" w:rsidP="007E08E4">
      <w:pPr>
        <w:spacing w:after="0" w:line="240" w:lineRule="auto"/>
        <w:ind w:left="567"/>
        <w:contextualSpacing/>
      </w:pPr>
      <w:r w:rsidRPr="007E08E4">
        <w:t>Zákon č. 192/2023 Z. z. o registri trestov a o zmene a doplnení niektorých zákonov v znení zákona č. 161/2024 Z. z. a zákona č. 179/2024 Z. z. sa mení takto:</w:t>
      </w:r>
    </w:p>
    <w:p w:rsidR="007E08E4" w:rsidRPr="007E08E4" w:rsidRDefault="007E08E4" w:rsidP="007E08E4">
      <w:pPr>
        <w:spacing w:after="0" w:line="240" w:lineRule="auto"/>
        <w:ind w:firstLine="567"/>
        <w:contextualSpacing/>
      </w:pPr>
    </w:p>
    <w:p w:rsidR="007E08E4" w:rsidRPr="007E08E4" w:rsidRDefault="007E08E4" w:rsidP="007E08E4">
      <w:pPr>
        <w:numPr>
          <w:ilvl w:val="0"/>
          <w:numId w:val="25"/>
        </w:numPr>
        <w:spacing w:after="0" w:line="240" w:lineRule="auto"/>
        <w:contextualSpacing/>
      </w:pPr>
      <w:r w:rsidRPr="007E08E4">
        <w:t>Poznámka pod čiarou k odkazu 23 znie:</w:t>
      </w:r>
    </w:p>
    <w:p w:rsidR="007E08E4" w:rsidRPr="007E08E4" w:rsidRDefault="007E08E4" w:rsidP="007E08E4">
      <w:pPr>
        <w:spacing w:after="0" w:line="240" w:lineRule="auto"/>
        <w:ind w:left="993"/>
        <w:contextualSpacing/>
      </w:pPr>
      <w:r w:rsidRPr="007E08E4">
        <w:t xml:space="preserve"> </w:t>
      </w:r>
    </w:p>
    <w:p w:rsidR="007E08E4" w:rsidRPr="007E08E4" w:rsidRDefault="007E08E4" w:rsidP="007E08E4">
      <w:pPr>
        <w:spacing w:after="0" w:line="240" w:lineRule="auto"/>
        <w:ind w:left="993"/>
        <w:contextualSpacing/>
      </w:pPr>
      <w:r w:rsidRPr="007E08E4">
        <w:t>„</w:t>
      </w:r>
      <w:r w:rsidRPr="007E08E4">
        <w:rPr>
          <w:vertAlign w:val="superscript"/>
        </w:rPr>
        <w:t>23</w:t>
      </w:r>
      <w:r w:rsidRPr="007E08E4">
        <w:t>) § 25a ods. 4 zákona č. 541/2004 Z. z. o mierovom využívaní jadrovej energie (atómový zákon) a o zmene a doplnení niektorých zákonov v znení zákona č. ../2024 Z. z.</w:t>
      </w:r>
    </w:p>
    <w:p w:rsidR="007E08E4" w:rsidRPr="007E08E4" w:rsidRDefault="007E08E4" w:rsidP="007E08E4">
      <w:pPr>
        <w:spacing w:after="0" w:line="240" w:lineRule="auto"/>
        <w:ind w:left="993"/>
        <w:contextualSpacing/>
      </w:pPr>
      <w:r w:rsidRPr="007E08E4">
        <w:t>§ 121 ods. 3 zákona č. 404/2011 Z. z. o pobyte cudzincov a o zmene a doplnení niektorých zákonov v znení zákona č. 131/2015 Z. z.“.“</w:t>
      </w:r>
    </w:p>
    <w:p w:rsidR="007E08E4" w:rsidRPr="007E08E4" w:rsidRDefault="007E08E4" w:rsidP="007E08E4">
      <w:pPr>
        <w:spacing w:after="0" w:line="240" w:lineRule="auto"/>
        <w:contextualSpacing/>
      </w:pPr>
    </w:p>
    <w:p w:rsidR="007E08E4" w:rsidRPr="007E08E4" w:rsidRDefault="007E08E4" w:rsidP="007E08E4">
      <w:pPr>
        <w:numPr>
          <w:ilvl w:val="0"/>
          <w:numId w:val="25"/>
        </w:numPr>
        <w:spacing w:after="0" w:line="240" w:lineRule="auto"/>
        <w:ind w:left="993" w:hanging="426"/>
        <w:contextualSpacing/>
      </w:pPr>
      <w:r w:rsidRPr="007E08E4">
        <w:t>V § 21 sa vypúšťa odsek 3, ktorý znie:</w:t>
      </w:r>
    </w:p>
    <w:p w:rsidR="007E08E4" w:rsidRPr="007E08E4" w:rsidRDefault="007E08E4" w:rsidP="007E08E4">
      <w:pPr>
        <w:spacing w:after="0" w:line="240" w:lineRule="auto"/>
        <w:ind w:left="993"/>
        <w:contextualSpacing/>
      </w:pPr>
    </w:p>
    <w:p w:rsidR="007E08E4" w:rsidRPr="007E08E4" w:rsidRDefault="007E08E4" w:rsidP="007E08E4">
      <w:pPr>
        <w:widowControl w:val="0"/>
        <w:autoSpaceDE w:val="0"/>
        <w:autoSpaceDN w:val="0"/>
        <w:adjustRightInd w:val="0"/>
        <w:spacing w:after="0" w:line="240" w:lineRule="auto"/>
        <w:ind w:left="993"/>
        <w:contextualSpacing/>
        <w:jc w:val="both"/>
      </w:pPr>
      <w:r w:rsidRPr="007E08E4">
        <w:t>„(3) Odpis z registra trestov sa vydá aj na žiadosť Policajného zboru na účely preverenia spoľahlivosti fyzickej osoby vstupujúcej do vnútorného priestoru a životne dôležitého priestoru jadrového zariadenia bez sprievodu.</w:t>
      </w:r>
      <w:r w:rsidRPr="007E08E4">
        <w:rPr>
          <w:vertAlign w:val="superscript"/>
        </w:rPr>
        <w:t>18a</w:t>
      </w:r>
      <w:r w:rsidRPr="007E08E4">
        <w:t xml:space="preserve">) Preverovanie spoľahlivosti podľa prvej vety sa považuje za plnenie úloh podľa odseku 2.“. </w:t>
      </w:r>
    </w:p>
    <w:p w:rsidR="007E08E4" w:rsidRPr="007E08E4" w:rsidRDefault="007E08E4" w:rsidP="007E08E4">
      <w:pPr>
        <w:spacing w:after="0" w:line="240" w:lineRule="auto"/>
        <w:ind w:left="927"/>
        <w:contextualSpacing/>
      </w:pPr>
    </w:p>
    <w:p w:rsidR="007E08E4" w:rsidRPr="007E08E4" w:rsidRDefault="007E08E4" w:rsidP="007E08E4">
      <w:pPr>
        <w:spacing w:after="0" w:line="240" w:lineRule="auto"/>
        <w:ind w:left="993"/>
        <w:contextualSpacing/>
      </w:pPr>
      <w:r w:rsidRPr="007E08E4">
        <w:t>Poznámka pod čiarou k odkazu 18a sa vypúšťa.</w:t>
      </w:r>
    </w:p>
    <w:p w:rsidR="007E08E4" w:rsidRPr="007E08E4" w:rsidRDefault="007E08E4" w:rsidP="007E08E4">
      <w:pPr>
        <w:spacing w:after="0" w:line="240" w:lineRule="auto"/>
        <w:contextualSpacing/>
      </w:pPr>
    </w:p>
    <w:p w:rsidR="007E08E4" w:rsidRPr="007E08E4" w:rsidRDefault="007E08E4" w:rsidP="007E08E4">
      <w:pPr>
        <w:pStyle w:val="Odsekzoznamu"/>
        <w:spacing w:after="0" w:line="240" w:lineRule="auto"/>
        <w:ind w:left="993"/>
        <w:rPr>
          <w:bCs/>
        </w:rPr>
      </w:pPr>
      <w:r w:rsidRPr="007E08E4">
        <w:rPr>
          <w:bCs/>
        </w:rPr>
        <w:t>Doterajší článok V sa primerane preznačí.</w:t>
      </w:r>
    </w:p>
    <w:p w:rsidR="007E08E4" w:rsidRPr="007E08E4" w:rsidRDefault="007E08E4" w:rsidP="007E08E4">
      <w:pPr>
        <w:spacing w:after="0" w:line="240" w:lineRule="auto"/>
        <w:contextualSpacing/>
      </w:pPr>
    </w:p>
    <w:p w:rsidR="007E08E4" w:rsidRPr="007E08E4" w:rsidRDefault="007E08E4" w:rsidP="007E08E4">
      <w:pPr>
        <w:spacing w:after="0" w:line="240" w:lineRule="auto"/>
        <w:ind w:left="3828"/>
        <w:contextualSpacing/>
        <w:jc w:val="both"/>
      </w:pPr>
      <w:r w:rsidRPr="007E08E4">
        <w:t>Pozmeňujúcim návrhom sa odstraňuje nadbytočná duplicita pri zaradení Policajného zboru medzi oprávnené orgány žiadať od Generálnej prokuratúry Slovenskej republiky odpis registra trestov, ktorá bola zavedená zákonom č. 161/2024 Z. z.. Toto oprávnenie má Policajný zbor už v súčasnosti podľa § 21 ods. 2 písm. b) zákona č. 192/2023 Z. z. Zároveň sa v tomto ustanovení mení poznámka pod čiarou k odkazu 23 tak, aby explicitne pre Policajný zbor vyplývalo oprávnenie žiadať odpis registra trestov pre preverované osoby, ktoré majú vstupovať do vybraných priestorov jadrového zariadenia bez sprievodu podľa § 25a atómového zákona.</w:t>
      </w:r>
    </w:p>
    <w:p w:rsidR="00726BB6" w:rsidRPr="007E08E4" w:rsidRDefault="00726BB6" w:rsidP="007E08E4">
      <w:pPr>
        <w:autoSpaceDE w:val="0"/>
        <w:autoSpaceDN w:val="0"/>
        <w:spacing w:after="0" w:line="240" w:lineRule="auto"/>
        <w:jc w:val="both"/>
        <w:rPr>
          <w:rFonts w:eastAsiaTheme="minorHAnsi"/>
          <w:szCs w:val="24"/>
          <w:lang w:eastAsia="sk-SK"/>
        </w:rPr>
      </w:pPr>
    </w:p>
    <w:p w:rsidR="00726BB6" w:rsidRPr="00726BB6" w:rsidRDefault="00726BB6" w:rsidP="00726BB6">
      <w:pPr>
        <w:autoSpaceDE w:val="0"/>
        <w:autoSpaceDN w:val="0"/>
        <w:spacing w:after="0" w:line="240" w:lineRule="auto"/>
        <w:jc w:val="both"/>
        <w:rPr>
          <w:rFonts w:eastAsiaTheme="minorHAnsi"/>
          <w:szCs w:val="24"/>
          <w:lang w:eastAsia="sk-SK"/>
        </w:rPr>
      </w:pPr>
    </w:p>
    <w:p w:rsidR="000E30E2" w:rsidRDefault="000E30E2" w:rsidP="000E30E2">
      <w:pPr>
        <w:spacing w:line="360" w:lineRule="auto"/>
        <w:jc w:val="both"/>
        <w:rPr>
          <w:szCs w:val="24"/>
        </w:rPr>
      </w:pPr>
      <w:bookmarkStart w:id="0" w:name="_GoBack"/>
      <w:bookmarkEnd w:id="0"/>
    </w:p>
    <w:sectPr w:rsidR="000E3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327E"/>
    <w:multiLevelType w:val="hybridMultilevel"/>
    <w:tmpl w:val="18F012D0"/>
    <w:lvl w:ilvl="0" w:tplc="97A8AEB0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995164"/>
    <w:multiLevelType w:val="hybridMultilevel"/>
    <w:tmpl w:val="EDFEE4E6"/>
    <w:lvl w:ilvl="0" w:tplc="3E1E9684">
      <w:start w:val="2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3A5F39"/>
    <w:multiLevelType w:val="hybridMultilevel"/>
    <w:tmpl w:val="4808DE8E"/>
    <w:lvl w:ilvl="0" w:tplc="BEEA8BA2">
      <w:start w:val="3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256E3B"/>
    <w:multiLevelType w:val="hybridMultilevel"/>
    <w:tmpl w:val="550E6A18"/>
    <w:lvl w:ilvl="0" w:tplc="B024C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17F9"/>
    <w:multiLevelType w:val="hybridMultilevel"/>
    <w:tmpl w:val="E4BA707A"/>
    <w:lvl w:ilvl="0" w:tplc="631ED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14D9A"/>
    <w:multiLevelType w:val="hybridMultilevel"/>
    <w:tmpl w:val="A19EB458"/>
    <w:lvl w:ilvl="0" w:tplc="02B654F4">
      <w:start w:val="1"/>
      <w:numFmt w:val="decimal"/>
      <w:lvlText w:val="%1.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387B08"/>
    <w:multiLevelType w:val="hybridMultilevel"/>
    <w:tmpl w:val="A19EB458"/>
    <w:lvl w:ilvl="0" w:tplc="02B654F4">
      <w:start w:val="1"/>
      <w:numFmt w:val="decimal"/>
      <w:lvlText w:val="%1.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4D484C"/>
    <w:multiLevelType w:val="hybridMultilevel"/>
    <w:tmpl w:val="DCE84B9E"/>
    <w:lvl w:ilvl="0" w:tplc="72661FB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238EE"/>
    <w:multiLevelType w:val="hybridMultilevel"/>
    <w:tmpl w:val="A41409D2"/>
    <w:lvl w:ilvl="0" w:tplc="58307E46">
      <w:start w:val="2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C51726"/>
    <w:multiLevelType w:val="hybridMultilevel"/>
    <w:tmpl w:val="9332888C"/>
    <w:lvl w:ilvl="0" w:tplc="C9484C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2937482"/>
    <w:multiLevelType w:val="hybridMultilevel"/>
    <w:tmpl w:val="540010D4"/>
    <w:lvl w:ilvl="0" w:tplc="D188D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75085"/>
    <w:multiLevelType w:val="hybridMultilevel"/>
    <w:tmpl w:val="3B602712"/>
    <w:lvl w:ilvl="0" w:tplc="3E2C8300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 w15:restartNumberingAfterBreak="0">
    <w:nsid w:val="7D4630C5"/>
    <w:multiLevelType w:val="hybridMultilevel"/>
    <w:tmpl w:val="CD7CC4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</w:num>
  <w:num w:numId="4">
    <w:abstractNumId w:val="15"/>
  </w:num>
  <w:num w:numId="5">
    <w:abstractNumId w:val="12"/>
  </w:num>
  <w:num w:numId="6">
    <w:abstractNumId w:val="11"/>
  </w:num>
  <w:num w:numId="7">
    <w:abstractNumId w:val="14"/>
  </w:num>
  <w:num w:numId="8">
    <w:abstractNumId w:val="18"/>
  </w:num>
  <w:num w:numId="9">
    <w:abstractNumId w:val="20"/>
  </w:num>
  <w:num w:numId="10">
    <w:abstractNumId w:val="5"/>
  </w:num>
  <w:num w:numId="11">
    <w:abstractNumId w:val="13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10"/>
  </w:num>
  <w:num w:numId="17">
    <w:abstractNumId w:val="8"/>
  </w:num>
  <w:num w:numId="18">
    <w:abstractNumId w:val="1"/>
  </w:num>
  <w:num w:numId="19">
    <w:abstractNumId w:val="2"/>
  </w:num>
  <w:num w:numId="20">
    <w:abstractNumId w:val="21"/>
  </w:num>
  <w:num w:numId="21">
    <w:abstractNumId w:val="7"/>
  </w:num>
  <w:num w:numId="22">
    <w:abstractNumId w:val="9"/>
  </w:num>
  <w:num w:numId="23">
    <w:abstractNumId w:val="19"/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04A65"/>
    <w:rsid w:val="00022AE4"/>
    <w:rsid w:val="000262C0"/>
    <w:rsid w:val="00040045"/>
    <w:rsid w:val="000415EB"/>
    <w:rsid w:val="00047773"/>
    <w:rsid w:val="0006092B"/>
    <w:rsid w:val="00060C8B"/>
    <w:rsid w:val="00060F5A"/>
    <w:rsid w:val="000943D0"/>
    <w:rsid w:val="000A72A6"/>
    <w:rsid w:val="000C6E11"/>
    <w:rsid w:val="000D3CB3"/>
    <w:rsid w:val="000D6798"/>
    <w:rsid w:val="000E30E2"/>
    <w:rsid w:val="00100860"/>
    <w:rsid w:val="00113ED7"/>
    <w:rsid w:val="001306E4"/>
    <w:rsid w:val="0016254C"/>
    <w:rsid w:val="001A063B"/>
    <w:rsid w:val="001B6094"/>
    <w:rsid w:val="00210C52"/>
    <w:rsid w:val="00210F86"/>
    <w:rsid w:val="0024461B"/>
    <w:rsid w:val="00244A30"/>
    <w:rsid w:val="00267416"/>
    <w:rsid w:val="002770DF"/>
    <w:rsid w:val="002933CB"/>
    <w:rsid w:val="002A30D0"/>
    <w:rsid w:val="002D06BE"/>
    <w:rsid w:val="002D4BB7"/>
    <w:rsid w:val="002E56D8"/>
    <w:rsid w:val="003238EC"/>
    <w:rsid w:val="003652DA"/>
    <w:rsid w:val="00365940"/>
    <w:rsid w:val="004400F9"/>
    <w:rsid w:val="00462DBD"/>
    <w:rsid w:val="004865E3"/>
    <w:rsid w:val="004B714A"/>
    <w:rsid w:val="004C571B"/>
    <w:rsid w:val="004C6088"/>
    <w:rsid w:val="004D20EA"/>
    <w:rsid w:val="004F5C11"/>
    <w:rsid w:val="00501E53"/>
    <w:rsid w:val="0051183A"/>
    <w:rsid w:val="0055586F"/>
    <w:rsid w:val="00562682"/>
    <w:rsid w:val="00562F37"/>
    <w:rsid w:val="0056461F"/>
    <w:rsid w:val="00586F4B"/>
    <w:rsid w:val="00596447"/>
    <w:rsid w:val="005964B7"/>
    <w:rsid w:val="005A300B"/>
    <w:rsid w:val="005E39A0"/>
    <w:rsid w:val="00645C9C"/>
    <w:rsid w:val="00663AED"/>
    <w:rsid w:val="00685D1C"/>
    <w:rsid w:val="006C32A8"/>
    <w:rsid w:val="006C43F5"/>
    <w:rsid w:val="006C4A44"/>
    <w:rsid w:val="006D61CF"/>
    <w:rsid w:val="006E77CC"/>
    <w:rsid w:val="00726BB6"/>
    <w:rsid w:val="00736BA8"/>
    <w:rsid w:val="007455D8"/>
    <w:rsid w:val="007634B9"/>
    <w:rsid w:val="007B3A30"/>
    <w:rsid w:val="007E08E4"/>
    <w:rsid w:val="007F51A4"/>
    <w:rsid w:val="00820305"/>
    <w:rsid w:val="00820DF8"/>
    <w:rsid w:val="0082115B"/>
    <w:rsid w:val="00821C63"/>
    <w:rsid w:val="00853FF3"/>
    <w:rsid w:val="008B1F3F"/>
    <w:rsid w:val="008D745D"/>
    <w:rsid w:val="00997D05"/>
    <w:rsid w:val="009E24F1"/>
    <w:rsid w:val="00A05127"/>
    <w:rsid w:val="00A11DAC"/>
    <w:rsid w:val="00A41337"/>
    <w:rsid w:val="00A8177F"/>
    <w:rsid w:val="00AC2AEB"/>
    <w:rsid w:val="00B01E90"/>
    <w:rsid w:val="00B17964"/>
    <w:rsid w:val="00BB3B78"/>
    <w:rsid w:val="00C04239"/>
    <w:rsid w:val="00C10451"/>
    <w:rsid w:val="00CB17C2"/>
    <w:rsid w:val="00CB223A"/>
    <w:rsid w:val="00CC0843"/>
    <w:rsid w:val="00CD7F25"/>
    <w:rsid w:val="00CE7146"/>
    <w:rsid w:val="00CF3138"/>
    <w:rsid w:val="00D17950"/>
    <w:rsid w:val="00D21A00"/>
    <w:rsid w:val="00D53CC0"/>
    <w:rsid w:val="00D64948"/>
    <w:rsid w:val="00D70F13"/>
    <w:rsid w:val="00D90559"/>
    <w:rsid w:val="00D92CF5"/>
    <w:rsid w:val="00DA3358"/>
    <w:rsid w:val="00DD49B4"/>
    <w:rsid w:val="00E327B0"/>
    <w:rsid w:val="00E42539"/>
    <w:rsid w:val="00E72961"/>
    <w:rsid w:val="00E80831"/>
    <w:rsid w:val="00E947B3"/>
    <w:rsid w:val="00E970A9"/>
    <w:rsid w:val="00ED5EB2"/>
    <w:rsid w:val="00EF1B09"/>
    <w:rsid w:val="00EF7736"/>
    <w:rsid w:val="00F54E47"/>
    <w:rsid w:val="00F55CC7"/>
    <w:rsid w:val="00F64900"/>
    <w:rsid w:val="00F86FEF"/>
    <w:rsid w:val="00F93E52"/>
    <w:rsid w:val="00FB3D7C"/>
    <w:rsid w:val="00FE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5747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820DF8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basedOn w:val="Normlny"/>
    <w:link w:val="BezriadkovaniaChar"/>
    <w:uiPriority w:val="1"/>
    <w:qFormat/>
    <w:rsid w:val="00B17964"/>
    <w:pPr>
      <w:spacing w:after="0" w:line="240" w:lineRule="auto"/>
    </w:pPr>
    <w:rPr>
      <w:rFonts w:eastAsiaTheme="minorHAnsi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rsid w:val="00E947B3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Číková, Andrea, PhDr., PhD.</cp:lastModifiedBy>
  <cp:revision>9</cp:revision>
  <dcterms:created xsi:type="dcterms:W3CDTF">2024-10-16T11:02:00Z</dcterms:created>
  <dcterms:modified xsi:type="dcterms:W3CDTF">2024-10-18T07:42:00Z</dcterms:modified>
</cp:coreProperties>
</file>